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E4C9B">
      <w:pPr>
        <w:autoSpaceDE w:val="0"/>
        <w:autoSpaceDN w:val="0"/>
        <w:adjustRightInd w:val="0"/>
        <w:jc w:val="center"/>
        <w:rPr>
          <w:b/>
          <w:color w:val="auto"/>
          <w:sz w:val="44"/>
          <w:szCs w:val="44"/>
          <w:highlight w:val="none"/>
        </w:rPr>
      </w:pPr>
    </w:p>
    <w:p w14:paraId="2CB316EB">
      <w:pPr>
        <w:spacing w:line="360" w:lineRule="auto"/>
        <w:ind w:firstLine="0"/>
        <w:jc w:val="center"/>
        <w:rPr>
          <w:b/>
          <w:bCs/>
          <w:color w:val="auto"/>
          <w:sz w:val="44"/>
          <w:szCs w:val="44"/>
          <w:highlight w:val="none"/>
        </w:rPr>
      </w:pPr>
      <w:r>
        <w:rPr>
          <w:rFonts w:hint="eastAsia"/>
          <w:b/>
          <w:bCs/>
          <w:color w:val="auto"/>
          <w:sz w:val="44"/>
          <w:szCs w:val="44"/>
          <w:highlight w:val="none"/>
          <w:lang w:eastAsia="zh-CN"/>
        </w:rPr>
        <w:t>花果山产业小镇综合配套工程建设项目</w:t>
      </w:r>
      <w:r>
        <w:rPr>
          <w:rFonts w:hint="eastAsia"/>
          <w:b/>
          <w:bCs/>
          <w:color w:val="auto"/>
          <w:sz w:val="44"/>
          <w:szCs w:val="44"/>
          <w:highlight w:val="none"/>
        </w:rPr>
        <w:t>土壤污染修复效果评估咨询服务</w:t>
      </w:r>
    </w:p>
    <w:p w14:paraId="0C6AF037">
      <w:pPr>
        <w:spacing w:line="360" w:lineRule="auto"/>
        <w:ind w:firstLine="0"/>
        <w:rPr>
          <w:color w:val="auto"/>
          <w:sz w:val="28"/>
          <w:szCs w:val="32"/>
          <w:highlight w:val="none"/>
        </w:rPr>
      </w:pPr>
    </w:p>
    <w:p w14:paraId="430C907A">
      <w:pPr>
        <w:spacing w:line="360" w:lineRule="auto"/>
        <w:ind w:firstLine="0"/>
        <w:rPr>
          <w:color w:val="auto"/>
          <w:sz w:val="28"/>
          <w:szCs w:val="32"/>
          <w:highlight w:val="none"/>
        </w:rPr>
      </w:pPr>
    </w:p>
    <w:p w14:paraId="1F69D405">
      <w:pPr>
        <w:pStyle w:val="16"/>
        <w:spacing w:after="0" w:line="360" w:lineRule="auto"/>
        <w:ind w:left="0" w:leftChars="0" w:firstLine="0" w:firstLineChars="0"/>
        <w:rPr>
          <w:color w:val="auto"/>
          <w:sz w:val="32"/>
          <w:szCs w:val="32"/>
          <w:highlight w:val="none"/>
        </w:rPr>
      </w:pPr>
    </w:p>
    <w:p w14:paraId="0ED32C74">
      <w:pPr>
        <w:pStyle w:val="16"/>
        <w:spacing w:after="0" w:line="360" w:lineRule="auto"/>
        <w:ind w:left="0" w:leftChars="0" w:firstLine="0" w:firstLineChars="0"/>
        <w:rPr>
          <w:color w:val="auto"/>
          <w:sz w:val="32"/>
          <w:szCs w:val="32"/>
          <w:highlight w:val="none"/>
        </w:rPr>
      </w:pPr>
    </w:p>
    <w:p w14:paraId="481BDA7E">
      <w:pPr>
        <w:pStyle w:val="16"/>
        <w:spacing w:after="0" w:line="360" w:lineRule="auto"/>
        <w:ind w:left="0" w:leftChars="0" w:firstLine="0" w:firstLineChars="0"/>
        <w:rPr>
          <w:color w:val="auto"/>
          <w:sz w:val="32"/>
          <w:szCs w:val="32"/>
          <w:highlight w:val="none"/>
        </w:rPr>
      </w:pPr>
    </w:p>
    <w:p w14:paraId="37687669">
      <w:pPr>
        <w:spacing w:line="360" w:lineRule="auto"/>
        <w:ind w:firstLine="0"/>
        <w:rPr>
          <w:color w:val="auto"/>
          <w:sz w:val="24"/>
          <w:szCs w:val="28"/>
          <w:highlight w:val="none"/>
        </w:rPr>
      </w:pPr>
    </w:p>
    <w:p w14:paraId="3F8888BE">
      <w:pPr>
        <w:spacing w:line="360" w:lineRule="auto"/>
        <w:ind w:firstLine="0"/>
        <w:jc w:val="center"/>
        <w:rPr>
          <w:rFonts w:hint="eastAsia" w:ascii="宋体" w:hAnsi="宋体" w:eastAsia="宋体" w:cs="Times New Roman"/>
          <w:b/>
          <w:bCs/>
          <w:color w:val="auto"/>
          <w:spacing w:val="26"/>
          <w:sz w:val="96"/>
          <w:szCs w:val="110"/>
          <w:highlight w:val="none"/>
        </w:rPr>
      </w:pPr>
      <w:r>
        <w:rPr>
          <w:rFonts w:hint="eastAsia" w:ascii="宋体" w:hAnsi="宋体" w:eastAsia="宋体" w:cs="Times New Roman"/>
          <w:b/>
          <w:bCs/>
          <w:color w:val="auto"/>
          <w:spacing w:val="26"/>
          <w:sz w:val="96"/>
          <w:szCs w:val="110"/>
          <w:highlight w:val="none"/>
        </w:rPr>
        <w:t>招 标 文 件</w:t>
      </w:r>
    </w:p>
    <w:p w14:paraId="792D7BD1">
      <w:pPr>
        <w:spacing w:line="360" w:lineRule="auto"/>
        <w:ind w:firstLine="0"/>
        <w:rPr>
          <w:color w:val="auto"/>
          <w:sz w:val="28"/>
          <w:szCs w:val="32"/>
          <w:highlight w:val="none"/>
        </w:rPr>
      </w:pPr>
    </w:p>
    <w:p w14:paraId="38731D6E">
      <w:pPr>
        <w:spacing w:line="360" w:lineRule="auto"/>
        <w:ind w:firstLine="0"/>
        <w:rPr>
          <w:color w:val="auto"/>
          <w:sz w:val="28"/>
          <w:szCs w:val="32"/>
          <w:highlight w:val="none"/>
        </w:rPr>
      </w:pPr>
    </w:p>
    <w:p w14:paraId="64866451">
      <w:pPr>
        <w:spacing w:line="360" w:lineRule="auto"/>
        <w:ind w:firstLine="0"/>
        <w:rPr>
          <w:color w:val="auto"/>
          <w:sz w:val="28"/>
          <w:szCs w:val="32"/>
          <w:highlight w:val="none"/>
        </w:rPr>
      </w:pPr>
    </w:p>
    <w:p w14:paraId="0941D16D">
      <w:pPr>
        <w:pStyle w:val="16"/>
        <w:spacing w:after="0" w:line="360" w:lineRule="auto"/>
        <w:ind w:left="0" w:leftChars="0" w:firstLine="0" w:firstLineChars="0"/>
        <w:rPr>
          <w:color w:val="auto"/>
          <w:sz w:val="32"/>
          <w:szCs w:val="32"/>
          <w:highlight w:val="none"/>
        </w:rPr>
      </w:pPr>
    </w:p>
    <w:p w14:paraId="3C68A7AB">
      <w:pPr>
        <w:pStyle w:val="16"/>
        <w:spacing w:after="0" w:line="360" w:lineRule="auto"/>
        <w:ind w:left="0" w:leftChars="0" w:firstLine="0" w:firstLineChars="0"/>
        <w:rPr>
          <w:color w:val="auto"/>
          <w:sz w:val="32"/>
          <w:szCs w:val="32"/>
          <w:highlight w:val="none"/>
        </w:rPr>
      </w:pPr>
    </w:p>
    <w:p w14:paraId="606399D3">
      <w:pPr>
        <w:spacing w:line="360" w:lineRule="auto"/>
        <w:ind w:firstLine="1920" w:firstLineChars="600"/>
        <w:rPr>
          <w:color w:val="auto"/>
          <w:sz w:val="32"/>
          <w:szCs w:val="36"/>
          <w:highlight w:val="none"/>
        </w:rPr>
      </w:pPr>
    </w:p>
    <w:p w14:paraId="19E838C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宋体"/>
          <w:color w:val="auto"/>
          <w:sz w:val="32"/>
          <w:szCs w:val="36"/>
          <w:highlight w:val="none"/>
          <w:lang w:eastAsia="zh-CN"/>
        </w:rPr>
      </w:pPr>
      <w:r>
        <w:rPr>
          <w:rFonts w:hint="eastAsia"/>
          <w:color w:val="auto"/>
          <w:sz w:val="32"/>
          <w:szCs w:val="36"/>
          <w:highlight w:val="none"/>
        </w:rPr>
        <w:t>招 标 单 位 ：</w:t>
      </w:r>
      <w:r>
        <w:rPr>
          <w:rFonts w:hint="eastAsia"/>
          <w:color w:val="auto"/>
          <w:sz w:val="32"/>
          <w:szCs w:val="36"/>
          <w:highlight w:val="none"/>
          <w:lang w:eastAsia="zh-CN"/>
        </w:rPr>
        <w:t>广州市越秀区代建项目管理中心</w:t>
      </w:r>
    </w:p>
    <w:p w14:paraId="35BD896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宋体"/>
          <w:color w:val="auto"/>
          <w:sz w:val="32"/>
          <w:szCs w:val="36"/>
          <w:highlight w:val="none"/>
          <w:lang w:eastAsia="zh-CN"/>
        </w:rPr>
      </w:pPr>
      <w:r>
        <w:rPr>
          <w:rFonts w:hint="eastAsia"/>
          <w:color w:val="auto"/>
          <w:sz w:val="32"/>
          <w:szCs w:val="36"/>
          <w:highlight w:val="none"/>
        </w:rPr>
        <w:t>招标代理机构：</w:t>
      </w:r>
      <w:r>
        <w:rPr>
          <w:rFonts w:hint="eastAsia"/>
          <w:color w:val="auto"/>
          <w:sz w:val="32"/>
          <w:szCs w:val="36"/>
          <w:highlight w:val="none"/>
          <w:lang w:eastAsia="zh-CN"/>
        </w:rPr>
        <w:t>广州珠江监理咨询集团有限公司</w:t>
      </w:r>
    </w:p>
    <w:p w14:paraId="5CF1A0E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color w:val="auto"/>
          <w:sz w:val="28"/>
          <w:szCs w:val="32"/>
          <w:highlight w:val="none"/>
        </w:rPr>
      </w:pPr>
      <w:r>
        <w:rPr>
          <w:rFonts w:hint="eastAsia"/>
          <w:color w:val="auto"/>
          <w:sz w:val="32"/>
          <w:szCs w:val="48"/>
          <w:highlight w:val="none"/>
        </w:rPr>
        <w:t>日     期：</w:t>
      </w:r>
      <w:r>
        <w:rPr>
          <w:rFonts w:hint="eastAsia" w:ascii="宋体" w:hAnsi="宋体" w:eastAsia="宋体" w:cs="宋体"/>
          <w:color w:val="auto"/>
          <w:sz w:val="32"/>
          <w:szCs w:val="36"/>
          <w:highlight w:val="none"/>
          <w:u w:val="single"/>
        </w:rPr>
        <w:t>202</w:t>
      </w:r>
      <w:r>
        <w:rPr>
          <w:rFonts w:hint="eastAsia" w:ascii="宋体" w:hAnsi="宋体" w:eastAsia="宋体" w:cs="宋体"/>
          <w:color w:val="auto"/>
          <w:sz w:val="32"/>
          <w:szCs w:val="36"/>
          <w:highlight w:val="none"/>
          <w:u w:val="single"/>
          <w:lang w:val="en-US" w:eastAsia="zh-CN"/>
        </w:rPr>
        <w:t>5</w:t>
      </w:r>
      <w:r>
        <w:rPr>
          <w:rFonts w:hint="eastAsia"/>
          <w:color w:val="auto"/>
          <w:sz w:val="32"/>
          <w:szCs w:val="36"/>
          <w:highlight w:val="none"/>
        </w:rPr>
        <w:t>年</w:t>
      </w:r>
      <w:r>
        <w:rPr>
          <w:rFonts w:hint="eastAsia" w:ascii="宋体" w:hAnsi="宋体" w:eastAsia="宋体" w:cs="宋体"/>
          <w:color w:val="auto"/>
          <w:sz w:val="32"/>
          <w:szCs w:val="36"/>
          <w:highlight w:val="none"/>
          <w:u w:val="single"/>
          <w:lang w:val="en-US" w:eastAsia="zh-CN"/>
        </w:rPr>
        <w:t>8</w:t>
      </w:r>
      <w:r>
        <w:rPr>
          <w:rFonts w:hint="eastAsia"/>
          <w:color w:val="auto"/>
          <w:sz w:val="32"/>
          <w:szCs w:val="36"/>
          <w:highlight w:val="none"/>
        </w:rPr>
        <w:t>月</w:t>
      </w:r>
    </w:p>
    <w:p w14:paraId="44F9D3CF">
      <w:pPr>
        <w:spacing w:line="360" w:lineRule="auto"/>
        <w:ind w:firstLine="707" w:firstLineChars="220"/>
        <w:rPr>
          <w:rFonts w:ascii="宋体" w:hAnsi="宋体"/>
          <w:b/>
          <w:color w:val="auto"/>
          <w:sz w:val="32"/>
          <w:szCs w:val="32"/>
          <w:highlight w:val="none"/>
        </w:rPr>
      </w:pPr>
    </w:p>
    <w:p w14:paraId="5F7432CA">
      <w:pPr>
        <w:pStyle w:val="22"/>
        <w:keepNext w:val="0"/>
        <w:keepLines w:val="0"/>
        <w:widowControl w:val="0"/>
        <w:jc w:val="center"/>
        <w:rPr>
          <w:rFonts w:ascii="Times New Roman" w:hAnsi="Times New Roman" w:eastAsia="黑体"/>
          <w:b w:val="0"/>
          <w:color w:val="auto"/>
          <w:highlight w:val="none"/>
          <w:lang w:val="zh-CN"/>
        </w:rPr>
        <w:sectPr>
          <w:pgSz w:w="12240" w:h="15840"/>
          <w:pgMar w:top="1440" w:right="1800" w:bottom="1440" w:left="1800" w:header="720" w:footer="720" w:gutter="0"/>
          <w:pgNumType w:start="1"/>
          <w:cols w:space="720" w:num="1"/>
          <w:docGrid w:linePitch="285" w:charSpace="0"/>
        </w:sectPr>
      </w:pPr>
      <w:bookmarkStart w:id="0" w:name="_Toc152045511"/>
      <w:bookmarkStart w:id="1" w:name="_Toc152042287"/>
      <w:bookmarkStart w:id="2" w:name="_Toc144974479"/>
    </w:p>
    <w:p w14:paraId="32D2340D">
      <w:pPr>
        <w:pStyle w:val="22"/>
        <w:keepNext w:val="0"/>
        <w:keepLines w:val="0"/>
        <w:widowControl w:val="0"/>
        <w:jc w:val="center"/>
        <w:rPr>
          <w:rFonts w:ascii="Times New Roman" w:hAnsi="Times New Roman" w:eastAsia="黑体"/>
          <w:b w:val="0"/>
          <w:color w:val="auto"/>
          <w:highlight w:val="none"/>
        </w:rPr>
      </w:pPr>
      <w:r>
        <w:rPr>
          <w:rFonts w:ascii="Times New Roman" w:hAnsi="Times New Roman" w:eastAsia="黑体"/>
          <w:b w:val="0"/>
          <w:color w:val="auto"/>
          <w:highlight w:val="none"/>
          <w:lang w:val="zh-CN"/>
        </w:rPr>
        <w:t>目  录</w:t>
      </w:r>
    </w:p>
    <w:p w14:paraId="4777207B">
      <w:pPr>
        <w:pStyle w:val="13"/>
        <w:tabs>
          <w:tab w:val="right" w:leader="dot" w:pos="8630"/>
        </w:tabs>
        <w:jc w:val="center"/>
        <w:rPr>
          <w:rFonts w:ascii="Times New Roman" w:hAnsi="Times New Roman"/>
          <w:color w:val="auto"/>
          <w:highlight w:val="none"/>
        </w:rPr>
      </w:pPr>
    </w:p>
    <w:p w14:paraId="1C6B92EE">
      <w:pPr>
        <w:pStyle w:val="13"/>
        <w:tabs>
          <w:tab w:val="right" w:leader="dot" w:pos="8640"/>
        </w:tabs>
        <w:spacing w:line="360" w:lineRule="auto"/>
        <w:rPr>
          <w:color w:val="auto"/>
          <w:sz w:val="28"/>
          <w:szCs w:val="28"/>
          <w:highlight w:val="none"/>
        </w:rPr>
      </w:pP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TOC \o "1-3" \h \z \u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HYPERLINK \l _Toc14167 </w:instrText>
      </w:r>
      <w:r>
        <w:rPr>
          <w:rFonts w:ascii="Times New Roman" w:hAnsi="Times New Roman"/>
          <w:color w:val="auto"/>
          <w:sz w:val="28"/>
          <w:szCs w:val="28"/>
          <w:highlight w:val="none"/>
        </w:rPr>
        <w:fldChar w:fldCharType="separate"/>
      </w:r>
      <w:r>
        <w:rPr>
          <w:rFonts w:hint="eastAsia"/>
          <w:color w:val="auto"/>
          <w:sz w:val="28"/>
          <w:szCs w:val="28"/>
          <w:highlight w:val="none"/>
        </w:rPr>
        <w:t>第一章</w:t>
      </w:r>
      <w:r>
        <w:rPr>
          <w:color w:val="auto"/>
          <w:sz w:val="28"/>
          <w:szCs w:val="28"/>
          <w:highlight w:val="none"/>
        </w:rPr>
        <w:t>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_Toc14167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rFonts w:ascii="Times New Roman" w:hAnsi="Times New Roman"/>
          <w:color w:val="auto"/>
          <w:sz w:val="28"/>
          <w:szCs w:val="28"/>
          <w:highlight w:val="none"/>
        </w:rPr>
        <w:fldChar w:fldCharType="end"/>
      </w:r>
    </w:p>
    <w:p w14:paraId="68AFE254">
      <w:pPr>
        <w:pStyle w:val="13"/>
        <w:tabs>
          <w:tab w:val="right" w:leader="dot" w:pos="8640"/>
        </w:tabs>
        <w:spacing w:line="360" w:lineRule="auto"/>
        <w:rPr>
          <w:rFonts w:hint="eastAsia" w:eastAsia="宋体"/>
          <w:color w:val="auto"/>
          <w:sz w:val="28"/>
          <w:szCs w:val="28"/>
          <w:highlight w:val="none"/>
          <w:lang w:val="en-US" w:eastAsia="zh-CN"/>
        </w:rPr>
      </w:pP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HYPERLINK \l _Toc12268 </w:instrText>
      </w:r>
      <w:r>
        <w:rPr>
          <w:rFonts w:ascii="Times New Roman" w:hAnsi="Times New Roman"/>
          <w:color w:val="auto"/>
          <w:sz w:val="28"/>
          <w:szCs w:val="28"/>
          <w:highlight w:val="none"/>
        </w:rPr>
        <w:fldChar w:fldCharType="separate"/>
      </w:r>
      <w:r>
        <w:rPr>
          <w:color w:val="auto"/>
          <w:sz w:val="28"/>
          <w:szCs w:val="28"/>
          <w:highlight w:val="none"/>
        </w:rPr>
        <w:t>第二章投标人须知</w:t>
      </w:r>
      <w:r>
        <w:rPr>
          <w:color w:val="auto"/>
          <w:sz w:val="28"/>
          <w:szCs w:val="28"/>
          <w:highlight w:val="none"/>
        </w:rPr>
        <w:tab/>
      </w:r>
      <w:r>
        <w:rPr>
          <w:rFonts w:ascii="Times New Roman" w:hAnsi="Times New Roman"/>
          <w:color w:val="auto"/>
          <w:sz w:val="28"/>
          <w:szCs w:val="28"/>
          <w:highlight w:val="none"/>
        </w:rPr>
        <w:fldChar w:fldCharType="end"/>
      </w:r>
      <w:r>
        <w:rPr>
          <w:rFonts w:hint="eastAsia" w:ascii="Times New Roman" w:hAnsi="Times New Roman"/>
          <w:color w:val="auto"/>
          <w:sz w:val="28"/>
          <w:szCs w:val="28"/>
          <w:highlight w:val="none"/>
          <w:lang w:val="en-US" w:eastAsia="zh-CN"/>
        </w:rPr>
        <w:t>3</w:t>
      </w:r>
    </w:p>
    <w:p w14:paraId="71E8D7F5">
      <w:pPr>
        <w:pStyle w:val="13"/>
        <w:tabs>
          <w:tab w:val="right" w:leader="dot" w:pos="8640"/>
        </w:tabs>
        <w:spacing w:line="360" w:lineRule="auto"/>
        <w:rPr>
          <w:rFonts w:hint="default" w:eastAsia="宋体"/>
          <w:color w:val="auto"/>
          <w:sz w:val="28"/>
          <w:szCs w:val="28"/>
          <w:highlight w:val="none"/>
          <w:lang w:val="en-US" w:eastAsia="zh-CN"/>
        </w:rPr>
      </w:pP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HYPERLINK \l _Toc12459 </w:instrText>
      </w:r>
      <w:r>
        <w:rPr>
          <w:rFonts w:ascii="Times New Roman" w:hAnsi="Times New Roman"/>
          <w:color w:val="auto"/>
          <w:sz w:val="28"/>
          <w:szCs w:val="28"/>
          <w:highlight w:val="none"/>
        </w:rPr>
        <w:fldChar w:fldCharType="separate"/>
      </w:r>
      <w:r>
        <w:rPr>
          <w:color w:val="auto"/>
          <w:sz w:val="28"/>
          <w:szCs w:val="28"/>
          <w:highlight w:val="none"/>
        </w:rPr>
        <w:t>第三章评标办法（综合评估法）</w:t>
      </w:r>
      <w:r>
        <w:rPr>
          <w:color w:val="auto"/>
          <w:sz w:val="28"/>
          <w:szCs w:val="28"/>
          <w:highlight w:val="none"/>
        </w:rPr>
        <w:tab/>
      </w:r>
      <w:r>
        <w:rPr>
          <w:rFonts w:ascii="Times New Roman" w:hAnsi="Times New Roman"/>
          <w:color w:val="auto"/>
          <w:sz w:val="28"/>
          <w:szCs w:val="28"/>
          <w:highlight w:val="none"/>
        </w:rPr>
        <w:fldChar w:fldCharType="end"/>
      </w:r>
      <w:r>
        <w:rPr>
          <w:rFonts w:hint="eastAsia" w:ascii="Times New Roman" w:hAnsi="Times New Roman"/>
          <w:color w:val="auto"/>
          <w:sz w:val="28"/>
          <w:szCs w:val="28"/>
          <w:highlight w:val="none"/>
          <w:lang w:val="en-US" w:eastAsia="zh-CN"/>
        </w:rPr>
        <w:t>29</w:t>
      </w:r>
    </w:p>
    <w:p w14:paraId="1168BB43">
      <w:pPr>
        <w:pStyle w:val="13"/>
        <w:tabs>
          <w:tab w:val="right" w:leader="dot" w:pos="8640"/>
        </w:tabs>
        <w:spacing w:line="360" w:lineRule="auto"/>
        <w:rPr>
          <w:rFonts w:hint="default" w:eastAsia="宋体"/>
          <w:color w:val="auto"/>
          <w:sz w:val="28"/>
          <w:szCs w:val="28"/>
          <w:highlight w:val="none"/>
          <w:lang w:val="en-US" w:eastAsia="zh-CN"/>
        </w:rPr>
      </w:pP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HYPERLINK \l _Toc19869 </w:instrText>
      </w:r>
      <w:r>
        <w:rPr>
          <w:rFonts w:ascii="Times New Roman" w:hAnsi="Times New Roman"/>
          <w:color w:val="auto"/>
          <w:sz w:val="28"/>
          <w:szCs w:val="28"/>
          <w:highlight w:val="none"/>
        </w:rPr>
        <w:fldChar w:fldCharType="separate"/>
      </w:r>
      <w:r>
        <w:rPr>
          <w:color w:val="auto"/>
          <w:sz w:val="28"/>
          <w:szCs w:val="28"/>
          <w:highlight w:val="none"/>
        </w:rPr>
        <w:t>第四章合同条款及格式</w:t>
      </w:r>
      <w:r>
        <w:rPr>
          <w:color w:val="auto"/>
          <w:sz w:val="28"/>
          <w:szCs w:val="28"/>
          <w:highlight w:val="none"/>
        </w:rPr>
        <w:tab/>
      </w:r>
      <w:r>
        <w:rPr>
          <w:rFonts w:ascii="Times New Roman" w:hAnsi="Times New Roman"/>
          <w:color w:val="auto"/>
          <w:sz w:val="28"/>
          <w:szCs w:val="28"/>
          <w:highlight w:val="none"/>
        </w:rPr>
        <w:fldChar w:fldCharType="end"/>
      </w:r>
      <w:r>
        <w:rPr>
          <w:rFonts w:hint="eastAsia" w:ascii="Times New Roman" w:hAnsi="Times New Roman"/>
          <w:color w:val="auto"/>
          <w:sz w:val="28"/>
          <w:szCs w:val="28"/>
          <w:highlight w:val="none"/>
          <w:lang w:val="en-US" w:eastAsia="zh-CN"/>
        </w:rPr>
        <w:t>38</w:t>
      </w:r>
    </w:p>
    <w:p w14:paraId="516182A3">
      <w:pPr>
        <w:pStyle w:val="13"/>
        <w:tabs>
          <w:tab w:val="right" w:leader="dot" w:pos="8640"/>
        </w:tabs>
        <w:spacing w:line="360" w:lineRule="auto"/>
        <w:rPr>
          <w:rFonts w:hint="default" w:eastAsia="宋体"/>
          <w:color w:val="auto"/>
          <w:sz w:val="28"/>
          <w:szCs w:val="28"/>
          <w:highlight w:val="none"/>
          <w:lang w:val="en-US" w:eastAsia="zh-CN"/>
        </w:rPr>
      </w:pP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HYPERLINK \l _Toc22777 </w:instrText>
      </w:r>
      <w:r>
        <w:rPr>
          <w:rFonts w:ascii="Times New Roman" w:hAnsi="Times New Roman"/>
          <w:color w:val="auto"/>
          <w:sz w:val="28"/>
          <w:szCs w:val="28"/>
          <w:highlight w:val="none"/>
        </w:rPr>
        <w:fldChar w:fldCharType="separate"/>
      </w:r>
      <w:r>
        <w:rPr>
          <w:color w:val="auto"/>
          <w:sz w:val="28"/>
          <w:szCs w:val="28"/>
          <w:highlight w:val="none"/>
        </w:rPr>
        <w:t>第</w:t>
      </w:r>
      <w:r>
        <w:rPr>
          <w:rFonts w:hint="eastAsia"/>
          <w:color w:val="auto"/>
          <w:sz w:val="28"/>
          <w:szCs w:val="28"/>
          <w:highlight w:val="none"/>
          <w:lang w:eastAsia="zh-CN"/>
        </w:rPr>
        <w:t>五</w:t>
      </w:r>
      <w:r>
        <w:rPr>
          <w:color w:val="auto"/>
          <w:sz w:val="28"/>
          <w:szCs w:val="28"/>
          <w:highlight w:val="none"/>
        </w:rPr>
        <w:t>章</w:t>
      </w:r>
      <w:r>
        <w:rPr>
          <w:rFonts w:hint="eastAsia"/>
          <w:color w:val="auto"/>
          <w:sz w:val="28"/>
          <w:szCs w:val="28"/>
          <w:highlight w:val="none"/>
          <w:lang w:eastAsia="zh-CN"/>
        </w:rPr>
        <w:t>委托人要求</w:t>
      </w:r>
      <w:r>
        <w:rPr>
          <w:color w:val="auto"/>
          <w:sz w:val="28"/>
          <w:szCs w:val="28"/>
          <w:highlight w:val="none"/>
        </w:rPr>
        <w:tab/>
      </w:r>
      <w:r>
        <w:rPr>
          <w:rFonts w:ascii="Times New Roman" w:hAnsi="Times New Roman"/>
          <w:color w:val="auto"/>
          <w:sz w:val="28"/>
          <w:szCs w:val="28"/>
          <w:highlight w:val="none"/>
        </w:rPr>
        <w:fldChar w:fldCharType="end"/>
      </w:r>
      <w:r>
        <w:rPr>
          <w:rFonts w:hint="eastAsia" w:ascii="Times New Roman" w:hAnsi="Times New Roman"/>
          <w:color w:val="auto"/>
          <w:sz w:val="28"/>
          <w:szCs w:val="28"/>
          <w:highlight w:val="none"/>
          <w:lang w:val="en-US" w:eastAsia="zh-CN"/>
        </w:rPr>
        <w:t>39</w:t>
      </w:r>
    </w:p>
    <w:p w14:paraId="77471F25">
      <w:pPr>
        <w:pStyle w:val="13"/>
        <w:tabs>
          <w:tab w:val="right" w:leader="dot" w:pos="8640"/>
        </w:tabs>
        <w:spacing w:line="360" w:lineRule="auto"/>
        <w:rPr>
          <w:rFonts w:hint="default" w:eastAsia="宋体"/>
          <w:color w:val="auto"/>
          <w:sz w:val="28"/>
          <w:szCs w:val="28"/>
          <w:highlight w:val="none"/>
          <w:lang w:val="en-US" w:eastAsia="zh-CN"/>
        </w:rPr>
      </w:pP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HYPERLINK \l _Toc5787 </w:instrText>
      </w:r>
      <w:r>
        <w:rPr>
          <w:rFonts w:ascii="Times New Roman" w:hAnsi="Times New Roman"/>
          <w:color w:val="auto"/>
          <w:sz w:val="28"/>
          <w:szCs w:val="28"/>
          <w:highlight w:val="none"/>
        </w:rPr>
        <w:fldChar w:fldCharType="separate"/>
      </w:r>
      <w:r>
        <w:rPr>
          <w:color w:val="auto"/>
          <w:sz w:val="28"/>
          <w:szCs w:val="28"/>
          <w:highlight w:val="none"/>
        </w:rPr>
        <w:t>第六章</w:t>
      </w:r>
      <w:r>
        <w:rPr>
          <w:rFonts w:hint="eastAsia"/>
          <w:color w:val="auto"/>
          <w:sz w:val="28"/>
          <w:szCs w:val="28"/>
          <w:highlight w:val="none"/>
        </w:rPr>
        <w:t xml:space="preserve"> </w:t>
      </w:r>
      <w:r>
        <w:rPr>
          <w:color w:val="auto"/>
          <w:sz w:val="28"/>
          <w:szCs w:val="28"/>
          <w:highlight w:val="none"/>
        </w:rPr>
        <w:t>投标文件格式</w:t>
      </w:r>
      <w:r>
        <w:rPr>
          <w:color w:val="auto"/>
          <w:sz w:val="28"/>
          <w:szCs w:val="28"/>
          <w:highlight w:val="none"/>
        </w:rPr>
        <w:tab/>
      </w:r>
      <w:r>
        <w:rPr>
          <w:rFonts w:ascii="Times New Roman" w:hAnsi="Times New Roman"/>
          <w:color w:val="auto"/>
          <w:sz w:val="28"/>
          <w:szCs w:val="28"/>
          <w:highlight w:val="none"/>
        </w:rPr>
        <w:fldChar w:fldCharType="end"/>
      </w:r>
      <w:r>
        <w:rPr>
          <w:rFonts w:hint="eastAsia" w:ascii="Times New Roman" w:hAnsi="Times New Roman"/>
          <w:color w:val="auto"/>
          <w:sz w:val="28"/>
          <w:szCs w:val="28"/>
          <w:highlight w:val="none"/>
          <w:lang w:val="en-US" w:eastAsia="zh-CN"/>
        </w:rPr>
        <w:t>43</w:t>
      </w:r>
    </w:p>
    <w:p w14:paraId="1595E357">
      <w:pPr>
        <w:spacing w:line="360" w:lineRule="auto"/>
        <w:rPr>
          <w:color w:val="auto"/>
          <w:sz w:val="28"/>
          <w:szCs w:val="28"/>
          <w:highlight w:val="none"/>
        </w:rPr>
        <w:sectPr>
          <w:footerReference r:id="rId3" w:type="default"/>
          <w:pgSz w:w="12240" w:h="15840"/>
          <w:pgMar w:top="1440" w:right="1800" w:bottom="1440" w:left="1800" w:header="720" w:footer="720" w:gutter="0"/>
          <w:pgNumType w:start="1"/>
          <w:cols w:space="720" w:num="1"/>
          <w:docGrid w:linePitch="285" w:charSpace="0"/>
        </w:sectPr>
      </w:pPr>
      <w:r>
        <w:rPr>
          <w:rFonts w:ascii="Times New Roman" w:hAnsi="Times New Roman"/>
          <w:color w:val="auto"/>
          <w:szCs w:val="28"/>
          <w:highlight w:val="none"/>
        </w:rPr>
        <w:fldChar w:fldCharType="end"/>
      </w:r>
    </w:p>
    <w:bookmarkEnd w:id="0"/>
    <w:bookmarkEnd w:id="1"/>
    <w:bookmarkEnd w:id="2"/>
    <w:p w14:paraId="11E8149F">
      <w:pPr>
        <w:pStyle w:val="3"/>
        <w:keepNext w:val="0"/>
        <w:keepLines w:val="0"/>
        <w:spacing w:line="560" w:lineRule="exact"/>
        <w:jc w:val="center"/>
        <w:rPr>
          <w:color w:val="auto"/>
          <w:highlight w:val="none"/>
        </w:rPr>
      </w:pPr>
      <w:bookmarkStart w:id="3" w:name="_Toc14167"/>
      <w:r>
        <w:rPr>
          <w:rFonts w:hint="eastAsia"/>
          <w:color w:val="auto"/>
          <w:highlight w:val="none"/>
        </w:rPr>
        <w:t>第一章</w:t>
      </w:r>
      <w:r>
        <w:rPr>
          <w:color w:val="auto"/>
          <w:highlight w:val="none"/>
        </w:rPr>
        <w:t>招标公告</w:t>
      </w:r>
      <w:bookmarkEnd w:id="3"/>
    </w:p>
    <w:p w14:paraId="5C1FA896">
      <w:pPr>
        <w:adjustRightInd w:val="0"/>
        <w:snapToGrid w:val="0"/>
        <w:spacing w:line="360" w:lineRule="auto"/>
        <w:jc w:val="center"/>
        <w:rPr>
          <w:color w:val="auto"/>
          <w:highlight w:val="none"/>
        </w:rPr>
      </w:pPr>
      <w:r>
        <w:rPr>
          <w:rFonts w:hint="eastAsia" w:ascii="宋体" w:hAnsi="宋体" w:cs="宋体"/>
          <w:b/>
          <w:color w:val="auto"/>
          <w:sz w:val="36"/>
          <w:szCs w:val="36"/>
          <w:highlight w:val="none"/>
        </w:rPr>
        <w:t>（另册）</w:t>
      </w:r>
    </w:p>
    <w:p w14:paraId="4D5CD61E">
      <w:pPr>
        <w:rPr>
          <w:color w:val="auto"/>
          <w:highlight w:val="none"/>
        </w:rPr>
      </w:pPr>
    </w:p>
    <w:p w14:paraId="47B1E121">
      <w:pPr>
        <w:adjustRightInd w:val="0"/>
        <w:snapToGrid w:val="0"/>
        <w:spacing w:line="360" w:lineRule="auto"/>
        <w:ind w:firstLine="420" w:firstLineChars="200"/>
        <w:jc w:val="right"/>
        <w:rPr>
          <w:color w:val="auto"/>
          <w:highlight w:val="none"/>
        </w:rPr>
      </w:pPr>
      <w:r>
        <w:rPr>
          <w:color w:val="auto"/>
          <w:highlight w:val="none"/>
        </w:rPr>
        <w:br w:type="page"/>
      </w:r>
    </w:p>
    <w:p w14:paraId="7F01BEDB">
      <w:pPr>
        <w:pStyle w:val="3"/>
        <w:keepNext w:val="0"/>
        <w:keepLines w:val="0"/>
        <w:spacing w:before="100" w:after="100" w:line="360" w:lineRule="auto"/>
        <w:jc w:val="center"/>
        <w:rPr>
          <w:color w:val="auto"/>
          <w:highlight w:val="none"/>
        </w:rPr>
      </w:pPr>
      <w:bookmarkStart w:id="4" w:name="_Toc12268"/>
      <w:r>
        <w:rPr>
          <w:color w:val="auto"/>
          <w:highlight w:val="none"/>
        </w:rPr>
        <w:t>第二章投标人须知</w:t>
      </w:r>
      <w:bookmarkEnd w:id="4"/>
    </w:p>
    <w:p w14:paraId="20DD74DC">
      <w:pPr>
        <w:pStyle w:val="4"/>
        <w:keepNext w:val="0"/>
        <w:keepLines w:val="0"/>
        <w:spacing w:before="20" w:after="0" w:line="360" w:lineRule="auto"/>
        <w:jc w:val="left"/>
        <w:rPr>
          <w:rFonts w:ascii="Times New Roman" w:hAnsi="Times New Roman"/>
          <w:color w:val="auto"/>
          <w:highlight w:val="none"/>
        </w:rPr>
      </w:pPr>
      <w:bookmarkStart w:id="5" w:name="_Toc17485"/>
      <w:bookmarkStart w:id="6" w:name="_Toc16846"/>
      <w:bookmarkStart w:id="7" w:name="_Toc2856"/>
      <w:bookmarkStart w:id="8" w:name="_Toc13533"/>
      <w:bookmarkStart w:id="9" w:name="_Toc19759"/>
      <w:r>
        <w:rPr>
          <w:rFonts w:ascii="Times New Roman" w:hAnsi="Times New Roman"/>
          <w:color w:val="auto"/>
          <w:highlight w:val="none"/>
        </w:rPr>
        <w:t>投标人须知前附表</w:t>
      </w:r>
      <w:bookmarkEnd w:id="5"/>
      <w:bookmarkEnd w:id="6"/>
      <w:bookmarkEnd w:id="7"/>
      <w:bookmarkEnd w:id="8"/>
      <w:bookmarkEnd w:id="9"/>
    </w:p>
    <w:tbl>
      <w:tblPr>
        <w:tblStyle w:val="17"/>
        <w:tblW w:w="969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78"/>
        <w:gridCol w:w="1650"/>
        <w:gridCol w:w="6863"/>
      </w:tblGrid>
      <w:tr w14:paraId="0237FE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blHeader/>
        </w:trPr>
        <w:tc>
          <w:tcPr>
            <w:tcW w:w="1178" w:type="dxa"/>
            <w:vAlign w:val="center"/>
          </w:tcPr>
          <w:p w14:paraId="52BC80CF">
            <w:pPr>
              <w:snapToGrid w:val="0"/>
              <w:jc w:val="center"/>
              <w:rPr>
                <w:rFonts w:ascii="宋体" w:hAnsi="宋体"/>
                <w:b/>
                <w:color w:val="auto"/>
                <w:szCs w:val="21"/>
                <w:highlight w:val="none"/>
              </w:rPr>
            </w:pPr>
            <w:r>
              <w:rPr>
                <w:rFonts w:ascii="宋体" w:hAnsi="宋体"/>
                <w:b/>
                <w:color w:val="auto"/>
                <w:szCs w:val="21"/>
                <w:highlight w:val="none"/>
              </w:rPr>
              <w:t>条款号</w:t>
            </w:r>
          </w:p>
        </w:tc>
        <w:tc>
          <w:tcPr>
            <w:tcW w:w="1650" w:type="dxa"/>
            <w:vAlign w:val="center"/>
          </w:tcPr>
          <w:p w14:paraId="32D1D4A8">
            <w:pPr>
              <w:snapToGrid w:val="0"/>
              <w:jc w:val="center"/>
              <w:rPr>
                <w:rFonts w:ascii="宋体" w:hAnsi="宋体"/>
                <w:b/>
                <w:color w:val="auto"/>
                <w:szCs w:val="21"/>
                <w:highlight w:val="none"/>
              </w:rPr>
            </w:pPr>
            <w:r>
              <w:rPr>
                <w:rFonts w:ascii="宋体" w:hAnsi="宋体"/>
                <w:b/>
                <w:color w:val="auto"/>
                <w:szCs w:val="21"/>
                <w:highlight w:val="none"/>
              </w:rPr>
              <w:t>条款名称</w:t>
            </w:r>
          </w:p>
        </w:tc>
        <w:tc>
          <w:tcPr>
            <w:tcW w:w="6863" w:type="dxa"/>
            <w:vAlign w:val="center"/>
          </w:tcPr>
          <w:p w14:paraId="0F90D648">
            <w:pPr>
              <w:snapToGrid w:val="0"/>
              <w:jc w:val="center"/>
              <w:rPr>
                <w:rFonts w:ascii="宋体" w:hAnsi="宋体"/>
                <w:b/>
                <w:color w:val="auto"/>
                <w:szCs w:val="21"/>
                <w:highlight w:val="none"/>
              </w:rPr>
            </w:pPr>
            <w:r>
              <w:rPr>
                <w:rFonts w:ascii="宋体" w:hAnsi="宋体"/>
                <w:b/>
                <w:color w:val="auto"/>
                <w:szCs w:val="21"/>
                <w:highlight w:val="none"/>
              </w:rPr>
              <w:t>编列内容</w:t>
            </w:r>
          </w:p>
        </w:tc>
      </w:tr>
      <w:tr w14:paraId="4CCF6A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676E0A01">
            <w:pPr>
              <w:snapToGrid w:val="0"/>
              <w:jc w:val="center"/>
              <w:rPr>
                <w:rFonts w:ascii="宋体" w:hAnsi="宋体"/>
                <w:color w:val="auto"/>
                <w:szCs w:val="21"/>
                <w:highlight w:val="none"/>
              </w:rPr>
            </w:pPr>
            <w:r>
              <w:rPr>
                <w:rFonts w:ascii="宋体" w:hAnsi="宋体"/>
                <w:color w:val="auto"/>
                <w:szCs w:val="21"/>
                <w:highlight w:val="none"/>
              </w:rPr>
              <w:t>1.1.2</w:t>
            </w:r>
          </w:p>
        </w:tc>
        <w:tc>
          <w:tcPr>
            <w:tcW w:w="1650" w:type="dxa"/>
            <w:vAlign w:val="center"/>
          </w:tcPr>
          <w:p w14:paraId="1C954411">
            <w:pPr>
              <w:snapToGrid w:val="0"/>
              <w:jc w:val="center"/>
              <w:rPr>
                <w:rFonts w:ascii="宋体" w:hAnsi="宋体"/>
                <w:color w:val="auto"/>
                <w:szCs w:val="21"/>
                <w:highlight w:val="none"/>
              </w:rPr>
            </w:pPr>
            <w:r>
              <w:rPr>
                <w:rFonts w:ascii="宋体" w:hAnsi="宋体"/>
                <w:color w:val="auto"/>
                <w:szCs w:val="21"/>
                <w:highlight w:val="none"/>
              </w:rPr>
              <w:t>招标人</w:t>
            </w:r>
          </w:p>
        </w:tc>
        <w:tc>
          <w:tcPr>
            <w:tcW w:w="6863" w:type="dxa"/>
            <w:vAlign w:val="center"/>
          </w:tcPr>
          <w:p w14:paraId="7B725E25">
            <w:pPr>
              <w:keepNext w:val="0"/>
              <w:keepLines w:val="0"/>
              <w:suppressLineNumbers w:val="0"/>
              <w:snapToGrid w:val="0"/>
              <w:spacing w:before="0" w:beforeAutospacing="0" w:after="0" w:afterAutospacing="0"/>
              <w:ind w:left="0" w:leftChars="0" w:right="0" w:right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名称：</w:t>
            </w:r>
            <w:r>
              <w:rPr>
                <w:rFonts w:hint="eastAsia" w:ascii="宋体" w:hAnsi="宋体" w:cs="宋体"/>
                <w:color w:val="auto"/>
                <w:sz w:val="21"/>
                <w:szCs w:val="21"/>
                <w:highlight w:val="none"/>
                <w:u w:val="single"/>
                <w:lang w:eastAsia="zh-CN"/>
              </w:rPr>
              <w:t>广州市越秀区代建项目管理中心</w:t>
            </w:r>
          </w:p>
          <w:p w14:paraId="2A428B5A">
            <w:pPr>
              <w:keepNext w:val="0"/>
              <w:keepLines w:val="0"/>
              <w:suppressLineNumbers w:val="0"/>
              <w:snapToGrid w:val="0"/>
              <w:spacing w:before="0" w:beforeAutospacing="0" w:after="0" w:afterAutospacing="0"/>
              <w:ind w:left="0" w:leftChars="0" w:right="0" w:right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地址：</w:t>
            </w:r>
            <w:r>
              <w:rPr>
                <w:rFonts w:hint="eastAsia" w:ascii="宋体" w:hAnsi="宋体" w:cs="宋体"/>
                <w:color w:val="auto"/>
                <w:sz w:val="21"/>
                <w:szCs w:val="21"/>
                <w:highlight w:val="none"/>
                <w:u w:val="single"/>
                <w:lang w:eastAsia="zh-CN"/>
              </w:rPr>
              <w:t>广州市越秀区东华西路永胜街51号</w:t>
            </w:r>
          </w:p>
          <w:p w14:paraId="4854C569">
            <w:pPr>
              <w:keepNext w:val="0"/>
              <w:keepLines w:val="0"/>
              <w:suppressLineNumbers w:val="0"/>
              <w:snapToGrid w:val="0"/>
              <w:spacing w:before="0" w:beforeAutospacing="0" w:after="0" w:afterAutospacing="0"/>
              <w:ind w:left="0" w:leftChars="0" w:right="0" w:right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联系人：</w:t>
            </w:r>
            <w:r>
              <w:rPr>
                <w:rFonts w:hint="eastAsia" w:ascii="宋体" w:hAnsi="宋体" w:cs="宋体"/>
                <w:color w:val="auto"/>
                <w:sz w:val="21"/>
                <w:szCs w:val="21"/>
                <w:highlight w:val="none"/>
                <w:u w:val="single"/>
                <w:lang w:eastAsia="zh-CN"/>
              </w:rPr>
              <w:t>杜工</w:t>
            </w:r>
          </w:p>
          <w:p w14:paraId="5454C113">
            <w:pPr>
              <w:keepNext w:val="0"/>
              <w:keepLines w:val="0"/>
              <w:suppressLineNumbers w:val="0"/>
              <w:snapToGrid w:val="0"/>
              <w:spacing w:before="0" w:beforeAutospacing="0" w:after="0" w:afterAutospacing="0"/>
              <w:ind w:left="0" w:leftChars="0" w:right="0" w:rightChars="0"/>
              <w:rPr>
                <w:rFonts w:hint="default" w:ascii="宋体" w:hAnsi="宋体" w:eastAsia="宋体"/>
                <w:color w:val="auto"/>
                <w:szCs w:val="21"/>
                <w:highlight w:val="none"/>
                <w:u w:val="single"/>
                <w:lang w:val="en-US" w:eastAsia="zh-CN"/>
              </w:rPr>
            </w:pPr>
            <w:r>
              <w:rPr>
                <w:rFonts w:hint="eastAsia" w:ascii="宋体" w:hAnsi="宋体" w:cs="宋体"/>
                <w:color w:val="auto"/>
                <w:sz w:val="21"/>
                <w:szCs w:val="21"/>
                <w:highlight w:val="none"/>
                <w:lang w:eastAsia="zh-CN"/>
              </w:rPr>
              <w:t>电话：</w:t>
            </w:r>
            <w:r>
              <w:rPr>
                <w:rFonts w:hint="eastAsia" w:ascii="宋体" w:hAnsi="宋体" w:cs="宋体"/>
                <w:color w:val="auto"/>
                <w:sz w:val="21"/>
                <w:szCs w:val="21"/>
                <w:highlight w:val="none"/>
                <w:u w:val="single"/>
                <w:lang w:eastAsia="zh-CN"/>
              </w:rPr>
              <w:t xml:space="preserve">020-83520212 </w:t>
            </w:r>
            <w:r>
              <w:rPr>
                <w:rFonts w:hint="eastAsia" w:ascii="宋体" w:hAnsi="宋体" w:cs="宋体"/>
                <w:color w:val="auto"/>
                <w:sz w:val="21"/>
                <w:szCs w:val="21"/>
                <w:highlight w:val="none"/>
                <w:lang w:eastAsia="zh-CN"/>
              </w:rPr>
              <w:t xml:space="preserve"> </w:t>
            </w:r>
          </w:p>
        </w:tc>
      </w:tr>
      <w:tr w14:paraId="7FA72E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1" w:hRule="atLeast"/>
        </w:trPr>
        <w:tc>
          <w:tcPr>
            <w:tcW w:w="1178" w:type="dxa"/>
            <w:vAlign w:val="center"/>
          </w:tcPr>
          <w:p w14:paraId="0999C898">
            <w:pPr>
              <w:snapToGrid w:val="0"/>
              <w:jc w:val="center"/>
              <w:rPr>
                <w:rFonts w:ascii="宋体" w:hAnsi="宋体"/>
                <w:color w:val="auto"/>
                <w:szCs w:val="21"/>
                <w:highlight w:val="none"/>
              </w:rPr>
            </w:pPr>
            <w:r>
              <w:rPr>
                <w:rFonts w:ascii="宋体" w:hAnsi="宋体"/>
                <w:color w:val="auto"/>
                <w:szCs w:val="21"/>
                <w:highlight w:val="none"/>
              </w:rPr>
              <w:t>1.1.3</w:t>
            </w:r>
          </w:p>
        </w:tc>
        <w:tc>
          <w:tcPr>
            <w:tcW w:w="1650" w:type="dxa"/>
            <w:vAlign w:val="center"/>
          </w:tcPr>
          <w:p w14:paraId="497624B6">
            <w:pPr>
              <w:snapToGrid w:val="0"/>
              <w:jc w:val="center"/>
              <w:rPr>
                <w:rFonts w:ascii="宋体" w:hAnsi="宋体"/>
                <w:color w:val="auto"/>
                <w:szCs w:val="21"/>
                <w:highlight w:val="none"/>
              </w:rPr>
            </w:pPr>
            <w:r>
              <w:rPr>
                <w:rFonts w:ascii="宋体" w:hAnsi="宋体"/>
                <w:color w:val="auto"/>
                <w:szCs w:val="21"/>
                <w:highlight w:val="none"/>
              </w:rPr>
              <w:t>招标代理机构</w:t>
            </w:r>
          </w:p>
        </w:tc>
        <w:tc>
          <w:tcPr>
            <w:tcW w:w="6863" w:type="dxa"/>
            <w:vAlign w:val="center"/>
          </w:tcPr>
          <w:p w14:paraId="4C8F87EF">
            <w:pPr>
              <w:keepNext w:val="0"/>
              <w:keepLines w:val="0"/>
              <w:suppressLineNumbers w:val="0"/>
              <w:snapToGrid w:val="0"/>
              <w:spacing w:before="0" w:beforeAutospacing="0" w:after="0" w:afterAutospacing="0"/>
              <w:ind w:left="0" w:leftChars="0" w:right="0" w:rightChars="0"/>
              <w:rPr>
                <w:rFonts w:ascii="宋体" w:hAnsi="宋体"/>
                <w:color w:val="auto"/>
                <w:szCs w:val="21"/>
                <w:highlight w:val="none"/>
                <w:u w:val="single"/>
              </w:rPr>
            </w:pPr>
            <w:r>
              <w:rPr>
                <w:rFonts w:hint="eastAsia" w:ascii="宋体" w:hAnsi="宋体"/>
                <w:color w:val="auto"/>
                <w:szCs w:val="21"/>
                <w:highlight w:val="none"/>
                <w:u w:val="none"/>
              </w:rPr>
              <w:t>名称：</w:t>
            </w:r>
            <w:r>
              <w:rPr>
                <w:rFonts w:hint="eastAsia" w:ascii="宋体" w:hAnsi="宋体"/>
                <w:color w:val="auto"/>
                <w:szCs w:val="21"/>
                <w:highlight w:val="none"/>
                <w:u w:val="single"/>
                <w:lang w:eastAsia="zh-CN"/>
              </w:rPr>
              <w:t>广州珠江监理咨询集团有限公司</w:t>
            </w:r>
          </w:p>
          <w:p w14:paraId="0AC5B8BB">
            <w:pPr>
              <w:keepNext w:val="0"/>
              <w:keepLines w:val="0"/>
              <w:suppressLineNumbers w:val="0"/>
              <w:snapToGrid w:val="0"/>
              <w:spacing w:before="0" w:beforeAutospacing="0" w:after="0" w:afterAutospacing="0"/>
              <w:ind w:left="0" w:leftChars="0" w:right="0" w:rightChars="0"/>
              <w:rPr>
                <w:rFonts w:ascii="宋体" w:hAnsi="宋体"/>
                <w:color w:val="auto"/>
                <w:szCs w:val="21"/>
                <w:highlight w:val="none"/>
                <w:u w:val="single"/>
              </w:rPr>
            </w:pPr>
            <w:r>
              <w:rPr>
                <w:rFonts w:hint="eastAsia" w:ascii="宋体" w:hAnsi="宋体" w:eastAsia="宋体" w:cs="Times New Roman"/>
                <w:color w:val="auto"/>
                <w:szCs w:val="21"/>
                <w:highlight w:val="none"/>
                <w:u w:val="none"/>
              </w:rPr>
              <w:t>地址：</w:t>
            </w:r>
            <w:r>
              <w:rPr>
                <w:rFonts w:hint="eastAsia" w:ascii="宋体" w:hAnsi="宋体"/>
                <w:color w:val="auto"/>
                <w:szCs w:val="21"/>
                <w:highlight w:val="none"/>
                <w:u w:val="single"/>
                <w:lang w:eastAsia="zh-CN"/>
              </w:rPr>
              <w:t>广州市越秀区永泰路50号101房</w:t>
            </w:r>
          </w:p>
          <w:p w14:paraId="78F92F20">
            <w:pPr>
              <w:keepNext w:val="0"/>
              <w:keepLines w:val="0"/>
              <w:suppressLineNumbers w:val="0"/>
              <w:snapToGrid w:val="0"/>
              <w:spacing w:before="0" w:beforeAutospacing="0" w:after="0" w:afterAutospacing="0"/>
              <w:ind w:left="0" w:leftChars="0" w:right="0" w:rightChars="0"/>
              <w:rPr>
                <w:rFonts w:ascii="宋体" w:hAnsi="宋体"/>
                <w:color w:val="auto"/>
                <w:szCs w:val="21"/>
                <w:highlight w:val="none"/>
                <w:u w:val="single"/>
              </w:rPr>
            </w:pPr>
            <w:r>
              <w:rPr>
                <w:rFonts w:hint="eastAsia" w:ascii="宋体" w:hAnsi="宋体" w:eastAsia="宋体" w:cs="Times New Roman"/>
                <w:color w:val="auto"/>
                <w:szCs w:val="21"/>
                <w:highlight w:val="none"/>
                <w:u w:val="none"/>
              </w:rPr>
              <w:t>联系人：</w:t>
            </w:r>
            <w:r>
              <w:rPr>
                <w:rFonts w:hint="eastAsia" w:ascii="宋体" w:hAnsi="宋体"/>
                <w:color w:val="auto"/>
                <w:szCs w:val="21"/>
                <w:highlight w:val="none"/>
                <w:u w:val="single"/>
                <w:lang w:val="en-US" w:eastAsia="zh-CN"/>
              </w:rPr>
              <w:t>张工、叶工</w:t>
            </w:r>
          </w:p>
          <w:p w14:paraId="18552105">
            <w:pPr>
              <w:keepNext w:val="0"/>
              <w:keepLines w:val="0"/>
              <w:suppressLineNumbers w:val="0"/>
              <w:snapToGrid w:val="0"/>
              <w:spacing w:before="0" w:beforeAutospacing="0" w:after="0" w:afterAutospacing="0"/>
              <w:ind w:left="0" w:leftChars="0" w:right="0" w:rightChars="0"/>
              <w:rPr>
                <w:rFonts w:ascii="宋体" w:hAnsi="宋体"/>
                <w:color w:val="auto"/>
                <w:szCs w:val="21"/>
                <w:highlight w:val="none"/>
                <w:u w:val="single"/>
              </w:rPr>
            </w:pPr>
            <w:r>
              <w:rPr>
                <w:rFonts w:hint="eastAsia" w:ascii="宋体" w:hAnsi="宋体" w:eastAsia="宋体" w:cs="Times New Roman"/>
                <w:color w:val="auto"/>
                <w:szCs w:val="21"/>
                <w:highlight w:val="none"/>
                <w:u w:val="none"/>
              </w:rPr>
              <w:t>电话：</w:t>
            </w:r>
            <w:r>
              <w:rPr>
                <w:rFonts w:hint="eastAsia" w:ascii="宋体" w:hAnsi="宋体"/>
                <w:color w:val="auto"/>
                <w:szCs w:val="21"/>
                <w:highlight w:val="none"/>
                <w:u w:val="single"/>
                <w:lang w:eastAsia="zh-CN"/>
              </w:rPr>
              <w:t>020-83492175</w:t>
            </w:r>
            <w:r>
              <w:rPr>
                <w:rFonts w:hint="eastAsia" w:ascii="宋体" w:hAnsi="宋体"/>
                <w:color w:val="auto"/>
                <w:szCs w:val="21"/>
                <w:highlight w:val="none"/>
                <w:u w:val="single"/>
                <w:lang w:val="en-US" w:eastAsia="zh-CN"/>
              </w:rPr>
              <w:t>-813</w:t>
            </w:r>
          </w:p>
        </w:tc>
      </w:tr>
      <w:tr w14:paraId="0A15D1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18BA5A4F">
            <w:pPr>
              <w:snapToGrid w:val="0"/>
              <w:jc w:val="center"/>
              <w:rPr>
                <w:rFonts w:ascii="宋体" w:hAnsi="宋体"/>
                <w:color w:val="auto"/>
                <w:szCs w:val="21"/>
                <w:highlight w:val="none"/>
              </w:rPr>
            </w:pPr>
            <w:r>
              <w:rPr>
                <w:rFonts w:ascii="宋体" w:hAnsi="宋体"/>
                <w:color w:val="auto"/>
                <w:szCs w:val="21"/>
                <w:highlight w:val="none"/>
              </w:rPr>
              <w:t>1.1.4</w:t>
            </w:r>
          </w:p>
        </w:tc>
        <w:tc>
          <w:tcPr>
            <w:tcW w:w="1650" w:type="dxa"/>
            <w:vAlign w:val="center"/>
          </w:tcPr>
          <w:p w14:paraId="64860CA4">
            <w:pPr>
              <w:snapToGrid w:val="0"/>
              <w:jc w:val="center"/>
              <w:rPr>
                <w:rFonts w:ascii="宋体" w:hAnsi="宋体"/>
                <w:color w:val="auto"/>
                <w:szCs w:val="21"/>
                <w:highlight w:val="none"/>
              </w:rPr>
            </w:pPr>
            <w:r>
              <w:rPr>
                <w:rFonts w:ascii="宋体" w:hAnsi="宋体"/>
                <w:color w:val="auto"/>
                <w:szCs w:val="21"/>
                <w:highlight w:val="none"/>
              </w:rPr>
              <w:t>招标项目名称</w:t>
            </w:r>
          </w:p>
        </w:tc>
        <w:tc>
          <w:tcPr>
            <w:tcW w:w="6863" w:type="dxa"/>
            <w:vAlign w:val="center"/>
          </w:tcPr>
          <w:p w14:paraId="32FE5518">
            <w:pP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花果山产业小镇综合配套工程建设项目土壤污染修复效果评估咨询服务</w:t>
            </w:r>
          </w:p>
        </w:tc>
      </w:tr>
      <w:tr w14:paraId="57FFD5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2DCA301D">
            <w:pPr>
              <w:snapToGrid w:val="0"/>
              <w:jc w:val="center"/>
              <w:rPr>
                <w:rFonts w:ascii="宋体" w:hAnsi="宋体"/>
                <w:color w:val="auto"/>
                <w:szCs w:val="21"/>
                <w:highlight w:val="none"/>
              </w:rPr>
            </w:pPr>
            <w:r>
              <w:rPr>
                <w:rFonts w:ascii="宋体" w:hAnsi="宋体"/>
                <w:color w:val="auto"/>
                <w:szCs w:val="21"/>
                <w:highlight w:val="none"/>
              </w:rPr>
              <w:t>1.1.5</w:t>
            </w:r>
          </w:p>
        </w:tc>
        <w:tc>
          <w:tcPr>
            <w:tcW w:w="1650" w:type="dxa"/>
            <w:vAlign w:val="center"/>
          </w:tcPr>
          <w:p w14:paraId="1874C3F9">
            <w:pPr>
              <w:snapToGrid w:val="0"/>
              <w:jc w:val="center"/>
              <w:rPr>
                <w:rFonts w:ascii="宋体" w:hAnsi="宋体"/>
                <w:color w:val="auto"/>
                <w:szCs w:val="21"/>
                <w:highlight w:val="none"/>
              </w:rPr>
            </w:pPr>
            <w:r>
              <w:rPr>
                <w:rFonts w:ascii="宋体" w:hAnsi="宋体"/>
                <w:color w:val="auto"/>
                <w:szCs w:val="21"/>
                <w:highlight w:val="none"/>
              </w:rPr>
              <w:t>项目建设地点</w:t>
            </w:r>
          </w:p>
        </w:tc>
        <w:tc>
          <w:tcPr>
            <w:tcW w:w="6863" w:type="dxa"/>
            <w:vAlign w:val="center"/>
          </w:tcPr>
          <w:p w14:paraId="217667E3">
            <w:pPr>
              <w:snapToGrid w:val="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详见招标公告。</w:t>
            </w:r>
          </w:p>
        </w:tc>
      </w:tr>
      <w:tr w14:paraId="0AF0B9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047EC429">
            <w:pPr>
              <w:snapToGrid w:val="0"/>
              <w:jc w:val="center"/>
              <w:rPr>
                <w:rFonts w:ascii="宋体" w:hAnsi="宋体"/>
                <w:color w:val="auto"/>
                <w:szCs w:val="21"/>
                <w:highlight w:val="none"/>
              </w:rPr>
            </w:pPr>
            <w:r>
              <w:rPr>
                <w:rFonts w:ascii="宋体" w:hAnsi="宋体"/>
                <w:color w:val="auto"/>
                <w:szCs w:val="21"/>
                <w:highlight w:val="none"/>
              </w:rPr>
              <w:t>1.1.6</w:t>
            </w:r>
          </w:p>
        </w:tc>
        <w:tc>
          <w:tcPr>
            <w:tcW w:w="1650" w:type="dxa"/>
            <w:vAlign w:val="center"/>
          </w:tcPr>
          <w:p w14:paraId="396546A2">
            <w:pPr>
              <w:snapToGrid w:val="0"/>
              <w:jc w:val="center"/>
              <w:rPr>
                <w:rFonts w:ascii="宋体" w:hAnsi="宋体"/>
                <w:color w:val="auto"/>
                <w:szCs w:val="21"/>
                <w:highlight w:val="none"/>
              </w:rPr>
            </w:pPr>
            <w:r>
              <w:rPr>
                <w:rFonts w:ascii="宋体" w:hAnsi="宋体"/>
                <w:color w:val="auto"/>
                <w:szCs w:val="21"/>
                <w:highlight w:val="none"/>
              </w:rPr>
              <w:t>项目建设规模</w:t>
            </w:r>
          </w:p>
        </w:tc>
        <w:tc>
          <w:tcPr>
            <w:tcW w:w="6863" w:type="dxa"/>
          </w:tcPr>
          <w:p w14:paraId="2F345612">
            <w:pPr>
              <w:snapToGrid w:val="0"/>
              <w:ind w:right="106"/>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详见招标公告。</w:t>
            </w:r>
          </w:p>
        </w:tc>
      </w:tr>
      <w:tr w14:paraId="5E7182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7CD5A14D">
            <w:pPr>
              <w:snapToGrid w:val="0"/>
              <w:jc w:val="center"/>
              <w:rPr>
                <w:rFonts w:ascii="宋体" w:hAnsi="宋体"/>
                <w:color w:val="auto"/>
                <w:szCs w:val="21"/>
                <w:highlight w:val="none"/>
              </w:rPr>
            </w:pPr>
            <w:bookmarkStart w:id="10" w:name="_Hlk136173529"/>
            <w:r>
              <w:rPr>
                <w:rFonts w:ascii="宋体" w:hAnsi="宋体"/>
                <w:color w:val="auto"/>
                <w:szCs w:val="21"/>
                <w:highlight w:val="none"/>
              </w:rPr>
              <w:t>1.1.7</w:t>
            </w:r>
          </w:p>
        </w:tc>
        <w:tc>
          <w:tcPr>
            <w:tcW w:w="1650" w:type="dxa"/>
            <w:vAlign w:val="center"/>
          </w:tcPr>
          <w:p w14:paraId="363EC2E3">
            <w:pPr>
              <w:snapToGrid w:val="0"/>
              <w:jc w:val="center"/>
              <w:rPr>
                <w:rFonts w:ascii="宋体" w:hAnsi="宋体"/>
                <w:color w:val="auto"/>
                <w:szCs w:val="21"/>
                <w:highlight w:val="none"/>
              </w:rPr>
            </w:pPr>
            <w:r>
              <w:rPr>
                <w:rFonts w:ascii="宋体" w:hAnsi="宋体"/>
                <w:color w:val="auto"/>
                <w:szCs w:val="21"/>
                <w:highlight w:val="none"/>
              </w:rPr>
              <w:t>工程项目施工预计开工日期和建设周期</w:t>
            </w:r>
          </w:p>
        </w:tc>
        <w:tc>
          <w:tcPr>
            <w:tcW w:w="6863" w:type="dxa"/>
            <w:vAlign w:val="center"/>
          </w:tcPr>
          <w:p w14:paraId="0279341A">
            <w:pPr>
              <w:rPr>
                <w:rFonts w:ascii="宋体" w:hAnsi="宋体" w:cs="宋体"/>
                <w:color w:val="auto"/>
                <w:szCs w:val="21"/>
                <w:highlight w:val="none"/>
              </w:rPr>
            </w:pPr>
            <w:r>
              <w:rPr>
                <w:rFonts w:hint="eastAsia" w:ascii="宋体" w:hAnsi="宋体"/>
                <w:color w:val="auto"/>
                <w:szCs w:val="21"/>
                <w:highlight w:val="none"/>
                <w:u w:val="single"/>
              </w:rPr>
              <w:t>具体时间以服务合同为准，另行通知。</w:t>
            </w:r>
          </w:p>
        </w:tc>
      </w:tr>
      <w:bookmarkEnd w:id="10"/>
      <w:tr w14:paraId="58C433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511A58F6">
            <w:pPr>
              <w:snapToGrid w:val="0"/>
              <w:jc w:val="center"/>
              <w:rPr>
                <w:rFonts w:ascii="宋体" w:hAnsi="宋体"/>
                <w:color w:val="auto"/>
                <w:szCs w:val="21"/>
                <w:highlight w:val="none"/>
              </w:rPr>
            </w:pPr>
            <w:r>
              <w:rPr>
                <w:rFonts w:ascii="宋体" w:hAnsi="宋体"/>
                <w:color w:val="auto"/>
                <w:szCs w:val="21"/>
                <w:highlight w:val="none"/>
              </w:rPr>
              <w:t>1.2.1</w:t>
            </w:r>
          </w:p>
        </w:tc>
        <w:tc>
          <w:tcPr>
            <w:tcW w:w="1650" w:type="dxa"/>
            <w:vAlign w:val="center"/>
          </w:tcPr>
          <w:p w14:paraId="0B19109C">
            <w:pPr>
              <w:snapToGrid w:val="0"/>
              <w:jc w:val="center"/>
              <w:rPr>
                <w:rFonts w:ascii="宋体" w:hAnsi="宋体"/>
                <w:color w:val="auto"/>
                <w:szCs w:val="21"/>
                <w:highlight w:val="none"/>
              </w:rPr>
            </w:pPr>
            <w:r>
              <w:rPr>
                <w:rFonts w:ascii="宋体" w:hAnsi="宋体"/>
                <w:color w:val="auto"/>
                <w:szCs w:val="21"/>
                <w:highlight w:val="none"/>
              </w:rPr>
              <w:t>资金来源及比例</w:t>
            </w:r>
          </w:p>
        </w:tc>
        <w:tc>
          <w:tcPr>
            <w:tcW w:w="6863" w:type="dxa"/>
            <w:vAlign w:val="center"/>
          </w:tcPr>
          <w:p w14:paraId="14F9C93F">
            <w:pPr>
              <w:snapToGrid w:val="0"/>
              <w:rPr>
                <w:rFonts w:ascii="宋体" w:hAnsi="宋体" w:cs="宋体"/>
                <w:color w:val="auto"/>
                <w:szCs w:val="21"/>
                <w:highlight w:val="none"/>
              </w:rPr>
            </w:pPr>
            <w:r>
              <w:rPr>
                <w:rFonts w:hint="eastAsia" w:ascii="宋体" w:hAnsi="宋体" w:cs="宋体"/>
                <w:color w:val="auto"/>
                <w:szCs w:val="21"/>
                <w:highlight w:val="none"/>
                <w:lang w:val="en-US" w:eastAsia="zh-CN"/>
              </w:rPr>
              <w:t>区财政资金100%</w:t>
            </w:r>
            <w:r>
              <w:rPr>
                <w:rFonts w:hint="eastAsia" w:ascii="宋体" w:hAnsi="宋体" w:cs="宋体"/>
                <w:color w:val="auto"/>
                <w:szCs w:val="21"/>
                <w:highlight w:val="none"/>
                <w:lang w:eastAsia="zh-CN"/>
              </w:rPr>
              <w:t>。</w:t>
            </w:r>
          </w:p>
        </w:tc>
      </w:tr>
      <w:tr w14:paraId="63DD64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40A96003">
            <w:pPr>
              <w:snapToGrid w:val="0"/>
              <w:jc w:val="center"/>
              <w:rPr>
                <w:rFonts w:ascii="宋体" w:hAnsi="宋体"/>
                <w:color w:val="auto"/>
                <w:szCs w:val="21"/>
                <w:highlight w:val="none"/>
              </w:rPr>
            </w:pPr>
            <w:r>
              <w:rPr>
                <w:rFonts w:ascii="宋体" w:hAnsi="宋体"/>
                <w:color w:val="auto"/>
                <w:szCs w:val="21"/>
                <w:highlight w:val="none"/>
              </w:rPr>
              <w:t>1.2.2</w:t>
            </w:r>
          </w:p>
        </w:tc>
        <w:tc>
          <w:tcPr>
            <w:tcW w:w="1650" w:type="dxa"/>
            <w:vAlign w:val="center"/>
          </w:tcPr>
          <w:p w14:paraId="09840DFD">
            <w:pPr>
              <w:snapToGrid w:val="0"/>
              <w:jc w:val="center"/>
              <w:rPr>
                <w:rFonts w:ascii="宋体" w:hAnsi="宋体"/>
                <w:color w:val="auto"/>
                <w:szCs w:val="21"/>
                <w:highlight w:val="none"/>
              </w:rPr>
            </w:pPr>
            <w:r>
              <w:rPr>
                <w:rFonts w:ascii="宋体" w:hAnsi="宋体"/>
                <w:color w:val="auto"/>
                <w:szCs w:val="21"/>
                <w:highlight w:val="none"/>
              </w:rPr>
              <w:t>资金落实情况</w:t>
            </w:r>
          </w:p>
        </w:tc>
        <w:tc>
          <w:tcPr>
            <w:tcW w:w="6863" w:type="dxa"/>
            <w:vAlign w:val="center"/>
          </w:tcPr>
          <w:p w14:paraId="5DD263E3">
            <w:pPr>
              <w:snapToGrid w:val="0"/>
              <w:rPr>
                <w:rFonts w:ascii="宋体" w:hAnsi="宋体" w:cs="宋体"/>
                <w:color w:val="auto"/>
                <w:szCs w:val="21"/>
                <w:highlight w:val="none"/>
              </w:rPr>
            </w:pPr>
            <w:r>
              <w:rPr>
                <w:rFonts w:hint="eastAsia" w:ascii="宋体" w:hAnsi="宋体" w:cs="宋体"/>
                <w:color w:val="auto"/>
                <w:szCs w:val="21"/>
                <w:highlight w:val="none"/>
              </w:rPr>
              <w:t>已落实</w:t>
            </w:r>
          </w:p>
        </w:tc>
      </w:tr>
      <w:tr w14:paraId="7614C0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5FF4B6BE">
            <w:pPr>
              <w:snapToGrid w:val="0"/>
              <w:jc w:val="center"/>
              <w:rPr>
                <w:rFonts w:ascii="宋体" w:hAnsi="宋体"/>
                <w:color w:val="auto"/>
                <w:szCs w:val="21"/>
                <w:highlight w:val="none"/>
              </w:rPr>
            </w:pPr>
            <w:r>
              <w:rPr>
                <w:rFonts w:ascii="宋体" w:hAnsi="宋体"/>
                <w:color w:val="auto"/>
                <w:szCs w:val="21"/>
                <w:highlight w:val="none"/>
              </w:rPr>
              <w:t>1.3.1</w:t>
            </w:r>
          </w:p>
        </w:tc>
        <w:tc>
          <w:tcPr>
            <w:tcW w:w="1650" w:type="dxa"/>
            <w:vAlign w:val="center"/>
          </w:tcPr>
          <w:p w14:paraId="188D5D0E">
            <w:pPr>
              <w:snapToGrid w:val="0"/>
              <w:jc w:val="center"/>
              <w:rPr>
                <w:rFonts w:ascii="宋体" w:hAnsi="宋体"/>
                <w:color w:val="auto"/>
                <w:szCs w:val="21"/>
                <w:highlight w:val="none"/>
              </w:rPr>
            </w:pPr>
            <w:r>
              <w:rPr>
                <w:rFonts w:ascii="宋体" w:hAnsi="宋体"/>
                <w:color w:val="auto"/>
                <w:szCs w:val="21"/>
                <w:highlight w:val="none"/>
              </w:rPr>
              <w:t>招标范围</w:t>
            </w:r>
          </w:p>
        </w:tc>
        <w:tc>
          <w:tcPr>
            <w:tcW w:w="6863" w:type="dxa"/>
          </w:tcPr>
          <w:p w14:paraId="7D642A22">
            <w:pPr>
              <w:snapToGrid w:val="0"/>
              <w:ind w:right="106"/>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详见招标公告。</w:t>
            </w:r>
          </w:p>
        </w:tc>
      </w:tr>
      <w:tr w14:paraId="784437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3266DBE4">
            <w:pPr>
              <w:snapToGrid w:val="0"/>
              <w:jc w:val="center"/>
              <w:rPr>
                <w:rFonts w:ascii="宋体" w:hAnsi="宋体"/>
                <w:color w:val="auto"/>
                <w:szCs w:val="21"/>
                <w:highlight w:val="none"/>
              </w:rPr>
            </w:pPr>
            <w:r>
              <w:rPr>
                <w:rFonts w:ascii="宋体" w:hAnsi="宋体"/>
                <w:color w:val="auto"/>
                <w:szCs w:val="21"/>
                <w:highlight w:val="none"/>
              </w:rPr>
              <w:t>1.3.2</w:t>
            </w:r>
          </w:p>
        </w:tc>
        <w:tc>
          <w:tcPr>
            <w:tcW w:w="1650" w:type="dxa"/>
            <w:vAlign w:val="center"/>
          </w:tcPr>
          <w:p w14:paraId="3D5ABD5F">
            <w:pPr>
              <w:snapToGrid w:val="0"/>
              <w:jc w:val="center"/>
              <w:rPr>
                <w:rFonts w:ascii="宋体" w:hAnsi="宋体"/>
                <w:color w:val="auto"/>
                <w:szCs w:val="21"/>
                <w:highlight w:val="none"/>
              </w:rPr>
            </w:pPr>
            <w:r>
              <w:rPr>
                <w:rFonts w:ascii="宋体" w:hAnsi="宋体"/>
                <w:color w:val="auto"/>
                <w:szCs w:val="21"/>
                <w:highlight w:val="none"/>
              </w:rPr>
              <w:t>服务期限</w:t>
            </w:r>
          </w:p>
        </w:tc>
        <w:tc>
          <w:tcPr>
            <w:tcW w:w="6863" w:type="dxa"/>
          </w:tcPr>
          <w:p w14:paraId="472FAAC1">
            <w:pPr>
              <w:snapToGrid w:val="0"/>
              <w:ind w:right="106"/>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详见招标公告。</w:t>
            </w:r>
          </w:p>
        </w:tc>
      </w:tr>
      <w:tr w14:paraId="171E79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178" w:type="dxa"/>
            <w:vAlign w:val="center"/>
          </w:tcPr>
          <w:p w14:paraId="71B4794B">
            <w:pPr>
              <w:snapToGrid w:val="0"/>
              <w:jc w:val="center"/>
              <w:rPr>
                <w:rFonts w:ascii="宋体" w:hAnsi="宋体"/>
                <w:color w:val="auto"/>
                <w:szCs w:val="21"/>
                <w:highlight w:val="none"/>
              </w:rPr>
            </w:pPr>
            <w:r>
              <w:rPr>
                <w:rFonts w:ascii="宋体" w:hAnsi="宋体"/>
                <w:color w:val="auto"/>
                <w:szCs w:val="21"/>
                <w:highlight w:val="none"/>
              </w:rPr>
              <w:t>1.3.3</w:t>
            </w:r>
          </w:p>
        </w:tc>
        <w:tc>
          <w:tcPr>
            <w:tcW w:w="1650" w:type="dxa"/>
            <w:vAlign w:val="center"/>
          </w:tcPr>
          <w:p w14:paraId="7C4F0836">
            <w:pPr>
              <w:snapToGrid w:val="0"/>
              <w:jc w:val="center"/>
              <w:rPr>
                <w:rFonts w:ascii="宋体" w:hAnsi="宋体"/>
                <w:color w:val="auto"/>
                <w:szCs w:val="21"/>
                <w:highlight w:val="none"/>
              </w:rPr>
            </w:pPr>
            <w:r>
              <w:rPr>
                <w:rFonts w:ascii="宋体" w:hAnsi="宋体"/>
                <w:color w:val="auto"/>
                <w:szCs w:val="21"/>
                <w:highlight w:val="none"/>
              </w:rPr>
              <w:t>质量标准</w:t>
            </w:r>
          </w:p>
        </w:tc>
        <w:tc>
          <w:tcPr>
            <w:tcW w:w="6863" w:type="dxa"/>
            <w:vAlign w:val="center"/>
          </w:tcPr>
          <w:p w14:paraId="366975C2">
            <w:pPr>
              <w:rPr>
                <w:rFonts w:ascii="宋体" w:hAnsi="宋体" w:cs="宋体"/>
                <w:color w:val="auto"/>
                <w:szCs w:val="21"/>
                <w:highlight w:val="none"/>
              </w:rPr>
            </w:pPr>
            <w:r>
              <w:rPr>
                <w:rFonts w:hint="eastAsia" w:ascii="宋体" w:hAnsi="宋体"/>
                <w:color w:val="auto"/>
                <w:szCs w:val="21"/>
                <w:highlight w:val="none"/>
                <w:u w:val="single"/>
              </w:rPr>
              <w:t>在合同时间内通过生态环境主管部门组织的专家评审会，通过生态环境主管部门审核审查，移出省污染土壤名录。</w:t>
            </w:r>
          </w:p>
        </w:tc>
      </w:tr>
      <w:tr w14:paraId="62F492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00D5BE59">
            <w:pPr>
              <w:snapToGrid w:val="0"/>
              <w:jc w:val="center"/>
              <w:rPr>
                <w:rFonts w:ascii="宋体" w:hAnsi="宋体"/>
                <w:color w:val="auto"/>
                <w:szCs w:val="21"/>
                <w:highlight w:val="none"/>
              </w:rPr>
            </w:pPr>
            <w:r>
              <w:rPr>
                <w:rFonts w:ascii="宋体" w:hAnsi="宋体"/>
                <w:color w:val="auto"/>
                <w:szCs w:val="21"/>
                <w:highlight w:val="none"/>
              </w:rPr>
              <w:t>1.4.1</w:t>
            </w:r>
          </w:p>
        </w:tc>
        <w:tc>
          <w:tcPr>
            <w:tcW w:w="1650" w:type="dxa"/>
            <w:vAlign w:val="center"/>
          </w:tcPr>
          <w:p w14:paraId="32A57333">
            <w:pPr>
              <w:snapToGrid w:val="0"/>
              <w:jc w:val="center"/>
              <w:rPr>
                <w:rFonts w:ascii="宋体" w:hAnsi="宋体"/>
                <w:color w:val="auto"/>
                <w:szCs w:val="21"/>
                <w:highlight w:val="none"/>
              </w:rPr>
            </w:pPr>
            <w:r>
              <w:rPr>
                <w:rFonts w:ascii="宋体" w:hAnsi="宋体"/>
                <w:color w:val="auto"/>
                <w:szCs w:val="21"/>
                <w:highlight w:val="none"/>
              </w:rPr>
              <w:t>投标人资质条件、能力、信誉</w:t>
            </w:r>
          </w:p>
        </w:tc>
        <w:tc>
          <w:tcPr>
            <w:tcW w:w="6863" w:type="dxa"/>
            <w:vAlign w:val="center"/>
          </w:tcPr>
          <w:p w14:paraId="55BF65D2">
            <w:pPr>
              <w:snapToGrid w:val="0"/>
              <w:rPr>
                <w:rFonts w:ascii="宋体" w:hAnsi="宋体"/>
                <w:color w:val="auto"/>
                <w:szCs w:val="21"/>
                <w:highlight w:val="none"/>
              </w:rPr>
            </w:pPr>
            <w:r>
              <w:rPr>
                <w:rFonts w:hint="eastAsia" w:ascii="宋体" w:hAnsi="宋体" w:cs="宋体"/>
                <w:color w:val="auto"/>
                <w:szCs w:val="21"/>
                <w:highlight w:val="none"/>
              </w:rPr>
              <w:t>详见招标公告第3点要求</w:t>
            </w:r>
          </w:p>
        </w:tc>
      </w:tr>
      <w:tr w14:paraId="383B99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26B071BB">
            <w:pPr>
              <w:snapToGrid w:val="0"/>
              <w:jc w:val="center"/>
              <w:rPr>
                <w:rFonts w:ascii="宋体" w:hAnsi="宋体"/>
                <w:color w:val="auto"/>
                <w:szCs w:val="21"/>
                <w:highlight w:val="none"/>
              </w:rPr>
            </w:pPr>
            <w:r>
              <w:rPr>
                <w:rFonts w:ascii="宋体" w:hAnsi="宋体"/>
                <w:color w:val="auto"/>
                <w:szCs w:val="21"/>
                <w:highlight w:val="none"/>
              </w:rPr>
              <w:t>1.4.2</w:t>
            </w:r>
          </w:p>
        </w:tc>
        <w:tc>
          <w:tcPr>
            <w:tcW w:w="1650" w:type="dxa"/>
            <w:vAlign w:val="center"/>
          </w:tcPr>
          <w:p w14:paraId="0467E74D">
            <w:pPr>
              <w:snapToGrid w:val="0"/>
              <w:jc w:val="center"/>
              <w:rPr>
                <w:rFonts w:ascii="宋体" w:hAnsi="宋体"/>
                <w:color w:val="auto"/>
                <w:szCs w:val="21"/>
                <w:highlight w:val="none"/>
              </w:rPr>
            </w:pPr>
            <w:r>
              <w:rPr>
                <w:rFonts w:ascii="宋体" w:hAnsi="宋体"/>
                <w:color w:val="auto"/>
                <w:szCs w:val="21"/>
                <w:highlight w:val="none"/>
              </w:rPr>
              <w:t>是否接受联合体投标</w:t>
            </w:r>
          </w:p>
        </w:tc>
        <w:tc>
          <w:tcPr>
            <w:tcW w:w="6863" w:type="dxa"/>
            <w:vAlign w:val="center"/>
          </w:tcPr>
          <w:p w14:paraId="094393AD">
            <w:pPr>
              <w:spacing w:line="280" w:lineRule="exact"/>
              <w:rPr>
                <w:rFonts w:ascii="宋体" w:hAnsi="宋体"/>
                <w:color w:val="auto"/>
                <w:szCs w:val="21"/>
                <w:highlight w:val="none"/>
              </w:rPr>
            </w:pPr>
            <w:r>
              <w:rPr>
                <w:rFonts w:hAnsi="宋体"/>
                <w:color w:val="auto"/>
                <w:sz w:val="21"/>
                <w:szCs w:val="21"/>
                <w:highlight w:val="none"/>
              </w:rPr>
              <w:sym w:font="Wingdings 2" w:char="00A3"/>
            </w:r>
            <w:r>
              <w:rPr>
                <w:rFonts w:hint="eastAsia" w:ascii="宋体" w:hAnsi="宋体"/>
                <w:color w:val="auto"/>
                <w:szCs w:val="21"/>
                <w:highlight w:val="none"/>
              </w:rPr>
              <w:t>不接受</w:t>
            </w:r>
            <w:r>
              <w:rPr>
                <w:rFonts w:ascii="宋体" w:hAnsi="宋体"/>
                <w:color w:val="auto"/>
                <w:szCs w:val="21"/>
                <w:highlight w:val="none"/>
              </w:rPr>
              <w:t xml:space="preserve"> </w:t>
            </w:r>
          </w:p>
          <w:p w14:paraId="1F850901">
            <w:pPr>
              <w:spacing w:line="280" w:lineRule="exact"/>
              <w:rPr>
                <w:rFonts w:ascii="宋体" w:hAnsi="宋体"/>
                <w:color w:val="auto"/>
                <w:szCs w:val="21"/>
                <w:highlight w:val="none"/>
              </w:rPr>
            </w:pPr>
            <w:r>
              <w:rPr>
                <w:rFonts w:hint="eastAsia"/>
                <w:color w:val="auto"/>
                <w:szCs w:val="21"/>
                <w:highlight w:val="none"/>
              </w:rPr>
              <w:t>■</w:t>
            </w:r>
            <w:r>
              <w:rPr>
                <w:rFonts w:hint="eastAsia" w:ascii="宋体" w:hAnsi="宋体"/>
                <w:color w:val="auto"/>
                <w:szCs w:val="21"/>
                <w:highlight w:val="none"/>
              </w:rPr>
              <w:t>接受，应满足下列要求：</w:t>
            </w:r>
            <w:r>
              <w:rPr>
                <w:rFonts w:hint="eastAsia" w:ascii="宋体" w:hAnsi="宋体"/>
                <w:color w:val="auto"/>
                <w:szCs w:val="21"/>
                <w:highlight w:val="none"/>
                <w:u w:val="single"/>
              </w:rPr>
              <w:t xml:space="preserve"> /。</w:t>
            </w:r>
          </w:p>
        </w:tc>
      </w:tr>
      <w:tr w14:paraId="74AD1D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472E188D">
            <w:pPr>
              <w:snapToGrid w:val="0"/>
              <w:jc w:val="center"/>
              <w:rPr>
                <w:rFonts w:ascii="宋体" w:hAnsi="宋体"/>
                <w:color w:val="auto"/>
                <w:szCs w:val="21"/>
                <w:highlight w:val="none"/>
              </w:rPr>
            </w:pPr>
            <w:r>
              <w:rPr>
                <w:rFonts w:ascii="宋体" w:hAnsi="宋体"/>
                <w:color w:val="auto"/>
                <w:szCs w:val="21"/>
                <w:highlight w:val="none"/>
              </w:rPr>
              <w:t>1.4.3</w:t>
            </w:r>
          </w:p>
        </w:tc>
        <w:tc>
          <w:tcPr>
            <w:tcW w:w="1650" w:type="dxa"/>
            <w:vAlign w:val="center"/>
          </w:tcPr>
          <w:p w14:paraId="2A5BEDD1">
            <w:pPr>
              <w:snapToGrid w:val="0"/>
              <w:jc w:val="center"/>
              <w:rPr>
                <w:rFonts w:ascii="宋体" w:hAnsi="宋体"/>
                <w:color w:val="auto"/>
                <w:szCs w:val="21"/>
                <w:highlight w:val="none"/>
              </w:rPr>
            </w:pPr>
            <w:r>
              <w:rPr>
                <w:rFonts w:ascii="宋体" w:hAnsi="宋体"/>
                <w:color w:val="auto"/>
                <w:szCs w:val="21"/>
                <w:highlight w:val="none"/>
              </w:rPr>
              <w:t>投标人不得存在的</w:t>
            </w:r>
            <w:r>
              <w:rPr>
                <w:rFonts w:hint="eastAsia" w:ascii="宋体" w:hAnsi="宋体"/>
                <w:color w:val="auto"/>
                <w:szCs w:val="21"/>
                <w:highlight w:val="none"/>
              </w:rPr>
              <w:t>其他</w:t>
            </w:r>
            <w:r>
              <w:rPr>
                <w:rFonts w:ascii="宋体" w:hAnsi="宋体"/>
                <w:color w:val="auto"/>
                <w:szCs w:val="21"/>
                <w:highlight w:val="none"/>
              </w:rPr>
              <w:t>情形</w:t>
            </w:r>
          </w:p>
        </w:tc>
        <w:tc>
          <w:tcPr>
            <w:tcW w:w="6863" w:type="dxa"/>
            <w:vAlign w:val="center"/>
          </w:tcPr>
          <w:p w14:paraId="7EE2CB21">
            <w:pPr>
              <w:topLinePunct/>
              <w:snapToGrid w:val="0"/>
              <w:rPr>
                <w:rFonts w:ascii="宋体" w:hAnsi="宋体"/>
                <w:color w:val="auto"/>
                <w:szCs w:val="21"/>
                <w:highlight w:val="none"/>
              </w:rPr>
            </w:pPr>
            <w:r>
              <w:rPr>
                <w:rFonts w:hint="eastAsia" w:ascii="宋体" w:hAnsi="宋体"/>
                <w:color w:val="auto"/>
                <w:szCs w:val="21"/>
                <w:highlight w:val="none"/>
                <w:u w:val="single"/>
              </w:rPr>
              <w:t xml:space="preserve"> / </w:t>
            </w:r>
          </w:p>
        </w:tc>
      </w:tr>
      <w:tr w14:paraId="5A0556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139F046D">
            <w:pPr>
              <w:snapToGrid w:val="0"/>
              <w:jc w:val="center"/>
              <w:rPr>
                <w:rFonts w:ascii="宋体" w:hAnsi="宋体"/>
                <w:color w:val="auto"/>
                <w:szCs w:val="21"/>
                <w:highlight w:val="none"/>
              </w:rPr>
            </w:pPr>
            <w:r>
              <w:rPr>
                <w:rFonts w:ascii="宋体" w:hAnsi="宋体"/>
                <w:color w:val="auto"/>
                <w:szCs w:val="21"/>
                <w:highlight w:val="none"/>
              </w:rPr>
              <w:t>1.9.1</w:t>
            </w:r>
          </w:p>
        </w:tc>
        <w:tc>
          <w:tcPr>
            <w:tcW w:w="1650" w:type="dxa"/>
            <w:vAlign w:val="center"/>
          </w:tcPr>
          <w:p w14:paraId="0707988B">
            <w:pPr>
              <w:snapToGrid w:val="0"/>
              <w:jc w:val="center"/>
              <w:rPr>
                <w:rFonts w:ascii="宋体" w:hAnsi="宋体"/>
                <w:color w:val="auto"/>
                <w:szCs w:val="21"/>
                <w:highlight w:val="none"/>
              </w:rPr>
            </w:pPr>
            <w:r>
              <w:rPr>
                <w:rFonts w:ascii="宋体" w:hAnsi="宋体"/>
                <w:color w:val="auto"/>
                <w:szCs w:val="21"/>
                <w:highlight w:val="none"/>
              </w:rPr>
              <w:t>踏勘现场</w:t>
            </w:r>
          </w:p>
        </w:tc>
        <w:tc>
          <w:tcPr>
            <w:tcW w:w="6863" w:type="dxa"/>
            <w:vAlign w:val="center"/>
          </w:tcPr>
          <w:p w14:paraId="140249D7">
            <w:pPr>
              <w:pStyle w:val="8"/>
              <w:topLinePunct/>
              <w:snapToGrid w:val="0"/>
              <w:rPr>
                <w:rFonts w:hAnsi="宋体"/>
                <w:color w:val="auto"/>
                <w:sz w:val="21"/>
                <w:szCs w:val="21"/>
                <w:highlight w:val="none"/>
              </w:rPr>
            </w:pPr>
            <w:r>
              <w:rPr>
                <w:rFonts w:hint="eastAsia"/>
                <w:color w:val="auto"/>
                <w:sz w:val="21"/>
                <w:szCs w:val="21"/>
                <w:highlight w:val="none"/>
              </w:rPr>
              <w:t>■</w:t>
            </w:r>
            <w:r>
              <w:rPr>
                <w:rFonts w:hAnsi="宋体"/>
                <w:color w:val="auto"/>
                <w:sz w:val="21"/>
                <w:szCs w:val="21"/>
                <w:highlight w:val="none"/>
              </w:rPr>
              <w:t>不组织</w:t>
            </w:r>
          </w:p>
          <w:p w14:paraId="1E336DD6">
            <w:pPr>
              <w:pStyle w:val="8"/>
              <w:topLinePunct/>
              <w:snapToGrid w:val="0"/>
              <w:rPr>
                <w:rFonts w:hAnsi="宋体"/>
                <w:color w:val="auto"/>
                <w:sz w:val="21"/>
                <w:szCs w:val="21"/>
                <w:highlight w:val="none"/>
              </w:rPr>
            </w:pPr>
            <w:r>
              <w:rPr>
                <w:rFonts w:hAnsi="宋体"/>
                <w:color w:val="auto"/>
                <w:sz w:val="21"/>
                <w:szCs w:val="21"/>
                <w:highlight w:val="none"/>
              </w:rPr>
              <w:sym w:font="Wingdings 2" w:char="00A3"/>
            </w:r>
            <w:r>
              <w:rPr>
                <w:rFonts w:hAnsi="宋体"/>
                <w:color w:val="auto"/>
                <w:sz w:val="21"/>
                <w:szCs w:val="21"/>
                <w:highlight w:val="none"/>
              </w:rPr>
              <w:t>组织，踏勘时间：</w:t>
            </w:r>
            <w:r>
              <w:rPr>
                <w:rFonts w:hint="eastAsia" w:hAnsi="宋体"/>
                <w:color w:val="auto"/>
                <w:sz w:val="21"/>
                <w:szCs w:val="21"/>
                <w:highlight w:val="none"/>
                <w:u w:val="single"/>
              </w:rPr>
              <w:t xml:space="preserve"> / </w:t>
            </w:r>
          </w:p>
          <w:p w14:paraId="47F073CA">
            <w:pPr>
              <w:pStyle w:val="8"/>
              <w:topLinePunct/>
              <w:snapToGrid w:val="0"/>
              <w:ind w:firstLine="840" w:firstLineChars="400"/>
              <w:rPr>
                <w:rFonts w:hAnsi="宋体"/>
                <w:color w:val="auto"/>
                <w:sz w:val="21"/>
                <w:szCs w:val="21"/>
                <w:highlight w:val="none"/>
              </w:rPr>
            </w:pPr>
            <w:r>
              <w:rPr>
                <w:rFonts w:hAnsi="宋体"/>
                <w:color w:val="auto"/>
                <w:sz w:val="21"/>
                <w:szCs w:val="21"/>
                <w:highlight w:val="none"/>
              </w:rPr>
              <w:t>踏勘集中地点：</w:t>
            </w:r>
            <w:r>
              <w:rPr>
                <w:rFonts w:hint="eastAsia" w:hAnsi="宋体"/>
                <w:color w:val="auto"/>
                <w:sz w:val="21"/>
                <w:szCs w:val="21"/>
                <w:highlight w:val="none"/>
                <w:u w:val="single"/>
              </w:rPr>
              <w:t xml:space="preserve"> / </w:t>
            </w:r>
          </w:p>
        </w:tc>
      </w:tr>
      <w:tr w14:paraId="7FDF08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71DC8F61">
            <w:pPr>
              <w:snapToGrid w:val="0"/>
              <w:jc w:val="center"/>
              <w:rPr>
                <w:rFonts w:ascii="宋体" w:hAnsi="宋体"/>
                <w:color w:val="auto"/>
                <w:szCs w:val="21"/>
                <w:highlight w:val="none"/>
              </w:rPr>
            </w:pPr>
            <w:r>
              <w:rPr>
                <w:rFonts w:ascii="宋体" w:hAnsi="宋体"/>
                <w:color w:val="auto"/>
                <w:szCs w:val="21"/>
                <w:highlight w:val="none"/>
              </w:rPr>
              <w:t>1.10.1</w:t>
            </w:r>
          </w:p>
        </w:tc>
        <w:tc>
          <w:tcPr>
            <w:tcW w:w="1650" w:type="dxa"/>
            <w:vAlign w:val="center"/>
          </w:tcPr>
          <w:p w14:paraId="15F8244B">
            <w:pPr>
              <w:snapToGrid w:val="0"/>
              <w:jc w:val="center"/>
              <w:rPr>
                <w:rFonts w:ascii="宋体" w:hAnsi="宋体"/>
                <w:color w:val="auto"/>
                <w:szCs w:val="21"/>
                <w:highlight w:val="none"/>
              </w:rPr>
            </w:pPr>
            <w:r>
              <w:rPr>
                <w:rFonts w:ascii="宋体" w:hAnsi="宋体"/>
                <w:color w:val="auto"/>
                <w:szCs w:val="21"/>
                <w:highlight w:val="none"/>
              </w:rPr>
              <w:t>投标预备会</w:t>
            </w:r>
          </w:p>
        </w:tc>
        <w:tc>
          <w:tcPr>
            <w:tcW w:w="6863" w:type="dxa"/>
            <w:vAlign w:val="center"/>
          </w:tcPr>
          <w:p w14:paraId="271DBE27">
            <w:pPr>
              <w:pStyle w:val="8"/>
              <w:topLinePunct/>
              <w:snapToGrid w:val="0"/>
              <w:rPr>
                <w:rFonts w:hAnsi="宋体"/>
                <w:color w:val="auto"/>
                <w:sz w:val="21"/>
                <w:szCs w:val="21"/>
                <w:highlight w:val="none"/>
              </w:rPr>
            </w:pPr>
            <w:r>
              <w:rPr>
                <w:rFonts w:hint="eastAsia"/>
                <w:color w:val="auto"/>
                <w:sz w:val="21"/>
                <w:szCs w:val="21"/>
                <w:highlight w:val="none"/>
              </w:rPr>
              <w:t>■</w:t>
            </w:r>
            <w:r>
              <w:rPr>
                <w:rFonts w:hAnsi="宋体"/>
                <w:color w:val="auto"/>
                <w:sz w:val="21"/>
                <w:szCs w:val="21"/>
                <w:highlight w:val="none"/>
              </w:rPr>
              <w:t>不召开</w:t>
            </w:r>
          </w:p>
          <w:p w14:paraId="230FADC8">
            <w:pPr>
              <w:snapToGrid w:val="0"/>
              <w:rPr>
                <w:rFonts w:ascii="宋体" w:hAnsi="宋体"/>
                <w:color w:val="auto"/>
                <w:szCs w:val="21"/>
                <w:highlight w:val="none"/>
              </w:rPr>
            </w:pPr>
            <w:r>
              <w:rPr>
                <w:rFonts w:ascii="宋体" w:hAnsi="宋体"/>
                <w:color w:val="auto"/>
                <w:szCs w:val="21"/>
                <w:highlight w:val="none"/>
              </w:rPr>
              <w:sym w:font="Wingdings 2" w:char="00A3"/>
            </w:r>
            <w:r>
              <w:rPr>
                <w:rFonts w:ascii="宋体" w:hAnsi="宋体"/>
                <w:color w:val="auto"/>
                <w:szCs w:val="21"/>
                <w:highlight w:val="none"/>
              </w:rPr>
              <w:t>召开，召开时间：</w:t>
            </w:r>
            <w:r>
              <w:rPr>
                <w:rFonts w:hint="eastAsia" w:ascii="宋体" w:hAnsi="宋体"/>
                <w:color w:val="auto"/>
                <w:szCs w:val="21"/>
                <w:highlight w:val="none"/>
                <w:u w:val="single"/>
              </w:rPr>
              <w:t xml:space="preserve"> / </w:t>
            </w:r>
          </w:p>
          <w:p w14:paraId="2F178E3B">
            <w:pPr>
              <w:snapToGrid w:val="0"/>
              <w:ind w:firstLine="840" w:firstLineChars="400"/>
              <w:rPr>
                <w:rFonts w:ascii="宋体" w:hAnsi="宋体"/>
                <w:color w:val="auto"/>
                <w:szCs w:val="21"/>
                <w:highlight w:val="none"/>
              </w:rPr>
            </w:pPr>
            <w:r>
              <w:rPr>
                <w:rFonts w:ascii="宋体" w:hAnsi="宋体"/>
                <w:color w:val="auto"/>
                <w:szCs w:val="21"/>
                <w:highlight w:val="none"/>
              </w:rPr>
              <w:t>召开地点：</w:t>
            </w:r>
            <w:r>
              <w:rPr>
                <w:rFonts w:hint="eastAsia" w:ascii="宋体" w:hAnsi="宋体"/>
                <w:color w:val="auto"/>
                <w:szCs w:val="21"/>
                <w:highlight w:val="none"/>
                <w:u w:val="single"/>
              </w:rPr>
              <w:t xml:space="preserve"> / </w:t>
            </w:r>
          </w:p>
        </w:tc>
      </w:tr>
      <w:tr w14:paraId="1A34D5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Merge w:val="restart"/>
            <w:vAlign w:val="center"/>
          </w:tcPr>
          <w:p w14:paraId="4DA01AF8">
            <w:pPr>
              <w:snapToGrid w:val="0"/>
              <w:jc w:val="center"/>
              <w:rPr>
                <w:rFonts w:ascii="宋体" w:hAnsi="宋体"/>
                <w:color w:val="auto"/>
                <w:szCs w:val="21"/>
                <w:highlight w:val="none"/>
              </w:rPr>
            </w:pPr>
            <w:r>
              <w:rPr>
                <w:rFonts w:ascii="宋体" w:hAnsi="宋体"/>
                <w:color w:val="auto"/>
                <w:szCs w:val="21"/>
                <w:highlight w:val="none"/>
              </w:rPr>
              <w:t>1.10.2</w:t>
            </w:r>
          </w:p>
        </w:tc>
        <w:tc>
          <w:tcPr>
            <w:tcW w:w="1650" w:type="dxa"/>
            <w:vMerge w:val="restart"/>
            <w:vAlign w:val="center"/>
          </w:tcPr>
          <w:p w14:paraId="764E8F31">
            <w:pPr>
              <w:snapToGrid w:val="0"/>
              <w:jc w:val="center"/>
              <w:rPr>
                <w:rFonts w:ascii="宋体" w:hAnsi="宋体"/>
                <w:color w:val="auto"/>
                <w:szCs w:val="21"/>
                <w:highlight w:val="none"/>
              </w:rPr>
            </w:pPr>
            <w:r>
              <w:rPr>
                <w:rFonts w:ascii="宋体" w:hAnsi="宋体"/>
                <w:color w:val="auto"/>
                <w:szCs w:val="21"/>
                <w:highlight w:val="none"/>
              </w:rPr>
              <w:t>投标人在投标预备会前提出问题</w:t>
            </w:r>
          </w:p>
        </w:tc>
        <w:tc>
          <w:tcPr>
            <w:tcW w:w="6863" w:type="dxa"/>
            <w:vAlign w:val="center"/>
          </w:tcPr>
          <w:p w14:paraId="6E424227">
            <w:pPr>
              <w:snapToGrid w:val="0"/>
              <w:rPr>
                <w:rFonts w:ascii="宋体" w:hAnsi="宋体"/>
                <w:color w:val="auto"/>
                <w:szCs w:val="21"/>
                <w:highlight w:val="none"/>
              </w:rPr>
            </w:pPr>
            <w:r>
              <w:rPr>
                <w:rFonts w:ascii="宋体" w:hAnsi="宋体"/>
                <w:color w:val="auto"/>
                <w:szCs w:val="21"/>
                <w:highlight w:val="none"/>
              </w:rPr>
              <w:t>时间：</w:t>
            </w:r>
            <w:r>
              <w:rPr>
                <w:rFonts w:hint="eastAsia" w:ascii="宋体" w:hAnsi="宋体"/>
                <w:color w:val="auto"/>
                <w:szCs w:val="21"/>
                <w:highlight w:val="none"/>
                <w:u w:val="single"/>
              </w:rPr>
              <w:t xml:space="preserve"> / </w:t>
            </w:r>
          </w:p>
        </w:tc>
      </w:tr>
      <w:tr w14:paraId="120B89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Merge w:val="continue"/>
            <w:vAlign w:val="center"/>
          </w:tcPr>
          <w:p w14:paraId="3377057B">
            <w:pPr>
              <w:snapToGrid w:val="0"/>
              <w:jc w:val="center"/>
              <w:rPr>
                <w:rFonts w:ascii="宋体" w:hAnsi="宋体"/>
                <w:color w:val="auto"/>
                <w:szCs w:val="21"/>
                <w:highlight w:val="none"/>
              </w:rPr>
            </w:pPr>
          </w:p>
        </w:tc>
        <w:tc>
          <w:tcPr>
            <w:tcW w:w="1650" w:type="dxa"/>
            <w:vMerge w:val="continue"/>
            <w:vAlign w:val="center"/>
          </w:tcPr>
          <w:p w14:paraId="3CCAFCA3">
            <w:pPr>
              <w:snapToGrid w:val="0"/>
              <w:jc w:val="center"/>
              <w:rPr>
                <w:rFonts w:ascii="宋体" w:hAnsi="宋体"/>
                <w:color w:val="auto"/>
                <w:szCs w:val="21"/>
                <w:highlight w:val="none"/>
              </w:rPr>
            </w:pPr>
          </w:p>
        </w:tc>
        <w:tc>
          <w:tcPr>
            <w:tcW w:w="6863" w:type="dxa"/>
            <w:vAlign w:val="center"/>
          </w:tcPr>
          <w:p w14:paraId="64ACCFD7">
            <w:pPr>
              <w:snapToGrid w:val="0"/>
              <w:rPr>
                <w:rFonts w:ascii="宋体" w:hAnsi="宋体"/>
                <w:color w:val="auto"/>
                <w:szCs w:val="21"/>
                <w:highlight w:val="none"/>
              </w:rPr>
            </w:pPr>
            <w:r>
              <w:rPr>
                <w:rFonts w:ascii="宋体" w:hAnsi="宋体"/>
                <w:color w:val="auto"/>
                <w:szCs w:val="21"/>
                <w:highlight w:val="none"/>
              </w:rPr>
              <w:t>形式：</w:t>
            </w:r>
            <w:r>
              <w:rPr>
                <w:rFonts w:hint="eastAsia" w:ascii="宋体" w:hAnsi="宋体"/>
                <w:color w:val="auto"/>
                <w:szCs w:val="21"/>
                <w:highlight w:val="none"/>
                <w:u w:val="single"/>
              </w:rPr>
              <w:t xml:space="preserve"> / </w:t>
            </w:r>
          </w:p>
        </w:tc>
      </w:tr>
      <w:tr w14:paraId="606850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4FC6F0F3">
            <w:pPr>
              <w:snapToGrid w:val="0"/>
              <w:jc w:val="center"/>
              <w:rPr>
                <w:rFonts w:ascii="宋体" w:hAnsi="宋体"/>
                <w:color w:val="auto"/>
                <w:szCs w:val="21"/>
                <w:highlight w:val="none"/>
              </w:rPr>
            </w:pPr>
            <w:r>
              <w:rPr>
                <w:rFonts w:ascii="宋体" w:hAnsi="宋体"/>
                <w:color w:val="auto"/>
                <w:szCs w:val="21"/>
                <w:highlight w:val="none"/>
              </w:rPr>
              <w:t>1.10.3</w:t>
            </w:r>
          </w:p>
        </w:tc>
        <w:tc>
          <w:tcPr>
            <w:tcW w:w="1650" w:type="dxa"/>
            <w:vAlign w:val="center"/>
          </w:tcPr>
          <w:p w14:paraId="4117B5D6">
            <w:pPr>
              <w:snapToGrid w:val="0"/>
              <w:jc w:val="center"/>
              <w:rPr>
                <w:rFonts w:ascii="宋体" w:hAnsi="宋体"/>
                <w:color w:val="auto"/>
                <w:szCs w:val="21"/>
                <w:highlight w:val="none"/>
              </w:rPr>
            </w:pPr>
            <w:r>
              <w:rPr>
                <w:rFonts w:ascii="宋体" w:hAnsi="宋体"/>
                <w:color w:val="auto"/>
                <w:szCs w:val="21"/>
                <w:highlight w:val="none"/>
              </w:rPr>
              <w:t>招标文件澄清发出的形式</w:t>
            </w:r>
          </w:p>
        </w:tc>
        <w:tc>
          <w:tcPr>
            <w:tcW w:w="6863" w:type="dxa"/>
            <w:vAlign w:val="center"/>
          </w:tcPr>
          <w:p w14:paraId="44E34128">
            <w:pPr>
              <w:snapToGrid w:val="0"/>
              <w:rPr>
                <w:rFonts w:ascii="宋体" w:hAnsi="宋体"/>
                <w:color w:val="auto"/>
                <w:szCs w:val="21"/>
                <w:highlight w:val="none"/>
                <w:u w:val="single"/>
              </w:rPr>
            </w:pPr>
            <w:r>
              <w:rPr>
                <w:rFonts w:hint="eastAsia" w:ascii="宋体" w:hAnsi="宋体"/>
                <w:color w:val="auto"/>
                <w:szCs w:val="21"/>
                <w:highlight w:val="none"/>
                <w:u w:val="single"/>
              </w:rPr>
              <w:t>在</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网站“招标答疑”专区发布。</w:t>
            </w:r>
          </w:p>
        </w:tc>
      </w:tr>
      <w:tr w14:paraId="3BEE3E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45241640">
            <w:pPr>
              <w:snapToGrid w:val="0"/>
              <w:jc w:val="center"/>
              <w:rPr>
                <w:rFonts w:ascii="宋体" w:hAnsi="宋体"/>
                <w:color w:val="auto"/>
                <w:szCs w:val="21"/>
                <w:highlight w:val="none"/>
              </w:rPr>
            </w:pPr>
            <w:r>
              <w:rPr>
                <w:rFonts w:ascii="宋体" w:hAnsi="宋体"/>
                <w:color w:val="auto"/>
                <w:szCs w:val="21"/>
                <w:highlight w:val="none"/>
              </w:rPr>
              <w:t>1.12.1</w:t>
            </w:r>
          </w:p>
        </w:tc>
        <w:tc>
          <w:tcPr>
            <w:tcW w:w="1650" w:type="dxa"/>
            <w:vAlign w:val="center"/>
          </w:tcPr>
          <w:p w14:paraId="1F84A62B">
            <w:pPr>
              <w:snapToGrid w:val="0"/>
              <w:jc w:val="center"/>
              <w:rPr>
                <w:rFonts w:ascii="宋体" w:hAnsi="宋体"/>
                <w:color w:val="auto"/>
                <w:szCs w:val="21"/>
                <w:highlight w:val="none"/>
              </w:rPr>
            </w:pPr>
            <w:r>
              <w:rPr>
                <w:rFonts w:ascii="宋体" w:hAnsi="宋体"/>
                <w:color w:val="auto"/>
                <w:szCs w:val="21"/>
                <w:highlight w:val="none"/>
              </w:rPr>
              <w:t>实质性要求和条件</w:t>
            </w:r>
          </w:p>
        </w:tc>
        <w:tc>
          <w:tcPr>
            <w:tcW w:w="6863" w:type="dxa"/>
            <w:vAlign w:val="center"/>
          </w:tcPr>
          <w:p w14:paraId="6618F6F3">
            <w:pPr>
              <w:pStyle w:val="8"/>
              <w:topLinePunct/>
              <w:snapToGrid w:val="0"/>
              <w:rPr>
                <w:rFonts w:hAnsi="宋体"/>
                <w:color w:val="auto"/>
                <w:sz w:val="21"/>
                <w:szCs w:val="21"/>
                <w:highlight w:val="none"/>
              </w:rPr>
            </w:pPr>
            <w:r>
              <w:rPr>
                <w:rFonts w:hint="eastAsia" w:hAnsi="宋体"/>
                <w:color w:val="auto"/>
                <w:sz w:val="21"/>
                <w:szCs w:val="21"/>
                <w:highlight w:val="none"/>
                <w:u w:val="single"/>
              </w:rPr>
              <w:t>详见评标办法前附表中2.1.1、2.1.2、2.1.3的评审标准。</w:t>
            </w:r>
          </w:p>
        </w:tc>
      </w:tr>
      <w:tr w14:paraId="3F7D6F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42621849">
            <w:pPr>
              <w:snapToGrid w:val="0"/>
              <w:jc w:val="center"/>
              <w:rPr>
                <w:rFonts w:ascii="宋体" w:hAnsi="宋体"/>
                <w:color w:val="auto"/>
                <w:szCs w:val="21"/>
                <w:highlight w:val="none"/>
              </w:rPr>
            </w:pPr>
            <w:r>
              <w:rPr>
                <w:rFonts w:ascii="宋体" w:hAnsi="宋体"/>
                <w:color w:val="auto"/>
                <w:szCs w:val="21"/>
                <w:highlight w:val="none"/>
              </w:rPr>
              <w:t>1.12.3</w:t>
            </w:r>
          </w:p>
        </w:tc>
        <w:tc>
          <w:tcPr>
            <w:tcW w:w="1650" w:type="dxa"/>
            <w:vAlign w:val="center"/>
          </w:tcPr>
          <w:p w14:paraId="01B82DEA">
            <w:pPr>
              <w:snapToGrid w:val="0"/>
              <w:jc w:val="center"/>
              <w:rPr>
                <w:rFonts w:ascii="宋体" w:hAnsi="宋体"/>
                <w:color w:val="auto"/>
                <w:szCs w:val="21"/>
                <w:highlight w:val="none"/>
              </w:rPr>
            </w:pPr>
            <w:r>
              <w:rPr>
                <w:rFonts w:ascii="宋体" w:hAnsi="宋体"/>
                <w:color w:val="auto"/>
                <w:szCs w:val="21"/>
                <w:highlight w:val="none"/>
              </w:rPr>
              <w:t>偏差</w:t>
            </w:r>
          </w:p>
        </w:tc>
        <w:tc>
          <w:tcPr>
            <w:tcW w:w="6863" w:type="dxa"/>
          </w:tcPr>
          <w:p w14:paraId="1E1D9BCC">
            <w:pPr>
              <w:snapToGrid w:val="0"/>
              <w:rPr>
                <w:rFonts w:ascii="宋体" w:hAnsi="宋体"/>
                <w:color w:val="auto"/>
                <w:szCs w:val="21"/>
                <w:highlight w:val="none"/>
              </w:rPr>
            </w:pPr>
            <w:r>
              <w:rPr>
                <w:rFonts w:hint="eastAsia"/>
                <w:color w:val="auto"/>
                <w:szCs w:val="21"/>
                <w:highlight w:val="none"/>
              </w:rPr>
              <w:t>■</w:t>
            </w:r>
            <w:r>
              <w:rPr>
                <w:rFonts w:ascii="宋体" w:hAnsi="宋体"/>
                <w:color w:val="auto"/>
                <w:szCs w:val="21"/>
                <w:highlight w:val="none"/>
              </w:rPr>
              <w:t>不允许</w:t>
            </w:r>
          </w:p>
          <w:p w14:paraId="1FF173B8">
            <w:pPr>
              <w:snapToGrid w:val="0"/>
              <w:rPr>
                <w:rFonts w:ascii="宋体" w:hAnsi="宋体"/>
                <w:color w:val="auto"/>
                <w:szCs w:val="21"/>
                <w:highlight w:val="none"/>
              </w:rPr>
            </w:pPr>
            <w:r>
              <w:rPr>
                <w:rFonts w:ascii="宋体" w:hAnsi="宋体"/>
                <w:color w:val="auto"/>
                <w:szCs w:val="21"/>
                <w:highlight w:val="none"/>
              </w:rPr>
              <w:sym w:font="Wingdings 2" w:char="00A3"/>
            </w:r>
            <w:r>
              <w:rPr>
                <w:rFonts w:ascii="宋体" w:hAnsi="宋体"/>
                <w:color w:val="auto"/>
                <w:szCs w:val="21"/>
                <w:highlight w:val="none"/>
              </w:rPr>
              <w:t>允许，偏差范围：</w:t>
            </w:r>
            <w:r>
              <w:rPr>
                <w:rFonts w:hint="eastAsia" w:ascii="宋体" w:hAnsi="宋体"/>
                <w:color w:val="auto"/>
                <w:szCs w:val="21"/>
                <w:highlight w:val="none"/>
                <w:u w:val="single"/>
              </w:rPr>
              <w:t xml:space="preserve"> / </w:t>
            </w:r>
          </w:p>
          <w:p w14:paraId="41FDD49B">
            <w:pPr>
              <w:pStyle w:val="8"/>
              <w:topLinePunct/>
              <w:snapToGrid w:val="0"/>
              <w:ind w:firstLine="840" w:firstLineChars="400"/>
              <w:rPr>
                <w:rFonts w:hAnsi="宋体"/>
                <w:color w:val="auto"/>
                <w:sz w:val="21"/>
                <w:szCs w:val="21"/>
                <w:highlight w:val="none"/>
              </w:rPr>
            </w:pPr>
            <w:r>
              <w:rPr>
                <w:rFonts w:hAnsi="宋体"/>
                <w:color w:val="auto"/>
                <w:sz w:val="21"/>
                <w:szCs w:val="21"/>
                <w:highlight w:val="none"/>
              </w:rPr>
              <w:t>偏差幅度：</w:t>
            </w:r>
            <w:r>
              <w:rPr>
                <w:rFonts w:hint="eastAsia" w:hAnsi="宋体"/>
                <w:color w:val="auto"/>
                <w:sz w:val="21"/>
                <w:szCs w:val="21"/>
                <w:highlight w:val="none"/>
                <w:u w:val="single"/>
              </w:rPr>
              <w:t xml:space="preserve"> / </w:t>
            </w:r>
          </w:p>
        </w:tc>
      </w:tr>
      <w:tr w14:paraId="3AEF14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604EE4CD">
            <w:pPr>
              <w:snapToGrid w:val="0"/>
              <w:jc w:val="center"/>
              <w:rPr>
                <w:rFonts w:ascii="宋体" w:hAnsi="宋体"/>
                <w:color w:val="auto"/>
                <w:szCs w:val="21"/>
                <w:highlight w:val="none"/>
              </w:rPr>
            </w:pPr>
            <w:r>
              <w:rPr>
                <w:rFonts w:ascii="宋体" w:hAnsi="宋体"/>
                <w:color w:val="auto"/>
                <w:szCs w:val="21"/>
                <w:highlight w:val="none"/>
              </w:rPr>
              <w:t>2.1</w:t>
            </w:r>
          </w:p>
        </w:tc>
        <w:tc>
          <w:tcPr>
            <w:tcW w:w="1650" w:type="dxa"/>
            <w:vAlign w:val="center"/>
          </w:tcPr>
          <w:p w14:paraId="6DC69DDB">
            <w:pPr>
              <w:snapToGrid w:val="0"/>
              <w:jc w:val="center"/>
              <w:rPr>
                <w:rFonts w:ascii="宋体" w:hAnsi="宋体"/>
                <w:color w:val="auto"/>
                <w:szCs w:val="21"/>
                <w:highlight w:val="none"/>
              </w:rPr>
            </w:pPr>
            <w:r>
              <w:rPr>
                <w:rFonts w:ascii="宋体" w:hAnsi="宋体"/>
                <w:color w:val="auto"/>
                <w:szCs w:val="21"/>
                <w:highlight w:val="none"/>
              </w:rPr>
              <w:t>构成招标文件的其他资料</w:t>
            </w:r>
          </w:p>
        </w:tc>
        <w:tc>
          <w:tcPr>
            <w:tcW w:w="6863" w:type="dxa"/>
            <w:vAlign w:val="center"/>
          </w:tcPr>
          <w:p w14:paraId="455F23DE">
            <w:pPr>
              <w:snapToGrid w:val="0"/>
              <w:rPr>
                <w:rFonts w:ascii="宋体" w:hAnsi="宋体"/>
                <w:color w:val="auto"/>
                <w:szCs w:val="21"/>
                <w:highlight w:val="none"/>
              </w:rPr>
            </w:pPr>
            <w:r>
              <w:rPr>
                <w:rFonts w:hint="eastAsia" w:ascii="宋体" w:hAnsi="宋体"/>
                <w:color w:val="auto"/>
                <w:szCs w:val="21"/>
                <w:highlight w:val="none"/>
                <w:u w:val="single"/>
              </w:rPr>
              <w:t xml:space="preserve"> / </w:t>
            </w:r>
          </w:p>
        </w:tc>
      </w:tr>
      <w:tr w14:paraId="08C37E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4" w:hRule="atLeast"/>
        </w:trPr>
        <w:tc>
          <w:tcPr>
            <w:tcW w:w="1178" w:type="dxa"/>
            <w:vMerge w:val="restart"/>
            <w:vAlign w:val="center"/>
          </w:tcPr>
          <w:p w14:paraId="04E8EB89">
            <w:pPr>
              <w:snapToGrid w:val="0"/>
              <w:jc w:val="center"/>
              <w:rPr>
                <w:rFonts w:ascii="宋体" w:hAnsi="宋体"/>
                <w:color w:val="auto"/>
                <w:szCs w:val="21"/>
                <w:highlight w:val="none"/>
              </w:rPr>
            </w:pPr>
            <w:bookmarkStart w:id="11" w:name="_Hlk136173546"/>
            <w:r>
              <w:rPr>
                <w:rFonts w:ascii="宋体" w:hAnsi="宋体"/>
                <w:color w:val="auto"/>
                <w:szCs w:val="21"/>
                <w:highlight w:val="none"/>
              </w:rPr>
              <w:t>2.2.1</w:t>
            </w:r>
          </w:p>
        </w:tc>
        <w:tc>
          <w:tcPr>
            <w:tcW w:w="1650" w:type="dxa"/>
            <w:vMerge w:val="restart"/>
            <w:vAlign w:val="center"/>
          </w:tcPr>
          <w:p w14:paraId="2F46F6A8">
            <w:pPr>
              <w:snapToGrid w:val="0"/>
              <w:jc w:val="center"/>
              <w:rPr>
                <w:rFonts w:ascii="宋体" w:hAnsi="宋体"/>
                <w:color w:val="auto"/>
                <w:szCs w:val="21"/>
                <w:highlight w:val="none"/>
              </w:rPr>
            </w:pPr>
            <w:r>
              <w:rPr>
                <w:rFonts w:ascii="宋体" w:hAnsi="宋体"/>
                <w:color w:val="auto"/>
                <w:szCs w:val="21"/>
                <w:highlight w:val="none"/>
              </w:rPr>
              <w:t>投标人要求澄清招标文件</w:t>
            </w:r>
          </w:p>
        </w:tc>
        <w:tc>
          <w:tcPr>
            <w:tcW w:w="6863" w:type="dxa"/>
            <w:tcBorders>
              <w:bottom w:val="single" w:color="auto" w:sz="4" w:space="0"/>
            </w:tcBorders>
            <w:vAlign w:val="center"/>
          </w:tcPr>
          <w:p w14:paraId="4FF06EC7">
            <w:pPr>
              <w:adjustRightInd w:val="0"/>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时间：在提交投标文件截止时间18天前提出</w:t>
            </w:r>
          </w:p>
        </w:tc>
      </w:tr>
      <w:tr w14:paraId="278428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47" w:hRule="atLeast"/>
        </w:trPr>
        <w:tc>
          <w:tcPr>
            <w:tcW w:w="1178" w:type="dxa"/>
            <w:vMerge w:val="continue"/>
            <w:vAlign w:val="center"/>
          </w:tcPr>
          <w:p w14:paraId="19E10503">
            <w:pPr>
              <w:snapToGrid w:val="0"/>
              <w:jc w:val="center"/>
              <w:rPr>
                <w:rFonts w:ascii="宋体" w:hAnsi="宋体"/>
                <w:color w:val="auto"/>
                <w:szCs w:val="21"/>
                <w:highlight w:val="none"/>
              </w:rPr>
            </w:pPr>
          </w:p>
        </w:tc>
        <w:tc>
          <w:tcPr>
            <w:tcW w:w="1650" w:type="dxa"/>
            <w:vMerge w:val="continue"/>
            <w:vAlign w:val="center"/>
          </w:tcPr>
          <w:p w14:paraId="6B4818D5">
            <w:pPr>
              <w:snapToGrid w:val="0"/>
              <w:jc w:val="center"/>
              <w:rPr>
                <w:rFonts w:ascii="宋体" w:hAnsi="宋体"/>
                <w:color w:val="auto"/>
                <w:szCs w:val="21"/>
                <w:highlight w:val="none"/>
              </w:rPr>
            </w:pPr>
          </w:p>
        </w:tc>
        <w:tc>
          <w:tcPr>
            <w:tcW w:w="6863" w:type="dxa"/>
            <w:tcBorders>
              <w:top w:val="single" w:color="auto" w:sz="4" w:space="0"/>
            </w:tcBorders>
            <w:vAlign w:val="center"/>
          </w:tcPr>
          <w:p w14:paraId="28DCC214">
            <w:pPr>
              <w:adjustRightInd w:val="0"/>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形式：投标人的疑问通过</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数字交易平台提交。具体要求：操作详见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网站发布的《房屋建筑和市政基础设施工程全流程电子化项目专章》。提问一律不得署名。</w:t>
            </w:r>
          </w:p>
        </w:tc>
      </w:tr>
      <w:bookmarkEnd w:id="11"/>
      <w:tr w14:paraId="7FBE34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60DAC109">
            <w:pPr>
              <w:snapToGrid w:val="0"/>
              <w:jc w:val="center"/>
              <w:rPr>
                <w:rFonts w:ascii="宋体" w:hAnsi="宋体"/>
                <w:color w:val="auto"/>
                <w:szCs w:val="21"/>
                <w:highlight w:val="none"/>
              </w:rPr>
            </w:pPr>
            <w:r>
              <w:rPr>
                <w:rFonts w:ascii="宋体" w:hAnsi="宋体"/>
                <w:color w:val="auto"/>
                <w:szCs w:val="21"/>
                <w:highlight w:val="none"/>
              </w:rPr>
              <w:t>2.2.2</w:t>
            </w:r>
          </w:p>
        </w:tc>
        <w:tc>
          <w:tcPr>
            <w:tcW w:w="1650" w:type="dxa"/>
            <w:vAlign w:val="center"/>
          </w:tcPr>
          <w:p w14:paraId="78E2DB33">
            <w:pPr>
              <w:snapToGrid w:val="0"/>
              <w:jc w:val="center"/>
              <w:rPr>
                <w:rFonts w:ascii="宋体" w:hAnsi="宋体"/>
                <w:color w:val="auto"/>
                <w:szCs w:val="21"/>
                <w:highlight w:val="none"/>
              </w:rPr>
            </w:pPr>
            <w:r>
              <w:rPr>
                <w:rFonts w:ascii="宋体" w:hAnsi="宋体"/>
                <w:color w:val="auto"/>
                <w:szCs w:val="21"/>
                <w:highlight w:val="none"/>
              </w:rPr>
              <w:t>招标文件澄清发出的形式</w:t>
            </w:r>
          </w:p>
        </w:tc>
        <w:tc>
          <w:tcPr>
            <w:tcW w:w="6863" w:type="dxa"/>
            <w:vAlign w:val="center"/>
          </w:tcPr>
          <w:p w14:paraId="3079DA02">
            <w:pPr>
              <w:adjustRightInd w:val="0"/>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在递交投标文件截止时间15天前；在</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网站通过项目答疑专区公开发布。</w:t>
            </w:r>
          </w:p>
        </w:tc>
      </w:tr>
      <w:tr w14:paraId="4E47CB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6" w:hRule="atLeast"/>
        </w:trPr>
        <w:tc>
          <w:tcPr>
            <w:tcW w:w="1178" w:type="dxa"/>
            <w:vAlign w:val="center"/>
          </w:tcPr>
          <w:p w14:paraId="49BEEEB8">
            <w:pPr>
              <w:snapToGrid w:val="0"/>
              <w:jc w:val="center"/>
              <w:rPr>
                <w:rFonts w:ascii="宋体" w:hAnsi="宋体"/>
                <w:color w:val="auto"/>
                <w:szCs w:val="21"/>
                <w:highlight w:val="none"/>
              </w:rPr>
            </w:pPr>
            <w:r>
              <w:rPr>
                <w:rFonts w:ascii="宋体" w:hAnsi="宋体"/>
                <w:color w:val="auto"/>
                <w:szCs w:val="21"/>
                <w:highlight w:val="none"/>
              </w:rPr>
              <w:t>2.2.3</w:t>
            </w:r>
          </w:p>
        </w:tc>
        <w:tc>
          <w:tcPr>
            <w:tcW w:w="1650" w:type="dxa"/>
            <w:vAlign w:val="center"/>
          </w:tcPr>
          <w:p w14:paraId="7DF49E88">
            <w:pPr>
              <w:snapToGrid w:val="0"/>
              <w:jc w:val="center"/>
              <w:rPr>
                <w:rFonts w:ascii="宋体" w:hAnsi="宋体"/>
                <w:color w:val="auto"/>
                <w:szCs w:val="21"/>
                <w:highlight w:val="none"/>
              </w:rPr>
            </w:pPr>
            <w:r>
              <w:rPr>
                <w:rFonts w:ascii="宋体" w:hAnsi="宋体"/>
                <w:color w:val="auto"/>
                <w:szCs w:val="21"/>
                <w:highlight w:val="none"/>
              </w:rPr>
              <w:t>投标人确认收到招标文件澄清</w:t>
            </w:r>
          </w:p>
        </w:tc>
        <w:tc>
          <w:tcPr>
            <w:tcW w:w="6863" w:type="dxa"/>
            <w:vAlign w:val="center"/>
          </w:tcPr>
          <w:p w14:paraId="63E21498">
            <w:pPr>
              <w:adjustRightInd w:val="0"/>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从招标文件澄清及答疑文件发布之日起即视为投标人已确认收到。招标文件澄清（招标答疑纪要）一经在</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网站发布，视作已发放给所有投标人。</w:t>
            </w:r>
          </w:p>
        </w:tc>
      </w:tr>
      <w:tr w14:paraId="43748B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013C10B5">
            <w:pPr>
              <w:snapToGrid w:val="0"/>
              <w:jc w:val="center"/>
              <w:rPr>
                <w:rFonts w:ascii="宋体" w:hAnsi="宋体"/>
                <w:color w:val="auto"/>
                <w:szCs w:val="21"/>
                <w:highlight w:val="none"/>
              </w:rPr>
            </w:pPr>
            <w:r>
              <w:rPr>
                <w:rFonts w:ascii="宋体" w:hAnsi="宋体"/>
                <w:color w:val="auto"/>
                <w:szCs w:val="21"/>
                <w:highlight w:val="none"/>
              </w:rPr>
              <w:t>2.3.1</w:t>
            </w:r>
          </w:p>
        </w:tc>
        <w:tc>
          <w:tcPr>
            <w:tcW w:w="1650" w:type="dxa"/>
            <w:vAlign w:val="center"/>
          </w:tcPr>
          <w:p w14:paraId="76C7074C">
            <w:pPr>
              <w:snapToGrid w:val="0"/>
              <w:jc w:val="center"/>
              <w:rPr>
                <w:rFonts w:ascii="宋体" w:hAnsi="宋体"/>
                <w:color w:val="auto"/>
                <w:szCs w:val="21"/>
                <w:highlight w:val="none"/>
              </w:rPr>
            </w:pPr>
            <w:r>
              <w:rPr>
                <w:rFonts w:ascii="宋体" w:hAnsi="宋体"/>
                <w:color w:val="auto"/>
                <w:szCs w:val="21"/>
                <w:highlight w:val="none"/>
              </w:rPr>
              <w:t>招标文件修改发出的形式</w:t>
            </w:r>
          </w:p>
        </w:tc>
        <w:tc>
          <w:tcPr>
            <w:tcW w:w="6863" w:type="dxa"/>
            <w:vAlign w:val="center"/>
          </w:tcPr>
          <w:p w14:paraId="03F40C57">
            <w:pPr>
              <w:adjustRightInd w:val="0"/>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以补充公告或项目答疑澄清的方式在</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网站公开发布。</w:t>
            </w:r>
          </w:p>
        </w:tc>
      </w:tr>
      <w:tr w14:paraId="7DABA1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02903319">
            <w:pPr>
              <w:snapToGrid w:val="0"/>
              <w:jc w:val="center"/>
              <w:rPr>
                <w:rFonts w:ascii="宋体" w:hAnsi="宋体"/>
                <w:color w:val="auto"/>
                <w:szCs w:val="21"/>
                <w:highlight w:val="none"/>
              </w:rPr>
            </w:pPr>
            <w:r>
              <w:rPr>
                <w:rFonts w:ascii="宋体" w:hAnsi="宋体"/>
                <w:color w:val="auto"/>
                <w:szCs w:val="21"/>
                <w:highlight w:val="none"/>
              </w:rPr>
              <w:t>2.3.2</w:t>
            </w:r>
          </w:p>
        </w:tc>
        <w:tc>
          <w:tcPr>
            <w:tcW w:w="1650" w:type="dxa"/>
            <w:vAlign w:val="center"/>
          </w:tcPr>
          <w:p w14:paraId="68FDE723">
            <w:pPr>
              <w:snapToGrid w:val="0"/>
              <w:jc w:val="center"/>
              <w:rPr>
                <w:rFonts w:ascii="宋体" w:hAnsi="宋体"/>
                <w:color w:val="auto"/>
                <w:szCs w:val="21"/>
                <w:highlight w:val="none"/>
              </w:rPr>
            </w:pPr>
            <w:r>
              <w:rPr>
                <w:rFonts w:ascii="宋体" w:hAnsi="宋体"/>
                <w:color w:val="auto"/>
                <w:szCs w:val="21"/>
                <w:highlight w:val="none"/>
              </w:rPr>
              <w:t>投标人确认收到招标文件修改</w:t>
            </w:r>
          </w:p>
        </w:tc>
        <w:tc>
          <w:tcPr>
            <w:tcW w:w="6863" w:type="dxa"/>
            <w:vAlign w:val="center"/>
          </w:tcPr>
          <w:p w14:paraId="06DA16D1">
            <w:pPr>
              <w:adjustRightInd w:val="0"/>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招标文件修改一经在</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网站发布，视作已发放给所有投标人，无需确认。潜在投标人应自行关注招标公告公布的网站公告，投标人因自身贻误行为导致投标失败的，责任自负。</w:t>
            </w:r>
          </w:p>
        </w:tc>
      </w:tr>
      <w:tr w14:paraId="023B02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436D9B54">
            <w:pPr>
              <w:snapToGrid w:val="0"/>
              <w:jc w:val="center"/>
              <w:rPr>
                <w:rFonts w:ascii="宋体" w:hAnsi="宋体"/>
                <w:color w:val="auto"/>
                <w:szCs w:val="21"/>
                <w:highlight w:val="none"/>
              </w:rPr>
            </w:pPr>
            <w:r>
              <w:rPr>
                <w:rFonts w:ascii="宋体" w:hAnsi="宋体"/>
                <w:color w:val="auto"/>
                <w:szCs w:val="21"/>
                <w:highlight w:val="none"/>
              </w:rPr>
              <w:t>3.1.1</w:t>
            </w:r>
          </w:p>
        </w:tc>
        <w:tc>
          <w:tcPr>
            <w:tcW w:w="1650" w:type="dxa"/>
            <w:vAlign w:val="center"/>
          </w:tcPr>
          <w:p w14:paraId="7A1E161A">
            <w:pPr>
              <w:snapToGrid w:val="0"/>
              <w:jc w:val="center"/>
              <w:rPr>
                <w:rFonts w:ascii="宋体" w:hAnsi="宋体"/>
                <w:color w:val="auto"/>
                <w:szCs w:val="21"/>
                <w:highlight w:val="none"/>
              </w:rPr>
            </w:pPr>
            <w:r>
              <w:rPr>
                <w:rFonts w:ascii="宋体" w:hAnsi="宋体"/>
                <w:color w:val="auto"/>
                <w:szCs w:val="21"/>
                <w:highlight w:val="none"/>
              </w:rPr>
              <w:t>构成投标文件的其他资料</w:t>
            </w:r>
          </w:p>
        </w:tc>
        <w:tc>
          <w:tcPr>
            <w:tcW w:w="6863" w:type="dxa"/>
            <w:vAlign w:val="center"/>
          </w:tcPr>
          <w:p w14:paraId="24BB16F2">
            <w:pPr>
              <w:snapToGrid w:val="0"/>
              <w:rPr>
                <w:rFonts w:ascii="宋体" w:hAnsi="宋体"/>
                <w:color w:val="auto"/>
                <w:szCs w:val="21"/>
                <w:highlight w:val="none"/>
              </w:rPr>
            </w:pPr>
            <w:r>
              <w:rPr>
                <w:rFonts w:hint="eastAsia" w:ascii="宋体" w:hAnsi="宋体"/>
                <w:color w:val="auto"/>
                <w:szCs w:val="21"/>
                <w:highlight w:val="none"/>
                <w:u w:val="single"/>
              </w:rPr>
              <w:t xml:space="preserve"> / </w:t>
            </w:r>
          </w:p>
        </w:tc>
      </w:tr>
      <w:tr w14:paraId="6AD8EF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4A9620A3">
            <w:pPr>
              <w:snapToGrid w:val="0"/>
              <w:jc w:val="center"/>
              <w:rPr>
                <w:rFonts w:ascii="宋体" w:hAnsi="宋体"/>
                <w:color w:val="auto"/>
                <w:szCs w:val="21"/>
                <w:highlight w:val="none"/>
              </w:rPr>
            </w:pPr>
            <w:r>
              <w:rPr>
                <w:rFonts w:ascii="宋体" w:hAnsi="宋体"/>
                <w:color w:val="auto"/>
                <w:szCs w:val="21"/>
                <w:highlight w:val="none"/>
              </w:rPr>
              <w:t>3.2.1</w:t>
            </w:r>
          </w:p>
        </w:tc>
        <w:tc>
          <w:tcPr>
            <w:tcW w:w="1650" w:type="dxa"/>
            <w:vAlign w:val="center"/>
          </w:tcPr>
          <w:p w14:paraId="6AA86803">
            <w:pPr>
              <w:snapToGrid w:val="0"/>
              <w:jc w:val="center"/>
              <w:rPr>
                <w:rFonts w:ascii="宋体" w:hAnsi="宋体"/>
                <w:color w:val="auto"/>
                <w:szCs w:val="21"/>
                <w:highlight w:val="none"/>
              </w:rPr>
            </w:pPr>
            <w:r>
              <w:rPr>
                <w:rFonts w:ascii="宋体" w:hAnsi="宋体"/>
                <w:color w:val="auto"/>
                <w:szCs w:val="21"/>
                <w:highlight w:val="none"/>
              </w:rPr>
              <w:t>增值税税金的计算方法</w:t>
            </w:r>
          </w:p>
        </w:tc>
        <w:tc>
          <w:tcPr>
            <w:tcW w:w="6863" w:type="dxa"/>
            <w:vAlign w:val="center"/>
          </w:tcPr>
          <w:p w14:paraId="14EA7280">
            <w:pPr>
              <w:snapToGrid w:val="0"/>
              <w:rPr>
                <w:rFonts w:ascii="宋体" w:hAnsi="宋体"/>
                <w:color w:val="auto"/>
                <w:szCs w:val="21"/>
                <w:highlight w:val="none"/>
              </w:rPr>
            </w:pPr>
            <w:r>
              <w:rPr>
                <w:rFonts w:hint="eastAsia" w:ascii="宋体" w:hAnsi="宋体"/>
                <w:color w:val="auto"/>
                <w:szCs w:val="21"/>
                <w:highlight w:val="none"/>
                <w:u w:val="single"/>
              </w:rPr>
              <w:t xml:space="preserve"> / </w:t>
            </w:r>
          </w:p>
        </w:tc>
      </w:tr>
      <w:tr w14:paraId="2A7A42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78" w:type="dxa"/>
            <w:vAlign w:val="center"/>
          </w:tcPr>
          <w:p w14:paraId="4795B8AF">
            <w:pPr>
              <w:snapToGrid w:val="0"/>
              <w:jc w:val="center"/>
              <w:rPr>
                <w:rFonts w:ascii="宋体" w:hAnsi="宋体"/>
                <w:color w:val="auto"/>
                <w:szCs w:val="21"/>
                <w:highlight w:val="none"/>
              </w:rPr>
            </w:pPr>
            <w:r>
              <w:rPr>
                <w:rFonts w:ascii="宋体" w:hAnsi="宋体"/>
                <w:color w:val="auto"/>
                <w:szCs w:val="21"/>
                <w:highlight w:val="none"/>
              </w:rPr>
              <w:t>3.2.3</w:t>
            </w:r>
          </w:p>
        </w:tc>
        <w:tc>
          <w:tcPr>
            <w:tcW w:w="1650" w:type="dxa"/>
            <w:vAlign w:val="center"/>
          </w:tcPr>
          <w:p w14:paraId="03D8EBE3">
            <w:pPr>
              <w:snapToGrid w:val="0"/>
              <w:jc w:val="center"/>
              <w:rPr>
                <w:rFonts w:ascii="宋体" w:hAnsi="宋体"/>
                <w:color w:val="auto"/>
                <w:szCs w:val="21"/>
                <w:highlight w:val="none"/>
              </w:rPr>
            </w:pPr>
            <w:r>
              <w:rPr>
                <w:rFonts w:ascii="宋体" w:hAnsi="宋体"/>
                <w:color w:val="auto"/>
                <w:szCs w:val="21"/>
                <w:highlight w:val="none"/>
              </w:rPr>
              <w:t>报价方式</w:t>
            </w:r>
          </w:p>
        </w:tc>
        <w:tc>
          <w:tcPr>
            <w:tcW w:w="6863" w:type="dxa"/>
            <w:vAlign w:val="center"/>
          </w:tcPr>
          <w:p w14:paraId="1B8F6E47">
            <w:pPr>
              <w:snapToGrid w:val="0"/>
              <w:rPr>
                <w:rFonts w:ascii="宋体" w:hAnsi="宋体"/>
                <w:color w:val="auto"/>
                <w:szCs w:val="21"/>
                <w:highlight w:val="none"/>
              </w:rPr>
            </w:pPr>
            <w:r>
              <w:rPr>
                <w:rFonts w:hint="eastAsia" w:ascii="宋体" w:cs="宋体"/>
                <w:color w:val="auto"/>
                <w:szCs w:val="21"/>
                <w:highlight w:val="none"/>
                <w:lang w:val="zh-CN"/>
              </w:rPr>
              <w:t>各投标单位在</w:t>
            </w:r>
            <w:r>
              <w:rPr>
                <w:rFonts w:hint="eastAsia" w:ascii="宋体" w:cs="宋体"/>
                <w:color w:val="auto"/>
                <w:szCs w:val="21"/>
                <w:highlight w:val="none"/>
              </w:rPr>
              <w:t>最高投标限价</w:t>
            </w:r>
            <w:r>
              <w:rPr>
                <w:rFonts w:hint="eastAsia" w:ascii="宋体" w:cs="宋体"/>
                <w:color w:val="auto"/>
                <w:szCs w:val="21"/>
                <w:highlight w:val="none"/>
                <w:lang w:val="zh-CN"/>
              </w:rPr>
              <w:t>内根据企业自身实力进行报价（以元为单位，保留两位小数，第三位小数四舍五入）,</w:t>
            </w:r>
            <w:r>
              <w:rPr>
                <w:rFonts w:hint="eastAsia" w:ascii="宋体" w:eastAsia="宋体" w:cs="宋体"/>
                <w:color w:val="auto"/>
                <w:szCs w:val="21"/>
                <w:highlight w:val="none"/>
                <w:lang w:val="zh-CN"/>
              </w:rPr>
              <w:t>本项目实行双限价，即:投标人的投标总报价及综合单价都不能超过招标人公布的最高投标限价或综合单价限价，</w:t>
            </w:r>
            <w:r>
              <w:rPr>
                <w:rFonts w:hint="eastAsia" w:ascii="宋体" w:hAnsi="Calibri" w:eastAsia="宋体" w:cs="宋体"/>
                <w:bCs w:val="0"/>
                <w:color w:val="auto"/>
                <w:sz w:val="21"/>
                <w:szCs w:val="21"/>
                <w:highlight w:val="none"/>
                <w:lang w:val="zh-CN"/>
              </w:rPr>
              <w:t>投标总报价超过最高投标限价或投标综合单价超过综合单价限价的投标文件将被拒绝</w:t>
            </w:r>
            <w:r>
              <w:rPr>
                <w:rFonts w:hint="eastAsia" w:ascii="宋体" w:eastAsia="宋体" w:cs="宋体"/>
                <w:bCs w:val="0"/>
                <w:color w:val="auto"/>
                <w:sz w:val="21"/>
                <w:szCs w:val="21"/>
                <w:highlight w:val="none"/>
                <w:lang w:val="zh-CN"/>
              </w:rPr>
              <w:t>。</w:t>
            </w:r>
          </w:p>
        </w:tc>
      </w:tr>
      <w:tr w14:paraId="4B64EF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1178" w:type="dxa"/>
            <w:vAlign w:val="center"/>
          </w:tcPr>
          <w:p w14:paraId="4D084BE8">
            <w:pPr>
              <w:snapToGrid w:val="0"/>
              <w:jc w:val="center"/>
              <w:rPr>
                <w:rFonts w:ascii="宋体" w:hAnsi="宋体"/>
                <w:color w:val="auto"/>
                <w:szCs w:val="21"/>
                <w:highlight w:val="none"/>
              </w:rPr>
            </w:pPr>
            <w:r>
              <w:rPr>
                <w:rFonts w:ascii="宋体" w:hAnsi="宋体"/>
                <w:color w:val="auto"/>
                <w:szCs w:val="21"/>
                <w:highlight w:val="none"/>
              </w:rPr>
              <w:t>3.2.4</w:t>
            </w:r>
          </w:p>
        </w:tc>
        <w:tc>
          <w:tcPr>
            <w:tcW w:w="1650" w:type="dxa"/>
            <w:vAlign w:val="center"/>
          </w:tcPr>
          <w:p w14:paraId="319B9D9B">
            <w:pPr>
              <w:snapToGrid w:val="0"/>
              <w:jc w:val="center"/>
              <w:rPr>
                <w:rFonts w:ascii="宋体" w:hAnsi="宋体"/>
                <w:color w:val="auto"/>
                <w:szCs w:val="21"/>
                <w:highlight w:val="none"/>
              </w:rPr>
            </w:pPr>
            <w:r>
              <w:rPr>
                <w:rFonts w:ascii="宋体" w:hAnsi="宋体"/>
                <w:color w:val="auto"/>
                <w:szCs w:val="21"/>
                <w:highlight w:val="none"/>
              </w:rPr>
              <w:t>最高投标限价</w:t>
            </w:r>
          </w:p>
        </w:tc>
        <w:tc>
          <w:tcPr>
            <w:tcW w:w="6863" w:type="dxa"/>
            <w:vAlign w:val="center"/>
          </w:tcPr>
          <w:p w14:paraId="3DB7ABCE">
            <w:pPr>
              <w:snapToGrid w:val="0"/>
              <w:rPr>
                <w:rFonts w:ascii="宋体" w:hAnsi="宋体"/>
                <w:color w:val="auto"/>
                <w:szCs w:val="21"/>
                <w:highlight w:val="none"/>
              </w:rPr>
            </w:pPr>
            <w:r>
              <w:rPr>
                <w:rFonts w:ascii="宋体" w:hAnsi="宋体"/>
                <w:color w:val="auto"/>
                <w:szCs w:val="21"/>
                <w:highlight w:val="none"/>
              </w:rPr>
              <w:sym w:font="Wingdings 2" w:char="00A3"/>
            </w:r>
            <w:r>
              <w:rPr>
                <w:rFonts w:ascii="宋体" w:hAnsi="宋体"/>
                <w:color w:val="auto"/>
                <w:szCs w:val="21"/>
                <w:highlight w:val="none"/>
              </w:rPr>
              <w:t>无</w:t>
            </w:r>
          </w:p>
          <w:p w14:paraId="301AC0B7">
            <w:pPr>
              <w:snapToGrid w:val="0"/>
              <w:rPr>
                <w:rFonts w:hint="eastAsia" w:ascii="宋体" w:hAnsi="宋体" w:eastAsia="宋体"/>
                <w:color w:val="auto"/>
                <w:szCs w:val="21"/>
                <w:highlight w:val="none"/>
                <w:u w:val="single"/>
                <w:lang w:val="en-US" w:eastAsia="zh-CN"/>
              </w:rPr>
            </w:pPr>
            <w:r>
              <w:rPr>
                <w:rFonts w:hint="eastAsia"/>
                <w:color w:val="auto"/>
                <w:szCs w:val="21"/>
                <w:highlight w:val="none"/>
              </w:rPr>
              <w:t>■</w:t>
            </w:r>
            <w:r>
              <w:rPr>
                <w:rFonts w:ascii="宋体" w:hAnsi="宋体"/>
                <w:color w:val="auto"/>
                <w:szCs w:val="21"/>
                <w:highlight w:val="none"/>
              </w:rPr>
              <w:t>有，最高投标限价：</w:t>
            </w:r>
            <w:r>
              <w:rPr>
                <w:rFonts w:hint="eastAsia" w:ascii="宋体" w:hAnsi="宋体" w:eastAsia="宋体" w:cs="宋体"/>
                <w:b w:val="0"/>
                <w:bCs w:val="0"/>
                <w:i w:val="0"/>
                <w:iCs w:val="0"/>
                <w:color w:val="auto"/>
                <w:kern w:val="2"/>
                <w:sz w:val="24"/>
                <w:szCs w:val="24"/>
                <w:highlight w:val="none"/>
                <w:u w:val="single"/>
                <w:lang w:val="en-US" w:eastAsia="zh-CN" w:bidi="ar"/>
              </w:rPr>
              <w:t>1,437,433.23</w:t>
            </w:r>
            <w:r>
              <w:rPr>
                <w:rFonts w:hint="eastAsia" w:ascii="宋体" w:cs="宋体"/>
                <w:color w:val="auto"/>
                <w:szCs w:val="21"/>
                <w:highlight w:val="none"/>
                <w:u w:val="single"/>
                <w:lang w:val="zh-CN"/>
              </w:rPr>
              <w:t>元</w:t>
            </w:r>
          </w:p>
        </w:tc>
      </w:tr>
      <w:tr w14:paraId="683A0D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7EF0DED6">
            <w:pPr>
              <w:snapToGrid w:val="0"/>
              <w:jc w:val="center"/>
              <w:rPr>
                <w:rFonts w:ascii="宋体" w:hAnsi="宋体"/>
                <w:color w:val="auto"/>
                <w:szCs w:val="21"/>
                <w:highlight w:val="none"/>
              </w:rPr>
            </w:pPr>
            <w:r>
              <w:rPr>
                <w:rFonts w:ascii="宋体" w:hAnsi="宋体"/>
                <w:color w:val="auto"/>
                <w:szCs w:val="21"/>
                <w:highlight w:val="none"/>
              </w:rPr>
              <w:t>3.2.5</w:t>
            </w:r>
          </w:p>
        </w:tc>
        <w:tc>
          <w:tcPr>
            <w:tcW w:w="1650" w:type="dxa"/>
            <w:vAlign w:val="center"/>
          </w:tcPr>
          <w:p w14:paraId="5223BAD4">
            <w:pPr>
              <w:snapToGrid w:val="0"/>
              <w:jc w:val="center"/>
              <w:rPr>
                <w:rFonts w:ascii="宋体" w:hAnsi="宋体"/>
                <w:color w:val="auto"/>
                <w:szCs w:val="21"/>
                <w:highlight w:val="none"/>
              </w:rPr>
            </w:pPr>
            <w:r>
              <w:rPr>
                <w:rFonts w:ascii="宋体" w:hAnsi="宋体"/>
                <w:color w:val="auto"/>
                <w:szCs w:val="21"/>
                <w:highlight w:val="none"/>
              </w:rPr>
              <w:t>投标报价的其他要求</w:t>
            </w:r>
          </w:p>
        </w:tc>
        <w:tc>
          <w:tcPr>
            <w:tcW w:w="6863" w:type="dxa"/>
            <w:vAlign w:val="center"/>
          </w:tcPr>
          <w:p w14:paraId="70C44CFA">
            <w:pPr>
              <w:snapToGrid w:val="0"/>
              <w:rPr>
                <w:rFonts w:ascii="宋体" w:hAnsi="宋体"/>
                <w:color w:val="auto"/>
                <w:szCs w:val="21"/>
                <w:highlight w:val="none"/>
              </w:rPr>
            </w:pPr>
            <w:r>
              <w:rPr>
                <w:rFonts w:hint="eastAsia" w:ascii="宋体" w:hAnsi="宋体"/>
                <w:color w:val="auto"/>
                <w:szCs w:val="21"/>
                <w:highlight w:val="none"/>
                <w:u w:val="single"/>
              </w:rPr>
              <w:t xml:space="preserve"> / </w:t>
            </w:r>
          </w:p>
        </w:tc>
      </w:tr>
      <w:tr w14:paraId="2F9EEA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277E8F8E">
            <w:pPr>
              <w:snapToGrid w:val="0"/>
              <w:jc w:val="center"/>
              <w:rPr>
                <w:rFonts w:ascii="宋体" w:hAnsi="宋体"/>
                <w:color w:val="auto"/>
                <w:szCs w:val="21"/>
                <w:highlight w:val="none"/>
              </w:rPr>
            </w:pPr>
            <w:r>
              <w:rPr>
                <w:rFonts w:ascii="宋体" w:hAnsi="宋体"/>
                <w:color w:val="auto"/>
                <w:szCs w:val="21"/>
                <w:highlight w:val="none"/>
              </w:rPr>
              <w:t>3.3.1</w:t>
            </w:r>
          </w:p>
        </w:tc>
        <w:tc>
          <w:tcPr>
            <w:tcW w:w="1650" w:type="dxa"/>
            <w:vAlign w:val="center"/>
          </w:tcPr>
          <w:p w14:paraId="652EB6F9">
            <w:pPr>
              <w:snapToGrid w:val="0"/>
              <w:jc w:val="center"/>
              <w:rPr>
                <w:rFonts w:ascii="宋体" w:hAnsi="宋体"/>
                <w:color w:val="auto"/>
                <w:szCs w:val="21"/>
                <w:highlight w:val="none"/>
              </w:rPr>
            </w:pPr>
            <w:r>
              <w:rPr>
                <w:rFonts w:ascii="宋体" w:hAnsi="宋体"/>
                <w:color w:val="auto"/>
                <w:szCs w:val="21"/>
                <w:highlight w:val="none"/>
              </w:rPr>
              <w:t>投标有效期</w:t>
            </w:r>
          </w:p>
        </w:tc>
        <w:tc>
          <w:tcPr>
            <w:tcW w:w="6863" w:type="dxa"/>
            <w:vAlign w:val="center"/>
          </w:tcPr>
          <w:p w14:paraId="486827F6">
            <w:pPr>
              <w:snapToGrid w:val="0"/>
              <w:rPr>
                <w:rFonts w:ascii="宋体" w:hAnsi="宋体"/>
                <w:color w:val="auto"/>
                <w:szCs w:val="21"/>
                <w:highlight w:val="none"/>
              </w:rPr>
            </w:pPr>
            <w:bookmarkStart w:id="12" w:name="_Toc300834946"/>
            <w:bookmarkStart w:id="13" w:name="_Toc384308207"/>
            <w:bookmarkStart w:id="14" w:name="_Toc352691470"/>
            <w:bookmarkStart w:id="15" w:name="_Toc369531512"/>
            <w:bookmarkStart w:id="16" w:name="_Toc1789"/>
            <w:bookmarkStart w:id="17" w:name="_Toc361508582"/>
            <w:r>
              <w:rPr>
                <w:rFonts w:hint="eastAsia" w:ascii="宋体" w:hAnsi="宋体"/>
                <w:color w:val="auto"/>
                <w:szCs w:val="21"/>
                <w:highlight w:val="none"/>
                <w:u w:val="single"/>
              </w:rPr>
              <w:t>90</w:t>
            </w:r>
            <w:r>
              <w:rPr>
                <w:rFonts w:hint="eastAsia" w:ascii="宋体" w:hAnsi="宋体"/>
                <w:color w:val="auto"/>
                <w:szCs w:val="21"/>
                <w:highlight w:val="none"/>
              </w:rPr>
              <w:t>日历天（从投标截止之日算起）。</w:t>
            </w:r>
          </w:p>
        </w:tc>
      </w:tr>
      <w:bookmarkEnd w:id="12"/>
      <w:bookmarkEnd w:id="13"/>
      <w:bookmarkEnd w:id="14"/>
      <w:bookmarkEnd w:id="15"/>
      <w:bookmarkEnd w:id="16"/>
      <w:bookmarkEnd w:id="17"/>
      <w:tr w14:paraId="3B9FEA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3F0FF628">
            <w:pPr>
              <w:snapToGrid w:val="0"/>
              <w:jc w:val="center"/>
              <w:rPr>
                <w:rFonts w:ascii="宋体" w:hAnsi="宋体"/>
                <w:color w:val="auto"/>
                <w:szCs w:val="21"/>
                <w:highlight w:val="none"/>
              </w:rPr>
            </w:pPr>
            <w:bookmarkStart w:id="18" w:name="_Hlk136173941"/>
            <w:r>
              <w:rPr>
                <w:rFonts w:ascii="宋体" w:hAnsi="宋体"/>
                <w:color w:val="auto"/>
                <w:szCs w:val="21"/>
                <w:highlight w:val="none"/>
              </w:rPr>
              <w:t>3.4.1</w:t>
            </w:r>
          </w:p>
        </w:tc>
        <w:tc>
          <w:tcPr>
            <w:tcW w:w="1650" w:type="dxa"/>
            <w:vAlign w:val="center"/>
          </w:tcPr>
          <w:p w14:paraId="08138287">
            <w:pPr>
              <w:snapToGrid w:val="0"/>
              <w:jc w:val="center"/>
              <w:rPr>
                <w:rFonts w:ascii="宋体" w:hAnsi="宋体"/>
                <w:color w:val="auto"/>
                <w:szCs w:val="21"/>
                <w:highlight w:val="none"/>
              </w:rPr>
            </w:pPr>
            <w:r>
              <w:rPr>
                <w:rFonts w:ascii="宋体" w:hAnsi="宋体"/>
                <w:color w:val="auto"/>
                <w:szCs w:val="21"/>
                <w:highlight w:val="none"/>
              </w:rPr>
              <w:t>投标保证金</w:t>
            </w:r>
          </w:p>
        </w:tc>
        <w:tc>
          <w:tcPr>
            <w:tcW w:w="6863" w:type="dxa"/>
            <w:vAlign w:val="center"/>
          </w:tcPr>
          <w:p w14:paraId="1ADBDFDD">
            <w:pPr>
              <w:keepNext w:val="0"/>
              <w:keepLines w:val="0"/>
              <w:pageBreakBefore w:val="0"/>
              <w:widowControl w:val="0"/>
              <w:kinsoku/>
              <w:wordWrap/>
              <w:overflowPunct/>
              <w:topLinePunct/>
              <w:autoSpaceDE/>
              <w:autoSpaceDN/>
              <w:bidi w:val="0"/>
              <w:adjustRightInd/>
              <w:snapToGrid w:val="0"/>
              <w:spacing w:line="288" w:lineRule="auto"/>
              <w:ind w:firstLine="0" w:firstLineChars="0"/>
              <w:jc w:val="left"/>
              <w:textAlignment w:val="auto"/>
              <w:rPr>
                <w:rFonts w:hAnsi="宋体"/>
                <w:color w:val="auto"/>
                <w:sz w:val="21"/>
                <w:szCs w:val="21"/>
                <w:highlight w:val="none"/>
              </w:rPr>
            </w:pPr>
            <w:r>
              <w:rPr>
                <w:rFonts w:hint="eastAsia" w:hAnsi="宋体"/>
                <w:color w:val="auto"/>
                <w:sz w:val="21"/>
                <w:szCs w:val="21"/>
                <w:highlight w:val="none"/>
              </w:rPr>
              <w:t>是否要求投标人递交投标保证金：</w:t>
            </w:r>
          </w:p>
          <w:p w14:paraId="2AF0BF8A">
            <w:pPr>
              <w:keepNext w:val="0"/>
              <w:keepLines w:val="0"/>
              <w:pageBreakBefore w:val="0"/>
              <w:widowControl w:val="0"/>
              <w:kinsoku/>
              <w:wordWrap/>
              <w:overflowPunct/>
              <w:topLinePunct/>
              <w:autoSpaceDE/>
              <w:autoSpaceDN/>
              <w:bidi w:val="0"/>
              <w:adjustRightInd/>
              <w:snapToGrid w:val="0"/>
              <w:spacing w:line="288" w:lineRule="auto"/>
              <w:ind w:firstLine="0" w:firstLineChars="0"/>
              <w:jc w:val="left"/>
              <w:textAlignment w:val="auto"/>
              <w:rPr>
                <w:rFonts w:hAnsi="宋体"/>
                <w:color w:val="auto"/>
                <w:sz w:val="21"/>
                <w:szCs w:val="21"/>
                <w:highlight w:val="none"/>
              </w:rPr>
            </w:pPr>
            <w:r>
              <w:rPr>
                <w:rFonts w:hint="eastAsia" w:hAnsi="宋体"/>
                <w:color w:val="auto"/>
                <w:sz w:val="21"/>
                <w:szCs w:val="21"/>
                <w:highlight w:val="none"/>
              </w:rPr>
              <w:t>□要求</w:t>
            </w:r>
          </w:p>
          <w:p w14:paraId="155DAD5C">
            <w:pPr>
              <w:keepNext w:val="0"/>
              <w:keepLines w:val="0"/>
              <w:pageBreakBefore w:val="0"/>
              <w:widowControl w:val="0"/>
              <w:kinsoku/>
              <w:wordWrap/>
              <w:overflowPunct/>
              <w:topLinePunct/>
              <w:autoSpaceDE/>
              <w:autoSpaceDN/>
              <w:bidi w:val="0"/>
              <w:adjustRightInd/>
              <w:snapToGrid w:val="0"/>
              <w:spacing w:line="288" w:lineRule="auto"/>
              <w:ind w:firstLine="0" w:firstLineChars="0"/>
              <w:jc w:val="left"/>
              <w:textAlignment w:val="auto"/>
              <w:rPr>
                <w:rFonts w:hAnsi="宋体"/>
                <w:color w:val="auto"/>
                <w:sz w:val="21"/>
                <w:szCs w:val="21"/>
                <w:highlight w:val="none"/>
              </w:rPr>
            </w:pPr>
            <w:r>
              <w:rPr>
                <w:rFonts w:hint="eastAsia" w:hAnsi="宋体"/>
                <w:color w:val="auto"/>
                <w:sz w:val="21"/>
                <w:szCs w:val="21"/>
                <w:highlight w:val="none"/>
              </w:rPr>
              <w:t>■不要求。</w:t>
            </w:r>
          </w:p>
        </w:tc>
      </w:tr>
      <w:bookmarkEnd w:id="18"/>
      <w:tr w14:paraId="30D1A8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1DE379A7">
            <w:pPr>
              <w:snapToGrid w:val="0"/>
              <w:jc w:val="center"/>
              <w:rPr>
                <w:rFonts w:ascii="宋体" w:hAnsi="宋体"/>
                <w:color w:val="auto"/>
                <w:szCs w:val="21"/>
                <w:highlight w:val="none"/>
              </w:rPr>
            </w:pPr>
            <w:r>
              <w:rPr>
                <w:rFonts w:ascii="宋体" w:hAnsi="宋体"/>
                <w:color w:val="auto"/>
                <w:szCs w:val="21"/>
                <w:highlight w:val="none"/>
              </w:rPr>
              <w:t>3.4.4</w:t>
            </w:r>
          </w:p>
        </w:tc>
        <w:tc>
          <w:tcPr>
            <w:tcW w:w="1650" w:type="dxa"/>
            <w:vAlign w:val="center"/>
          </w:tcPr>
          <w:p w14:paraId="3F1661C9">
            <w:pPr>
              <w:snapToGrid w:val="0"/>
              <w:jc w:val="center"/>
              <w:rPr>
                <w:rFonts w:ascii="宋体" w:hAnsi="宋体"/>
                <w:color w:val="auto"/>
                <w:szCs w:val="21"/>
                <w:highlight w:val="none"/>
              </w:rPr>
            </w:pPr>
            <w:r>
              <w:rPr>
                <w:rFonts w:ascii="宋体" w:hAnsi="宋体"/>
                <w:color w:val="auto"/>
                <w:szCs w:val="21"/>
                <w:highlight w:val="none"/>
              </w:rPr>
              <w:t>其他可以不予退还投标保证金的情形</w:t>
            </w:r>
          </w:p>
        </w:tc>
        <w:tc>
          <w:tcPr>
            <w:tcW w:w="6863" w:type="dxa"/>
            <w:vAlign w:val="center"/>
          </w:tcPr>
          <w:p w14:paraId="51373DB7">
            <w:pPr>
              <w:snapToGrid w:val="0"/>
              <w:rPr>
                <w:rFonts w:ascii="宋体" w:hAnsi="宋体"/>
                <w:color w:val="auto"/>
                <w:szCs w:val="21"/>
                <w:highlight w:val="none"/>
              </w:rPr>
            </w:pPr>
            <w:r>
              <w:rPr>
                <w:rFonts w:hint="eastAsia" w:ascii="宋体" w:hAnsi="宋体"/>
                <w:color w:val="auto"/>
                <w:szCs w:val="21"/>
                <w:highlight w:val="none"/>
              </w:rPr>
              <w:t>（本项目不要求递交投标保证金）</w:t>
            </w:r>
          </w:p>
        </w:tc>
      </w:tr>
      <w:tr w14:paraId="51BF96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52A039EF">
            <w:pPr>
              <w:snapToGrid w:val="0"/>
              <w:jc w:val="center"/>
              <w:rPr>
                <w:rFonts w:ascii="宋体" w:hAnsi="宋体"/>
                <w:color w:val="auto"/>
                <w:szCs w:val="21"/>
                <w:highlight w:val="none"/>
              </w:rPr>
            </w:pPr>
            <w:r>
              <w:rPr>
                <w:rFonts w:ascii="宋体" w:hAnsi="宋体"/>
                <w:color w:val="auto"/>
                <w:szCs w:val="21"/>
                <w:highlight w:val="none"/>
              </w:rPr>
              <w:t>3.5</w:t>
            </w:r>
          </w:p>
        </w:tc>
        <w:tc>
          <w:tcPr>
            <w:tcW w:w="1650" w:type="dxa"/>
            <w:vAlign w:val="center"/>
          </w:tcPr>
          <w:p w14:paraId="7C1ED562">
            <w:pPr>
              <w:snapToGrid w:val="0"/>
              <w:jc w:val="center"/>
              <w:rPr>
                <w:rFonts w:ascii="宋体" w:hAnsi="宋体"/>
                <w:color w:val="auto"/>
                <w:szCs w:val="21"/>
                <w:highlight w:val="none"/>
              </w:rPr>
            </w:pPr>
            <w:r>
              <w:rPr>
                <w:rFonts w:ascii="宋体" w:hAnsi="宋体"/>
                <w:color w:val="auto"/>
                <w:szCs w:val="21"/>
                <w:highlight w:val="none"/>
              </w:rPr>
              <w:t>资格审查资料的特殊要求</w:t>
            </w:r>
          </w:p>
        </w:tc>
        <w:tc>
          <w:tcPr>
            <w:tcW w:w="6863" w:type="dxa"/>
            <w:vAlign w:val="center"/>
          </w:tcPr>
          <w:p w14:paraId="304C8564">
            <w:pPr>
              <w:pStyle w:val="8"/>
              <w:topLinePunct/>
              <w:snapToGrid w:val="0"/>
              <w:rPr>
                <w:rFonts w:hAnsi="宋体"/>
                <w:color w:val="auto"/>
                <w:sz w:val="21"/>
                <w:szCs w:val="21"/>
                <w:highlight w:val="none"/>
              </w:rPr>
            </w:pPr>
            <w:r>
              <w:rPr>
                <w:rFonts w:hint="eastAsia"/>
                <w:color w:val="auto"/>
                <w:sz w:val="21"/>
                <w:szCs w:val="21"/>
                <w:highlight w:val="none"/>
              </w:rPr>
              <w:t>■</w:t>
            </w:r>
            <w:r>
              <w:rPr>
                <w:rFonts w:hAnsi="宋体"/>
                <w:color w:val="auto"/>
                <w:sz w:val="21"/>
                <w:szCs w:val="21"/>
                <w:highlight w:val="none"/>
              </w:rPr>
              <w:t>无</w:t>
            </w:r>
          </w:p>
          <w:p w14:paraId="6A90C937">
            <w:pPr>
              <w:pStyle w:val="8"/>
              <w:topLinePunct/>
              <w:snapToGrid w:val="0"/>
              <w:rPr>
                <w:rFonts w:hAnsi="宋体"/>
                <w:color w:val="auto"/>
                <w:sz w:val="21"/>
                <w:szCs w:val="21"/>
                <w:highlight w:val="none"/>
              </w:rPr>
            </w:pPr>
            <w:r>
              <w:rPr>
                <w:rFonts w:hAnsi="宋体"/>
                <w:color w:val="auto"/>
                <w:sz w:val="21"/>
                <w:szCs w:val="21"/>
                <w:highlight w:val="none"/>
              </w:rPr>
              <w:sym w:font="Wingdings 2" w:char="00A3"/>
            </w:r>
            <w:r>
              <w:rPr>
                <w:rFonts w:hAnsi="宋体"/>
                <w:color w:val="auto"/>
                <w:sz w:val="21"/>
                <w:szCs w:val="21"/>
                <w:highlight w:val="none"/>
              </w:rPr>
              <w:t>有，具体要求：</w:t>
            </w:r>
          </w:p>
        </w:tc>
      </w:tr>
      <w:tr w14:paraId="53F737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0AA5FADF">
            <w:pPr>
              <w:snapToGrid w:val="0"/>
              <w:jc w:val="center"/>
              <w:rPr>
                <w:rFonts w:ascii="宋体" w:hAnsi="宋体"/>
                <w:color w:val="auto"/>
                <w:szCs w:val="21"/>
                <w:highlight w:val="none"/>
              </w:rPr>
            </w:pPr>
            <w:r>
              <w:rPr>
                <w:rFonts w:ascii="宋体" w:hAnsi="宋体"/>
                <w:color w:val="auto"/>
                <w:szCs w:val="21"/>
                <w:highlight w:val="none"/>
              </w:rPr>
              <w:t>3.5.2</w:t>
            </w:r>
          </w:p>
        </w:tc>
        <w:tc>
          <w:tcPr>
            <w:tcW w:w="1650" w:type="dxa"/>
            <w:vAlign w:val="center"/>
          </w:tcPr>
          <w:p w14:paraId="1CB4B7CA">
            <w:pPr>
              <w:snapToGrid w:val="0"/>
              <w:jc w:val="center"/>
              <w:rPr>
                <w:rFonts w:ascii="宋体" w:hAnsi="宋体"/>
                <w:color w:val="auto"/>
                <w:szCs w:val="21"/>
                <w:highlight w:val="none"/>
              </w:rPr>
            </w:pPr>
            <w:r>
              <w:rPr>
                <w:rFonts w:ascii="宋体" w:hAnsi="宋体"/>
                <w:color w:val="auto"/>
                <w:szCs w:val="21"/>
                <w:highlight w:val="none"/>
              </w:rPr>
              <w:t>近年财务状况的年份要求</w:t>
            </w:r>
          </w:p>
        </w:tc>
        <w:tc>
          <w:tcPr>
            <w:tcW w:w="6863" w:type="dxa"/>
            <w:vAlign w:val="center"/>
          </w:tcPr>
          <w:p w14:paraId="0174A37F">
            <w:pPr>
              <w:snapToGrid w:val="0"/>
              <w:rPr>
                <w:rFonts w:ascii="宋体" w:hAnsi="宋体"/>
                <w:color w:val="auto"/>
                <w:szCs w:val="21"/>
                <w:highlight w:val="none"/>
                <w:u w:val="single"/>
              </w:rPr>
            </w:pPr>
            <w:r>
              <w:rPr>
                <w:rFonts w:hint="eastAsia" w:ascii="宋体" w:hAnsi="宋体"/>
                <w:color w:val="auto"/>
                <w:szCs w:val="21"/>
                <w:highlight w:val="none"/>
                <w:u w:val="single"/>
              </w:rPr>
              <w:t xml:space="preserve"> /</w:t>
            </w:r>
            <w:r>
              <w:rPr>
                <w:rFonts w:ascii="宋体" w:hAnsi="宋体"/>
                <w:color w:val="auto"/>
                <w:szCs w:val="21"/>
                <w:highlight w:val="none"/>
              </w:rPr>
              <w:t>年至</w:t>
            </w:r>
            <w:r>
              <w:rPr>
                <w:rFonts w:hint="eastAsia" w:ascii="宋体" w:hAnsi="宋体"/>
                <w:color w:val="auto"/>
                <w:szCs w:val="21"/>
                <w:highlight w:val="none"/>
                <w:u w:val="single"/>
              </w:rPr>
              <w:t xml:space="preserve"> / </w:t>
            </w:r>
            <w:r>
              <w:rPr>
                <w:rFonts w:ascii="宋体" w:hAnsi="宋体"/>
                <w:color w:val="auto"/>
                <w:szCs w:val="21"/>
                <w:highlight w:val="none"/>
              </w:rPr>
              <w:t>年</w:t>
            </w:r>
          </w:p>
        </w:tc>
      </w:tr>
      <w:tr w14:paraId="4F84FE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15FBABEC">
            <w:pPr>
              <w:snapToGrid w:val="0"/>
              <w:jc w:val="center"/>
              <w:rPr>
                <w:rFonts w:ascii="宋体" w:hAnsi="宋体"/>
                <w:color w:val="auto"/>
                <w:szCs w:val="21"/>
                <w:highlight w:val="none"/>
              </w:rPr>
            </w:pPr>
            <w:r>
              <w:rPr>
                <w:rFonts w:ascii="宋体" w:hAnsi="宋体"/>
                <w:color w:val="auto"/>
                <w:szCs w:val="21"/>
                <w:highlight w:val="none"/>
              </w:rPr>
              <w:t>3.5.3</w:t>
            </w:r>
          </w:p>
        </w:tc>
        <w:tc>
          <w:tcPr>
            <w:tcW w:w="1650" w:type="dxa"/>
            <w:vAlign w:val="center"/>
          </w:tcPr>
          <w:p w14:paraId="0F97E155">
            <w:pPr>
              <w:snapToGrid w:val="0"/>
              <w:jc w:val="center"/>
              <w:rPr>
                <w:rFonts w:ascii="宋体" w:hAnsi="宋体"/>
                <w:color w:val="auto"/>
                <w:szCs w:val="21"/>
                <w:highlight w:val="none"/>
              </w:rPr>
            </w:pPr>
            <w:r>
              <w:rPr>
                <w:rFonts w:ascii="宋体" w:hAnsi="宋体"/>
                <w:color w:val="auto"/>
                <w:szCs w:val="21"/>
                <w:highlight w:val="none"/>
              </w:rPr>
              <w:t>近年完成的类似项目情况</w:t>
            </w:r>
            <w:r>
              <w:rPr>
                <w:rFonts w:hint="eastAsia" w:ascii="宋体" w:hAnsi="宋体"/>
                <w:color w:val="auto"/>
                <w:szCs w:val="21"/>
                <w:highlight w:val="none"/>
              </w:rPr>
              <w:t>的</w:t>
            </w:r>
            <w:r>
              <w:rPr>
                <w:rFonts w:ascii="宋体" w:hAnsi="宋体"/>
                <w:color w:val="auto"/>
                <w:szCs w:val="21"/>
                <w:highlight w:val="none"/>
              </w:rPr>
              <w:t>时间要求</w:t>
            </w:r>
          </w:p>
        </w:tc>
        <w:tc>
          <w:tcPr>
            <w:tcW w:w="6863" w:type="dxa"/>
            <w:vAlign w:val="center"/>
          </w:tcPr>
          <w:p w14:paraId="7DFC2017">
            <w:pPr>
              <w:snapToGrid w:val="0"/>
              <w:rPr>
                <w:rFonts w:ascii="宋体" w:hAnsi="宋体"/>
                <w:color w:val="auto"/>
                <w:szCs w:val="21"/>
                <w:highlight w:val="none"/>
              </w:rPr>
            </w:pPr>
            <w:r>
              <w:rPr>
                <w:rFonts w:hint="eastAsia" w:ascii="宋体" w:hAnsi="宋体"/>
                <w:color w:val="auto"/>
                <w:szCs w:val="21"/>
                <w:highlight w:val="none"/>
                <w:u w:val="single"/>
              </w:rPr>
              <w:t>/</w:t>
            </w:r>
            <w:r>
              <w:rPr>
                <w:rFonts w:hint="eastAsia" w:ascii="宋体" w:hAnsi="宋体" w:cs="宋体"/>
                <w:color w:val="auto"/>
                <w:szCs w:val="21"/>
                <w:highlight w:val="none"/>
              </w:rPr>
              <w:t>年</w:t>
            </w:r>
            <w:r>
              <w:rPr>
                <w:rFonts w:hint="eastAsia" w:ascii="宋体" w:hAnsi="宋体"/>
                <w:color w:val="auto"/>
                <w:szCs w:val="21"/>
                <w:highlight w:val="none"/>
                <w:u w:val="single"/>
              </w:rPr>
              <w:t>/</w:t>
            </w:r>
            <w:r>
              <w:rPr>
                <w:rFonts w:hint="eastAsia" w:ascii="宋体" w:hAnsi="宋体" w:cs="宋体"/>
                <w:color w:val="auto"/>
                <w:szCs w:val="21"/>
                <w:highlight w:val="none"/>
              </w:rPr>
              <w:t>月</w:t>
            </w:r>
            <w:r>
              <w:rPr>
                <w:rFonts w:hint="eastAsia" w:ascii="宋体" w:hAnsi="宋体"/>
                <w:color w:val="auto"/>
                <w:szCs w:val="21"/>
                <w:highlight w:val="none"/>
                <w:u w:val="single"/>
              </w:rPr>
              <w:t>/</w:t>
            </w:r>
            <w:r>
              <w:rPr>
                <w:rFonts w:hint="eastAsia" w:ascii="宋体" w:hAnsi="宋体" w:cs="宋体"/>
                <w:color w:val="auto"/>
                <w:szCs w:val="21"/>
                <w:highlight w:val="none"/>
              </w:rPr>
              <w:t>日</w:t>
            </w:r>
          </w:p>
        </w:tc>
      </w:tr>
      <w:tr w14:paraId="4C9CCB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76E14ABB">
            <w:pPr>
              <w:snapToGrid w:val="0"/>
              <w:jc w:val="center"/>
              <w:rPr>
                <w:rFonts w:ascii="宋体" w:hAnsi="宋体"/>
                <w:color w:val="auto"/>
                <w:szCs w:val="21"/>
                <w:highlight w:val="none"/>
              </w:rPr>
            </w:pPr>
            <w:r>
              <w:rPr>
                <w:rFonts w:ascii="宋体" w:hAnsi="宋体"/>
                <w:color w:val="auto"/>
                <w:szCs w:val="21"/>
                <w:highlight w:val="none"/>
              </w:rPr>
              <w:t>3.5.5</w:t>
            </w:r>
          </w:p>
        </w:tc>
        <w:tc>
          <w:tcPr>
            <w:tcW w:w="1650" w:type="dxa"/>
            <w:vAlign w:val="center"/>
          </w:tcPr>
          <w:p w14:paraId="0D531717">
            <w:pPr>
              <w:snapToGrid w:val="0"/>
              <w:jc w:val="center"/>
              <w:rPr>
                <w:rFonts w:ascii="宋体" w:hAnsi="宋体"/>
                <w:color w:val="auto"/>
                <w:szCs w:val="21"/>
                <w:highlight w:val="none"/>
              </w:rPr>
            </w:pPr>
            <w:r>
              <w:rPr>
                <w:rFonts w:ascii="宋体" w:hAnsi="宋体"/>
                <w:color w:val="auto"/>
                <w:szCs w:val="21"/>
                <w:highlight w:val="none"/>
              </w:rPr>
              <w:t>近年发生的诉讼及仲裁情况的时间要求</w:t>
            </w:r>
          </w:p>
        </w:tc>
        <w:tc>
          <w:tcPr>
            <w:tcW w:w="6863" w:type="dxa"/>
            <w:vAlign w:val="center"/>
          </w:tcPr>
          <w:p w14:paraId="148B4B22">
            <w:pPr>
              <w:snapToGrid w:val="0"/>
              <w:rPr>
                <w:rFonts w:ascii="宋体" w:hAnsi="宋体"/>
                <w:color w:val="auto"/>
                <w:szCs w:val="21"/>
                <w:highlight w:val="none"/>
              </w:rPr>
            </w:pPr>
            <w:r>
              <w:rPr>
                <w:rFonts w:hint="eastAsia" w:ascii="宋体" w:hAnsi="宋体"/>
                <w:color w:val="auto"/>
                <w:szCs w:val="21"/>
                <w:highlight w:val="none"/>
                <w:u w:val="single"/>
              </w:rPr>
              <w:t xml:space="preserve"> /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rPr>
              <w:t>月</w:t>
            </w:r>
            <w:r>
              <w:rPr>
                <w:rFonts w:hint="eastAsia" w:ascii="宋体" w:hAnsi="宋体"/>
                <w:color w:val="auto"/>
                <w:szCs w:val="21"/>
                <w:highlight w:val="none"/>
                <w:u w:val="single"/>
              </w:rPr>
              <w:t xml:space="preserve"> / </w:t>
            </w:r>
            <w:r>
              <w:rPr>
                <w:rFonts w:ascii="宋体" w:hAnsi="宋体"/>
                <w:color w:val="auto"/>
                <w:szCs w:val="21"/>
                <w:highlight w:val="none"/>
              </w:rPr>
              <w:t>日至</w:t>
            </w:r>
            <w:r>
              <w:rPr>
                <w:rFonts w:hint="eastAsia" w:ascii="宋体" w:hAnsi="宋体"/>
                <w:color w:val="auto"/>
                <w:szCs w:val="21"/>
                <w:highlight w:val="none"/>
                <w:u w:val="single"/>
              </w:rPr>
              <w:t xml:space="preserve"> / </w:t>
            </w:r>
            <w:r>
              <w:rPr>
                <w:rFonts w:ascii="宋体" w:hAnsi="宋体"/>
                <w:color w:val="auto"/>
                <w:szCs w:val="21"/>
                <w:highlight w:val="none"/>
              </w:rPr>
              <w:t>年</w:t>
            </w:r>
            <w:r>
              <w:rPr>
                <w:rFonts w:hint="eastAsia" w:ascii="宋体" w:hAnsi="宋体"/>
                <w:color w:val="auto"/>
                <w:szCs w:val="21"/>
                <w:highlight w:val="none"/>
                <w:u w:val="single"/>
              </w:rPr>
              <w:t xml:space="preserve"> / </w:t>
            </w:r>
            <w:r>
              <w:rPr>
                <w:rFonts w:ascii="宋体" w:hAnsi="宋体"/>
                <w:color w:val="auto"/>
                <w:szCs w:val="21"/>
                <w:highlight w:val="none"/>
              </w:rPr>
              <w:t>月</w:t>
            </w:r>
            <w:r>
              <w:rPr>
                <w:rFonts w:hint="eastAsia" w:ascii="宋体" w:hAnsi="宋体"/>
                <w:color w:val="auto"/>
                <w:szCs w:val="21"/>
                <w:highlight w:val="none"/>
                <w:u w:val="single"/>
              </w:rPr>
              <w:t xml:space="preserve"> / </w:t>
            </w:r>
            <w:r>
              <w:rPr>
                <w:rFonts w:ascii="宋体" w:hAnsi="宋体"/>
                <w:color w:val="auto"/>
                <w:szCs w:val="21"/>
                <w:highlight w:val="none"/>
              </w:rPr>
              <w:t>日</w:t>
            </w:r>
          </w:p>
        </w:tc>
      </w:tr>
      <w:tr w14:paraId="55F9D1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6A970E12">
            <w:pPr>
              <w:snapToGrid w:val="0"/>
              <w:jc w:val="center"/>
              <w:rPr>
                <w:rFonts w:ascii="宋体" w:hAnsi="宋体"/>
                <w:color w:val="auto"/>
                <w:szCs w:val="21"/>
                <w:highlight w:val="none"/>
              </w:rPr>
            </w:pPr>
            <w:r>
              <w:rPr>
                <w:rFonts w:ascii="宋体" w:hAnsi="宋体"/>
                <w:color w:val="auto"/>
                <w:szCs w:val="21"/>
                <w:highlight w:val="none"/>
              </w:rPr>
              <w:t>3.6.1</w:t>
            </w:r>
          </w:p>
        </w:tc>
        <w:tc>
          <w:tcPr>
            <w:tcW w:w="1650" w:type="dxa"/>
            <w:vAlign w:val="center"/>
          </w:tcPr>
          <w:p w14:paraId="436EDA34">
            <w:pPr>
              <w:snapToGrid w:val="0"/>
              <w:jc w:val="center"/>
              <w:rPr>
                <w:rFonts w:ascii="宋体" w:hAnsi="宋体"/>
                <w:color w:val="auto"/>
                <w:szCs w:val="21"/>
                <w:highlight w:val="none"/>
              </w:rPr>
            </w:pPr>
            <w:r>
              <w:rPr>
                <w:rFonts w:ascii="宋体" w:hAnsi="宋体"/>
                <w:color w:val="auto"/>
                <w:szCs w:val="21"/>
                <w:highlight w:val="none"/>
              </w:rPr>
              <w:t>是否允许递交备选投标方案</w:t>
            </w:r>
          </w:p>
        </w:tc>
        <w:tc>
          <w:tcPr>
            <w:tcW w:w="6863" w:type="dxa"/>
            <w:vAlign w:val="center"/>
          </w:tcPr>
          <w:p w14:paraId="24277B1C">
            <w:pPr>
              <w:pStyle w:val="8"/>
              <w:topLinePunct/>
              <w:snapToGrid w:val="0"/>
              <w:rPr>
                <w:rFonts w:hAnsi="宋体"/>
                <w:color w:val="auto"/>
                <w:sz w:val="21"/>
                <w:szCs w:val="21"/>
                <w:highlight w:val="none"/>
              </w:rPr>
            </w:pPr>
            <w:r>
              <w:rPr>
                <w:rFonts w:hint="eastAsia"/>
                <w:color w:val="auto"/>
                <w:sz w:val="21"/>
                <w:szCs w:val="21"/>
                <w:highlight w:val="none"/>
              </w:rPr>
              <w:t>■</w:t>
            </w:r>
            <w:r>
              <w:rPr>
                <w:rFonts w:hAnsi="宋体"/>
                <w:color w:val="auto"/>
                <w:sz w:val="21"/>
                <w:szCs w:val="21"/>
                <w:highlight w:val="none"/>
              </w:rPr>
              <w:t>不允许</w:t>
            </w:r>
          </w:p>
          <w:p w14:paraId="2ED6F1B6">
            <w:pPr>
              <w:snapToGrid w:val="0"/>
              <w:rPr>
                <w:rFonts w:ascii="宋体" w:hAnsi="宋体"/>
                <w:color w:val="auto"/>
                <w:szCs w:val="21"/>
                <w:highlight w:val="none"/>
              </w:rPr>
            </w:pPr>
            <w:r>
              <w:rPr>
                <w:rFonts w:ascii="宋体" w:hAnsi="宋体"/>
                <w:color w:val="auto"/>
                <w:szCs w:val="21"/>
                <w:highlight w:val="none"/>
              </w:rPr>
              <w:sym w:font="Wingdings 2" w:char="00A3"/>
            </w:r>
            <w:r>
              <w:rPr>
                <w:rFonts w:ascii="宋体" w:hAnsi="宋体"/>
                <w:color w:val="auto"/>
                <w:szCs w:val="21"/>
                <w:highlight w:val="none"/>
              </w:rPr>
              <w:t>允许</w:t>
            </w:r>
          </w:p>
        </w:tc>
      </w:tr>
      <w:tr w14:paraId="58ECF1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010D21B1">
            <w:pPr>
              <w:snapToGrid w:val="0"/>
              <w:jc w:val="center"/>
              <w:rPr>
                <w:rFonts w:ascii="宋体" w:hAnsi="宋体"/>
                <w:color w:val="auto"/>
                <w:szCs w:val="21"/>
                <w:highlight w:val="none"/>
              </w:rPr>
            </w:pPr>
            <w:r>
              <w:rPr>
                <w:rFonts w:ascii="宋体" w:hAnsi="宋体"/>
                <w:color w:val="auto"/>
                <w:szCs w:val="21"/>
                <w:highlight w:val="none"/>
              </w:rPr>
              <w:t>3.7.3A（2）</w:t>
            </w:r>
          </w:p>
        </w:tc>
        <w:tc>
          <w:tcPr>
            <w:tcW w:w="1650" w:type="dxa"/>
            <w:vAlign w:val="center"/>
          </w:tcPr>
          <w:p w14:paraId="74226A63">
            <w:pPr>
              <w:snapToGrid w:val="0"/>
              <w:jc w:val="center"/>
              <w:rPr>
                <w:rFonts w:ascii="宋体" w:hAnsi="宋体"/>
                <w:color w:val="auto"/>
                <w:szCs w:val="21"/>
                <w:highlight w:val="none"/>
              </w:rPr>
            </w:pPr>
            <w:r>
              <w:rPr>
                <w:rFonts w:ascii="宋体" w:hAnsi="宋体"/>
                <w:color w:val="auto"/>
                <w:szCs w:val="21"/>
                <w:highlight w:val="none"/>
              </w:rPr>
              <w:t>投标文件份数</w:t>
            </w:r>
          </w:p>
        </w:tc>
        <w:tc>
          <w:tcPr>
            <w:tcW w:w="6863" w:type="dxa"/>
            <w:vAlign w:val="center"/>
          </w:tcPr>
          <w:p w14:paraId="00589484">
            <w:pPr>
              <w:snapToGrid w:val="0"/>
              <w:rPr>
                <w:rFonts w:ascii="宋体" w:hAnsi="宋体"/>
                <w:color w:val="auto"/>
                <w:szCs w:val="21"/>
                <w:highlight w:val="none"/>
              </w:rPr>
            </w:pPr>
            <w:r>
              <w:rPr>
                <w:rFonts w:hint="eastAsia" w:ascii="宋体" w:hAnsi="宋体"/>
                <w:color w:val="auto"/>
                <w:szCs w:val="21"/>
                <w:highlight w:val="none"/>
              </w:rPr>
              <w:t>本项目不适用。</w:t>
            </w:r>
          </w:p>
        </w:tc>
      </w:tr>
      <w:tr w14:paraId="52F9E1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78" w:type="dxa"/>
            <w:vAlign w:val="center"/>
          </w:tcPr>
          <w:p w14:paraId="20324671">
            <w:pPr>
              <w:snapToGrid w:val="0"/>
              <w:jc w:val="center"/>
              <w:rPr>
                <w:rFonts w:ascii="宋体" w:hAnsi="宋体"/>
                <w:color w:val="auto"/>
                <w:szCs w:val="21"/>
                <w:highlight w:val="none"/>
              </w:rPr>
            </w:pPr>
            <w:r>
              <w:rPr>
                <w:rFonts w:ascii="宋体" w:hAnsi="宋体"/>
                <w:color w:val="auto"/>
                <w:szCs w:val="21"/>
                <w:highlight w:val="none"/>
              </w:rPr>
              <w:t>3.7.3A（3）</w:t>
            </w:r>
          </w:p>
        </w:tc>
        <w:tc>
          <w:tcPr>
            <w:tcW w:w="1650" w:type="dxa"/>
            <w:vAlign w:val="center"/>
          </w:tcPr>
          <w:p w14:paraId="4F341953">
            <w:pPr>
              <w:snapToGrid w:val="0"/>
              <w:jc w:val="center"/>
              <w:rPr>
                <w:rFonts w:ascii="宋体" w:hAnsi="宋体"/>
                <w:color w:val="auto"/>
                <w:szCs w:val="21"/>
                <w:highlight w:val="none"/>
              </w:rPr>
            </w:pPr>
            <w:r>
              <w:rPr>
                <w:rFonts w:ascii="宋体" w:hAnsi="宋体"/>
                <w:color w:val="auto"/>
                <w:szCs w:val="21"/>
                <w:highlight w:val="none"/>
              </w:rPr>
              <w:t>投标文件是否需分册装订</w:t>
            </w:r>
          </w:p>
        </w:tc>
        <w:tc>
          <w:tcPr>
            <w:tcW w:w="6863" w:type="dxa"/>
            <w:vAlign w:val="center"/>
          </w:tcPr>
          <w:p w14:paraId="68A9ED2E">
            <w:pPr>
              <w:snapToGrid w:val="0"/>
              <w:rPr>
                <w:rFonts w:ascii="宋体" w:hAnsi="宋体"/>
                <w:color w:val="auto"/>
                <w:szCs w:val="21"/>
                <w:highlight w:val="none"/>
              </w:rPr>
            </w:pPr>
            <w:r>
              <w:rPr>
                <w:rFonts w:hint="eastAsia" w:ascii="宋体" w:hAnsi="宋体"/>
                <w:color w:val="auto"/>
                <w:szCs w:val="21"/>
                <w:highlight w:val="none"/>
              </w:rPr>
              <w:t>本项目不适用。</w:t>
            </w:r>
          </w:p>
        </w:tc>
      </w:tr>
      <w:tr w14:paraId="29CA93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0E1F8762">
            <w:pPr>
              <w:snapToGrid w:val="0"/>
              <w:jc w:val="center"/>
              <w:rPr>
                <w:rFonts w:ascii="宋体" w:hAnsi="宋体"/>
                <w:color w:val="auto"/>
                <w:szCs w:val="21"/>
                <w:highlight w:val="none"/>
              </w:rPr>
            </w:pPr>
            <w:r>
              <w:rPr>
                <w:rFonts w:ascii="宋体" w:hAnsi="宋体"/>
                <w:color w:val="auto"/>
                <w:szCs w:val="21"/>
                <w:highlight w:val="none"/>
              </w:rPr>
              <w:t>3.7.3（B）</w:t>
            </w:r>
          </w:p>
        </w:tc>
        <w:tc>
          <w:tcPr>
            <w:tcW w:w="1650" w:type="dxa"/>
            <w:vAlign w:val="center"/>
          </w:tcPr>
          <w:p w14:paraId="19451649">
            <w:pPr>
              <w:snapToGrid w:val="0"/>
              <w:jc w:val="center"/>
              <w:rPr>
                <w:rFonts w:ascii="宋体" w:hAnsi="宋体"/>
                <w:color w:val="auto"/>
                <w:szCs w:val="21"/>
                <w:highlight w:val="none"/>
              </w:rPr>
            </w:pPr>
            <w:r>
              <w:rPr>
                <w:rFonts w:ascii="宋体" w:hAnsi="宋体"/>
                <w:color w:val="auto"/>
                <w:szCs w:val="21"/>
                <w:highlight w:val="none"/>
              </w:rPr>
              <w:t>投标文件所附证书证件要求</w:t>
            </w:r>
          </w:p>
        </w:tc>
        <w:tc>
          <w:tcPr>
            <w:tcW w:w="6863" w:type="dxa"/>
            <w:vAlign w:val="center"/>
          </w:tcPr>
          <w:p w14:paraId="2D61B67E">
            <w:pPr>
              <w:pStyle w:val="8"/>
              <w:topLinePunct/>
              <w:snapToGrid w:val="0"/>
              <w:rPr>
                <w:color w:val="auto"/>
                <w:sz w:val="21"/>
                <w:szCs w:val="21"/>
                <w:highlight w:val="none"/>
              </w:rPr>
            </w:pPr>
            <w:r>
              <w:rPr>
                <w:rFonts w:hint="eastAsia"/>
                <w:color w:val="auto"/>
                <w:sz w:val="21"/>
                <w:szCs w:val="21"/>
                <w:highlight w:val="none"/>
              </w:rPr>
              <w:t>证书证件需为清晰扫描件，并采用单位数字证书，</w:t>
            </w:r>
            <w:r>
              <w:rPr>
                <w:rFonts w:hint="eastAsia"/>
                <w:color w:val="auto"/>
                <w:sz w:val="21"/>
                <w:szCs w:val="21"/>
                <w:highlight w:val="none"/>
                <w:lang w:val="en-US" w:eastAsia="zh-CN"/>
              </w:rPr>
              <w:t>对投标文件</w:t>
            </w:r>
            <w:r>
              <w:rPr>
                <w:rFonts w:hint="eastAsia"/>
                <w:color w:val="auto"/>
                <w:sz w:val="21"/>
                <w:szCs w:val="21"/>
                <w:highlight w:val="none"/>
              </w:rPr>
              <w:t>加盖电子印章。</w:t>
            </w:r>
          </w:p>
        </w:tc>
      </w:tr>
      <w:tr w14:paraId="2C2758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1FBB8237">
            <w:pPr>
              <w:snapToGrid w:val="0"/>
              <w:jc w:val="center"/>
              <w:rPr>
                <w:rFonts w:ascii="宋体" w:hAnsi="宋体"/>
                <w:color w:val="auto"/>
                <w:szCs w:val="21"/>
                <w:highlight w:val="none"/>
              </w:rPr>
            </w:pPr>
            <w:r>
              <w:rPr>
                <w:rFonts w:ascii="宋体" w:hAnsi="宋体"/>
                <w:color w:val="auto"/>
                <w:szCs w:val="21"/>
                <w:highlight w:val="none"/>
              </w:rPr>
              <w:t>3.7.3（B）</w:t>
            </w:r>
          </w:p>
        </w:tc>
        <w:tc>
          <w:tcPr>
            <w:tcW w:w="1650" w:type="dxa"/>
            <w:vAlign w:val="center"/>
          </w:tcPr>
          <w:p w14:paraId="4730D796">
            <w:pPr>
              <w:snapToGrid w:val="0"/>
              <w:jc w:val="center"/>
              <w:rPr>
                <w:rFonts w:ascii="宋体" w:hAnsi="宋体"/>
                <w:color w:val="auto"/>
                <w:szCs w:val="21"/>
                <w:highlight w:val="none"/>
              </w:rPr>
            </w:pPr>
            <w:r>
              <w:rPr>
                <w:rFonts w:ascii="宋体" w:hAnsi="宋体"/>
                <w:color w:val="auto"/>
                <w:szCs w:val="21"/>
                <w:highlight w:val="none"/>
              </w:rPr>
              <w:t>投标文件签字或盖章要求</w:t>
            </w:r>
          </w:p>
        </w:tc>
        <w:tc>
          <w:tcPr>
            <w:tcW w:w="6863" w:type="dxa"/>
            <w:vAlign w:val="center"/>
          </w:tcPr>
          <w:p w14:paraId="0EC82639">
            <w:pPr>
              <w:pStyle w:val="8"/>
              <w:topLinePunct/>
              <w:snapToGrid w:val="0"/>
              <w:rPr>
                <w:rFonts w:hint="eastAsia" w:eastAsia="宋体"/>
                <w:color w:val="auto"/>
                <w:sz w:val="21"/>
                <w:szCs w:val="21"/>
                <w:highlight w:val="none"/>
                <w:u w:val="single"/>
                <w:lang w:eastAsia="zh-CN"/>
              </w:rPr>
            </w:pPr>
            <w:r>
              <w:rPr>
                <w:rFonts w:hint="eastAsia"/>
                <w:color w:val="auto"/>
                <w:sz w:val="21"/>
                <w:szCs w:val="21"/>
                <w:highlight w:val="none"/>
                <w:u w:val="single"/>
              </w:rPr>
              <w:t>投标文件全部采用电子文档，投标文件所附证书证件均为扫描件，并采用单位数字证书，</w:t>
            </w:r>
            <w:r>
              <w:rPr>
                <w:rFonts w:hint="eastAsia"/>
                <w:color w:val="auto"/>
                <w:sz w:val="21"/>
                <w:szCs w:val="21"/>
                <w:highlight w:val="none"/>
                <w:u w:val="single"/>
                <w:lang w:val="en-US" w:eastAsia="zh-CN"/>
              </w:rPr>
              <w:t>对投标文件</w:t>
            </w:r>
            <w:r>
              <w:rPr>
                <w:rFonts w:hint="eastAsia"/>
                <w:color w:val="auto"/>
                <w:sz w:val="21"/>
                <w:szCs w:val="21"/>
                <w:highlight w:val="none"/>
                <w:u w:val="single"/>
              </w:rPr>
              <w:t>加盖电子印章。投标文件中需个人签字或盖章的，应加盖个人电子印章或在线下完成后扫描上传。具体操作详见附件《房屋建筑和市政基础设施工程全流程电子化项目专章》。</w:t>
            </w:r>
            <w:r>
              <w:rPr>
                <w:rFonts w:hint="eastAsia" w:hAnsi="宋体"/>
                <w:color w:val="auto"/>
                <w:sz w:val="21"/>
                <w:szCs w:val="21"/>
                <w:highlight w:val="none"/>
                <w:u w:val="single"/>
                <w:lang w:eastAsia="zh-CN"/>
              </w:rPr>
              <w:t>联合体投标时，除《联合体协议</w:t>
            </w:r>
            <w:r>
              <w:rPr>
                <w:rFonts w:hint="eastAsia" w:hAnsi="宋体"/>
                <w:color w:val="auto"/>
                <w:sz w:val="21"/>
                <w:szCs w:val="21"/>
                <w:highlight w:val="none"/>
                <w:u w:val="single"/>
                <w:lang w:val="en-US" w:eastAsia="zh-CN"/>
              </w:rPr>
              <w:t>书</w:t>
            </w:r>
            <w:r>
              <w:rPr>
                <w:rFonts w:hint="eastAsia" w:hAnsi="宋体"/>
                <w:color w:val="auto"/>
                <w:sz w:val="21"/>
                <w:szCs w:val="21"/>
                <w:highlight w:val="none"/>
                <w:u w:val="single"/>
                <w:lang w:eastAsia="zh-CN"/>
              </w:rPr>
              <w:t>》必须联合体各方分别按要求进行签名（或盖章）、盖单位公章外，其他内容及落款中的“投标人”“</w:t>
            </w:r>
            <w:r>
              <w:rPr>
                <w:rFonts w:hint="eastAsia" w:hAnsi="宋体"/>
                <w:color w:val="auto"/>
                <w:sz w:val="21"/>
                <w:szCs w:val="21"/>
                <w:highlight w:val="none"/>
                <w:u w:val="single"/>
                <w:lang w:val="en-US" w:eastAsia="zh-CN"/>
              </w:rPr>
              <w:t>声明企业</w:t>
            </w:r>
            <w:r>
              <w:rPr>
                <w:rFonts w:hint="eastAsia" w:hAnsi="宋体"/>
                <w:color w:val="auto"/>
                <w:sz w:val="21"/>
                <w:szCs w:val="21"/>
                <w:highlight w:val="none"/>
                <w:u w:val="single"/>
                <w:lang w:eastAsia="zh-CN"/>
              </w:rPr>
              <w:t>”应填写联合体各方的单位全称【格式为：(主)XXXX公司(成)XXXX公司】，可仅由联合体牵头人盖单位</w:t>
            </w:r>
            <w:r>
              <w:rPr>
                <w:rFonts w:hint="eastAsia" w:hAnsi="宋体"/>
                <w:color w:val="auto"/>
                <w:sz w:val="21"/>
                <w:szCs w:val="21"/>
                <w:highlight w:val="none"/>
                <w:u w:val="single"/>
                <w:lang w:val="en-US" w:eastAsia="zh-CN"/>
              </w:rPr>
              <w:t>公</w:t>
            </w:r>
            <w:r>
              <w:rPr>
                <w:rFonts w:hint="eastAsia" w:hAnsi="宋体"/>
                <w:color w:val="auto"/>
                <w:sz w:val="21"/>
                <w:szCs w:val="21"/>
                <w:highlight w:val="none"/>
                <w:u w:val="single"/>
                <w:lang w:eastAsia="zh-CN"/>
              </w:rPr>
              <w:t>章、签名(或盖章)，视作符合要求。联合体投标的，法定代表人证明书及授权委托证明书可由联合体牵头人出具，其中“</w:t>
            </w:r>
            <w:r>
              <w:rPr>
                <w:rFonts w:hint="eastAsia" w:hAnsi="宋体"/>
                <w:color w:val="auto"/>
                <w:sz w:val="21"/>
                <w:szCs w:val="21"/>
                <w:highlight w:val="none"/>
                <w:u w:val="single"/>
                <w:lang w:val="en-US" w:eastAsia="zh-CN"/>
              </w:rPr>
              <w:t>投标人名称</w:t>
            </w:r>
            <w:r>
              <w:rPr>
                <w:rFonts w:hint="eastAsia" w:hAnsi="宋体"/>
                <w:color w:val="auto"/>
                <w:sz w:val="21"/>
                <w:szCs w:val="21"/>
                <w:highlight w:val="none"/>
                <w:u w:val="single"/>
                <w:lang w:eastAsia="zh-CN"/>
              </w:rPr>
              <w:t>”一栏可只填写联合体牵头人名称并由联合体牵头人按要求签字或盖章即可。</w:t>
            </w:r>
          </w:p>
        </w:tc>
      </w:tr>
      <w:tr w14:paraId="5C2A07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6334BD20">
            <w:pPr>
              <w:snapToGrid w:val="0"/>
              <w:jc w:val="center"/>
              <w:rPr>
                <w:rFonts w:ascii="宋体" w:hAnsi="宋体"/>
                <w:color w:val="auto"/>
                <w:szCs w:val="21"/>
                <w:highlight w:val="none"/>
              </w:rPr>
            </w:pPr>
            <w:r>
              <w:rPr>
                <w:rFonts w:ascii="宋体" w:hAnsi="宋体"/>
                <w:color w:val="auto"/>
                <w:szCs w:val="21"/>
                <w:highlight w:val="none"/>
              </w:rPr>
              <w:t>4.1.1（B）</w:t>
            </w:r>
          </w:p>
        </w:tc>
        <w:tc>
          <w:tcPr>
            <w:tcW w:w="1650" w:type="dxa"/>
            <w:vAlign w:val="center"/>
          </w:tcPr>
          <w:p w14:paraId="71894054">
            <w:pPr>
              <w:snapToGrid w:val="0"/>
              <w:jc w:val="center"/>
              <w:rPr>
                <w:rFonts w:ascii="宋体" w:hAnsi="宋体"/>
                <w:color w:val="auto"/>
                <w:szCs w:val="21"/>
                <w:highlight w:val="none"/>
              </w:rPr>
            </w:pPr>
            <w:r>
              <w:rPr>
                <w:rFonts w:ascii="宋体" w:hAnsi="宋体"/>
                <w:color w:val="auto"/>
                <w:szCs w:val="21"/>
                <w:highlight w:val="none"/>
              </w:rPr>
              <w:t>投标文件加密要求</w:t>
            </w:r>
          </w:p>
        </w:tc>
        <w:tc>
          <w:tcPr>
            <w:tcW w:w="6863" w:type="dxa"/>
            <w:vAlign w:val="center"/>
          </w:tcPr>
          <w:p w14:paraId="677EF23D">
            <w:pPr>
              <w:pStyle w:val="8"/>
              <w:topLinePunct/>
              <w:snapToGrid w:val="0"/>
              <w:rPr>
                <w:rFonts w:hAnsi="宋体"/>
                <w:color w:val="auto"/>
                <w:szCs w:val="21"/>
                <w:highlight w:val="none"/>
                <w:u w:val="single"/>
              </w:rPr>
            </w:pPr>
            <w:r>
              <w:rPr>
                <w:rFonts w:hint="eastAsia"/>
                <w:color w:val="auto"/>
                <w:sz w:val="21"/>
                <w:szCs w:val="21"/>
                <w:highlight w:val="none"/>
              </w:rPr>
              <w:t>网上递交的电子投标文件须进行加密。具体操作详见</w:t>
            </w:r>
            <w:r>
              <w:rPr>
                <w:rFonts w:hint="eastAsia"/>
                <w:color w:val="auto"/>
                <w:sz w:val="21"/>
                <w:szCs w:val="21"/>
                <w:highlight w:val="none"/>
                <w:lang w:eastAsia="zh-CN"/>
              </w:rPr>
              <w:t>广州交易集团有限公司（广州公共资源交易中心）</w:t>
            </w:r>
            <w:r>
              <w:rPr>
                <w:rFonts w:hint="eastAsia"/>
                <w:color w:val="auto"/>
                <w:sz w:val="21"/>
                <w:szCs w:val="21"/>
                <w:highlight w:val="none"/>
              </w:rPr>
              <w:t>发布的最新版本《房屋建筑和市政基础设施工程全流程电子化项目专章》</w:t>
            </w:r>
          </w:p>
        </w:tc>
      </w:tr>
      <w:tr w14:paraId="3C117F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41FE4C2F">
            <w:pPr>
              <w:snapToGrid w:val="0"/>
              <w:jc w:val="center"/>
              <w:rPr>
                <w:rFonts w:ascii="宋体" w:hAnsi="宋体"/>
                <w:color w:val="auto"/>
                <w:szCs w:val="21"/>
                <w:highlight w:val="none"/>
              </w:rPr>
            </w:pPr>
            <w:r>
              <w:rPr>
                <w:rFonts w:ascii="宋体" w:hAnsi="宋体"/>
                <w:color w:val="auto"/>
                <w:szCs w:val="21"/>
                <w:highlight w:val="none"/>
              </w:rPr>
              <w:t>4.1.2</w:t>
            </w:r>
          </w:p>
        </w:tc>
        <w:tc>
          <w:tcPr>
            <w:tcW w:w="1650" w:type="dxa"/>
            <w:vAlign w:val="center"/>
          </w:tcPr>
          <w:p w14:paraId="27E84073">
            <w:pPr>
              <w:snapToGrid w:val="0"/>
              <w:jc w:val="center"/>
              <w:rPr>
                <w:rFonts w:ascii="宋体" w:hAnsi="宋体"/>
                <w:color w:val="auto"/>
                <w:szCs w:val="21"/>
                <w:highlight w:val="none"/>
                <w:shd w:val="clear" w:color="FFFFFF" w:fill="D9D9D9"/>
              </w:rPr>
            </w:pPr>
            <w:r>
              <w:rPr>
                <w:rFonts w:hint="eastAsia" w:ascii="宋体" w:hAnsi="宋体"/>
                <w:color w:val="auto"/>
                <w:szCs w:val="21"/>
                <w:highlight w:val="none"/>
              </w:rPr>
              <w:t>投标文件的包封、密封和标志</w:t>
            </w:r>
          </w:p>
        </w:tc>
        <w:tc>
          <w:tcPr>
            <w:tcW w:w="6863" w:type="dxa"/>
            <w:vAlign w:val="center"/>
          </w:tcPr>
          <w:p w14:paraId="05CB2B1A">
            <w:pPr>
              <w:pStyle w:val="8"/>
              <w:topLinePunct/>
              <w:snapToGrid w:val="0"/>
              <w:rPr>
                <w:rFonts w:hAnsi="宋体"/>
                <w:color w:val="auto"/>
                <w:sz w:val="21"/>
                <w:szCs w:val="21"/>
                <w:highlight w:val="none"/>
              </w:rPr>
            </w:pPr>
            <w:r>
              <w:rPr>
                <w:rFonts w:hint="eastAsia" w:hAnsi="宋体"/>
                <w:color w:val="auto"/>
                <w:sz w:val="21"/>
                <w:szCs w:val="21"/>
                <w:highlight w:val="none"/>
              </w:rPr>
              <w:t>如有提交投标文件光盘备用，封套上应注明如下信息：</w:t>
            </w:r>
          </w:p>
          <w:p w14:paraId="4B3E55CE">
            <w:pPr>
              <w:pStyle w:val="8"/>
              <w:topLinePunct/>
              <w:snapToGrid w:val="0"/>
              <w:rPr>
                <w:rFonts w:hint="eastAsia" w:hAnsi="宋体"/>
                <w:color w:val="auto"/>
                <w:sz w:val="21"/>
                <w:szCs w:val="21"/>
                <w:highlight w:val="none"/>
                <w:lang w:eastAsia="zh-CN"/>
              </w:rPr>
            </w:pPr>
            <w:r>
              <w:rPr>
                <w:rFonts w:hint="eastAsia" w:hAnsi="宋体"/>
                <w:color w:val="auto"/>
                <w:sz w:val="21"/>
                <w:szCs w:val="21"/>
                <w:highlight w:val="none"/>
              </w:rPr>
              <w:t>招标人名称：</w:t>
            </w:r>
            <w:r>
              <w:rPr>
                <w:rFonts w:hint="eastAsia" w:hAnsi="宋体"/>
                <w:color w:val="auto"/>
                <w:sz w:val="21"/>
                <w:szCs w:val="21"/>
                <w:highlight w:val="none"/>
                <w:u w:val="single"/>
              </w:rPr>
              <w:t>广州市越秀区代建项目管理中心</w:t>
            </w:r>
          </w:p>
          <w:p w14:paraId="211FDE90">
            <w:pPr>
              <w:pStyle w:val="8"/>
              <w:topLinePunct/>
              <w:snapToGrid w:val="0"/>
              <w:rPr>
                <w:rFonts w:hAnsi="宋体"/>
                <w:color w:val="auto"/>
                <w:sz w:val="21"/>
                <w:szCs w:val="21"/>
                <w:highlight w:val="none"/>
              </w:rPr>
            </w:pPr>
            <w:r>
              <w:rPr>
                <w:rFonts w:hint="eastAsia" w:hAnsi="宋体"/>
                <w:color w:val="auto"/>
                <w:sz w:val="21"/>
                <w:szCs w:val="21"/>
                <w:highlight w:val="none"/>
              </w:rPr>
              <w:t>招标人地址：</w:t>
            </w:r>
            <w:r>
              <w:rPr>
                <w:rFonts w:hint="eastAsia" w:hAnsi="宋体"/>
                <w:color w:val="auto"/>
                <w:sz w:val="21"/>
                <w:szCs w:val="21"/>
                <w:highlight w:val="none"/>
                <w:u w:val="single"/>
              </w:rPr>
              <w:t>广州市越秀区东华西路永胜街51号</w:t>
            </w:r>
          </w:p>
          <w:p w14:paraId="0FABDD8E">
            <w:pPr>
              <w:pStyle w:val="8"/>
              <w:topLinePunct/>
              <w:snapToGrid w:val="0"/>
              <w:rPr>
                <w:rFonts w:hAnsi="宋体"/>
                <w:color w:val="auto"/>
                <w:sz w:val="21"/>
                <w:szCs w:val="21"/>
                <w:highlight w:val="none"/>
                <w:u w:val="single"/>
              </w:rPr>
            </w:pPr>
            <w:r>
              <w:rPr>
                <w:rFonts w:hint="eastAsia" w:hAnsi="宋体"/>
                <w:color w:val="auto"/>
                <w:sz w:val="21"/>
                <w:szCs w:val="21"/>
                <w:highlight w:val="none"/>
                <w:u w:val="single"/>
                <w:lang w:eastAsia="zh-CN"/>
              </w:rPr>
              <w:t>花果山产业小镇综合配套工程建设项目土壤污染修复效果评估咨询服务</w:t>
            </w:r>
            <w:r>
              <w:rPr>
                <w:rFonts w:hint="eastAsia" w:hAnsi="宋体"/>
                <w:color w:val="auto"/>
                <w:sz w:val="21"/>
                <w:szCs w:val="21"/>
                <w:highlight w:val="none"/>
                <w:u w:val="single"/>
              </w:rPr>
              <w:t>投标文件</w:t>
            </w:r>
          </w:p>
          <w:p w14:paraId="346DF795">
            <w:pPr>
              <w:pStyle w:val="8"/>
              <w:topLinePunct/>
              <w:snapToGrid w:val="0"/>
              <w:rPr>
                <w:rFonts w:hAnsi="宋体"/>
                <w:color w:val="auto"/>
                <w:sz w:val="21"/>
                <w:szCs w:val="21"/>
                <w:highlight w:val="none"/>
              </w:rPr>
            </w:pPr>
            <w:r>
              <w:rPr>
                <w:rFonts w:hint="eastAsia" w:hAnsi="宋体"/>
                <w:color w:val="auto"/>
                <w:sz w:val="21"/>
                <w:szCs w:val="21"/>
                <w:highlight w:val="none"/>
              </w:rPr>
              <w:t xml:space="preserve">招标项目编号：           </w:t>
            </w:r>
          </w:p>
          <w:p w14:paraId="7CB87898">
            <w:pPr>
              <w:pStyle w:val="8"/>
              <w:topLinePunct/>
              <w:snapToGrid w:val="0"/>
              <w:rPr>
                <w:rFonts w:hAnsi="宋体"/>
                <w:color w:val="auto"/>
                <w:szCs w:val="21"/>
                <w:highlight w:val="none"/>
              </w:rPr>
            </w:pPr>
            <w:r>
              <w:rPr>
                <w:rFonts w:hint="eastAsia" w:hAnsi="宋体"/>
                <w:color w:val="auto"/>
                <w:sz w:val="21"/>
                <w:szCs w:val="21"/>
                <w:highlight w:val="none"/>
              </w:rPr>
              <w:t>在</w:t>
            </w:r>
            <w:r>
              <w:rPr>
                <w:rFonts w:hint="eastAsia" w:hAnsi="宋体"/>
                <w:color w:val="auto"/>
                <w:sz w:val="21"/>
                <w:szCs w:val="21"/>
                <w:highlight w:val="none"/>
                <w:lang w:val="en-US" w:eastAsia="zh-CN"/>
              </w:rPr>
              <w:t xml:space="preserve">  </w:t>
            </w:r>
            <w:r>
              <w:rPr>
                <w:rFonts w:hint="eastAsia" w:hAnsi="宋体"/>
                <w:color w:val="auto"/>
                <w:sz w:val="21"/>
                <w:szCs w:val="21"/>
                <w:highlight w:val="none"/>
              </w:rPr>
              <w:t>年</w:t>
            </w:r>
            <w:r>
              <w:rPr>
                <w:rFonts w:hint="eastAsia" w:hAnsi="宋体"/>
                <w:color w:val="auto"/>
                <w:sz w:val="21"/>
                <w:szCs w:val="21"/>
                <w:highlight w:val="none"/>
                <w:lang w:val="en-US" w:eastAsia="zh-CN"/>
              </w:rPr>
              <w:t xml:space="preserve">  </w:t>
            </w:r>
            <w:r>
              <w:rPr>
                <w:rFonts w:hint="eastAsia" w:hAnsi="宋体"/>
                <w:color w:val="auto"/>
                <w:sz w:val="21"/>
                <w:szCs w:val="21"/>
                <w:highlight w:val="none"/>
              </w:rPr>
              <w:t>月</w:t>
            </w:r>
            <w:r>
              <w:rPr>
                <w:rFonts w:hint="eastAsia" w:hAnsi="宋体"/>
                <w:color w:val="auto"/>
                <w:sz w:val="21"/>
                <w:szCs w:val="21"/>
                <w:highlight w:val="none"/>
                <w:lang w:val="en-US" w:eastAsia="zh-CN"/>
              </w:rPr>
              <w:t xml:space="preserve">  </w:t>
            </w:r>
            <w:r>
              <w:rPr>
                <w:rFonts w:hint="eastAsia" w:hAnsi="宋体"/>
                <w:color w:val="auto"/>
                <w:sz w:val="21"/>
                <w:szCs w:val="21"/>
                <w:highlight w:val="none"/>
              </w:rPr>
              <w:t>日</w:t>
            </w:r>
            <w:r>
              <w:rPr>
                <w:rFonts w:hint="eastAsia" w:hAnsi="宋体"/>
                <w:color w:val="auto"/>
                <w:sz w:val="21"/>
                <w:szCs w:val="21"/>
                <w:highlight w:val="none"/>
                <w:lang w:val="en-US" w:eastAsia="zh-CN"/>
              </w:rPr>
              <w:t xml:space="preserve">  </w:t>
            </w:r>
            <w:r>
              <w:rPr>
                <w:rFonts w:hint="eastAsia" w:hAnsi="宋体"/>
                <w:color w:val="auto"/>
                <w:sz w:val="21"/>
                <w:szCs w:val="21"/>
                <w:highlight w:val="none"/>
              </w:rPr>
              <w:t>时</w:t>
            </w:r>
            <w:r>
              <w:rPr>
                <w:rFonts w:hint="eastAsia" w:hAnsi="宋体"/>
                <w:color w:val="auto"/>
                <w:sz w:val="21"/>
                <w:szCs w:val="21"/>
                <w:highlight w:val="none"/>
                <w:lang w:val="en-US" w:eastAsia="zh-CN"/>
              </w:rPr>
              <w:t xml:space="preserve">  分</w:t>
            </w:r>
            <w:r>
              <w:rPr>
                <w:rFonts w:hint="eastAsia" w:hAnsi="宋体"/>
                <w:color w:val="auto"/>
                <w:sz w:val="21"/>
                <w:szCs w:val="21"/>
                <w:highlight w:val="none"/>
              </w:rPr>
              <w:t>前不得开启</w:t>
            </w:r>
          </w:p>
        </w:tc>
      </w:tr>
      <w:tr w14:paraId="4CC7E9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38FC87C0">
            <w:pPr>
              <w:snapToGrid w:val="0"/>
              <w:jc w:val="center"/>
              <w:rPr>
                <w:rFonts w:ascii="宋体" w:hAnsi="宋体"/>
                <w:color w:val="auto"/>
                <w:szCs w:val="21"/>
                <w:highlight w:val="none"/>
              </w:rPr>
            </w:pPr>
            <w:r>
              <w:rPr>
                <w:rFonts w:ascii="宋体" w:hAnsi="宋体"/>
                <w:color w:val="auto"/>
                <w:szCs w:val="21"/>
                <w:highlight w:val="none"/>
              </w:rPr>
              <w:t>4.2.1</w:t>
            </w:r>
          </w:p>
        </w:tc>
        <w:tc>
          <w:tcPr>
            <w:tcW w:w="1650" w:type="dxa"/>
            <w:vAlign w:val="center"/>
          </w:tcPr>
          <w:p w14:paraId="56F5AE10">
            <w:pPr>
              <w:snapToGrid w:val="0"/>
              <w:jc w:val="center"/>
              <w:rPr>
                <w:rFonts w:ascii="宋体" w:hAnsi="宋体"/>
                <w:color w:val="auto"/>
                <w:szCs w:val="21"/>
                <w:highlight w:val="none"/>
              </w:rPr>
            </w:pPr>
            <w:r>
              <w:rPr>
                <w:rFonts w:ascii="宋体" w:hAnsi="宋体"/>
                <w:color w:val="auto"/>
                <w:szCs w:val="21"/>
                <w:highlight w:val="none"/>
              </w:rPr>
              <w:t>投标截止时间</w:t>
            </w:r>
          </w:p>
        </w:tc>
        <w:tc>
          <w:tcPr>
            <w:tcW w:w="6863" w:type="dxa"/>
            <w:vAlign w:val="center"/>
          </w:tcPr>
          <w:p w14:paraId="4E540A9B">
            <w:pPr>
              <w:snapToGrid w:val="0"/>
              <w:rPr>
                <w:rFonts w:ascii="宋体" w:hAnsi="宋体"/>
                <w:color w:val="auto"/>
                <w:szCs w:val="21"/>
                <w:highlight w:val="none"/>
              </w:rPr>
            </w:pPr>
            <w:r>
              <w:rPr>
                <w:rFonts w:hint="eastAsia" w:ascii="宋体" w:hAnsi="宋体"/>
                <w:color w:val="auto"/>
                <w:szCs w:val="21"/>
                <w:highlight w:val="none"/>
              </w:rPr>
              <w:t>投标截止时间：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年  月  日</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时</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分（北京时间，详见</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网站信息）</w:t>
            </w:r>
          </w:p>
        </w:tc>
      </w:tr>
      <w:tr w14:paraId="189F11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746DCDE9">
            <w:pPr>
              <w:snapToGrid w:val="0"/>
              <w:jc w:val="center"/>
              <w:rPr>
                <w:rFonts w:ascii="宋体" w:hAnsi="宋体"/>
                <w:color w:val="auto"/>
                <w:szCs w:val="21"/>
                <w:highlight w:val="none"/>
              </w:rPr>
            </w:pPr>
            <w:r>
              <w:rPr>
                <w:rFonts w:ascii="宋体" w:hAnsi="宋体"/>
                <w:color w:val="auto"/>
                <w:szCs w:val="21"/>
                <w:highlight w:val="none"/>
              </w:rPr>
              <w:t>4.2.2（A）</w:t>
            </w:r>
          </w:p>
        </w:tc>
        <w:tc>
          <w:tcPr>
            <w:tcW w:w="1650" w:type="dxa"/>
            <w:vAlign w:val="center"/>
          </w:tcPr>
          <w:p w14:paraId="120546A1">
            <w:pPr>
              <w:snapToGrid w:val="0"/>
              <w:jc w:val="center"/>
              <w:rPr>
                <w:rFonts w:ascii="宋体" w:hAnsi="宋体"/>
                <w:color w:val="auto"/>
                <w:szCs w:val="21"/>
                <w:highlight w:val="none"/>
              </w:rPr>
            </w:pPr>
            <w:r>
              <w:rPr>
                <w:rFonts w:ascii="宋体" w:hAnsi="宋体"/>
                <w:color w:val="auto"/>
                <w:szCs w:val="21"/>
                <w:highlight w:val="none"/>
              </w:rPr>
              <w:t>递交投标文件</w:t>
            </w:r>
            <w:r>
              <w:rPr>
                <w:rFonts w:hint="eastAsia" w:ascii="宋体" w:hAnsi="宋体"/>
                <w:color w:val="auto"/>
                <w:szCs w:val="21"/>
                <w:highlight w:val="none"/>
              </w:rPr>
              <w:t>时间和</w:t>
            </w:r>
            <w:r>
              <w:rPr>
                <w:rFonts w:ascii="宋体" w:hAnsi="宋体"/>
                <w:color w:val="auto"/>
                <w:szCs w:val="21"/>
                <w:highlight w:val="none"/>
              </w:rPr>
              <w:t>地点</w:t>
            </w:r>
          </w:p>
        </w:tc>
        <w:tc>
          <w:tcPr>
            <w:tcW w:w="6863" w:type="dxa"/>
            <w:vAlign w:val="center"/>
          </w:tcPr>
          <w:p w14:paraId="630A2060">
            <w:pPr>
              <w:numPr>
                <w:ilvl w:val="0"/>
                <w:numId w:val="1"/>
              </w:numPr>
              <w:snapToGrid w:val="0"/>
              <w:jc w:val="left"/>
              <w:rPr>
                <w:rFonts w:ascii="宋体" w:hAnsi="宋体"/>
                <w:color w:val="auto"/>
                <w:szCs w:val="21"/>
                <w:highlight w:val="none"/>
              </w:rPr>
            </w:pPr>
            <w:r>
              <w:rPr>
                <w:rFonts w:hint="eastAsia" w:ascii="宋体" w:hAnsi="宋体"/>
                <w:color w:val="auto"/>
                <w:szCs w:val="21"/>
                <w:highlight w:val="none"/>
              </w:rPr>
              <w:t>递交方式：网上递交投标文件</w:t>
            </w:r>
          </w:p>
          <w:p w14:paraId="07CA30CE">
            <w:pPr>
              <w:numPr>
                <w:ilvl w:val="0"/>
                <w:numId w:val="1"/>
              </w:numPr>
              <w:snapToGrid w:val="0"/>
              <w:jc w:val="left"/>
              <w:rPr>
                <w:rFonts w:ascii="宋体" w:hAnsi="宋体"/>
                <w:color w:val="auto"/>
                <w:szCs w:val="21"/>
                <w:highlight w:val="none"/>
              </w:rPr>
            </w:pPr>
            <w:r>
              <w:rPr>
                <w:rFonts w:hint="eastAsia" w:ascii="宋体" w:hAnsi="宋体"/>
                <w:color w:val="auto"/>
                <w:szCs w:val="21"/>
                <w:highlight w:val="none"/>
              </w:rPr>
              <w:t>文件的递交截止时间：同投标截止时间。</w:t>
            </w:r>
          </w:p>
          <w:p w14:paraId="7AF93572">
            <w:pPr>
              <w:numPr>
                <w:ilvl w:val="0"/>
                <w:numId w:val="1"/>
              </w:numPr>
              <w:snapToGrid w:val="0"/>
              <w:jc w:val="left"/>
              <w:rPr>
                <w:rFonts w:ascii="宋体" w:hAnsi="宋体"/>
                <w:color w:val="auto"/>
                <w:szCs w:val="21"/>
                <w:highlight w:val="none"/>
              </w:rPr>
            </w:pPr>
            <w:r>
              <w:rPr>
                <w:rFonts w:hint="eastAsia" w:ascii="宋体" w:hAnsi="宋体"/>
                <w:color w:val="auto"/>
                <w:szCs w:val="21"/>
                <w:highlight w:val="none"/>
              </w:rPr>
              <w:t>地点：</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网站</w:t>
            </w:r>
          </w:p>
          <w:p w14:paraId="52F98476">
            <w:pPr>
              <w:numPr>
                <w:ilvl w:val="0"/>
                <w:numId w:val="1"/>
              </w:numPr>
              <w:snapToGrid w:val="0"/>
              <w:jc w:val="left"/>
              <w:rPr>
                <w:rFonts w:ascii="宋体" w:hAnsi="宋体"/>
                <w:color w:val="auto"/>
                <w:szCs w:val="21"/>
                <w:highlight w:val="none"/>
              </w:rPr>
            </w:pPr>
            <w:r>
              <w:rPr>
                <w:rFonts w:hint="eastAsia" w:ascii="宋体" w:hAnsi="宋体" w:cs="宋体"/>
                <w:color w:val="auto"/>
                <w:szCs w:val="21"/>
                <w:highlight w:val="none"/>
                <w:u w:val="single"/>
              </w:rPr>
              <w:t>上述时间及地点是否有改变，请密切留意答疑澄清或补充公告（如有）中的相关信息，具体时间及场地安排请各投标人密切留意</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公布本项目的日程安排，投标人也可登录</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网站首页，点击“项目查询（日程安排、答疑纪要）”专栏中的“项目查询”，输入项目编号或项目名称查询最新信息</w:t>
            </w:r>
            <w:r>
              <w:rPr>
                <w:rFonts w:hint="eastAsia" w:ascii="宋体" w:hAnsi="宋体"/>
                <w:color w:val="auto"/>
                <w:szCs w:val="21"/>
                <w:highlight w:val="none"/>
              </w:rPr>
              <w:t>。</w:t>
            </w:r>
          </w:p>
        </w:tc>
      </w:tr>
      <w:tr w14:paraId="124339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433A7073">
            <w:pPr>
              <w:snapToGrid w:val="0"/>
              <w:jc w:val="center"/>
              <w:rPr>
                <w:rFonts w:ascii="宋体" w:hAnsi="宋体"/>
                <w:color w:val="auto"/>
                <w:szCs w:val="21"/>
                <w:highlight w:val="none"/>
              </w:rPr>
            </w:pPr>
            <w:r>
              <w:rPr>
                <w:rFonts w:ascii="宋体" w:hAnsi="宋体"/>
                <w:color w:val="auto"/>
                <w:szCs w:val="21"/>
                <w:highlight w:val="none"/>
              </w:rPr>
              <w:t>4.2.3</w:t>
            </w:r>
          </w:p>
        </w:tc>
        <w:tc>
          <w:tcPr>
            <w:tcW w:w="1650" w:type="dxa"/>
            <w:vAlign w:val="center"/>
          </w:tcPr>
          <w:p w14:paraId="770E00B5">
            <w:pPr>
              <w:snapToGrid w:val="0"/>
              <w:jc w:val="center"/>
              <w:rPr>
                <w:rFonts w:ascii="宋体" w:hAnsi="宋体"/>
                <w:color w:val="auto"/>
                <w:szCs w:val="21"/>
                <w:highlight w:val="none"/>
              </w:rPr>
            </w:pPr>
            <w:r>
              <w:rPr>
                <w:rFonts w:ascii="宋体" w:hAnsi="宋体"/>
                <w:color w:val="auto"/>
                <w:szCs w:val="21"/>
                <w:highlight w:val="none"/>
              </w:rPr>
              <w:t>投标文件是否退还</w:t>
            </w:r>
          </w:p>
        </w:tc>
        <w:tc>
          <w:tcPr>
            <w:tcW w:w="6863" w:type="dxa"/>
            <w:vAlign w:val="center"/>
          </w:tcPr>
          <w:p w14:paraId="7FA5AB12">
            <w:pPr>
              <w:pStyle w:val="8"/>
              <w:topLinePunct/>
              <w:snapToGrid w:val="0"/>
              <w:rPr>
                <w:rFonts w:hAnsi="宋体"/>
                <w:color w:val="auto"/>
                <w:sz w:val="21"/>
                <w:szCs w:val="21"/>
                <w:highlight w:val="none"/>
              </w:rPr>
            </w:pPr>
            <w:r>
              <w:rPr>
                <w:rFonts w:hint="eastAsia"/>
                <w:color w:val="auto"/>
                <w:sz w:val="21"/>
                <w:szCs w:val="21"/>
                <w:highlight w:val="none"/>
              </w:rPr>
              <w:t>■</w:t>
            </w:r>
            <w:r>
              <w:rPr>
                <w:rFonts w:hAnsi="宋体"/>
                <w:color w:val="auto"/>
                <w:sz w:val="21"/>
                <w:szCs w:val="21"/>
                <w:highlight w:val="none"/>
              </w:rPr>
              <w:t>否</w:t>
            </w:r>
          </w:p>
          <w:p w14:paraId="6BE48699">
            <w:pPr>
              <w:pStyle w:val="8"/>
              <w:topLinePunct/>
              <w:snapToGrid w:val="0"/>
              <w:rPr>
                <w:rFonts w:hAnsi="宋体"/>
                <w:color w:val="auto"/>
                <w:sz w:val="21"/>
                <w:szCs w:val="21"/>
                <w:highlight w:val="none"/>
              </w:rPr>
            </w:pPr>
            <w:r>
              <w:rPr>
                <w:rFonts w:hAnsi="宋体"/>
                <w:color w:val="auto"/>
                <w:sz w:val="21"/>
                <w:szCs w:val="21"/>
                <w:highlight w:val="none"/>
              </w:rPr>
              <w:sym w:font="Wingdings 2" w:char="00A3"/>
            </w:r>
            <w:r>
              <w:rPr>
                <w:rFonts w:hAnsi="宋体"/>
                <w:color w:val="auto"/>
                <w:sz w:val="21"/>
                <w:szCs w:val="21"/>
                <w:highlight w:val="none"/>
              </w:rPr>
              <w:t>是，退还时间：</w:t>
            </w:r>
            <w:r>
              <w:rPr>
                <w:rFonts w:hint="eastAsia" w:hAnsi="宋体"/>
                <w:color w:val="auto"/>
                <w:sz w:val="21"/>
                <w:szCs w:val="21"/>
                <w:highlight w:val="none"/>
                <w:u w:val="single"/>
              </w:rPr>
              <w:t xml:space="preserve"> / </w:t>
            </w:r>
          </w:p>
        </w:tc>
      </w:tr>
      <w:tr w14:paraId="46F31F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0740E4BC">
            <w:pPr>
              <w:snapToGrid w:val="0"/>
              <w:jc w:val="center"/>
              <w:rPr>
                <w:rFonts w:ascii="宋体" w:hAnsi="宋体"/>
                <w:color w:val="auto"/>
                <w:szCs w:val="21"/>
                <w:highlight w:val="none"/>
              </w:rPr>
            </w:pPr>
            <w:r>
              <w:rPr>
                <w:rFonts w:ascii="宋体" w:hAnsi="宋体"/>
                <w:color w:val="auto"/>
                <w:szCs w:val="21"/>
                <w:highlight w:val="none"/>
              </w:rPr>
              <w:t>5.1（</w:t>
            </w:r>
            <w:r>
              <w:rPr>
                <w:rFonts w:hint="eastAsia" w:ascii="宋体" w:hAnsi="宋体"/>
                <w:color w:val="auto"/>
                <w:szCs w:val="21"/>
                <w:highlight w:val="none"/>
              </w:rPr>
              <w:t>B</w:t>
            </w:r>
            <w:r>
              <w:rPr>
                <w:rFonts w:ascii="宋体" w:hAnsi="宋体"/>
                <w:color w:val="auto"/>
                <w:szCs w:val="21"/>
                <w:highlight w:val="none"/>
              </w:rPr>
              <w:t>）</w:t>
            </w:r>
          </w:p>
        </w:tc>
        <w:tc>
          <w:tcPr>
            <w:tcW w:w="1650" w:type="dxa"/>
            <w:vAlign w:val="center"/>
          </w:tcPr>
          <w:p w14:paraId="68DED8FD">
            <w:pPr>
              <w:snapToGrid w:val="0"/>
              <w:jc w:val="center"/>
              <w:rPr>
                <w:rFonts w:ascii="宋体" w:hAnsi="宋体"/>
                <w:color w:val="auto"/>
                <w:szCs w:val="21"/>
                <w:highlight w:val="none"/>
              </w:rPr>
            </w:pPr>
            <w:r>
              <w:rPr>
                <w:rFonts w:ascii="宋体" w:hAnsi="宋体"/>
                <w:color w:val="auto"/>
                <w:szCs w:val="21"/>
                <w:highlight w:val="none"/>
              </w:rPr>
              <w:t>开标时间和地点</w:t>
            </w:r>
          </w:p>
        </w:tc>
        <w:tc>
          <w:tcPr>
            <w:tcW w:w="6863" w:type="dxa"/>
            <w:vAlign w:val="center"/>
          </w:tcPr>
          <w:p w14:paraId="4048A96E">
            <w:pPr>
              <w:pStyle w:val="8"/>
              <w:topLinePunct/>
              <w:snapToGrid w:val="0"/>
              <w:rPr>
                <w:color w:val="auto"/>
                <w:sz w:val="21"/>
                <w:szCs w:val="21"/>
                <w:highlight w:val="none"/>
              </w:rPr>
            </w:pPr>
            <w:r>
              <w:rPr>
                <w:rFonts w:hint="eastAsia"/>
                <w:color w:val="auto"/>
                <w:sz w:val="21"/>
                <w:szCs w:val="21"/>
                <w:highlight w:val="none"/>
              </w:rPr>
              <w:t>本电子招投标项目在本章4.2.1项规定的投标截止时间（开标时间），在</w:t>
            </w:r>
            <w:r>
              <w:rPr>
                <w:rFonts w:hint="eastAsia"/>
                <w:color w:val="auto"/>
                <w:sz w:val="21"/>
                <w:szCs w:val="21"/>
                <w:highlight w:val="none"/>
                <w:lang w:eastAsia="zh-CN"/>
              </w:rPr>
              <w:t>广州交易集团有限公司（广州公共资源交易中心）</w:t>
            </w:r>
            <w:r>
              <w:rPr>
                <w:rFonts w:hint="eastAsia"/>
                <w:color w:val="auto"/>
                <w:sz w:val="21"/>
                <w:szCs w:val="21"/>
                <w:highlight w:val="none"/>
              </w:rPr>
              <w:t>公开开标，开标时，投标人代表有权出席开标会，也可以自主决定不参加开标会，若投标人代表对开标过程提出异议，该投标人代表须同时出示本人身份证原件。</w:t>
            </w:r>
          </w:p>
        </w:tc>
      </w:tr>
      <w:tr w14:paraId="2B5DE9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5CCC6D50">
            <w:pPr>
              <w:snapToGrid w:val="0"/>
              <w:jc w:val="center"/>
              <w:rPr>
                <w:rFonts w:ascii="宋体" w:hAnsi="宋体"/>
                <w:color w:val="auto"/>
                <w:szCs w:val="21"/>
                <w:highlight w:val="none"/>
              </w:rPr>
            </w:pPr>
            <w:r>
              <w:rPr>
                <w:rFonts w:ascii="宋体" w:hAnsi="宋体"/>
                <w:color w:val="auto"/>
                <w:szCs w:val="21"/>
                <w:highlight w:val="none"/>
              </w:rPr>
              <w:t>5.2（</w:t>
            </w:r>
            <w:r>
              <w:rPr>
                <w:rFonts w:hint="eastAsia" w:ascii="宋体" w:hAnsi="宋体"/>
                <w:color w:val="auto"/>
                <w:szCs w:val="21"/>
                <w:highlight w:val="none"/>
              </w:rPr>
              <w:t>B</w:t>
            </w:r>
            <w:r>
              <w:rPr>
                <w:rFonts w:ascii="宋体" w:hAnsi="宋体"/>
                <w:color w:val="auto"/>
                <w:szCs w:val="21"/>
                <w:highlight w:val="none"/>
              </w:rPr>
              <w:t>）</w:t>
            </w:r>
          </w:p>
        </w:tc>
        <w:tc>
          <w:tcPr>
            <w:tcW w:w="1650" w:type="dxa"/>
            <w:vAlign w:val="center"/>
          </w:tcPr>
          <w:p w14:paraId="7D534A7D">
            <w:pPr>
              <w:snapToGrid w:val="0"/>
              <w:jc w:val="center"/>
              <w:rPr>
                <w:rFonts w:ascii="宋体" w:hAnsi="宋体"/>
                <w:color w:val="auto"/>
                <w:szCs w:val="21"/>
                <w:highlight w:val="none"/>
              </w:rPr>
            </w:pPr>
            <w:r>
              <w:rPr>
                <w:rFonts w:ascii="宋体" w:hAnsi="宋体"/>
                <w:color w:val="auto"/>
                <w:szCs w:val="21"/>
                <w:highlight w:val="none"/>
              </w:rPr>
              <w:t>开标程序</w:t>
            </w:r>
          </w:p>
        </w:tc>
        <w:tc>
          <w:tcPr>
            <w:tcW w:w="6863" w:type="dxa"/>
            <w:vAlign w:val="center"/>
          </w:tcPr>
          <w:p w14:paraId="1C656A98">
            <w:pPr>
              <w:pStyle w:val="8"/>
              <w:topLinePunct/>
              <w:snapToGrid w:val="0"/>
              <w:rPr>
                <w:color w:val="auto"/>
                <w:sz w:val="21"/>
                <w:szCs w:val="21"/>
                <w:highlight w:val="none"/>
              </w:rPr>
            </w:pPr>
            <w:r>
              <w:rPr>
                <w:rFonts w:hint="eastAsia"/>
                <w:color w:val="auto"/>
                <w:sz w:val="21"/>
                <w:szCs w:val="21"/>
                <w:highlight w:val="none"/>
              </w:rPr>
              <w:t>电子招投标项目开标按下列程序进行：</w:t>
            </w:r>
          </w:p>
          <w:p w14:paraId="547D58BC">
            <w:pPr>
              <w:pStyle w:val="8"/>
              <w:topLinePunct/>
              <w:snapToGrid w:val="0"/>
              <w:rPr>
                <w:color w:val="auto"/>
                <w:sz w:val="21"/>
                <w:szCs w:val="21"/>
                <w:highlight w:val="none"/>
              </w:rPr>
            </w:pPr>
            <w:r>
              <w:rPr>
                <w:color w:val="auto"/>
                <w:sz w:val="21"/>
                <w:szCs w:val="21"/>
                <w:highlight w:val="none"/>
              </w:rPr>
              <w:t>5.2.1</w:t>
            </w:r>
            <w:r>
              <w:rPr>
                <w:rFonts w:hint="eastAsia"/>
                <w:color w:val="auto"/>
                <w:sz w:val="21"/>
                <w:szCs w:val="21"/>
                <w:highlight w:val="none"/>
              </w:rPr>
              <w:t>主持人按下列程序进行开标：</w:t>
            </w:r>
          </w:p>
          <w:p w14:paraId="2E9C2B33">
            <w:pPr>
              <w:pStyle w:val="8"/>
              <w:topLinePunct/>
              <w:snapToGrid w:val="0"/>
              <w:rPr>
                <w:color w:val="auto"/>
                <w:sz w:val="21"/>
                <w:szCs w:val="21"/>
                <w:highlight w:val="none"/>
              </w:rPr>
            </w:pPr>
            <w:r>
              <w:rPr>
                <w:rFonts w:hint="eastAsia"/>
                <w:color w:val="auto"/>
                <w:sz w:val="21"/>
                <w:szCs w:val="21"/>
                <w:highlight w:val="none"/>
              </w:rPr>
              <w:t>（</w:t>
            </w:r>
            <w:r>
              <w:rPr>
                <w:color w:val="auto"/>
                <w:sz w:val="21"/>
                <w:szCs w:val="21"/>
                <w:highlight w:val="none"/>
              </w:rPr>
              <w:t>1</w:t>
            </w:r>
            <w:r>
              <w:rPr>
                <w:rFonts w:hint="eastAsia"/>
                <w:color w:val="auto"/>
                <w:sz w:val="21"/>
                <w:szCs w:val="21"/>
                <w:highlight w:val="none"/>
              </w:rPr>
              <w:t>）宣布开标纪律；</w:t>
            </w:r>
          </w:p>
          <w:p w14:paraId="5A95439B">
            <w:pPr>
              <w:pStyle w:val="8"/>
              <w:topLinePunct/>
              <w:snapToGrid w:val="0"/>
              <w:rPr>
                <w:strike/>
                <w:dstrike w:val="0"/>
                <w:color w:val="auto"/>
                <w:sz w:val="21"/>
                <w:szCs w:val="21"/>
                <w:highlight w:val="none"/>
              </w:rPr>
            </w:pPr>
            <w:r>
              <w:rPr>
                <w:rFonts w:hint="eastAsia"/>
                <w:strike/>
                <w:dstrike w:val="0"/>
                <w:color w:val="auto"/>
                <w:sz w:val="21"/>
                <w:szCs w:val="21"/>
                <w:highlight w:val="none"/>
              </w:rPr>
              <w:t>（</w:t>
            </w:r>
            <w:r>
              <w:rPr>
                <w:strike/>
                <w:dstrike w:val="0"/>
                <w:color w:val="auto"/>
                <w:sz w:val="21"/>
                <w:szCs w:val="21"/>
                <w:highlight w:val="none"/>
              </w:rPr>
              <w:t>2</w:t>
            </w:r>
            <w:r>
              <w:rPr>
                <w:rFonts w:hint="eastAsia"/>
                <w:strike/>
                <w:dstrike w:val="0"/>
                <w:color w:val="auto"/>
                <w:sz w:val="21"/>
                <w:szCs w:val="21"/>
                <w:highlight w:val="none"/>
              </w:rPr>
              <w:t>）公布在投标截止时间前递交投标文件的投标人名称；</w:t>
            </w:r>
          </w:p>
          <w:p w14:paraId="22C55E3F">
            <w:pPr>
              <w:pStyle w:val="8"/>
              <w:topLinePunct/>
              <w:snapToGrid w:val="0"/>
              <w:rPr>
                <w:color w:val="auto"/>
                <w:sz w:val="21"/>
                <w:szCs w:val="21"/>
                <w:highlight w:val="none"/>
              </w:rPr>
            </w:pPr>
            <w:r>
              <w:rPr>
                <w:rFonts w:hint="eastAsia"/>
                <w:color w:val="auto"/>
                <w:sz w:val="21"/>
                <w:szCs w:val="21"/>
                <w:highlight w:val="none"/>
              </w:rPr>
              <w:t>（</w:t>
            </w:r>
            <w:r>
              <w:rPr>
                <w:color w:val="auto"/>
                <w:sz w:val="21"/>
                <w:szCs w:val="21"/>
                <w:highlight w:val="none"/>
              </w:rPr>
              <w:t>3</w:t>
            </w:r>
            <w:r>
              <w:rPr>
                <w:rFonts w:hint="eastAsia"/>
                <w:color w:val="auto"/>
                <w:sz w:val="21"/>
                <w:szCs w:val="21"/>
                <w:highlight w:val="none"/>
              </w:rPr>
              <w:t>）宣布开标人、唱标人、记录人、监标人等有关人员姓名；</w:t>
            </w:r>
          </w:p>
          <w:p w14:paraId="741EA59E">
            <w:pPr>
              <w:pStyle w:val="8"/>
              <w:topLinePunct/>
              <w:snapToGrid w:val="0"/>
              <w:rPr>
                <w:color w:val="auto"/>
                <w:sz w:val="21"/>
                <w:szCs w:val="21"/>
                <w:highlight w:val="none"/>
              </w:rPr>
            </w:pPr>
            <w:r>
              <w:rPr>
                <w:rFonts w:hint="eastAsia"/>
                <w:color w:val="auto"/>
                <w:sz w:val="21"/>
                <w:szCs w:val="21"/>
                <w:highlight w:val="none"/>
              </w:rPr>
              <w:t>（</w:t>
            </w:r>
            <w:r>
              <w:rPr>
                <w:color w:val="auto"/>
                <w:sz w:val="21"/>
                <w:szCs w:val="21"/>
                <w:highlight w:val="none"/>
              </w:rPr>
              <w:t>4</w:t>
            </w:r>
            <w:r>
              <w:rPr>
                <w:rFonts w:hint="eastAsia"/>
                <w:color w:val="auto"/>
                <w:sz w:val="21"/>
                <w:szCs w:val="21"/>
                <w:highlight w:val="none"/>
              </w:rPr>
              <w:t>）（</w:t>
            </w:r>
            <w:r>
              <w:rPr>
                <w:color w:val="auto"/>
                <w:sz w:val="21"/>
                <w:szCs w:val="21"/>
                <w:highlight w:val="none"/>
              </w:rPr>
              <w:t>B</w:t>
            </w:r>
            <w:r>
              <w:rPr>
                <w:rFonts w:hint="eastAsia"/>
                <w:color w:val="auto"/>
                <w:sz w:val="21"/>
                <w:szCs w:val="21"/>
                <w:highlight w:val="none"/>
              </w:rPr>
              <w:t>）投标人通过电子招标投标交易平台对已递交的电子投标文件进行解密，公布招标项目名称、投标人名称、</w:t>
            </w:r>
            <w:r>
              <w:rPr>
                <w:rFonts w:hint="eastAsia"/>
                <w:strike/>
                <w:dstrike w:val="0"/>
                <w:color w:val="auto"/>
                <w:sz w:val="21"/>
                <w:szCs w:val="21"/>
                <w:highlight w:val="none"/>
              </w:rPr>
              <w:t>投标保证金的递交情况</w:t>
            </w:r>
            <w:r>
              <w:rPr>
                <w:rFonts w:hint="eastAsia"/>
                <w:color w:val="auto"/>
                <w:sz w:val="21"/>
                <w:szCs w:val="21"/>
                <w:highlight w:val="none"/>
              </w:rPr>
              <w:t>、投标报价、服务期限及其他内容，并记录在案；</w:t>
            </w:r>
          </w:p>
          <w:p w14:paraId="01763FD9">
            <w:pPr>
              <w:pStyle w:val="8"/>
              <w:topLinePunct/>
              <w:snapToGrid w:val="0"/>
              <w:rPr>
                <w:color w:val="auto"/>
                <w:sz w:val="21"/>
                <w:szCs w:val="21"/>
                <w:highlight w:val="none"/>
              </w:rPr>
            </w:pPr>
            <w:r>
              <w:rPr>
                <w:rFonts w:hint="eastAsia"/>
                <w:color w:val="auto"/>
                <w:sz w:val="21"/>
                <w:szCs w:val="21"/>
                <w:highlight w:val="none"/>
              </w:rPr>
              <w:t>（</w:t>
            </w:r>
            <w:r>
              <w:rPr>
                <w:color w:val="auto"/>
                <w:sz w:val="21"/>
                <w:szCs w:val="21"/>
                <w:highlight w:val="none"/>
              </w:rPr>
              <w:t>5</w:t>
            </w:r>
            <w:r>
              <w:rPr>
                <w:rFonts w:hint="eastAsia" w:ascii="宋体" w:hAnsi="Calibri" w:cs="Times New Roman"/>
                <w:strike w:val="0"/>
                <w:color w:val="auto"/>
                <w:sz w:val="21"/>
                <w:szCs w:val="21"/>
                <w:highlight w:val="none"/>
              </w:rPr>
              <w:t>（B）投标人代表、招标人代表、监标人、记录人等有关人员使用本人的电子印章在开标记录上签字确认</w:t>
            </w:r>
            <w:r>
              <w:rPr>
                <w:rFonts w:hint="eastAsia"/>
                <w:color w:val="auto"/>
                <w:sz w:val="21"/>
                <w:szCs w:val="21"/>
                <w:highlight w:val="none"/>
                <w:lang w:eastAsia="zh-CN"/>
              </w:rPr>
              <w:t>；</w:t>
            </w:r>
            <w:r>
              <w:rPr>
                <w:rFonts w:hint="eastAsia"/>
                <w:color w:val="auto"/>
                <w:sz w:val="21"/>
                <w:szCs w:val="21"/>
                <w:highlight w:val="none"/>
              </w:rPr>
              <w:t>若有关人员不签字的，不影响开标程序；</w:t>
            </w:r>
          </w:p>
          <w:p w14:paraId="0560C602">
            <w:pPr>
              <w:pStyle w:val="8"/>
              <w:topLinePunct/>
              <w:snapToGrid w:val="0"/>
              <w:rPr>
                <w:color w:val="auto"/>
                <w:sz w:val="21"/>
                <w:szCs w:val="21"/>
                <w:highlight w:val="none"/>
              </w:rPr>
            </w:pPr>
            <w:r>
              <w:rPr>
                <w:rFonts w:hint="eastAsia"/>
                <w:color w:val="auto"/>
                <w:sz w:val="21"/>
                <w:szCs w:val="21"/>
                <w:highlight w:val="none"/>
              </w:rPr>
              <w:t>（</w:t>
            </w:r>
            <w:r>
              <w:rPr>
                <w:color w:val="auto"/>
                <w:sz w:val="21"/>
                <w:szCs w:val="21"/>
                <w:highlight w:val="none"/>
              </w:rPr>
              <w:t>6</w:t>
            </w:r>
            <w:r>
              <w:rPr>
                <w:rFonts w:hint="eastAsia"/>
                <w:color w:val="auto"/>
                <w:sz w:val="21"/>
                <w:szCs w:val="21"/>
                <w:highlight w:val="none"/>
              </w:rPr>
              <w:t>）开标结束。</w:t>
            </w:r>
          </w:p>
          <w:p w14:paraId="735ABDFF">
            <w:pPr>
              <w:pStyle w:val="8"/>
              <w:topLinePunct/>
              <w:snapToGrid w:val="0"/>
              <w:rPr>
                <w:color w:val="auto"/>
                <w:sz w:val="21"/>
                <w:szCs w:val="21"/>
                <w:highlight w:val="none"/>
              </w:rPr>
            </w:pPr>
            <w:r>
              <w:rPr>
                <w:color w:val="auto"/>
                <w:sz w:val="21"/>
                <w:szCs w:val="21"/>
                <w:highlight w:val="none"/>
              </w:rPr>
              <w:t>5.2.2</w:t>
            </w:r>
            <w:r>
              <w:rPr>
                <w:rFonts w:hint="eastAsia"/>
                <w:color w:val="auto"/>
                <w:sz w:val="21"/>
                <w:szCs w:val="21"/>
                <w:highlight w:val="none"/>
              </w:rPr>
              <w:t>投标截止时间前未完成投标文件传输的或因投标人之外的原因造成投标文件未解密的，视为投标人其撤回投标文件。因投标人原因造成投标文件未解密的或未在投标截止时间后半小时解密的，视为撤销其投标文件。</w:t>
            </w:r>
          </w:p>
          <w:p w14:paraId="6C2AA126">
            <w:pPr>
              <w:pStyle w:val="8"/>
              <w:topLinePunct/>
              <w:snapToGrid w:val="0"/>
              <w:rPr>
                <w:color w:val="auto"/>
                <w:sz w:val="21"/>
                <w:szCs w:val="21"/>
                <w:highlight w:val="none"/>
              </w:rPr>
            </w:pPr>
            <w:r>
              <w:rPr>
                <w:color w:val="auto"/>
                <w:sz w:val="21"/>
                <w:szCs w:val="21"/>
                <w:highlight w:val="none"/>
              </w:rPr>
              <w:t>5.2.3</w:t>
            </w:r>
            <w:r>
              <w:rPr>
                <w:rFonts w:hint="eastAsia"/>
                <w:color w:val="auto"/>
                <w:sz w:val="21"/>
                <w:szCs w:val="21"/>
                <w:highlight w:val="none"/>
              </w:rPr>
              <w:t>开标时，两个（含两个）以上的投标人加密打包投标文件电脑机器特征码一致的，不参与下一程序，并由评标委员会否决其投标。</w:t>
            </w:r>
          </w:p>
        </w:tc>
      </w:tr>
      <w:tr w14:paraId="786629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3168BBBA">
            <w:pPr>
              <w:snapToGrid w:val="0"/>
              <w:jc w:val="center"/>
              <w:rPr>
                <w:rFonts w:ascii="宋体" w:hAnsi="宋体"/>
                <w:color w:val="auto"/>
                <w:szCs w:val="21"/>
                <w:highlight w:val="none"/>
              </w:rPr>
            </w:pPr>
            <w:r>
              <w:rPr>
                <w:rFonts w:ascii="宋体" w:hAnsi="宋体"/>
                <w:color w:val="auto"/>
                <w:szCs w:val="21"/>
                <w:highlight w:val="none"/>
              </w:rPr>
              <w:t>6.1.1</w:t>
            </w:r>
          </w:p>
        </w:tc>
        <w:tc>
          <w:tcPr>
            <w:tcW w:w="1650" w:type="dxa"/>
            <w:vAlign w:val="center"/>
          </w:tcPr>
          <w:p w14:paraId="2CDA13FE">
            <w:pPr>
              <w:snapToGrid w:val="0"/>
              <w:jc w:val="center"/>
              <w:rPr>
                <w:rFonts w:ascii="宋体" w:hAnsi="宋体"/>
                <w:color w:val="auto"/>
                <w:szCs w:val="21"/>
                <w:highlight w:val="none"/>
              </w:rPr>
            </w:pPr>
            <w:r>
              <w:rPr>
                <w:rFonts w:ascii="宋体" w:hAnsi="宋体"/>
                <w:color w:val="auto"/>
                <w:szCs w:val="21"/>
                <w:highlight w:val="none"/>
              </w:rPr>
              <w:t>评标委员会的组建</w:t>
            </w:r>
          </w:p>
        </w:tc>
        <w:tc>
          <w:tcPr>
            <w:tcW w:w="6863" w:type="dxa"/>
            <w:vAlign w:val="center"/>
          </w:tcPr>
          <w:p w14:paraId="3CE12329">
            <w:pPr>
              <w:snapToGrid w:val="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依法组建</w:t>
            </w:r>
            <w:r>
              <w:rPr>
                <w:rFonts w:ascii="宋体" w:hAnsi="宋体"/>
                <w:color w:val="auto"/>
                <w:szCs w:val="21"/>
                <w:highlight w:val="none"/>
              </w:rPr>
              <w:t>评标委员会</w:t>
            </w:r>
          </w:p>
        </w:tc>
      </w:tr>
      <w:tr w14:paraId="648288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765ED172">
            <w:pPr>
              <w:snapToGrid w:val="0"/>
              <w:jc w:val="center"/>
              <w:rPr>
                <w:rFonts w:ascii="宋体" w:hAnsi="宋体"/>
                <w:color w:val="auto"/>
                <w:szCs w:val="21"/>
                <w:highlight w:val="none"/>
              </w:rPr>
            </w:pPr>
            <w:r>
              <w:rPr>
                <w:rFonts w:ascii="宋体" w:hAnsi="宋体"/>
                <w:color w:val="auto"/>
                <w:szCs w:val="21"/>
                <w:highlight w:val="none"/>
              </w:rPr>
              <w:t>6.3.2</w:t>
            </w:r>
          </w:p>
        </w:tc>
        <w:tc>
          <w:tcPr>
            <w:tcW w:w="1650" w:type="dxa"/>
            <w:vAlign w:val="center"/>
          </w:tcPr>
          <w:p w14:paraId="6F4B8386">
            <w:pPr>
              <w:snapToGrid w:val="0"/>
              <w:jc w:val="center"/>
              <w:rPr>
                <w:rFonts w:ascii="宋体" w:hAnsi="宋体"/>
                <w:color w:val="auto"/>
                <w:szCs w:val="21"/>
                <w:highlight w:val="none"/>
              </w:rPr>
            </w:pPr>
            <w:r>
              <w:rPr>
                <w:rFonts w:ascii="宋体" w:hAnsi="宋体"/>
                <w:color w:val="auto"/>
                <w:szCs w:val="21"/>
                <w:highlight w:val="none"/>
              </w:rPr>
              <w:t>评标委员会推荐中标候选人的人数</w:t>
            </w:r>
          </w:p>
        </w:tc>
        <w:tc>
          <w:tcPr>
            <w:tcW w:w="6863" w:type="dxa"/>
            <w:vAlign w:val="center"/>
          </w:tcPr>
          <w:p w14:paraId="086C2F9A">
            <w:pPr>
              <w:snapToGrid w:val="0"/>
              <w:rPr>
                <w:rFonts w:ascii="宋体" w:hAnsi="宋体"/>
                <w:color w:val="auto"/>
                <w:szCs w:val="21"/>
                <w:highlight w:val="none"/>
              </w:rPr>
            </w:pPr>
            <w:r>
              <w:rPr>
                <w:rFonts w:hint="eastAsia" w:ascii="宋体" w:hAnsi="宋体"/>
                <w:color w:val="auto"/>
                <w:szCs w:val="21"/>
                <w:highlight w:val="none"/>
              </w:rPr>
              <w:t>3</w:t>
            </w:r>
          </w:p>
        </w:tc>
      </w:tr>
      <w:tr w14:paraId="4D8F27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4AE89FBE">
            <w:pPr>
              <w:snapToGrid w:val="0"/>
              <w:jc w:val="center"/>
              <w:rPr>
                <w:rFonts w:ascii="宋体" w:hAnsi="宋体"/>
                <w:color w:val="auto"/>
                <w:szCs w:val="21"/>
                <w:highlight w:val="none"/>
              </w:rPr>
            </w:pPr>
            <w:r>
              <w:rPr>
                <w:rFonts w:ascii="宋体" w:hAnsi="宋体"/>
                <w:color w:val="auto"/>
                <w:szCs w:val="21"/>
                <w:highlight w:val="none"/>
              </w:rPr>
              <w:t>7.1</w:t>
            </w:r>
          </w:p>
        </w:tc>
        <w:tc>
          <w:tcPr>
            <w:tcW w:w="1650" w:type="dxa"/>
            <w:vAlign w:val="center"/>
          </w:tcPr>
          <w:p w14:paraId="3608106E">
            <w:pPr>
              <w:snapToGrid w:val="0"/>
              <w:jc w:val="center"/>
              <w:rPr>
                <w:rFonts w:ascii="宋体" w:hAnsi="宋体"/>
                <w:color w:val="auto"/>
                <w:szCs w:val="21"/>
                <w:highlight w:val="none"/>
              </w:rPr>
            </w:pPr>
            <w:r>
              <w:rPr>
                <w:rFonts w:ascii="宋体" w:hAnsi="宋体"/>
                <w:color w:val="auto"/>
                <w:szCs w:val="21"/>
                <w:highlight w:val="none"/>
              </w:rPr>
              <w:t>中标候选人公示媒介及期限</w:t>
            </w:r>
          </w:p>
        </w:tc>
        <w:tc>
          <w:tcPr>
            <w:tcW w:w="6863" w:type="dxa"/>
            <w:vAlign w:val="center"/>
          </w:tcPr>
          <w:p w14:paraId="42DC4C8A">
            <w:pPr>
              <w:snapToGrid w:val="0"/>
              <w:ind w:left="108" w:right="106"/>
              <w:rPr>
                <w:rFonts w:hint="eastAsia" w:ascii="宋体" w:hAnsi="宋体" w:eastAsia="宋体"/>
                <w:color w:val="auto"/>
                <w:szCs w:val="21"/>
                <w:highlight w:val="none"/>
                <w:u w:val="single"/>
                <w:lang w:eastAsia="zh-CN"/>
              </w:rPr>
            </w:pPr>
            <w:r>
              <w:rPr>
                <w:rFonts w:ascii="宋体" w:hAnsi="宋体"/>
                <w:color w:val="auto"/>
                <w:szCs w:val="21"/>
                <w:highlight w:val="none"/>
              </w:rPr>
              <w:t>公示媒介：</w:t>
            </w:r>
            <w:r>
              <w:rPr>
                <w:rFonts w:hint="eastAsia" w:ascii="宋体" w:hAnsi="宋体"/>
                <w:color w:val="auto"/>
                <w:szCs w:val="21"/>
                <w:highlight w:val="none"/>
                <w:u w:val="single"/>
              </w:rPr>
              <w:t>中国招标投标公共服务平台、广东省招标投标监管网、</w:t>
            </w:r>
            <w:r>
              <w:rPr>
                <w:rFonts w:hint="eastAsia" w:ascii="宋体" w:hAnsi="宋体"/>
                <w:color w:val="auto"/>
                <w:szCs w:val="21"/>
                <w:highlight w:val="none"/>
                <w:u w:val="single"/>
                <w:lang w:eastAsia="zh-CN"/>
              </w:rPr>
              <w:t>广州交易集团有限公司（广州公共资源交易中心）网站</w:t>
            </w:r>
          </w:p>
          <w:p w14:paraId="298150F2">
            <w:pPr>
              <w:snapToGrid w:val="0"/>
              <w:ind w:left="108" w:right="106"/>
              <w:rPr>
                <w:rFonts w:hint="eastAsia" w:ascii="宋体" w:hAnsi="宋体"/>
                <w:color w:val="auto"/>
                <w:szCs w:val="21"/>
                <w:highlight w:val="none"/>
              </w:rPr>
            </w:pPr>
            <w:r>
              <w:rPr>
                <w:rFonts w:ascii="宋体" w:hAnsi="宋体"/>
                <w:color w:val="auto"/>
                <w:szCs w:val="21"/>
                <w:highlight w:val="none"/>
              </w:rPr>
              <w:t>公示期限：</w:t>
            </w:r>
            <w:r>
              <w:rPr>
                <w:rFonts w:hint="eastAsia" w:ascii="宋体" w:hAnsi="宋体"/>
                <w:color w:val="auto"/>
                <w:szCs w:val="21"/>
                <w:highlight w:val="none"/>
                <w:u w:val="single"/>
              </w:rPr>
              <w:t>3</w:t>
            </w:r>
            <w:r>
              <w:rPr>
                <w:rFonts w:ascii="宋体" w:hAnsi="宋体"/>
                <w:color w:val="auto"/>
                <w:szCs w:val="21"/>
                <w:highlight w:val="none"/>
              </w:rPr>
              <w:t>日</w:t>
            </w:r>
            <w:r>
              <w:rPr>
                <w:rFonts w:hint="eastAsia" w:ascii="宋体" w:hAnsi="宋体"/>
                <w:color w:val="auto"/>
                <w:szCs w:val="21"/>
                <w:highlight w:val="none"/>
              </w:rPr>
              <w:t>（最后一天为工作天）</w:t>
            </w:r>
          </w:p>
          <w:p w14:paraId="45552A29">
            <w:pPr>
              <w:snapToGrid w:val="0"/>
              <w:ind w:left="108" w:right="106"/>
              <w:rPr>
                <w:color w:val="auto"/>
                <w:highlight w:val="none"/>
              </w:rPr>
            </w:pPr>
            <w:r>
              <w:rPr>
                <w:rFonts w:hint="eastAsia"/>
                <w:color w:val="auto"/>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3FD665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6AE26ACF">
            <w:pPr>
              <w:snapToGrid w:val="0"/>
              <w:jc w:val="center"/>
              <w:rPr>
                <w:rFonts w:ascii="宋体" w:hAnsi="宋体"/>
                <w:color w:val="auto"/>
                <w:szCs w:val="21"/>
                <w:highlight w:val="none"/>
              </w:rPr>
            </w:pPr>
            <w:r>
              <w:rPr>
                <w:rFonts w:ascii="宋体" w:hAnsi="宋体"/>
                <w:color w:val="auto"/>
                <w:szCs w:val="21"/>
                <w:highlight w:val="none"/>
              </w:rPr>
              <w:t>7.4</w:t>
            </w:r>
          </w:p>
        </w:tc>
        <w:tc>
          <w:tcPr>
            <w:tcW w:w="1650" w:type="dxa"/>
            <w:vAlign w:val="center"/>
          </w:tcPr>
          <w:p w14:paraId="179F15C2">
            <w:pPr>
              <w:snapToGrid w:val="0"/>
              <w:jc w:val="center"/>
              <w:rPr>
                <w:rFonts w:ascii="宋体" w:hAnsi="宋体"/>
                <w:color w:val="auto"/>
                <w:szCs w:val="21"/>
                <w:highlight w:val="none"/>
              </w:rPr>
            </w:pPr>
            <w:r>
              <w:rPr>
                <w:rFonts w:ascii="宋体" w:hAnsi="宋体"/>
                <w:color w:val="auto"/>
                <w:szCs w:val="21"/>
                <w:highlight w:val="none"/>
              </w:rPr>
              <w:t>是否授权评标委员会确定中标人</w:t>
            </w:r>
          </w:p>
        </w:tc>
        <w:tc>
          <w:tcPr>
            <w:tcW w:w="6863" w:type="dxa"/>
            <w:vAlign w:val="center"/>
          </w:tcPr>
          <w:p w14:paraId="0FDFA7EA">
            <w:pPr>
              <w:snapToGrid w:val="0"/>
              <w:ind w:left="108" w:right="106"/>
              <w:rPr>
                <w:color w:val="auto"/>
                <w:highlight w:val="none"/>
              </w:rPr>
            </w:pPr>
            <w:r>
              <w:rPr>
                <w:color w:val="auto"/>
                <w:highlight w:val="none"/>
              </w:rPr>
              <w:sym w:font="Wingdings 2" w:char="00A3"/>
            </w:r>
            <w:r>
              <w:rPr>
                <w:color w:val="auto"/>
                <w:highlight w:val="none"/>
              </w:rPr>
              <w:t>是</w:t>
            </w:r>
          </w:p>
          <w:p w14:paraId="4014247B">
            <w:pPr>
              <w:snapToGrid w:val="0"/>
              <w:ind w:left="108" w:right="106"/>
              <w:rPr>
                <w:color w:val="auto"/>
                <w:highlight w:val="none"/>
              </w:rPr>
            </w:pPr>
            <w:r>
              <w:rPr>
                <w:rFonts w:hint="eastAsia"/>
                <w:color w:val="auto"/>
                <w:highlight w:val="none"/>
              </w:rPr>
              <w:t>■</w:t>
            </w:r>
            <w:r>
              <w:rPr>
                <w:color w:val="auto"/>
                <w:highlight w:val="none"/>
              </w:rPr>
              <w:t>否</w:t>
            </w:r>
          </w:p>
          <w:p w14:paraId="1FF77C6E">
            <w:pPr>
              <w:snapToGrid w:val="0"/>
              <w:ind w:left="108" w:right="106"/>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招标人依据评标委员会推荐的中标候选人确定中标人。</w:t>
            </w:r>
          </w:p>
          <w:p w14:paraId="68B896F6">
            <w:pPr>
              <w:snapToGrid w:val="0"/>
              <w:ind w:left="108" w:right="106"/>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依法必须进行公开招标的项目，招标人确定排名第一的中标候选人为中标人。</w:t>
            </w:r>
          </w:p>
          <w:p w14:paraId="18B7C8A2">
            <w:pPr>
              <w:snapToGrid w:val="0"/>
              <w:ind w:left="108" w:right="106"/>
              <w:rPr>
                <w:color w:val="auto"/>
                <w:highlight w:val="none"/>
              </w:rPr>
            </w:pPr>
            <w:r>
              <w:rPr>
                <w:rFonts w:hint="eastAsia" w:ascii="宋体" w:hAnsi="宋体"/>
                <w:color w:val="auto"/>
                <w:szCs w:val="21"/>
                <w:highlight w:val="none"/>
              </w:rPr>
              <w:t>3、</w:t>
            </w:r>
            <w:r>
              <w:rPr>
                <w:rFonts w:ascii="宋体" w:hAnsi="宋体"/>
                <w:color w:val="auto"/>
                <w:szCs w:val="21"/>
                <w:highlight w:val="none"/>
              </w:rPr>
              <w:t>排名第一的中标候选人放弃中标、或被取消中标资格，或因不可抗力提出不能履行合同，</w:t>
            </w:r>
            <w:r>
              <w:rPr>
                <w:rFonts w:ascii="宋体" w:hAnsi="宋体"/>
                <w:strike/>
                <w:dstrike w:val="0"/>
                <w:color w:val="auto"/>
                <w:szCs w:val="21"/>
                <w:highlight w:val="none"/>
              </w:rPr>
              <w:t>或者招标文件规定应当提交履约担保而在规定的期限内未能提交的，</w:t>
            </w:r>
            <w:r>
              <w:rPr>
                <w:rFonts w:ascii="宋体" w:hAnsi="宋体"/>
                <w:color w:val="auto"/>
                <w:szCs w:val="21"/>
                <w:highlight w:val="none"/>
              </w:rPr>
              <w:t>招标人可以按照中标候选人顺序依次上升替补定标，以此类推。</w:t>
            </w:r>
          </w:p>
        </w:tc>
      </w:tr>
      <w:tr w14:paraId="543EBD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46CB9C47">
            <w:pPr>
              <w:snapToGrid w:val="0"/>
              <w:jc w:val="center"/>
              <w:rPr>
                <w:rFonts w:ascii="宋体" w:hAnsi="宋体"/>
                <w:color w:val="auto"/>
                <w:szCs w:val="21"/>
                <w:highlight w:val="none"/>
              </w:rPr>
            </w:pPr>
            <w:r>
              <w:rPr>
                <w:rFonts w:ascii="宋体" w:hAnsi="宋体"/>
                <w:color w:val="auto"/>
                <w:szCs w:val="21"/>
                <w:highlight w:val="none"/>
              </w:rPr>
              <w:t>7.6.1</w:t>
            </w:r>
          </w:p>
        </w:tc>
        <w:tc>
          <w:tcPr>
            <w:tcW w:w="1650" w:type="dxa"/>
            <w:vAlign w:val="center"/>
          </w:tcPr>
          <w:p w14:paraId="318BBCC9">
            <w:pPr>
              <w:snapToGrid w:val="0"/>
              <w:jc w:val="center"/>
              <w:rPr>
                <w:rFonts w:ascii="宋体" w:hAnsi="宋体"/>
                <w:color w:val="auto"/>
                <w:szCs w:val="21"/>
                <w:highlight w:val="none"/>
              </w:rPr>
            </w:pPr>
            <w:r>
              <w:rPr>
                <w:rFonts w:ascii="宋体" w:hAnsi="宋体"/>
                <w:color w:val="auto"/>
                <w:szCs w:val="21"/>
                <w:highlight w:val="none"/>
              </w:rPr>
              <w:t>履约保证金</w:t>
            </w:r>
          </w:p>
        </w:tc>
        <w:tc>
          <w:tcPr>
            <w:tcW w:w="6863" w:type="dxa"/>
            <w:vAlign w:val="center"/>
          </w:tcPr>
          <w:p w14:paraId="6410CE30">
            <w:pPr>
              <w:adjustRightInd w:val="0"/>
              <w:snapToGrid w:val="0"/>
              <w:rPr>
                <w:rFonts w:hint="eastAsia" w:ascii="宋体" w:hAnsi="宋体" w:cs="宋体"/>
                <w:color w:val="auto"/>
                <w:szCs w:val="21"/>
                <w:highlight w:val="none"/>
              </w:rPr>
            </w:pPr>
            <w:r>
              <w:rPr>
                <w:rFonts w:hint="eastAsia" w:ascii="宋体" w:hAnsi="宋体" w:eastAsia="宋体" w:cs="宋体"/>
                <w:color w:val="auto"/>
                <w:spacing w:val="-1"/>
                <w:szCs w:val="21"/>
                <w:highlight w:val="none"/>
              </w:rPr>
              <w:t>■</w:t>
            </w:r>
            <w:r>
              <w:rPr>
                <w:rFonts w:hint="eastAsia" w:ascii="宋体" w:hAnsi="宋体" w:cs="宋体"/>
                <w:color w:val="auto"/>
                <w:szCs w:val="21"/>
                <w:highlight w:val="none"/>
              </w:rPr>
              <w:t>不要求。</w:t>
            </w:r>
          </w:p>
          <w:p w14:paraId="2145DBC0">
            <w:pPr>
              <w:rPr>
                <w:rFonts w:hAnsi="宋体"/>
                <w:color w:val="auto"/>
                <w:sz w:val="21"/>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要求，具体要求</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tc>
      </w:tr>
      <w:tr w14:paraId="647B01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5ADB5CD3">
            <w:pPr>
              <w:snapToGrid w:val="0"/>
              <w:jc w:val="center"/>
              <w:rPr>
                <w:rFonts w:ascii="宋体" w:hAnsi="宋体"/>
                <w:color w:val="auto"/>
                <w:szCs w:val="21"/>
                <w:highlight w:val="none"/>
              </w:rPr>
            </w:pPr>
            <w:r>
              <w:rPr>
                <w:rFonts w:ascii="宋体" w:hAnsi="宋体"/>
                <w:color w:val="auto"/>
                <w:szCs w:val="21"/>
                <w:highlight w:val="none"/>
              </w:rPr>
              <w:t>9</w:t>
            </w:r>
          </w:p>
        </w:tc>
        <w:tc>
          <w:tcPr>
            <w:tcW w:w="1650" w:type="dxa"/>
            <w:vAlign w:val="center"/>
          </w:tcPr>
          <w:p w14:paraId="004E3251">
            <w:pPr>
              <w:snapToGrid w:val="0"/>
              <w:jc w:val="center"/>
              <w:rPr>
                <w:rFonts w:ascii="宋体" w:hAnsi="宋体"/>
                <w:color w:val="auto"/>
                <w:szCs w:val="21"/>
                <w:highlight w:val="none"/>
              </w:rPr>
            </w:pPr>
            <w:r>
              <w:rPr>
                <w:rFonts w:ascii="宋体" w:hAnsi="宋体"/>
                <w:color w:val="auto"/>
                <w:szCs w:val="21"/>
                <w:highlight w:val="none"/>
              </w:rPr>
              <w:t>是否采用电子招标投标</w:t>
            </w:r>
          </w:p>
        </w:tc>
        <w:tc>
          <w:tcPr>
            <w:tcW w:w="6863" w:type="dxa"/>
            <w:vAlign w:val="center"/>
          </w:tcPr>
          <w:p w14:paraId="5ABB8D9F">
            <w:pPr>
              <w:pStyle w:val="8"/>
              <w:topLinePunct/>
              <w:snapToGrid w:val="0"/>
              <w:rPr>
                <w:color w:val="auto"/>
                <w:sz w:val="21"/>
                <w:szCs w:val="21"/>
                <w:highlight w:val="none"/>
              </w:rPr>
            </w:pPr>
            <w:r>
              <w:rPr>
                <w:rFonts w:hint="eastAsia" w:ascii="宋体" w:hAnsi="宋体" w:cs="宋体"/>
                <w:color w:val="auto"/>
                <w:sz w:val="21"/>
                <w:szCs w:val="21"/>
                <w:highlight w:val="none"/>
                <w:lang w:eastAsia="zh-CN"/>
              </w:rPr>
              <w:t>□</w:t>
            </w:r>
            <w:r>
              <w:rPr>
                <w:rFonts w:hint="eastAsia"/>
                <w:color w:val="auto"/>
                <w:sz w:val="21"/>
                <w:szCs w:val="21"/>
                <w:highlight w:val="none"/>
              </w:rPr>
              <w:t>否</w:t>
            </w:r>
          </w:p>
          <w:p w14:paraId="0CF8EE30">
            <w:pPr>
              <w:pStyle w:val="8"/>
              <w:topLinePunct/>
              <w:snapToGrid w:val="0"/>
              <w:rPr>
                <w:color w:val="auto"/>
                <w:sz w:val="21"/>
                <w:szCs w:val="21"/>
                <w:highlight w:val="none"/>
              </w:rPr>
            </w:pPr>
            <w:r>
              <w:rPr>
                <w:rFonts w:hint="eastAsia"/>
                <w:color w:val="auto"/>
                <w:sz w:val="21"/>
                <w:szCs w:val="21"/>
                <w:highlight w:val="none"/>
              </w:rPr>
              <w:t>■是，具体要求：1、具体操作详见</w:t>
            </w:r>
            <w:r>
              <w:rPr>
                <w:rFonts w:hint="eastAsia"/>
                <w:color w:val="auto"/>
                <w:sz w:val="21"/>
                <w:szCs w:val="21"/>
                <w:highlight w:val="none"/>
                <w:lang w:eastAsia="zh-CN"/>
              </w:rPr>
              <w:t>广州交易集团有限公司（广州公共资源交易中心）</w:t>
            </w:r>
            <w:r>
              <w:rPr>
                <w:rFonts w:hint="eastAsia"/>
                <w:color w:val="auto"/>
                <w:sz w:val="21"/>
                <w:szCs w:val="21"/>
                <w:highlight w:val="none"/>
              </w:rPr>
              <w:t>发布的最新版本《房屋建筑和市政基础设施工程全流程电子化项目专章》。</w:t>
            </w:r>
          </w:p>
          <w:p w14:paraId="2475B5C8">
            <w:pPr>
              <w:pStyle w:val="8"/>
              <w:topLinePunct/>
              <w:snapToGrid w:val="0"/>
              <w:rPr>
                <w:color w:val="auto"/>
                <w:sz w:val="21"/>
                <w:szCs w:val="21"/>
                <w:highlight w:val="none"/>
              </w:rPr>
            </w:pPr>
            <w:r>
              <w:rPr>
                <w:rFonts w:hint="eastAsia"/>
                <w:color w:val="auto"/>
                <w:sz w:val="21"/>
                <w:szCs w:val="21"/>
                <w:highlight w:val="none"/>
              </w:rPr>
              <w:t>2、提交投标文件光盘备用</w:t>
            </w:r>
          </w:p>
          <w:p w14:paraId="33E880BD">
            <w:pPr>
              <w:pStyle w:val="8"/>
              <w:topLinePunct/>
              <w:snapToGrid w:val="0"/>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rFonts w:hint="eastAsia"/>
                <w:color w:val="auto"/>
                <w:sz w:val="21"/>
                <w:szCs w:val="21"/>
                <w:highlight w:val="none"/>
              </w:rPr>
              <w:t>投标人将按</w:t>
            </w:r>
            <w:r>
              <w:rPr>
                <w:rFonts w:hint="eastAsia"/>
                <w:color w:val="auto"/>
                <w:sz w:val="21"/>
                <w:szCs w:val="21"/>
                <w:highlight w:val="none"/>
                <w:lang w:eastAsia="zh-CN"/>
              </w:rPr>
              <w:t>广州交易集团有限公司（广州公共资源交易中心）</w:t>
            </w:r>
            <w:r>
              <w:rPr>
                <w:rFonts w:hint="eastAsia"/>
                <w:color w:val="auto"/>
                <w:sz w:val="21"/>
                <w:szCs w:val="21"/>
                <w:highlight w:val="none"/>
              </w:rPr>
              <w:t>发布的最新版本《房屋建筑和市政基础设施工程全流程电子化项目专章》的操作方法制作的非加密的电子投标文件刻入光盘（1份），在</w:t>
            </w:r>
            <w:r>
              <w:rPr>
                <w:rFonts w:hint="eastAsia"/>
                <w:b/>
                <w:bCs/>
                <w:color w:val="auto"/>
                <w:sz w:val="21"/>
                <w:szCs w:val="21"/>
                <w:highlight w:val="none"/>
              </w:rPr>
              <w:t>开标现场（投标截止时间前15分钟）</w:t>
            </w:r>
            <w:r>
              <w:rPr>
                <w:rFonts w:hint="eastAsia"/>
                <w:color w:val="auto"/>
                <w:sz w:val="21"/>
                <w:szCs w:val="21"/>
                <w:highlight w:val="none"/>
              </w:rPr>
              <w:t>提交备用。刻录好的投标文件光盘密封在密封袋中，并在封口处加盖投标人单位公章。密封袋上应写明的内容见投标人须知前附表要求4.1.2。</w:t>
            </w:r>
          </w:p>
          <w:p w14:paraId="6F5DB903">
            <w:pPr>
              <w:pStyle w:val="8"/>
              <w:topLinePunct/>
              <w:snapToGrid w:val="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rFonts w:hint="eastAsia"/>
                <w:color w:val="auto"/>
                <w:sz w:val="21"/>
                <w:szCs w:val="21"/>
                <w:highlight w:val="none"/>
              </w:rPr>
              <w:t>现场递交的投标文件（光盘）不得加密。光盘（投标文件）无法读取或导入的，则视为未提交备用投标文件光盘。如果投标人没有按规定通过交易平台网上递交电子投标文件的，不再接受现场提交的光盘。</w:t>
            </w:r>
          </w:p>
          <w:p w14:paraId="29B545B8">
            <w:pPr>
              <w:pStyle w:val="8"/>
              <w:topLinePunct/>
              <w:snapToGrid w:val="0"/>
              <w:rPr>
                <w:color w:val="auto"/>
                <w:sz w:val="21"/>
                <w:szCs w:val="21"/>
                <w:highlight w:val="none"/>
              </w:rPr>
            </w:pPr>
            <w:r>
              <w:rPr>
                <w:rFonts w:hint="eastAsia"/>
                <w:color w:val="auto"/>
                <w:sz w:val="21"/>
                <w:szCs w:val="21"/>
                <w:highlight w:val="none"/>
              </w:rPr>
              <w:t>3、补救方案</w:t>
            </w:r>
          </w:p>
          <w:p w14:paraId="2CC28E67">
            <w:pPr>
              <w:pStyle w:val="8"/>
              <w:topLinePunct/>
              <w:snapToGrid w:val="0"/>
              <w:rPr>
                <w:color w:val="auto"/>
                <w:sz w:val="21"/>
                <w:szCs w:val="21"/>
                <w:highlight w:val="none"/>
              </w:rPr>
            </w:pPr>
            <w:r>
              <w:rPr>
                <w:rFonts w:hint="eastAsia"/>
                <w:color w:val="auto"/>
                <w:sz w:val="21"/>
                <w:szCs w:val="21"/>
                <w:highlight w:val="none"/>
              </w:rPr>
              <w:t>（1）投标文件解密失败的补救方案：</w:t>
            </w:r>
          </w:p>
          <w:p w14:paraId="12CE56E2">
            <w:pPr>
              <w:pStyle w:val="8"/>
              <w:topLinePunct/>
              <w:snapToGrid w:val="0"/>
              <w:rPr>
                <w:color w:val="auto"/>
                <w:sz w:val="21"/>
                <w:szCs w:val="21"/>
                <w:highlight w:val="none"/>
              </w:rPr>
            </w:pPr>
            <w:r>
              <w:rPr>
                <w:rFonts w:hint="eastAsia"/>
                <w:color w:val="auto"/>
                <w:sz w:val="21"/>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7E7C49F9">
            <w:pPr>
              <w:pStyle w:val="8"/>
              <w:topLinePunct/>
              <w:snapToGrid w:val="0"/>
              <w:rPr>
                <w:color w:val="auto"/>
                <w:sz w:val="21"/>
                <w:szCs w:val="21"/>
                <w:highlight w:val="none"/>
              </w:rPr>
            </w:pPr>
            <w:r>
              <w:rPr>
                <w:rFonts w:hint="eastAsia"/>
                <w:color w:val="auto"/>
                <w:sz w:val="21"/>
                <w:szCs w:val="21"/>
                <w:highlight w:val="none"/>
              </w:rPr>
              <w:t>（2）评标时突发情况的补救方案</w:t>
            </w:r>
          </w:p>
          <w:p w14:paraId="7AF29DCB">
            <w:pPr>
              <w:pStyle w:val="8"/>
              <w:topLinePunct/>
              <w:snapToGrid w:val="0"/>
              <w:rPr>
                <w:color w:val="auto"/>
                <w:sz w:val="21"/>
                <w:szCs w:val="21"/>
                <w:highlight w:val="none"/>
              </w:rPr>
            </w:pPr>
            <w:r>
              <w:rPr>
                <w:rFonts w:hint="eastAsia"/>
                <w:color w:val="auto"/>
                <w:sz w:val="21"/>
                <w:szCs w:val="21"/>
                <w:highlight w:val="none"/>
              </w:rPr>
              <w:t>若遇不可抗力发生（如：网络瘫痪、服务器损坏、交易系统故障短期无法恢复等因素），由评标委员会开启现场递交的全部投标文件光盘，并按光盘内容进行评审。</w:t>
            </w:r>
          </w:p>
          <w:p w14:paraId="765565B9">
            <w:pPr>
              <w:pStyle w:val="8"/>
              <w:topLinePunct/>
              <w:snapToGrid w:val="0"/>
              <w:rPr>
                <w:rFonts w:hAnsi="宋体"/>
                <w:color w:val="auto"/>
                <w:szCs w:val="21"/>
                <w:highlight w:val="none"/>
              </w:rPr>
            </w:pPr>
            <w:r>
              <w:rPr>
                <w:rFonts w:hint="eastAsia"/>
                <w:color w:val="auto"/>
                <w:sz w:val="21"/>
                <w:szCs w:val="21"/>
                <w:highlight w:val="none"/>
              </w:rPr>
              <w:t>（3）除发生上述情况外，开标评标均以投标人通过交易平台网上递交的电子投标文件为准。</w:t>
            </w:r>
          </w:p>
        </w:tc>
      </w:tr>
      <w:tr w14:paraId="68B20A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398E7E68">
            <w:pPr>
              <w:snapToGrid w:val="0"/>
              <w:jc w:val="center"/>
              <w:rPr>
                <w:rFonts w:ascii="宋体" w:hAnsi="宋体"/>
                <w:color w:val="auto"/>
                <w:szCs w:val="21"/>
                <w:highlight w:val="none"/>
              </w:rPr>
            </w:pPr>
            <w:r>
              <w:rPr>
                <w:rFonts w:ascii="宋体" w:hAnsi="宋体"/>
                <w:color w:val="auto"/>
                <w:szCs w:val="21"/>
                <w:highlight w:val="none"/>
              </w:rPr>
              <w:t>10</w:t>
            </w:r>
          </w:p>
        </w:tc>
        <w:tc>
          <w:tcPr>
            <w:tcW w:w="8513" w:type="dxa"/>
            <w:gridSpan w:val="2"/>
            <w:vAlign w:val="center"/>
          </w:tcPr>
          <w:p w14:paraId="72F26283">
            <w:pPr>
              <w:snapToGrid w:val="0"/>
              <w:jc w:val="left"/>
              <w:rPr>
                <w:rFonts w:ascii="宋体" w:hAnsi="宋体"/>
                <w:color w:val="auto"/>
                <w:szCs w:val="21"/>
                <w:highlight w:val="none"/>
              </w:rPr>
            </w:pPr>
            <w:r>
              <w:rPr>
                <w:rFonts w:ascii="宋体" w:hAnsi="宋体"/>
                <w:color w:val="auto"/>
                <w:szCs w:val="21"/>
                <w:highlight w:val="none"/>
              </w:rPr>
              <w:t>需要补充的其他内容</w:t>
            </w:r>
          </w:p>
        </w:tc>
      </w:tr>
      <w:tr w14:paraId="54CD8E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4555D3C6">
            <w:pPr>
              <w:keepNext w:val="0"/>
              <w:keepLines w:val="0"/>
              <w:suppressLineNumbers w:val="0"/>
              <w:snapToGrid w:val="0"/>
              <w:spacing w:before="0" w:beforeAutospacing="0" w:after="0" w:afterAutospacing="0"/>
              <w:ind w:left="0" w:leftChars="0" w:right="0" w:rightChars="0"/>
              <w:jc w:val="center"/>
              <w:rPr>
                <w:rFonts w:ascii="宋体" w:hAnsi="宋体"/>
                <w:color w:val="auto"/>
                <w:szCs w:val="21"/>
                <w:highlight w:val="none"/>
              </w:rPr>
            </w:pPr>
            <w:r>
              <w:rPr>
                <w:rFonts w:hint="eastAsia" w:ascii="宋体" w:hAnsi="宋体"/>
                <w:color w:val="auto"/>
                <w:szCs w:val="21"/>
                <w:highlight w:val="none"/>
                <w:lang w:val="en-US" w:eastAsia="zh-CN"/>
              </w:rPr>
              <w:t>10.1</w:t>
            </w:r>
          </w:p>
        </w:tc>
        <w:tc>
          <w:tcPr>
            <w:tcW w:w="1650" w:type="dxa"/>
            <w:vAlign w:val="center"/>
          </w:tcPr>
          <w:p w14:paraId="65D6818B">
            <w:pPr>
              <w:keepNext w:val="0"/>
              <w:keepLines w:val="0"/>
              <w:suppressLineNumbers w:val="0"/>
              <w:snapToGrid w:val="0"/>
              <w:spacing w:before="0" w:beforeAutospacing="0" w:after="0" w:afterAutospacing="0"/>
              <w:ind w:left="0" w:leftChars="0" w:right="0" w:rightChars="0"/>
              <w:jc w:val="center"/>
              <w:rPr>
                <w:rFonts w:ascii="宋体" w:hAnsi="宋体"/>
                <w:color w:val="auto"/>
                <w:szCs w:val="21"/>
                <w:highlight w:val="none"/>
              </w:rPr>
            </w:pPr>
            <w:r>
              <w:rPr>
                <w:rFonts w:hint="eastAsia" w:ascii="宋体" w:hAnsi="宋体"/>
                <w:color w:val="auto"/>
                <w:szCs w:val="21"/>
                <w:highlight w:val="none"/>
              </w:rPr>
              <w:t>特别提示</w:t>
            </w:r>
          </w:p>
        </w:tc>
        <w:tc>
          <w:tcPr>
            <w:tcW w:w="6863" w:type="dxa"/>
            <w:vAlign w:val="center"/>
          </w:tcPr>
          <w:p w14:paraId="42521051">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）投标人在本项目招标人的工程项目中存在下列行为的，将被拒绝一年内参与我单位后续工程投标（注：拒绝投标时限自招标人发出通知之日起计）：</w:t>
            </w:r>
          </w:p>
          <w:p w14:paraId="36253B04">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（1）将中标工程转包或者违法分包的；</w:t>
            </w:r>
          </w:p>
          <w:p w14:paraId="50A0E94B">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lang w:val="en-US" w:eastAsia="zh-CN"/>
              </w:rPr>
            </w:pPr>
            <w:r>
              <w:rPr>
                <w:rFonts w:hint="eastAsia" w:ascii="宋体" w:hAnsi="宋体"/>
                <w:color w:val="auto"/>
                <w:szCs w:val="21"/>
                <w:highlight w:val="none"/>
              </w:rPr>
              <w:t>（2）在中标工程中不执行质量、安全生产相关规定的，造成质量或安全事故的；</w:t>
            </w:r>
          </w:p>
          <w:p w14:paraId="7B81D082">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出让投标资格的；</w:t>
            </w:r>
          </w:p>
          <w:p w14:paraId="78225A6D">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存在围标或串标情形的；</w:t>
            </w:r>
          </w:p>
          <w:p w14:paraId="39AC254E">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）在投标文件中提供虚假材料的；</w:t>
            </w:r>
          </w:p>
          <w:p w14:paraId="2E4268C0">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）存在少放、不放业绩、奖项等客观评审资料，减少自身竞争力情形的；</w:t>
            </w:r>
          </w:p>
          <w:p w14:paraId="4673CB92">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）存在行贿情形的</w:t>
            </w:r>
            <w:r>
              <w:rPr>
                <w:rFonts w:hint="eastAsia" w:ascii="宋体" w:hAnsi="宋体"/>
                <w:color w:val="auto"/>
                <w:szCs w:val="21"/>
                <w:highlight w:val="none"/>
                <w:lang w:eastAsia="zh-CN"/>
              </w:rPr>
              <w:t>；</w:t>
            </w:r>
          </w:p>
          <w:p w14:paraId="13676555">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）拖欠农民工工资的；</w:t>
            </w:r>
          </w:p>
          <w:p w14:paraId="31B74AC6">
            <w:pPr>
              <w:keepNext w:val="0"/>
              <w:keepLines w:val="0"/>
              <w:suppressLineNumbers w:val="0"/>
              <w:snapToGrid w:val="0"/>
              <w:spacing w:before="0" w:beforeAutospacing="0" w:after="0" w:afterAutospacing="0"/>
              <w:ind w:left="0" w:leftChars="0" w:right="0" w:rightChars="0"/>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）出具虚假检测报告,检测报告或检测结论与实际严重不符的；</w:t>
            </w:r>
          </w:p>
          <w:p w14:paraId="4A799CD4">
            <w:pPr>
              <w:keepNext w:val="0"/>
              <w:keepLines w:val="0"/>
              <w:suppressLineNumbers w:val="0"/>
              <w:snapToGrid w:val="0"/>
              <w:spacing w:before="0" w:beforeAutospacing="0" w:after="0" w:afterAutospacing="0"/>
              <w:ind w:left="0" w:leftChars="0" w:right="0" w:rightChars="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）为招标人提供检测服务过程中存在因过错行为被生效法律文书认定承担违约或侵权责任的</w:t>
            </w:r>
            <w:r>
              <w:rPr>
                <w:rFonts w:hint="eastAsia" w:ascii="宋体" w:hAnsi="宋体"/>
                <w:color w:val="auto"/>
                <w:szCs w:val="21"/>
                <w:highlight w:val="none"/>
                <w:lang w:eastAsia="zh-CN"/>
              </w:rPr>
              <w:t>。</w:t>
            </w:r>
          </w:p>
        </w:tc>
      </w:tr>
      <w:tr w14:paraId="296D21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69AD6F53">
            <w:pPr>
              <w:keepNext w:val="0"/>
              <w:keepLines w:val="0"/>
              <w:suppressLineNumbers w:val="0"/>
              <w:snapToGrid w:val="0"/>
              <w:spacing w:before="0" w:beforeAutospacing="0" w:after="0" w:afterAutospacing="0"/>
              <w:ind w:left="0" w:leftChars="0" w:right="0" w:rightChars="0"/>
              <w:jc w:val="center"/>
              <w:rPr>
                <w:rFonts w:ascii="宋体" w:hAnsi="宋体"/>
                <w:color w:val="auto"/>
                <w:szCs w:val="21"/>
                <w:highlight w:val="none"/>
              </w:rPr>
            </w:pPr>
            <w:bookmarkStart w:id="19" w:name="_Hlk136175204"/>
            <w:r>
              <w:rPr>
                <w:rFonts w:hint="eastAsia" w:ascii="宋体" w:hAnsi="宋体"/>
                <w:color w:val="auto"/>
                <w:szCs w:val="21"/>
                <w:highlight w:val="none"/>
              </w:rPr>
              <w:t>10.</w:t>
            </w:r>
            <w:r>
              <w:rPr>
                <w:rFonts w:hint="eastAsia" w:ascii="宋体" w:hAnsi="宋体"/>
                <w:color w:val="auto"/>
                <w:szCs w:val="21"/>
                <w:highlight w:val="none"/>
                <w:lang w:val="en-US" w:eastAsia="zh-CN"/>
              </w:rPr>
              <w:t>2</w:t>
            </w:r>
          </w:p>
        </w:tc>
        <w:tc>
          <w:tcPr>
            <w:tcW w:w="1650" w:type="dxa"/>
            <w:vAlign w:val="center"/>
          </w:tcPr>
          <w:p w14:paraId="1D170786">
            <w:pPr>
              <w:keepNext w:val="0"/>
              <w:keepLines w:val="0"/>
              <w:suppressLineNumbers w:val="0"/>
              <w:snapToGrid w:val="0"/>
              <w:spacing w:before="0" w:beforeAutospacing="0" w:after="0" w:afterAutospacing="0"/>
              <w:ind w:left="0" w:leftChars="0" w:right="0" w:rightChars="0"/>
              <w:jc w:val="center"/>
              <w:rPr>
                <w:rFonts w:ascii="宋体" w:hAnsi="宋体"/>
                <w:color w:val="auto"/>
                <w:szCs w:val="21"/>
                <w:highlight w:val="none"/>
              </w:rPr>
            </w:pPr>
            <w:r>
              <w:rPr>
                <w:rFonts w:hint="eastAsia" w:eastAsia="宋体" w:cs="Times New Roman"/>
                <w:color w:val="auto"/>
                <w:highlight w:val="none"/>
                <w:lang w:eastAsia="zh-CN"/>
              </w:rPr>
              <w:t>招标失败的情形</w:t>
            </w:r>
          </w:p>
        </w:tc>
        <w:tc>
          <w:tcPr>
            <w:tcW w:w="6863" w:type="dxa"/>
            <w:shd w:val="clear" w:color="auto" w:fill="auto"/>
            <w:vAlign w:val="center"/>
          </w:tcPr>
          <w:p w14:paraId="7876003D">
            <w:pPr>
              <w:keepNext w:val="0"/>
              <w:keepLines w:val="0"/>
              <w:suppressLineNumbers w:val="0"/>
              <w:snapToGrid w:val="0"/>
              <w:spacing w:before="0" w:beforeAutospacing="0" w:after="0" w:afterAutospacing="0"/>
              <w:ind w:left="0" w:leftChars="0" w:right="0" w:rightChars="0"/>
              <w:jc w:val="left"/>
              <w:rPr>
                <w:rFonts w:ascii="宋体" w:hAnsi="宋体"/>
                <w:color w:val="auto"/>
                <w:szCs w:val="21"/>
                <w:highlight w:val="none"/>
                <w:u w:val="single"/>
              </w:rPr>
            </w:pPr>
            <w:r>
              <w:rPr>
                <w:rFonts w:hint="eastAsia" w:eastAsia="宋体" w:cs="Times New Roman"/>
                <w:color w:val="auto"/>
                <w:highlight w:val="none"/>
                <w:lang w:eastAsia="zh-CN"/>
              </w:rPr>
              <w:t>本项目采用资格后审方式，资格审查与评标同时进行，通过形式评审、资格审查、响应性评审的投标申请人不足3名时为本项目本次招标失败。招标人分析招标失败原因，修正招标方案，报有关管理部门核准后，重新组织招标。</w:t>
            </w:r>
          </w:p>
        </w:tc>
      </w:tr>
      <w:tr w14:paraId="327E00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trPr>
        <w:tc>
          <w:tcPr>
            <w:tcW w:w="1178" w:type="dxa"/>
            <w:vAlign w:val="center"/>
          </w:tcPr>
          <w:p w14:paraId="64F13F9F">
            <w:pPr>
              <w:keepNext w:val="0"/>
              <w:keepLines w:val="0"/>
              <w:suppressLineNumbers w:val="0"/>
              <w:snapToGrid w:val="0"/>
              <w:spacing w:before="0" w:beforeAutospacing="0" w:after="0" w:afterAutospacing="0"/>
              <w:ind w:left="0" w:leftChars="0" w:right="0" w:rightChars="0"/>
              <w:jc w:val="center"/>
              <w:rPr>
                <w:rFonts w:ascii="宋体" w:hAnsi="宋体"/>
                <w:color w:val="auto"/>
                <w:szCs w:val="21"/>
                <w:highlight w:val="none"/>
              </w:rPr>
            </w:pPr>
            <w:r>
              <w:rPr>
                <w:rFonts w:hint="eastAsia" w:ascii="宋体" w:hAnsi="宋体"/>
                <w:color w:val="auto"/>
                <w:szCs w:val="21"/>
                <w:highlight w:val="none"/>
              </w:rPr>
              <w:t>10.</w:t>
            </w:r>
            <w:r>
              <w:rPr>
                <w:rFonts w:hint="eastAsia" w:ascii="宋体" w:hAnsi="宋体"/>
                <w:color w:val="auto"/>
                <w:szCs w:val="21"/>
                <w:highlight w:val="none"/>
                <w:lang w:val="en-US" w:eastAsia="zh-CN"/>
              </w:rPr>
              <w:t>3</w:t>
            </w:r>
          </w:p>
        </w:tc>
        <w:tc>
          <w:tcPr>
            <w:tcW w:w="1650" w:type="dxa"/>
            <w:vAlign w:val="center"/>
          </w:tcPr>
          <w:p w14:paraId="05867EB2">
            <w:pPr>
              <w:keepNext w:val="0"/>
              <w:keepLines w:val="0"/>
              <w:suppressLineNumbers w:val="0"/>
              <w:snapToGrid w:val="0"/>
              <w:spacing w:before="0" w:beforeAutospacing="0" w:after="0" w:afterAutospacing="0"/>
              <w:ind w:left="0" w:leftChars="0" w:right="0" w:rightChars="0"/>
              <w:jc w:val="center"/>
              <w:rPr>
                <w:rFonts w:ascii="宋体" w:hAnsi="宋体"/>
                <w:color w:val="auto"/>
                <w:szCs w:val="21"/>
                <w:highlight w:val="none"/>
              </w:rPr>
            </w:pPr>
            <w:r>
              <w:rPr>
                <w:rFonts w:hint="eastAsia" w:ascii="宋体" w:hAnsi="宋体"/>
                <w:color w:val="auto"/>
                <w:szCs w:val="21"/>
                <w:highlight w:val="none"/>
              </w:rPr>
              <w:t>其他</w:t>
            </w:r>
          </w:p>
        </w:tc>
        <w:tc>
          <w:tcPr>
            <w:tcW w:w="6863" w:type="dxa"/>
            <w:vAlign w:val="center"/>
          </w:tcPr>
          <w:p w14:paraId="1E883D57">
            <w:pPr>
              <w:keepNext w:val="0"/>
              <w:keepLines w:val="0"/>
              <w:suppressLineNumbers w:val="0"/>
              <w:snapToGrid w:val="0"/>
              <w:spacing w:before="0" w:beforeAutospacing="0" w:after="0" w:afterAutospacing="0"/>
              <w:ind w:left="0" w:right="0"/>
              <w:jc w:val="left"/>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w:t>
            </w:r>
            <w:r>
              <w:rPr>
                <w:rFonts w:hint="default" w:ascii="宋体" w:hAnsi="宋体" w:eastAsia="宋体" w:cs="Times New Roman"/>
                <w:color w:val="auto"/>
                <w:szCs w:val="21"/>
                <w:highlight w:val="none"/>
              </w:rPr>
              <w:t>在产生中标候选人后，招标人将中标候选人的投标文件商务部分（包括人员、业绩、奖项等资料）在</w:t>
            </w:r>
            <w:r>
              <w:rPr>
                <w:rFonts w:hint="default" w:ascii="宋体" w:hAnsi="宋体" w:eastAsia="宋体" w:cs="Times New Roman"/>
                <w:color w:val="auto"/>
                <w:szCs w:val="21"/>
                <w:highlight w:val="none"/>
                <w:lang w:eastAsia="zh-CN"/>
              </w:rPr>
              <w:t>广州交易集团有限公司（广州公共资源交易中心）</w:t>
            </w:r>
            <w:r>
              <w:rPr>
                <w:rFonts w:hint="default" w:ascii="宋体" w:hAnsi="宋体" w:eastAsia="宋体" w:cs="Times New Roman"/>
                <w:color w:val="auto"/>
                <w:szCs w:val="21"/>
                <w:highlight w:val="none"/>
              </w:rPr>
              <w:t>平台和广东省招标投标监管网公开。</w:t>
            </w:r>
          </w:p>
          <w:p w14:paraId="6ACF2D3F">
            <w:pPr>
              <w:keepNext w:val="0"/>
              <w:keepLines w:val="0"/>
              <w:suppressLineNumbers w:val="0"/>
              <w:snapToGrid w:val="0"/>
              <w:spacing w:before="0" w:beforeAutospacing="0" w:after="0" w:afterAutospacing="0"/>
              <w:ind w:left="0" w:right="0"/>
              <w:jc w:val="left"/>
              <w:rPr>
                <w:rFonts w:hint="default" w:ascii="宋体" w:hAnsi="宋体" w:eastAsia="宋体" w:cs="宋体"/>
                <w:color w:val="auto"/>
                <w:kern w:val="0"/>
                <w:szCs w:val="21"/>
                <w:highlight w:val="none"/>
                <w:lang w:val="en-US" w:eastAsia="zh-CN"/>
              </w:rPr>
            </w:pPr>
            <w:r>
              <w:rPr>
                <w:rFonts w:hint="default" w:ascii="宋体" w:hAnsi="宋体" w:eastAsia="宋体" w:cs="Times New Roman"/>
                <w:color w:val="auto"/>
                <w:szCs w:val="21"/>
                <w:highlight w:val="none"/>
              </w:rPr>
              <w:t>2、中标后，中标单位须提交与网上上传电子投标文件完全一致的纸质投标文件（一式</w:t>
            </w:r>
            <w:r>
              <w:rPr>
                <w:rFonts w:hint="eastAsia" w:ascii="宋体" w:hAnsi="宋体" w:cs="Times New Roman"/>
                <w:color w:val="auto"/>
                <w:szCs w:val="21"/>
                <w:highlight w:val="none"/>
                <w:lang w:val="en-US" w:eastAsia="zh-CN"/>
              </w:rPr>
              <w:t>两</w:t>
            </w:r>
            <w:r>
              <w:rPr>
                <w:rFonts w:hint="default" w:ascii="宋体" w:hAnsi="宋体" w:eastAsia="宋体" w:cs="Times New Roman"/>
                <w:color w:val="auto"/>
                <w:szCs w:val="21"/>
                <w:highlight w:val="none"/>
              </w:rPr>
              <w:t>份，加盖公章）给招标单位。</w:t>
            </w:r>
          </w:p>
        </w:tc>
      </w:tr>
      <w:bookmarkEnd w:id="19"/>
      <w:tr w14:paraId="482756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78" w:type="dxa"/>
            <w:vAlign w:val="center"/>
          </w:tcPr>
          <w:p w14:paraId="625CB414">
            <w:pPr>
              <w:keepNext w:val="0"/>
              <w:keepLines w:val="0"/>
              <w:suppressLineNumbers w:val="0"/>
              <w:snapToGrid w:val="0"/>
              <w:spacing w:before="0" w:beforeAutospacing="0" w:after="0" w:afterAutospacing="0"/>
              <w:ind w:left="0" w:leftChars="0" w:right="0" w:rightChars="0"/>
              <w:jc w:val="center"/>
              <w:rPr>
                <w:rFonts w:ascii="宋体" w:hAnsi="宋体"/>
                <w:color w:val="auto"/>
                <w:szCs w:val="21"/>
                <w:highlight w:val="none"/>
              </w:rPr>
            </w:pPr>
            <w:r>
              <w:rPr>
                <w:rFonts w:hint="eastAsia" w:ascii="宋体" w:hAnsi="宋体"/>
                <w:color w:val="auto"/>
                <w:szCs w:val="21"/>
                <w:highlight w:val="none"/>
                <w:lang w:val="en-US" w:eastAsia="zh-CN"/>
              </w:rPr>
              <w:t>10.4</w:t>
            </w:r>
          </w:p>
        </w:tc>
        <w:tc>
          <w:tcPr>
            <w:tcW w:w="1650" w:type="dxa"/>
            <w:vAlign w:val="center"/>
          </w:tcPr>
          <w:p w14:paraId="649C9403">
            <w:pPr>
              <w:keepNext w:val="0"/>
              <w:keepLines w:val="0"/>
              <w:suppressLineNumbers w:val="0"/>
              <w:snapToGrid w:val="0"/>
              <w:spacing w:before="0" w:beforeAutospacing="0" w:after="0" w:afterAutospacing="0"/>
              <w:ind w:left="0" w:right="0"/>
              <w:jc w:val="left"/>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相关费用</w:t>
            </w:r>
          </w:p>
        </w:tc>
        <w:tc>
          <w:tcPr>
            <w:tcW w:w="6863" w:type="dxa"/>
            <w:vAlign w:val="center"/>
          </w:tcPr>
          <w:p w14:paraId="1B7EAA99">
            <w:pPr>
              <w:keepNext w:val="0"/>
              <w:keepLines w:val="0"/>
              <w:suppressLineNumbers w:val="0"/>
              <w:snapToGrid w:val="0"/>
              <w:spacing w:before="0" w:beforeAutospacing="0" w:after="0" w:afterAutospacing="0"/>
              <w:ind w:left="0" w:right="0"/>
              <w:jc w:val="left"/>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中标人代缴</w:t>
            </w:r>
            <w:r>
              <w:rPr>
                <w:rFonts w:hint="eastAsia" w:ascii="宋体" w:hAnsi="宋体" w:eastAsia="宋体" w:cs="Times New Roman"/>
                <w:color w:val="auto"/>
                <w:szCs w:val="21"/>
                <w:highlight w:val="none"/>
                <w:lang w:eastAsia="zh-CN"/>
              </w:rPr>
              <w:t>广州交易集团有限公司（广州公共资源交易中心）</w:t>
            </w:r>
            <w:r>
              <w:rPr>
                <w:rFonts w:hint="eastAsia" w:ascii="宋体" w:hAnsi="宋体" w:eastAsia="宋体" w:cs="Times New Roman"/>
                <w:color w:val="auto"/>
                <w:szCs w:val="21"/>
                <w:highlight w:val="none"/>
              </w:rPr>
              <w:t>交易服务费，其费用包含在中标人报价中，由</w:t>
            </w:r>
            <w:r>
              <w:rPr>
                <w:rFonts w:hint="eastAsia" w:ascii="宋体" w:hAnsi="宋体" w:eastAsia="宋体" w:cs="Times New Roman"/>
                <w:color w:val="auto"/>
                <w:szCs w:val="21"/>
                <w:highlight w:val="none"/>
                <w:lang w:eastAsia="zh-CN"/>
              </w:rPr>
              <w:t>广州交易集团有限公司（广州公共资源交易中心）</w:t>
            </w:r>
            <w:r>
              <w:rPr>
                <w:rFonts w:hint="eastAsia" w:ascii="宋体" w:hAnsi="宋体" w:eastAsia="宋体" w:cs="Times New Roman"/>
                <w:color w:val="auto"/>
                <w:szCs w:val="21"/>
                <w:highlight w:val="none"/>
              </w:rPr>
              <w:t>向中标人开具增值税发票。</w:t>
            </w:r>
          </w:p>
        </w:tc>
      </w:tr>
      <w:tr w14:paraId="60AE34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4B65EFFC">
            <w:pPr>
              <w:keepNext w:val="0"/>
              <w:keepLines w:val="0"/>
              <w:suppressLineNumbers w:val="0"/>
              <w:snapToGrid w:val="0"/>
              <w:spacing w:before="0" w:beforeAutospacing="0" w:after="0" w:afterAutospacing="0"/>
              <w:ind w:left="0" w:leftChars="0" w:right="0" w:rightChars="0"/>
              <w:jc w:val="center"/>
              <w:rPr>
                <w:rFonts w:ascii="宋体" w:hAnsi="宋体"/>
                <w:color w:val="auto"/>
                <w:szCs w:val="21"/>
                <w:highlight w:val="none"/>
              </w:rPr>
            </w:pPr>
            <w:r>
              <w:rPr>
                <w:rFonts w:hint="eastAsia" w:ascii="宋体" w:hAnsi="宋体"/>
                <w:color w:val="auto"/>
                <w:szCs w:val="21"/>
                <w:highlight w:val="none"/>
              </w:rPr>
              <w:t>10.</w:t>
            </w:r>
            <w:r>
              <w:rPr>
                <w:rFonts w:hint="eastAsia" w:ascii="宋体" w:hAnsi="宋体"/>
                <w:color w:val="auto"/>
                <w:szCs w:val="21"/>
                <w:highlight w:val="none"/>
                <w:lang w:val="en-US" w:eastAsia="zh-CN"/>
              </w:rPr>
              <w:t>5</w:t>
            </w:r>
          </w:p>
        </w:tc>
        <w:tc>
          <w:tcPr>
            <w:tcW w:w="1650" w:type="dxa"/>
            <w:vAlign w:val="center"/>
          </w:tcPr>
          <w:p w14:paraId="4AE268FD">
            <w:pPr>
              <w:keepNext w:val="0"/>
              <w:keepLines w:val="0"/>
              <w:suppressLineNumbers w:val="0"/>
              <w:spacing w:before="0" w:beforeAutospacing="0" w:after="0" w:afterAutospacing="0" w:line="360" w:lineRule="auto"/>
              <w:ind w:left="0" w:leftChars="0" w:right="-44" w:rightChars="-21"/>
              <w:jc w:val="center"/>
              <w:rPr>
                <w:rFonts w:ascii="宋体" w:hAnsi="宋体"/>
                <w:color w:val="auto"/>
                <w:szCs w:val="21"/>
                <w:highlight w:val="none"/>
              </w:rPr>
            </w:pPr>
            <w:r>
              <w:rPr>
                <w:rFonts w:hint="eastAsia" w:ascii="宋体" w:hAnsi="宋体" w:cs="宋体"/>
                <w:color w:val="auto"/>
                <w:szCs w:val="21"/>
                <w:highlight w:val="none"/>
              </w:rPr>
              <w:t>否决投标条款</w:t>
            </w:r>
          </w:p>
        </w:tc>
        <w:tc>
          <w:tcPr>
            <w:tcW w:w="6863" w:type="dxa"/>
            <w:vAlign w:val="center"/>
          </w:tcPr>
          <w:p w14:paraId="53CAA30A">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否决投标条款：</w:t>
            </w:r>
          </w:p>
          <w:p w14:paraId="2CE97B2A">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1、在投标截止期后逾期或未在</w:t>
            </w:r>
            <w:r>
              <w:rPr>
                <w:rFonts w:hint="eastAsia" w:ascii="宋体" w:hAnsi="宋体"/>
                <w:color w:val="auto"/>
                <w:szCs w:val="21"/>
                <w:highlight w:val="none"/>
                <w:lang w:eastAsia="zh-CN"/>
              </w:rPr>
              <w:t>广州交易集团有限公司（广州公共资源交易中心）</w:t>
            </w:r>
            <w:r>
              <w:rPr>
                <w:rFonts w:hint="eastAsia" w:ascii="宋体" w:hAnsi="宋体"/>
                <w:color w:val="auto"/>
                <w:szCs w:val="21"/>
                <w:highlight w:val="none"/>
              </w:rPr>
              <w:t>数字交易平台（http://www.gzggzy.cn）递交电子投标文件的，电子招标投标交易平台将拒绝接收其投标文件。</w:t>
            </w:r>
          </w:p>
          <w:p w14:paraId="4142B703">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2、投标文件应当对招标文件的实质性要求和条件作出满足性或更有利于招标人的响应，否则，投标人的投标将被否决。</w:t>
            </w:r>
          </w:p>
          <w:p w14:paraId="2925F129">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3、投标人有以下情形之一的，评标委员会应当否决其投标：</w:t>
            </w:r>
          </w:p>
          <w:p w14:paraId="52D92340">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（1）投标文件没有对招标文件的实质性要求和条件作出响应，或者对招标文件的偏差超出招标文件规定的偏差范围或最高项数；</w:t>
            </w:r>
          </w:p>
          <w:p w14:paraId="1CE91F0B">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（2）有串通投标、弄虚作假、行贿等违法行为。</w:t>
            </w:r>
          </w:p>
          <w:p w14:paraId="134DE2BC">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4、投标报价有算术错误及其他错误的，评标委员会按以下原则要求投标人对投标报价进行修正，并要求投标人书面澄清确认。投标人拒不澄清确认的，评标委员会应当否决其投标：</w:t>
            </w:r>
          </w:p>
          <w:p w14:paraId="782A491B">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（1）投标文件中的大写金额与小写金额不一致的，以大写金额为准；</w:t>
            </w:r>
          </w:p>
          <w:p w14:paraId="0BBC4B64">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（2）总价金额与单价金额不一致的，以单价金额为准，但单价金额小数点有明显错误的除外。</w:t>
            </w:r>
          </w:p>
          <w:p w14:paraId="38FB1F15">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5、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6754ABB">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6、投标文件中投标报价高于最高投标限价的，其投标文件将被否决。</w:t>
            </w:r>
          </w:p>
          <w:p w14:paraId="50A9EAF1">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7、按投标报价的算术校核原则及方法调整或修正投标文件的投标报价，调整后的投标报价对投标人起约束作用。如果投标人不接受修正后的报价，则取消其中标资格，并且其投标担保也将被没收。</w:t>
            </w:r>
          </w:p>
          <w:p w14:paraId="655B0365">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8、资审合格后，投标人的资格发生变化而不满足投标人合格条件，在发出中标通知书前，资格问题仍未解决的，招标人将取消其中标资格。</w:t>
            </w:r>
          </w:p>
          <w:p w14:paraId="3C57BF03">
            <w:pPr>
              <w:keepNext w:val="0"/>
              <w:keepLines w:val="0"/>
              <w:suppressLineNumbers w:val="0"/>
              <w:snapToGrid w:val="0"/>
              <w:spacing w:before="0" w:beforeAutospacing="0" w:after="0" w:afterAutospacing="0"/>
              <w:ind w:left="0" w:leftChars="0" w:right="0" w:rightChars="0"/>
              <w:jc w:val="left"/>
              <w:rPr>
                <w:rFonts w:ascii="宋体" w:hAnsi="宋体"/>
                <w:color w:val="auto"/>
                <w:szCs w:val="21"/>
                <w:highlight w:val="none"/>
              </w:rPr>
            </w:pPr>
            <w:r>
              <w:rPr>
                <w:rFonts w:hint="eastAsia" w:ascii="宋体" w:hAnsi="宋体"/>
                <w:color w:val="auto"/>
                <w:szCs w:val="21"/>
                <w:highlight w:val="none"/>
              </w:rPr>
              <w:t>9、投标文件符合列于《评标办法前附表》“形式评审标准”“资格评审标准”“响应性评审标准”中所有情形的，为有效投标文件。任一情形不符合均为无效投标文件，经评标委员会认定后，其投标文件将被否决。</w:t>
            </w:r>
          </w:p>
        </w:tc>
      </w:tr>
    </w:tbl>
    <w:p w14:paraId="19D2CFC2">
      <w:pPr>
        <w:pStyle w:val="4"/>
        <w:spacing w:line="360" w:lineRule="auto"/>
        <w:rPr>
          <w:rFonts w:ascii="宋体" w:hAnsi="宋体" w:eastAsia="宋体" w:cs="宋体"/>
          <w:color w:val="auto"/>
          <w:sz w:val="28"/>
          <w:szCs w:val="28"/>
          <w:highlight w:val="none"/>
        </w:rPr>
      </w:pPr>
      <w:r>
        <w:rPr>
          <w:rFonts w:hint="eastAsia" w:ascii="宋体" w:hAnsi="宋体"/>
          <w:color w:val="auto"/>
          <w:sz w:val="24"/>
          <w:szCs w:val="24"/>
          <w:highlight w:val="none"/>
        </w:rPr>
        <w:br w:type="page"/>
      </w:r>
      <w:bookmarkStart w:id="20" w:name="_Toc19348"/>
      <w:bookmarkStart w:id="21" w:name="_Toc28826"/>
      <w:bookmarkStart w:id="22" w:name="_Toc32578"/>
      <w:bookmarkStart w:id="23" w:name="_Toc25071"/>
      <w:bookmarkStart w:id="24" w:name="_Toc4401"/>
      <w:bookmarkStart w:id="25" w:name="_Toc527028850"/>
      <w:bookmarkStart w:id="26" w:name="_Toc527028679"/>
      <w:bookmarkStart w:id="27" w:name="_Toc520310853"/>
      <w:bookmarkStart w:id="28" w:name="_Toc527028502"/>
      <w:r>
        <w:rPr>
          <w:rFonts w:ascii="宋体" w:hAnsi="宋体" w:eastAsia="宋体" w:cs="宋体"/>
          <w:color w:val="auto"/>
          <w:sz w:val="28"/>
          <w:szCs w:val="28"/>
          <w:highlight w:val="none"/>
        </w:rPr>
        <w:t xml:space="preserve">1. </w:t>
      </w:r>
      <w:r>
        <w:rPr>
          <w:rFonts w:hint="eastAsia" w:ascii="宋体" w:hAnsi="宋体" w:eastAsia="宋体" w:cs="宋体"/>
          <w:color w:val="auto"/>
          <w:sz w:val="28"/>
          <w:szCs w:val="28"/>
          <w:highlight w:val="none"/>
        </w:rPr>
        <w:t>总则</w:t>
      </w:r>
      <w:bookmarkEnd w:id="20"/>
      <w:bookmarkEnd w:id="21"/>
      <w:bookmarkEnd w:id="22"/>
      <w:bookmarkEnd w:id="23"/>
      <w:bookmarkEnd w:id="24"/>
    </w:p>
    <w:p w14:paraId="31DFE93D">
      <w:pPr>
        <w:pStyle w:val="5"/>
        <w:spacing w:line="360" w:lineRule="auto"/>
        <w:ind w:firstLine="0" w:firstLineChars="0"/>
        <w:rPr>
          <w:rFonts w:ascii="宋体" w:hAnsi="宋体" w:eastAsia="宋体" w:cs="宋体"/>
          <w:color w:val="auto"/>
          <w:szCs w:val="24"/>
          <w:highlight w:val="none"/>
        </w:rPr>
      </w:pPr>
      <w:bookmarkStart w:id="29" w:name="_Toc23083"/>
      <w:bookmarkStart w:id="30" w:name="_Toc11648"/>
      <w:bookmarkStart w:id="31" w:name="_Toc19534"/>
      <w:bookmarkStart w:id="32" w:name="_Toc22496"/>
      <w:bookmarkStart w:id="33" w:name="_Toc21695"/>
      <w:bookmarkStart w:id="34" w:name="_Toc29004"/>
      <w:bookmarkStart w:id="35" w:name="_Toc17110"/>
      <w:bookmarkStart w:id="36" w:name="_Toc7221"/>
      <w:bookmarkStart w:id="37" w:name="_Toc492300565"/>
      <w:bookmarkStart w:id="38" w:name="_Toc14769"/>
      <w:bookmarkStart w:id="39" w:name="_Toc11481"/>
      <w:r>
        <w:rPr>
          <w:rFonts w:ascii="宋体" w:hAnsi="宋体" w:eastAsia="宋体" w:cs="宋体"/>
          <w:bCs/>
          <w:color w:val="auto"/>
          <w:szCs w:val="24"/>
          <w:highlight w:val="none"/>
        </w:rPr>
        <w:t xml:space="preserve">1.1 </w:t>
      </w:r>
      <w:r>
        <w:rPr>
          <w:rFonts w:hint="eastAsia" w:ascii="宋体" w:hAnsi="宋体" w:eastAsia="宋体" w:cs="宋体"/>
          <w:bCs/>
          <w:color w:val="auto"/>
          <w:szCs w:val="24"/>
          <w:highlight w:val="none"/>
        </w:rPr>
        <w:t>招标项目概况</w:t>
      </w:r>
      <w:bookmarkEnd w:id="29"/>
      <w:bookmarkEnd w:id="30"/>
      <w:bookmarkEnd w:id="31"/>
      <w:bookmarkEnd w:id="32"/>
      <w:bookmarkEnd w:id="33"/>
      <w:bookmarkEnd w:id="34"/>
      <w:bookmarkEnd w:id="35"/>
      <w:bookmarkEnd w:id="36"/>
      <w:bookmarkEnd w:id="37"/>
      <w:bookmarkEnd w:id="38"/>
      <w:bookmarkEnd w:id="39"/>
    </w:p>
    <w:p w14:paraId="3FC048A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1.1.1根据《中华人民共和国招标投标法》、《中华人民共和国招标投标法实施条例》等有关法律、法规和规章的规定，本招标项目已具备招标条件，现对</w:t>
      </w:r>
      <w:r>
        <w:rPr>
          <w:rFonts w:hint="eastAsia" w:ascii="宋体" w:hAnsi="宋体" w:cs="宋体"/>
          <w:color w:val="auto"/>
          <w:sz w:val="24"/>
          <w:szCs w:val="24"/>
          <w:highlight w:val="none"/>
          <w:lang w:eastAsia="zh-CN"/>
        </w:rPr>
        <w:t>本项目</w:t>
      </w:r>
      <w:r>
        <w:rPr>
          <w:rFonts w:hint="eastAsia" w:ascii="宋体" w:hAnsi="宋体" w:cs="宋体"/>
          <w:color w:val="auto"/>
          <w:sz w:val="24"/>
          <w:szCs w:val="24"/>
          <w:highlight w:val="none"/>
        </w:rPr>
        <w:t>进行招标。</w:t>
      </w:r>
    </w:p>
    <w:p w14:paraId="3C38104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1.1.2招标人：见投标人须知前附表。</w:t>
      </w:r>
    </w:p>
    <w:p w14:paraId="0E8EE88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1.1.3招标代理机构：见投标人须知前附表。</w:t>
      </w:r>
    </w:p>
    <w:p w14:paraId="510895A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1.1.4招标项目名称：见投标人须知前附表。</w:t>
      </w:r>
    </w:p>
    <w:p w14:paraId="181CF4B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1.1.5项目建设地点：见投标人须知前附表。</w:t>
      </w:r>
    </w:p>
    <w:p w14:paraId="3077D53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1.1.6项目建设规模：见投标人须知前附表。</w:t>
      </w:r>
    </w:p>
    <w:p w14:paraId="219CF92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1.1.7工程项目施工预计开工日期和建设周期：见投标人须知前附表。</w:t>
      </w:r>
    </w:p>
    <w:p w14:paraId="698A252A">
      <w:pPr>
        <w:spacing w:line="360" w:lineRule="auto"/>
        <w:ind w:firstLine="480" w:firstLineChars="200"/>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1.1.8建筑安装工程费/工程概算：见投标人须知前附表。</w:t>
      </w:r>
    </w:p>
    <w:p w14:paraId="0A5FA419">
      <w:pPr>
        <w:pStyle w:val="5"/>
        <w:spacing w:line="360" w:lineRule="auto"/>
        <w:ind w:firstLine="0" w:firstLineChars="0"/>
        <w:rPr>
          <w:rFonts w:ascii="宋体" w:hAnsi="宋体" w:eastAsia="宋体" w:cs="宋体"/>
          <w:color w:val="auto"/>
          <w:szCs w:val="24"/>
          <w:highlight w:val="none"/>
        </w:rPr>
      </w:pPr>
      <w:bookmarkStart w:id="40" w:name="_Toc6932"/>
      <w:bookmarkStart w:id="41" w:name="_Toc20295"/>
      <w:bookmarkStart w:id="42" w:name="_Toc27081"/>
      <w:bookmarkStart w:id="43" w:name="_Toc492300566"/>
      <w:bookmarkStart w:id="44" w:name="_Toc29508"/>
      <w:bookmarkStart w:id="45" w:name="_Toc18214"/>
      <w:bookmarkStart w:id="46" w:name="_Toc32712"/>
      <w:bookmarkStart w:id="47" w:name="_Toc19038"/>
      <w:bookmarkStart w:id="48" w:name="_Toc8474"/>
      <w:bookmarkStart w:id="49" w:name="_Toc4038"/>
      <w:bookmarkStart w:id="50" w:name="_Toc26231"/>
      <w:r>
        <w:rPr>
          <w:rFonts w:ascii="宋体" w:hAnsi="宋体" w:eastAsia="宋体" w:cs="宋体"/>
          <w:color w:val="auto"/>
          <w:szCs w:val="24"/>
          <w:highlight w:val="none"/>
        </w:rPr>
        <w:t xml:space="preserve">1.2 </w:t>
      </w:r>
      <w:r>
        <w:rPr>
          <w:rFonts w:hint="eastAsia" w:ascii="宋体" w:hAnsi="宋体" w:eastAsia="宋体" w:cs="宋体"/>
          <w:color w:val="auto"/>
          <w:szCs w:val="24"/>
          <w:highlight w:val="none"/>
        </w:rPr>
        <w:t>招标项目的资金来源和落实情况</w:t>
      </w:r>
      <w:bookmarkEnd w:id="40"/>
      <w:bookmarkEnd w:id="41"/>
      <w:bookmarkEnd w:id="42"/>
      <w:bookmarkEnd w:id="43"/>
      <w:bookmarkEnd w:id="44"/>
      <w:bookmarkEnd w:id="45"/>
      <w:bookmarkEnd w:id="46"/>
      <w:bookmarkEnd w:id="47"/>
      <w:bookmarkEnd w:id="48"/>
      <w:bookmarkEnd w:id="49"/>
      <w:bookmarkEnd w:id="50"/>
    </w:p>
    <w:p w14:paraId="22AEAD30">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1.2.1 </w:t>
      </w:r>
      <w:r>
        <w:rPr>
          <w:rFonts w:hint="eastAsia" w:ascii="宋体" w:hAnsi="宋体" w:cs="宋体"/>
          <w:color w:val="auto"/>
          <w:sz w:val="24"/>
          <w:szCs w:val="24"/>
          <w:highlight w:val="none"/>
        </w:rPr>
        <w:t>资金来源及比例：见投标人须知前附表。</w:t>
      </w:r>
    </w:p>
    <w:p w14:paraId="70EB3FA2">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1.2.2 </w:t>
      </w:r>
      <w:r>
        <w:rPr>
          <w:rFonts w:hint="eastAsia" w:ascii="宋体" w:hAnsi="宋体" w:cs="宋体"/>
          <w:color w:val="auto"/>
          <w:sz w:val="24"/>
          <w:szCs w:val="24"/>
          <w:highlight w:val="none"/>
        </w:rPr>
        <w:t>资金落实情况：见投标人须知前附表。</w:t>
      </w:r>
    </w:p>
    <w:p w14:paraId="23BDE13E">
      <w:pPr>
        <w:pStyle w:val="5"/>
        <w:spacing w:line="360" w:lineRule="auto"/>
        <w:ind w:firstLine="0" w:firstLineChars="0"/>
        <w:rPr>
          <w:rFonts w:ascii="宋体" w:hAnsi="宋体" w:eastAsia="宋体" w:cs="宋体"/>
          <w:color w:val="auto"/>
          <w:szCs w:val="24"/>
          <w:highlight w:val="none"/>
        </w:rPr>
      </w:pPr>
      <w:bookmarkStart w:id="51" w:name="_Toc10849"/>
      <w:bookmarkStart w:id="52" w:name="_Toc26261"/>
      <w:bookmarkStart w:id="53" w:name="_Toc25902"/>
      <w:bookmarkStart w:id="54" w:name="_Toc8900"/>
      <w:bookmarkStart w:id="55" w:name="_Toc2931"/>
      <w:bookmarkStart w:id="56" w:name="_Toc25003"/>
      <w:bookmarkStart w:id="57" w:name="_Toc30529"/>
      <w:bookmarkStart w:id="58" w:name="_Toc11734"/>
      <w:bookmarkStart w:id="59" w:name="_Toc31220"/>
      <w:bookmarkStart w:id="60" w:name="_Toc492300567"/>
      <w:bookmarkStart w:id="61" w:name="_Toc977"/>
      <w:r>
        <w:rPr>
          <w:rFonts w:hint="eastAsia" w:ascii="宋体" w:hAnsi="宋体" w:eastAsia="宋体" w:cs="宋体"/>
          <w:color w:val="auto"/>
          <w:szCs w:val="24"/>
          <w:highlight w:val="none"/>
        </w:rPr>
        <w:t>1.3招标范围、服务期限和质量标准</w:t>
      </w:r>
      <w:bookmarkEnd w:id="51"/>
      <w:bookmarkEnd w:id="52"/>
      <w:bookmarkEnd w:id="53"/>
      <w:bookmarkEnd w:id="54"/>
      <w:bookmarkEnd w:id="55"/>
      <w:bookmarkEnd w:id="56"/>
      <w:bookmarkEnd w:id="57"/>
      <w:bookmarkEnd w:id="58"/>
      <w:bookmarkEnd w:id="59"/>
      <w:bookmarkEnd w:id="60"/>
      <w:bookmarkEnd w:id="61"/>
    </w:p>
    <w:p w14:paraId="545D5895">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1.3.1 </w:t>
      </w:r>
      <w:r>
        <w:rPr>
          <w:rFonts w:hint="eastAsia" w:ascii="宋体" w:hAnsi="宋体" w:cs="宋体"/>
          <w:color w:val="auto"/>
          <w:sz w:val="24"/>
          <w:szCs w:val="24"/>
          <w:highlight w:val="none"/>
        </w:rPr>
        <w:t>招标范围：见投标人须知前附表。</w:t>
      </w:r>
    </w:p>
    <w:p w14:paraId="05CA0D0E">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1.3.2 </w:t>
      </w:r>
      <w:r>
        <w:rPr>
          <w:rFonts w:hint="eastAsia" w:ascii="宋体" w:hAnsi="宋体" w:cs="宋体"/>
          <w:color w:val="auto"/>
          <w:sz w:val="24"/>
          <w:szCs w:val="24"/>
          <w:highlight w:val="none"/>
        </w:rPr>
        <w:t>服务期限：见投标人须知前附表。</w:t>
      </w:r>
    </w:p>
    <w:p w14:paraId="0E72782D">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1.3.3 </w:t>
      </w:r>
      <w:r>
        <w:rPr>
          <w:rFonts w:hint="eastAsia" w:ascii="宋体" w:hAnsi="宋体" w:cs="宋体"/>
          <w:color w:val="auto"/>
          <w:sz w:val="24"/>
          <w:szCs w:val="24"/>
          <w:highlight w:val="none"/>
        </w:rPr>
        <w:t>质量标准：见投标人须知前附表。</w:t>
      </w:r>
    </w:p>
    <w:p w14:paraId="15A10CE5">
      <w:pPr>
        <w:pStyle w:val="5"/>
        <w:spacing w:line="360" w:lineRule="auto"/>
        <w:ind w:firstLine="0" w:firstLineChars="0"/>
        <w:rPr>
          <w:rFonts w:ascii="宋体" w:hAnsi="宋体" w:eastAsia="宋体" w:cs="宋体"/>
          <w:color w:val="auto"/>
          <w:szCs w:val="24"/>
          <w:highlight w:val="none"/>
        </w:rPr>
      </w:pPr>
      <w:bookmarkStart w:id="62" w:name="_Toc3452"/>
      <w:bookmarkStart w:id="63" w:name="_Toc492300568"/>
      <w:bookmarkStart w:id="64" w:name="_Toc19855"/>
      <w:bookmarkStart w:id="65" w:name="_Toc31065"/>
      <w:bookmarkStart w:id="66" w:name="_Toc24309"/>
      <w:bookmarkStart w:id="67" w:name="_Toc2550"/>
      <w:bookmarkStart w:id="68" w:name="_Toc2674"/>
      <w:bookmarkStart w:id="69" w:name="_Toc10416"/>
      <w:bookmarkStart w:id="70" w:name="_Toc25218"/>
      <w:bookmarkStart w:id="71" w:name="_Toc21657"/>
      <w:bookmarkStart w:id="72" w:name="_Toc31590"/>
      <w:r>
        <w:rPr>
          <w:rFonts w:hint="eastAsia" w:ascii="宋体" w:hAnsi="宋体" w:eastAsia="宋体" w:cs="宋体"/>
          <w:color w:val="auto"/>
          <w:szCs w:val="24"/>
          <w:highlight w:val="none"/>
        </w:rPr>
        <w:t>1.4投标人资格要求</w:t>
      </w:r>
      <w:bookmarkEnd w:id="62"/>
      <w:bookmarkEnd w:id="63"/>
      <w:bookmarkEnd w:id="64"/>
      <w:bookmarkEnd w:id="65"/>
      <w:bookmarkEnd w:id="66"/>
      <w:bookmarkEnd w:id="67"/>
      <w:bookmarkEnd w:id="68"/>
      <w:bookmarkEnd w:id="69"/>
      <w:bookmarkEnd w:id="70"/>
      <w:bookmarkEnd w:id="71"/>
      <w:bookmarkEnd w:id="72"/>
    </w:p>
    <w:p w14:paraId="09FDA13A">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投标人应具备承担本招标项目资质条件、能力和信誉：</w:t>
      </w:r>
    </w:p>
    <w:p w14:paraId="64ED2BC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（1）资质要求：见投标人须知前附表；</w:t>
      </w:r>
    </w:p>
    <w:p w14:paraId="33D6151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（2）财务要求：见投标人须知前附表；</w:t>
      </w:r>
    </w:p>
    <w:p w14:paraId="00C831C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（3）业绩要求：见投标人须知前附表；</w:t>
      </w:r>
    </w:p>
    <w:p w14:paraId="298DCA6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（4）信誉要求：见投标人须知前附表；</w:t>
      </w:r>
    </w:p>
    <w:p w14:paraId="10287A0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项目负责人</w:t>
      </w:r>
      <w:r>
        <w:rPr>
          <w:rFonts w:hint="eastAsia" w:ascii="宋体" w:hAnsi="宋体" w:cs="宋体"/>
          <w:color w:val="auto"/>
          <w:sz w:val="24"/>
          <w:szCs w:val="24"/>
          <w:highlight w:val="none"/>
        </w:rPr>
        <w:t>的资格要求：具体要求见投标人须知前附表；</w:t>
      </w:r>
    </w:p>
    <w:p w14:paraId="4870470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（6）其他主要人员要求：见投标人须知前附表。</w:t>
      </w:r>
    </w:p>
    <w:p w14:paraId="4BF47DF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（7）试验检测仪器设备要求：见投标人须知前附表。</w:t>
      </w:r>
    </w:p>
    <w:p w14:paraId="128F947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（8）其他要求：见投标人须知前附表。</w:t>
      </w:r>
    </w:p>
    <w:p w14:paraId="73E6C61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需要提交的相关证明材料见本章第3.5款的规定。</w:t>
      </w:r>
    </w:p>
    <w:p w14:paraId="3F076EB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1.4.2投标人须知前附表规定接受联合体投标的，联合体除应符合本章第1.4.1项和投标人须知前附表的要求外，还应遵守以下规定：</w:t>
      </w:r>
    </w:p>
    <w:p w14:paraId="2C8DC85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（1）联合体各方应按招标文件提供的格式签订联合体协议书，明确联合体牵头人和各方权利义务，并承诺就中标项目向招标人承担连带责任；</w:t>
      </w:r>
    </w:p>
    <w:p w14:paraId="77D6EB3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（2）由同一专业的单位组成的联合体，按照资质等级较低的单位确定资质等级；</w:t>
      </w:r>
    </w:p>
    <w:p w14:paraId="7359044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（3）联合体各方不得再以自己名义单独或参加其他联合体在本招标项目中投标，否则各相关投标均无效。</w:t>
      </w:r>
    </w:p>
    <w:p w14:paraId="653CC8EC">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1.4.3 </w:t>
      </w:r>
      <w:r>
        <w:rPr>
          <w:rFonts w:hint="eastAsia" w:ascii="宋体" w:hAnsi="宋体" w:cs="宋体"/>
          <w:color w:val="auto"/>
          <w:sz w:val="24"/>
          <w:szCs w:val="24"/>
          <w:highlight w:val="none"/>
        </w:rPr>
        <w:t>投标人不得存在下列情形之一：</w:t>
      </w:r>
    </w:p>
    <w:p w14:paraId="7EA0E38D">
      <w:pPr>
        <w:spacing w:line="360" w:lineRule="auto"/>
        <w:ind w:firstLine="480" w:firstLineChars="200"/>
        <w:rPr>
          <w:rFonts w:hint="eastAsia" w:ascii="宋体" w:hAnsi="宋体" w:cs="宋体"/>
          <w:color w:val="auto"/>
          <w:sz w:val="24"/>
          <w:szCs w:val="24"/>
          <w:highlight w:val="none"/>
        </w:rPr>
      </w:pPr>
      <w:bookmarkStart w:id="73" w:name="_Toc6163"/>
      <w:bookmarkStart w:id="74" w:name="_Toc872"/>
      <w:bookmarkStart w:id="75" w:name="_Toc20396"/>
      <w:bookmarkStart w:id="76" w:name="_Toc12621"/>
      <w:bookmarkStart w:id="77" w:name="_Toc32538"/>
      <w:bookmarkStart w:id="78" w:name="_Toc7015"/>
      <w:bookmarkStart w:id="79" w:name="_Toc24418"/>
      <w:bookmarkStart w:id="80" w:name="_Toc492300569"/>
      <w:bookmarkStart w:id="81" w:name="_Toc30337"/>
      <w:bookmarkStart w:id="82" w:name="_Toc17400"/>
      <w:bookmarkStart w:id="83" w:name="_Toc21274"/>
      <w:r>
        <w:rPr>
          <w:rFonts w:hint="eastAsia" w:ascii="宋体" w:hAnsi="宋体" w:cs="宋体"/>
          <w:color w:val="auto"/>
          <w:sz w:val="24"/>
          <w:szCs w:val="24"/>
          <w:highlight w:val="none"/>
        </w:rPr>
        <w:t>（1）为招标人不具有独立法人资格的附属机构（单位）；</w:t>
      </w:r>
    </w:p>
    <w:p w14:paraId="6C0358D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（2）与招标人存在利害关系且可能影响招标公正性；</w:t>
      </w:r>
    </w:p>
    <w:p w14:paraId="4EB2ADD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（3）与本招标项目的其他投标人为同一个单位负责人；</w:t>
      </w:r>
    </w:p>
    <w:p w14:paraId="685C20B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（4）与本招标项目的其他投标人存在控股、管理关系；</w:t>
      </w:r>
    </w:p>
    <w:p w14:paraId="604F326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（5）为本招标项目的代建人；</w:t>
      </w:r>
    </w:p>
    <w:p w14:paraId="018D878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（6）为本招标项目的招标代理机构；</w:t>
      </w:r>
    </w:p>
    <w:p w14:paraId="646755C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（7）与本招标项目的代建人或招标代理机构同为一个法定代表人；</w:t>
      </w:r>
    </w:p>
    <w:p w14:paraId="5E7F6A1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（8）与本招标项目的代建人或招标代理机构存在控股或参股关系；</w:t>
      </w:r>
    </w:p>
    <w:p w14:paraId="09CA15E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（9）与本招标项目的施工承包人以及建筑材料、建筑构配件和设备供应商有隶属关系或者其他利害关系；</w:t>
      </w:r>
    </w:p>
    <w:p w14:paraId="56E7B3E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（10）被依法暂停或者取消投标资格</w:t>
      </w:r>
      <w:r>
        <w:rPr>
          <w:rFonts w:hint="eastAsia" w:ascii="宋体" w:hAnsi="宋体" w:cs="宋体"/>
          <w:color w:val="auto"/>
          <w:sz w:val="24"/>
          <w:szCs w:val="24"/>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s="宋体"/>
          <w:color w:val="auto"/>
          <w:sz w:val="24"/>
          <w:szCs w:val="24"/>
          <w:highlight w:val="none"/>
        </w:rPr>
        <w:t>；</w:t>
      </w:r>
    </w:p>
    <w:p w14:paraId="0B50F97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（11）被责令停产停业、暂扣或者吊销许可证、暂扣或者吊销执照</w:t>
      </w:r>
      <w:r>
        <w:rPr>
          <w:rFonts w:hint="eastAsia" w:ascii="宋体" w:hAnsi="宋体" w:cs="宋体"/>
          <w:color w:val="auto"/>
          <w:sz w:val="24"/>
          <w:szCs w:val="24"/>
          <w:highlight w:val="none"/>
          <w:u w:val="single"/>
        </w:rPr>
        <w:t>（本项事实应当以根据《中华人民共和国行政处罚法》依法作出并已经生效的行政处罚决定为认定依据）</w:t>
      </w:r>
      <w:r>
        <w:rPr>
          <w:rFonts w:hint="eastAsia" w:ascii="宋体" w:hAnsi="宋体" w:cs="宋体"/>
          <w:color w:val="auto"/>
          <w:sz w:val="24"/>
          <w:szCs w:val="24"/>
          <w:highlight w:val="none"/>
        </w:rPr>
        <w:t>；</w:t>
      </w:r>
    </w:p>
    <w:p w14:paraId="314EB87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（12）进入清算程序，或被宣告破产，或其他丧失履约能力的情形；</w:t>
      </w:r>
    </w:p>
    <w:p w14:paraId="04C81DE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（13）在最近三年内有严重违约或重大质量问题的</w:t>
      </w:r>
      <w:r>
        <w:rPr>
          <w:rFonts w:hint="eastAsia" w:ascii="宋体" w:hAnsi="宋体" w:cs="宋体"/>
          <w:color w:val="auto"/>
          <w:sz w:val="24"/>
          <w:szCs w:val="24"/>
          <w:highlight w:val="none"/>
          <w:u w:val="single"/>
        </w:rPr>
        <w:t>（“严重违约”事实应当以司法机关、仲裁机构出具的认定文件为准。“重大</w:t>
      </w:r>
      <w:bookmarkStart w:id="1119" w:name="_GoBack"/>
      <w:bookmarkEnd w:id="1119"/>
      <w:r>
        <w:rPr>
          <w:rFonts w:hint="eastAsia" w:ascii="宋体" w:hAnsi="宋体" w:cs="宋体"/>
          <w:color w:val="auto"/>
          <w:sz w:val="24"/>
          <w:szCs w:val="24"/>
          <w:highlight w:val="none"/>
          <w:u w:val="single"/>
        </w:rPr>
        <w:t>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cs="宋体"/>
          <w:color w:val="auto"/>
          <w:sz w:val="24"/>
          <w:szCs w:val="24"/>
          <w:highlight w:val="none"/>
        </w:rPr>
        <w:t>；</w:t>
      </w:r>
    </w:p>
    <w:p w14:paraId="7CEEADA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（14）法律法规或投标人须知前附表规定的其他情形。</w:t>
      </w:r>
    </w:p>
    <w:p w14:paraId="58057845">
      <w:pPr>
        <w:pStyle w:val="5"/>
        <w:spacing w:line="360" w:lineRule="auto"/>
        <w:ind w:firstLine="0" w:firstLineChars="0"/>
        <w:rPr>
          <w:rFonts w:ascii="宋体" w:hAnsi="宋体" w:eastAsia="宋体" w:cs="宋体"/>
          <w:color w:val="auto"/>
          <w:szCs w:val="24"/>
          <w:highlight w:val="none"/>
        </w:rPr>
      </w:pPr>
      <w:r>
        <w:rPr>
          <w:rFonts w:ascii="宋体" w:hAnsi="宋体" w:eastAsia="宋体" w:cs="宋体"/>
          <w:color w:val="auto"/>
          <w:szCs w:val="24"/>
          <w:highlight w:val="none"/>
        </w:rPr>
        <w:t xml:space="preserve">1.5 </w:t>
      </w:r>
      <w:r>
        <w:rPr>
          <w:rFonts w:hint="eastAsia" w:ascii="宋体" w:hAnsi="宋体" w:eastAsia="宋体" w:cs="宋体"/>
          <w:color w:val="auto"/>
          <w:szCs w:val="24"/>
          <w:highlight w:val="none"/>
        </w:rPr>
        <w:t>费用承担</w:t>
      </w:r>
      <w:bookmarkEnd w:id="73"/>
      <w:bookmarkEnd w:id="74"/>
      <w:bookmarkEnd w:id="75"/>
      <w:bookmarkEnd w:id="76"/>
      <w:bookmarkEnd w:id="77"/>
      <w:bookmarkEnd w:id="78"/>
      <w:bookmarkEnd w:id="79"/>
      <w:bookmarkEnd w:id="80"/>
      <w:bookmarkEnd w:id="81"/>
      <w:bookmarkEnd w:id="82"/>
      <w:bookmarkEnd w:id="83"/>
    </w:p>
    <w:p w14:paraId="2937E05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投标人准备和参加投标活动发生的费用自理。</w:t>
      </w:r>
    </w:p>
    <w:p w14:paraId="51A7399C">
      <w:pPr>
        <w:pStyle w:val="5"/>
        <w:spacing w:line="360" w:lineRule="auto"/>
        <w:ind w:firstLine="0" w:firstLineChars="0"/>
        <w:rPr>
          <w:rFonts w:ascii="宋体" w:hAnsi="宋体" w:eastAsia="宋体" w:cs="宋体"/>
          <w:color w:val="auto"/>
          <w:szCs w:val="24"/>
          <w:highlight w:val="none"/>
        </w:rPr>
      </w:pPr>
      <w:bookmarkStart w:id="84" w:name="_Toc10184"/>
      <w:bookmarkStart w:id="85" w:name="_Toc29749"/>
      <w:bookmarkStart w:id="86" w:name="_Toc9215"/>
      <w:bookmarkStart w:id="87" w:name="_Toc1218"/>
      <w:bookmarkStart w:id="88" w:name="_Toc4949"/>
      <w:bookmarkStart w:id="89" w:name="_Toc27939"/>
      <w:bookmarkStart w:id="90" w:name="_Toc13616"/>
      <w:bookmarkStart w:id="91" w:name="_Toc30736"/>
      <w:bookmarkStart w:id="92" w:name="_Toc492300570"/>
      <w:bookmarkStart w:id="93" w:name="_Toc6809"/>
      <w:bookmarkStart w:id="94" w:name="_Toc12237"/>
      <w:r>
        <w:rPr>
          <w:rFonts w:ascii="宋体" w:hAnsi="宋体" w:eastAsia="宋体" w:cs="宋体"/>
          <w:color w:val="auto"/>
          <w:szCs w:val="24"/>
          <w:highlight w:val="none"/>
        </w:rPr>
        <w:t>1.6</w:t>
      </w:r>
      <w:r>
        <w:rPr>
          <w:rFonts w:hint="eastAsia" w:ascii="宋体" w:hAnsi="宋体" w:eastAsia="宋体" w:cs="宋体"/>
          <w:color w:val="auto"/>
          <w:szCs w:val="24"/>
          <w:highlight w:val="none"/>
        </w:rPr>
        <w:t xml:space="preserve"> 保密</w:t>
      </w:r>
      <w:bookmarkEnd w:id="84"/>
      <w:bookmarkEnd w:id="85"/>
      <w:bookmarkEnd w:id="86"/>
      <w:bookmarkEnd w:id="87"/>
      <w:bookmarkEnd w:id="88"/>
      <w:bookmarkEnd w:id="89"/>
      <w:bookmarkEnd w:id="90"/>
      <w:bookmarkEnd w:id="91"/>
      <w:bookmarkEnd w:id="92"/>
      <w:bookmarkEnd w:id="93"/>
      <w:bookmarkEnd w:id="94"/>
    </w:p>
    <w:p w14:paraId="6407F7B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参与招标投标活动的各方应对招标文件和投标文件中</w:t>
      </w:r>
      <w:bookmarkStart w:id="95" w:name="_Toc384308214"/>
      <w:bookmarkStart w:id="96" w:name="_Toc5326"/>
      <w:bookmarkStart w:id="97" w:name="_Toc361508589"/>
      <w:bookmarkStart w:id="98" w:name="_Toc352691477"/>
      <w:bookmarkStart w:id="99" w:name="_Toc369531519"/>
      <w:r>
        <w:rPr>
          <w:rFonts w:hint="eastAsia" w:ascii="宋体" w:hAnsi="宋体" w:cs="宋体"/>
          <w:color w:val="auto"/>
          <w:sz w:val="24"/>
          <w:szCs w:val="24"/>
          <w:highlight w:val="none"/>
        </w:rPr>
        <w:t>的商业和技术等秘密保密</w:t>
      </w:r>
      <w:bookmarkEnd w:id="95"/>
      <w:bookmarkEnd w:id="96"/>
      <w:bookmarkEnd w:id="97"/>
      <w:bookmarkEnd w:id="98"/>
      <w:bookmarkEnd w:id="99"/>
      <w:r>
        <w:rPr>
          <w:rFonts w:hint="eastAsia" w:ascii="宋体" w:hAnsi="宋体" w:cs="宋体"/>
          <w:color w:val="auto"/>
          <w:sz w:val="24"/>
          <w:szCs w:val="24"/>
          <w:highlight w:val="none"/>
        </w:rPr>
        <w:t>，否则应承担相应的法律责任。</w:t>
      </w:r>
    </w:p>
    <w:p w14:paraId="704A8823">
      <w:pPr>
        <w:pStyle w:val="5"/>
        <w:spacing w:line="360" w:lineRule="auto"/>
        <w:ind w:firstLine="0" w:firstLineChars="0"/>
        <w:rPr>
          <w:rFonts w:ascii="宋体" w:hAnsi="宋体" w:eastAsia="宋体" w:cs="宋体"/>
          <w:color w:val="auto"/>
          <w:szCs w:val="24"/>
          <w:highlight w:val="none"/>
        </w:rPr>
      </w:pPr>
      <w:bookmarkStart w:id="100" w:name="_Toc657"/>
      <w:bookmarkStart w:id="101" w:name="_Toc28546"/>
      <w:bookmarkStart w:id="102" w:name="_Toc19298"/>
      <w:bookmarkStart w:id="103" w:name="_Toc24881"/>
      <w:bookmarkStart w:id="104" w:name="_Toc31809"/>
      <w:bookmarkStart w:id="105" w:name="_Toc6779"/>
      <w:bookmarkStart w:id="106" w:name="_Toc492300571"/>
      <w:bookmarkStart w:id="107" w:name="_Toc25860"/>
      <w:bookmarkStart w:id="108" w:name="_Toc6774"/>
      <w:bookmarkStart w:id="109" w:name="_Toc12300"/>
      <w:bookmarkStart w:id="110" w:name="_Toc32094"/>
      <w:r>
        <w:rPr>
          <w:rFonts w:ascii="宋体" w:hAnsi="宋体" w:eastAsia="宋体" w:cs="宋体"/>
          <w:color w:val="auto"/>
          <w:szCs w:val="24"/>
          <w:highlight w:val="none"/>
        </w:rPr>
        <w:t xml:space="preserve">1.7 </w:t>
      </w:r>
      <w:r>
        <w:rPr>
          <w:rFonts w:hint="eastAsia" w:ascii="宋体" w:hAnsi="宋体" w:eastAsia="宋体" w:cs="宋体"/>
          <w:color w:val="auto"/>
          <w:szCs w:val="24"/>
          <w:highlight w:val="none"/>
        </w:rPr>
        <w:t>语言文字</w:t>
      </w:r>
      <w:bookmarkEnd w:id="100"/>
      <w:bookmarkEnd w:id="101"/>
      <w:bookmarkEnd w:id="102"/>
      <w:bookmarkEnd w:id="103"/>
      <w:bookmarkEnd w:id="104"/>
      <w:bookmarkEnd w:id="105"/>
      <w:bookmarkEnd w:id="106"/>
      <w:bookmarkEnd w:id="107"/>
      <w:bookmarkEnd w:id="108"/>
      <w:bookmarkEnd w:id="109"/>
      <w:bookmarkEnd w:id="110"/>
    </w:p>
    <w:p w14:paraId="7BB5885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招标投标文件使用的语言文字为中文。专用术语使用外文的，应附有中文注释。</w:t>
      </w:r>
    </w:p>
    <w:p w14:paraId="40A97F5B">
      <w:pPr>
        <w:pStyle w:val="5"/>
        <w:spacing w:line="360" w:lineRule="auto"/>
        <w:ind w:firstLine="0" w:firstLineChars="0"/>
        <w:rPr>
          <w:rFonts w:ascii="宋体" w:hAnsi="宋体" w:eastAsia="宋体" w:cs="宋体"/>
          <w:color w:val="auto"/>
          <w:szCs w:val="24"/>
          <w:highlight w:val="none"/>
        </w:rPr>
      </w:pPr>
      <w:bookmarkStart w:id="111" w:name="_Toc11561"/>
      <w:bookmarkStart w:id="112" w:name="_Toc26431"/>
      <w:bookmarkStart w:id="113" w:name="_Toc27121"/>
      <w:bookmarkStart w:id="114" w:name="_Toc1087"/>
      <w:bookmarkStart w:id="115" w:name="_Toc20276"/>
      <w:bookmarkStart w:id="116" w:name="_Toc15018"/>
      <w:bookmarkStart w:id="117" w:name="_Toc3529"/>
      <w:bookmarkStart w:id="118" w:name="_Toc10746"/>
      <w:bookmarkStart w:id="119" w:name="_Toc10804"/>
      <w:bookmarkStart w:id="120" w:name="_Toc26419"/>
      <w:bookmarkStart w:id="121" w:name="_Toc492300572"/>
      <w:r>
        <w:rPr>
          <w:rFonts w:hint="eastAsia" w:ascii="宋体" w:hAnsi="宋体" w:eastAsia="宋体" w:cs="宋体"/>
          <w:color w:val="auto"/>
          <w:szCs w:val="24"/>
          <w:highlight w:val="none"/>
        </w:rPr>
        <w:t>1.8 计量单位</w:t>
      </w:r>
      <w:bookmarkEnd w:id="111"/>
      <w:bookmarkEnd w:id="112"/>
      <w:bookmarkEnd w:id="113"/>
      <w:bookmarkEnd w:id="114"/>
      <w:bookmarkEnd w:id="115"/>
      <w:bookmarkEnd w:id="116"/>
      <w:bookmarkEnd w:id="117"/>
      <w:bookmarkEnd w:id="118"/>
      <w:bookmarkEnd w:id="119"/>
      <w:bookmarkEnd w:id="120"/>
      <w:bookmarkEnd w:id="121"/>
    </w:p>
    <w:p w14:paraId="6C98E22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所有计量均采用中华人民共和国法定计量单位。</w:t>
      </w:r>
    </w:p>
    <w:p w14:paraId="283809E8">
      <w:pPr>
        <w:pStyle w:val="5"/>
        <w:spacing w:line="360" w:lineRule="auto"/>
        <w:ind w:firstLine="0" w:firstLineChars="0"/>
        <w:rPr>
          <w:rFonts w:ascii="宋体" w:hAnsi="宋体" w:eastAsia="宋体" w:cs="宋体"/>
          <w:color w:val="auto"/>
          <w:szCs w:val="24"/>
          <w:highlight w:val="none"/>
        </w:rPr>
      </w:pPr>
      <w:bookmarkStart w:id="122" w:name="_Toc361508594"/>
      <w:bookmarkStart w:id="123" w:name="_Toc20483"/>
      <w:bookmarkStart w:id="124" w:name="_Toc247513962"/>
      <w:bookmarkStart w:id="125" w:name="_Toc144974507"/>
      <w:bookmarkStart w:id="126" w:name="_Toc152042315"/>
      <w:bookmarkStart w:id="127" w:name="_Toc10088"/>
      <w:bookmarkStart w:id="128" w:name="_Toc5474"/>
      <w:bookmarkStart w:id="129" w:name="_Toc482188480"/>
      <w:bookmarkStart w:id="130" w:name="_Toc16766"/>
      <w:bookmarkStart w:id="131" w:name="_Toc11659"/>
      <w:bookmarkStart w:id="132" w:name="_Toc391393967"/>
      <w:bookmarkStart w:id="133" w:name="_Toc152045539"/>
      <w:bookmarkStart w:id="134" w:name="_Toc29990"/>
      <w:bookmarkStart w:id="135" w:name="_Toc370676289"/>
      <w:bookmarkStart w:id="136" w:name="_Toc21883"/>
      <w:bookmarkStart w:id="137" w:name="_Toc18719"/>
      <w:bookmarkStart w:id="138" w:name="_Toc4326"/>
      <w:bookmarkStart w:id="139" w:name="_Toc4902"/>
      <w:bookmarkStart w:id="140" w:name="_Toc300834959"/>
      <w:bookmarkStart w:id="141" w:name="_Toc492300573"/>
      <w:bookmarkStart w:id="142" w:name="_Toc384308219"/>
      <w:bookmarkStart w:id="143" w:name="_Toc247527563"/>
      <w:r>
        <w:rPr>
          <w:rFonts w:ascii="宋体" w:hAnsi="宋体" w:eastAsia="宋体" w:cs="宋体"/>
          <w:color w:val="auto"/>
          <w:szCs w:val="24"/>
          <w:highlight w:val="none"/>
        </w:rPr>
        <w:t xml:space="preserve">1.9 </w:t>
      </w:r>
      <w:r>
        <w:rPr>
          <w:rFonts w:hint="eastAsia" w:ascii="宋体" w:hAnsi="宋体" w:eastAsia="宋体" w:cs="宋体"/>
          <w:color w:val="auto"/>
          <w:szCs w:val="24"/>
          <w:highlight w:val="none"/>
        </w:rPr>
        <w:t>踏勘现场</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382EDA8F">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1.9.1 </w:t>
      </w:r>
      <w:r>
        <w:rPr>
          <w:rFonts w:hint="eastAsia" w:ascii="宋体" w:hAnsi="宋体" w:cs="宋体"/>
          <w:color w:val="auto"/>
          <w:sz w:val="24"/>
          <w:szCs w:val="24"/>
          <w:highlight w:val="none"/>
        </w:rPr>
        <w:t>投标人须知前附表规定组织踏勘现场的，招标人按投标人须知前附表规定的时间、地点组织投标人踏勘项目现场。部分投标人未按时参加踏勘现场的，不影响踏勘现场的正常进行。</w:t>
      </w:r>
    </w:p>
    <w:p w14:paraId="47399A74">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1.9.2 </w:t>
      </w:r>
      <w:r>
        <w:rPr>
          <w:rFonts w:hint="eastAsia" w:ascii="宋体" w:hAnsi="宋体" w:cs="宋体"/>
          <w:color w:val="auto"/>
          <w:sz w:val="24"/>
          <w:szCs w:val="24"/>
          <w:highlight w:val="none"/>
        </w:rPr>
        <w:t>投标人踏勘现场发生的费用自理。</w:t>
      </w:r>
    </w:p>
    <w:p w14:paraId="21DC6BAD">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1.9.3 </w:t>
      </w:r>
      <w:r>
        <w:rPr>
          <w:rFonts w:hint="eastAsia" w:ascii="宋体" w:hAnsi="宋体" w:cs="宋体"/>
          <w:color w:val="auto"/>
          <w:sz w:val="24"/>
          <w:szCs w:val="24"/>
          <w:highlight w:val="none"/>
        </w:rPr>
        <w:t>除招标人的原因外，投标人自行负责在踏勘现场中所发生的人员伤亡和财产损失。</w:t>
      </w:r>
    </w:p>
    <w:p w14:paraId="13FFB676">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1.9.4 </w:t>
      </w:r>
      <w:r>
        <w:rPr>
          <w:rFonts w:hint="eastAsia" w:ascii="宋体" w:hAnsi="宋体" w:cs="宋体"/>
          <w:color w:val="auto"/>
          <w:sz w:val="24"/>
          <w:szCs w:val="24"/>
          <w:highlight w:val="none"/>
        </w:rPr>
        <w:t>招标人在踏勘现场中介绍的工程场地和相关的周边环境情况，供投标人在编制投标文件时参考，招标人不对投标人据此作出的判断和决策负责。</w:t>
      </w:r>
    </w:p>
    <w:p w14:paraId="4800BF50">
      <w:pPr>
        <w:pStyle w:val="5"/>
        <w:spacing w:line="360" w:lineRule="auto"/>
        <w:ind w:firstLine="0" w:firstLineChars="0"/>
        <w:rPr>
          <w:rFonts w:ascii="宋体" w:hAnsi="宋体" w:eastAsia="宋体" w:cs="宋体"/>
          <w:color w:val="auto"/>
          <w:szCs w:val="24"/>
          <w:highlight w:val="none"/>
        </w:rPr>
      </w:pPr>
      <w:bookmarkStart w:id="144" w:name="_Toc8220"/>
      <w:bookmarkStart w:id="145" w:name="_Toc9856"/>
      <w:bookmarkStart w:id="146" w:name="_Toc11420"/>
      <w:bookmarkStart w:id="147" w:name="_Toc19565"/>
      <w:bookmarkStart w:id="148" w:name="_Toc21847"/>
      <w:bookmarkStart w:id="149" w:name="_Toc10652"/>
      <w:bookmarkStart w:id="150" w:name="_Toc11535"/>
      <w:bookmarkStart w:id="151" w:name="_Toc3908"/>
      <w:bookmarkStart w:id="152" w:name="_Toc1864"/>
      <w:bookmarkStart w:id="153" w:name="_Toc18085"/>
      <w:bookmarkStart w:id="154" w:name="_Toc492300574"/>
      <w:r>
        <w:rPr>
          <w:rFonts w:hint="eastAsia" w:ascii="宋体" w:hAnsi="宋体" w:eastAsia="宋体" w:cs="宋体"/>
          <w:color w:val="auto"/>
          <w:szCs w:val="24"/>
          <w:highlight w:val="none"/>
        </w:rPr>
        <w:t>1.10 投标预备会</w:t>
      </w:r>
      <w:bookmarkEnd w:id="144"/>
      <w:bookmarkEnd w:id="145"/>
      <w:bookmarkEnd w:id="146"/>
      <w:bookmarkEnd w:id="147"/>
      <w:bookmarkEnd w:id="148"/>
      <w:bookmarkEnd w:id="149"/>
      <w:bookmarkEnd w:id="150"/>
      <w:bookmarkEnd w:id="151"/>
      <w:bookmarkEnd w:id="152"/>
      <w:bookmarkEnd w:id="153"/>
      <w:bookmarkEnd w:id="154"/>
    </w:p>
    <w:p w14:paraId="062AFDA1">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1.10.1 </w:t>
      </w:r>
      <w:r>
        <w:rPr>
          <w:rFonts w:hint="eastAsia" w:ascii="宋体" w:hAnsi="宋体" w:cs="宋体"/>
          <w:color w:val="auto"/>
          <w:sz w:val="24"/>
          <w:szCs w:val="24"/>
          <w:highlight w:val="none"/>
        </w:rPr>
        <w:t>投标人须知前附表规定召开投标预备会的，招标人按投标人须知前附表规定的时间和地点召开投标预备会，澄清投标人提出的问题。</w:t>
      </w:r>
    </w:p>
    <w:p w14:paraId="71E992B8">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1.10.2 </w:t>
      </w:r>
      <w:r>
        <w:rPr>
          <w:rFonts w:hint="eastAsia" w:ascii="宋体" w:hAnsi="宋体" w:cs="宋体"/>
          <w:color w:val="auto"/>
          <w:sz w:val="24"/>
          <w:szCs w:val="24"/>
          <w:highlight w:val="none"/>
        </w:rPr>
        <w:t>投标人应按投标人须知前附表规定的时间和形式将提出的问题送达招标人，以便招标人在会议期间澄清。</w:t>
      </w:r>
    </w:p>
    <w:p w14:paraId="5A50CFAA">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1.10.3 </w:t>
      </w:r>
      <w:r>
        <w:rPr>
          <w:rFonts w:hint="eastAsia" w:ascii="宋体" w:hAnsi="宋体" w:cs="宋体"/>
          <w:color w:val="auto"/>
          <w:sz w:val="24"/>
          <w:szCs w:val="24"/>
          <w:highlight w:val="none"/>
        </w:rPr>
        <w:t>投标预备会后，招标人将对投标人所提问题的澄清，以投标人须知前附表规定的形式通知所有购买招标文件的投标人。该澄清内容为招标文件的组成部分。</w:t>
      </w:r>
    </w:p>
    <w:p w14:paraId="79C07C6D">
      <w:pPr>
        <w:pStyle w:val="5"/>
        <w:spacing w:line="360" w:lineRule="auto"/>
        <w:ind w:firstLine="0" w:firstLineChars="0"/>
        <w:rPr>
          <w:rFonts w:ascii="宋体" w:hAnsi="宋体" w:eastAsia="宋体" w:cs="宋体"/>
          <w:color w:val="auto"/>
          <w:szCs w:val="24"/>
          <w:highlight w:val="none"/>
        </w:rPr>
      </w:pPr>
      <w:bookmarkStart w:id="155" w:name="_Toc7636"/>
      <w:bookmarkStart w:id="156" w:name="_Toc25550"/>
      <w:bookmarkStart w:id="157" w:name="_Toc11055"/>
      <w:bookmarkStart w:id="158" w:name="_Toc21594"/>
      <w:bookmarkStart w:id="159" w:name="_Toc16569"/>
      <w:bookmarkStart w:id="160" w:name="_Toc405"/>
      <w:bookmarkStart w:id="161" w:name="_Toc22887"/>
      <w:bookmarkStart w:id="162" w:name="_Toc19968"/>
      <w:bookmarkStart w:id="163" w:name="_Toc492300575"/>
      <w:bookmarkStart w:id="164" w:name="_Toc28630"/>
      <w:bookmarkStart w:id="165" w:name="_Toc6848"/>
      <w:r>
        <w:rPr>
          <w:rFonts w:ascii="宋体" w:hAnsi="宋体" w:eastAsia="宋体" w:cs="宋体"/>
          <w:color w:val="auto"/>
          <w:szCs w:val="24"/>
          <w:highlight w:val="none"/>
        </w:rPr>
        <w:t xml:space="preserve">1.11 </w:t>
      </w:r>
      <w:r>
        <w:rPr>
          <w:rFonts w:hint="eastAsia" w:ascii="宋体" w:hAnsi="宋体" w:eastAsia="宋体" w:cs="宋体"/>
          <w:color w:val="auto"/>
          <w:szCs w:val="24"/>
          <w:highlight w:val="none"/>
        </w:rPr>
        <w:t>分包</w:t>
      </w:r>
      <w:bookmarkEnd w:id="155"/>
      <w:bookmarkEnd w:id="156"/>
      <w:bookmarkEnd w:id="157"/>
      <w:bookmarkEnd w:id="158"/>
      <w:bookmarkEnd w:id="159"/>
      <w:bookmarkEnd w:id="160"/>
      <w:bookmarkEnd w:id="161"/>
      <w:bookmarkEnd w:id="162"/>
      <w:bookmarkEnd w:id="163"/>
      <w:bookmarkEnd w:id="164"/>
      <w:bookmarkEnd w:id="165"/>
    </w:p>
    <w:p w14:paraId="179794F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本项目严禁分包。</w:t>
      </w:r>
    </w:p>
    <w:p w14:paraId="78648560">
      <w:pPr>
        <w:pStyle w:val="5"/>
        <w:spacing w:line="360" w:lineRule="auto"/>
        <w:ind w:firstLine="0" w:firstLineChars="0"/>
        <w:rPr>
          <w:rFonts w:ascii="宋体" w:hAnsi="宋体" w:eastAsia="宋体" w:cs="宋体"/>
          <w:color w:val="auto"/>
          <w:szCs w:val="24"/>
          <w:highlight w:val="none"/>
        </w:rPr>
      </w:pPr>
      <w:bookmarkStart w:id="166" w:name="_Toc23487"/>
      <w:bookmarkStart w:id="167" w:name="_Toc15584"/>
      <w:bookmarkStart w:id="168" w:name="_Toc32619"/>
      <w:bookmarkStart w:id="169" w:name="_Toc16032"/>
      <w:bookmarkStart w:id="170" w:name="_Toc9275"/>
      <w:bookmarkStart w:id="171" w:name="_Toc5747"/>
      <w:bookmarkStart w:id="172" w:name="_Toc492300576"/>
      <w:bookmarkStart w:id="173" w:name="_Toc7090"/>
      <w:bookmarkStart w:id="174" w:name="_Toc29564"/>
      <w:bookmarkStart w:id="175" w:name="_Toc28221"/>
      <w:bookmarkStart w:id="176" w:name="_Toc11892"/>
      <w:r>
        <w:rPr>
          <w:rFonts w:hint="eastAsia" w:ascii="宋体" w:hAnsi="宋体" w:eastAsia="宋体" w:cs="宋体"/>
          <w:color w:val="auto"/>
          <w:szCs w:val="24"/>
          <w:highlight w:val="none"/>
        </w:rPr>
        <w:t>1.12响应和偏差</w:t>
      </w:r>
      <w:bookmarkEnd w:id="166"/>
      <w:bookmarkEnd w:id="167"/>
      <w:bookmarkEnd w:id="168"/>
      <w:bookmarkEnd w:id="169"/>
      <w:bookmarkEnd w:id="170"/>
      <w:bookmarkEnd w:id="171"/>
      <w:bookmarkEnd w:id="172"/>
      <w:bookmarkEnd w:id="173"/>
      <w:bookmarkEnd w:id="174"/>
      <w:bookmarkEnd w:id="175"/>
      <w:bookmarkEnd w:id="176"/>
    </w:p>
    <w:p w14:paraId="4595AEA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1.12.1投标文件应当对招标文件的实质性要求和条件作出满足性或更有利于招标人的响应，否则，投标人的投标将被否决。实质性要求和条件见投标人须知前附表。</w:t>
      </w:r>
    </w:p>
    <w:p w14:paraId="446E8D32">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1.12.2 </w:t>
      </w:r>
      <w:r>
        <w:rPr>
          <w:rFonts w:hint="eastAsia" w:ascii="宋体" w:hAnsi="宋体" w:cs="宋体"/>
          <w:color w:val="auto"/>
          <w:sz w:val="24"/>
          <w:szCs w:val="24"/>
          <w:highlight w:val="none"/>
        </w:rPr>
        <w:t>投标人应根据招标文件的要求提供投标</w:t>
      </w:r>
      <w:r>
        <w:rPr>
          <w:rFonts w:hint="eastAsia" w:ascii="宋体" w:hAnsi="宋体" w:cs="宋体"/>
          <w:color w:val="auto"/>
          <w:sz w:val="24"/>
          <w:szCs w:val="24"/>
          <w:highlight w:val="none"/>
          <w:lang w:eastAsia="zh-CN"/>
        </w:rPr>
        <w:t>技术服务方案</w:t>
      </w:r>
      <w:r>
        <w:rPr>
          <w:rFonts w:hint="eastAsia" w:ascii="宋体" w:hAnsi="宋体" w:cs="宋体"/>
          <w:color w:val="auto"/>
          <w:sz w:val="24"/>
          <w:szCs w:val="24"/>
          <w:highlight w:val="none"/>
        </w:rPr>
        <w:t>等内容以对招标文件作出响应。</w:t>
      </w:r>
    </w:p>
    <w:p w14:paraId="5CDF8E2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1.12.3投标人须知前附表允许投标文件偏离招标文件某些要求的，偏差应当符合招标文件规定的偏差范围和幅度。</w:t>
      </w:r>
    </w:p>
    <w:p w14:paraId="3DC6FDA4">
      <w:pPr>
        <w:pStyle w:val="4"/>
        <w:spacing w:line="360" w:lineRule="auto"/>
        <w:rPr>
          <w:rFonts w:ascii="宋体" w:hAnsi="宋体" w:eastAsia="宋体" w:cs="宋体"/>
          <w:color w:val="auto"/>
          <w:sz w:val="28"/>
          <w:szCs w:val="28"/>
          <w:highlight w:val="none"/>
        </w:rPr>
      </w:pPr>
      <w:bookmarkStart w:id="177" w:name="_Toc30626"/>
      <w:bookmarkStart w:id="178" w:name="_Toc2551"/>
      <w:bookmarkStart w:id="179" w:name="_Toc3361"/>
      <w:bookmarkStart w:id="180" w:name="_Toc13086"/>
      <w:bookmarkStart w:id="181" w:name="_Toc4355"/>
      <w:bookmarkStart w:id="182" w:name="_Toc4157"/>
      <w:bookmarkStart w:id="183" w:name="_Toc12512"/>
      <w:bookmarkStart w:id="184" w:name="_Toc30212"/>
      <w:bookmarkStart w:id="185" w:name="_Toc32110"/>
      <w:bookmarkStart w:id="186" w:name="_Toc26169"/>
      <w:bookmarkStart w:id="187" w:name="_Toc492300577"/>
      <w:r>
        <w:rPr>
          <w:rFonts w:ascii="宋体" w:hAnsi="宋体" w:eastAsia="宋体" w:cs="宋体"/>
          <w:color w:val="auto"/>
          <w:sz w:val="28"/>
          <w:szCs w:val="28"/>
          <w:highlight w:val="none"/>
        </w:rPr>
        <w:t xml:space="preserve">2. </w:t>
      </w:r>
      <w:r>
        <w:rPr>
          <w:rFonts w:hint="eastAsia" w:ascii="宋体" w:hAnsi="宋体" w:eastAsia="宋体" w:cs="宋体"/>
          <w:color w:val="auto"/>
          <w:sz w:val="28"/>
          <w:szCs w:val="28"/>
          <w:highlight w:val="none"/>
        </w:rPr>
        <w:t>招标文件</w:t>
      </w:r>
      <w:bookmarkEnd w:id="177"/>
      <w:bookmarkEnd w:id="178"/>
      <w:bookmarkEnd w:id="179"/>
      <w:bookmarkEnd w:id="180"/>
      <w:bookmarkEnd w:id="181"/>
      <w:bookmarkEnd w:id="182"/>
      <w:bookmarkEnd w:id="183"/>
      <w:bookmarkEnd w:id="184"/>
      <w:bookmarkEnd w:id="185"/>
      <w:bookmarkEnd w:id="186"/>
      <w:bookmarkEnd w:id="187"/>
    </w:p>
    <w:p w14:paraId="63598170">
      <w:pPr>
        <w:pStyle w:val="5"/>
        <w:spacing w:line="360" w:lineRule="auto"/>
        <w:ind w:firstLine="0" w:firstLineChars="0"/>
        <w:rPr>
          <w:rFonts w:ascii="宋体" w:hAnsi="宋体" w:eastAsia="宋体" w:cs="宋体"/>
          <w:color w:val="auto"/>
          <w:szCs w:val="24"/>
          <w:highlight w:val="none"/>
        </w:rPr>
      </w:pPr>
      <w:bookmarkStart w:id="188" w:name="_Toc1039"/>
      <w:bookmarkStart w:id="189" w:name="_Toc28644"/>
      <w:bookmarkStart w:id="190" w:name="_Toc18046"/>
      <w:bookmarkStart w:id="191" w:name="_Toc5162"/>
      <w:bookmarkStart w:id="192" w:name="_Toc29609"/>
      <w:bookmarkStart w:id="193" w:name="_Toc7923"/>
      <w:bookmarkStart w:id="194" w:name="_Toc21453"/>
      <w:bookmarkStart w:id="195" w:name="_Toc32308"/>
      <w:bookmarkStart w:id="196" w:name="_Toc21412"/>
      <w:bookmarkStart w:id="197" w:name="_Toc492300578"/>
      <w:bookmarkStart w:id="198" w:name="_Toc15728"/>
      <w:r>
        <w:rPr>
          <w:rFonts w:ascii="宋体" w:hAnsi="宋体" w:eastAsia="宋体" w:cs="宋体"/>
          <w:color w:val="auto"/>
          <w:szCs w:val="24"/>
          <w:highlight w:val="none"/>
        </w:rPr>
        <w:t xml:space="preserve">2.1 </w:t>
      </w:r>
      <w:r>
        <w:rPr>
          <w:rFonts w:hint="eastAsia" w:ascii="宋体" w:hAnsi="宋体" w:eastAsia="宋体" w:cs="宋体"/>
          <w:color w:val="auto"/>
          <w:szCs w:val="24"/>
          <w:highlight w:val="none"/>
        </w:rPr>
        <w:t>招标文件的组成</w:t>
      </w:r>
      <w:bookmarkEnd w:id="188"/>
      <w:bookmarkEnd w:id="189"/>
      <w:bookmarkEnd w:id="190"/>
      <w:bookmarkEnd w:id="191"/>
      <w:bookmarkEnd w:id="192"/>
      <w:bookmarkEnd w:id="193"/>
      <w:bookmarkEnd w:id="194"/>
      <w:bookmarkEnd w:id="195"/>
      <w:bookmarkEnd w:id="196"/>
      <w:bookmarkEnd w:id="197"/>
      <w:bookmarkEnd w:id="198"/>
    </w:p>
    <w:p w14:paraId="61EC979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本招标文件包括：</w:t>
      </w:r>
    </w:p>
    <w:p w14:paraId="3F92E89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（1）招标公告；</w:t>
      </w:r>
    </w:p>
    <w:p w14:paraId="361E520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（2）投标人须知；</w:t>
      </w:r>
    </w:p>
    <w:p w14:paraId="199F605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（3）评标办法；</w:t>
      </w:r>
    </w:p>
    <w:p w14:paraId="54023C5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（4）合同条款及格式；</w:t>
      </w:r>
    </w:p>
    <w:p w14:paraId="6E444B4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（5）委托人要求；</w:t>
      </w:r>
    </w:p>
    <w:p w14:paraId="3AAEF19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（6）投标文件格式；</w:t>
      </w:r>
    </w:p>
    <w:p w14:paraId="57775737">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eastAsia="zh-CN"/>
        </w:rPr>
        <w:t>工程量清单</w:t>
      </w:r>
    </w:p>
    <w:p w14:paraId="7BC039B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投标人须知前附表规定的其他资料。</w:t>
      </w:r>
    </w:p>
    <w:p w14:paraId="2D00692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根据本章第1.10款、第2.2款和第2.3款对招标文件所作的澄清、修改，构成招标文件的组成部分。</w:t>
      </w:r>
    </w:p>
    <w:p w14:paraId="10FCC600">
      <w:pPr>
        <w:pStyle w:val="5"/>
        <w:spacing w:line="360" w:lineRule="auto"/>
        <w:ind w:firstLine="0" w:firstLineChars="0"/>
        <w:rPr>
          <w:rFonts w:ascii="宋体" w:hAnsi="宋体" w:eastAsia="宋体" w:cs="宋体"/>
          <w:color w:val="auto"/>
          <w:szCs w:val="24"/>
          <w:highlight w:val="none"/>
        </w:rPr>
      </w:pPr>
      <w:bookmarkStart w:id="199" w:name="_Toc27084"/>
      <w:bookmarkStart w:id="200" w:name="_Toc20512"/>
      <w:bookmarkStart w:id="201" w:name="_Toc492300579"/>
      <w:bookmarkStart w:id="202" w:name="_Toc31226"/>
      <w:bookmarkStart w:id="203" w:name="_Toc32400"/>
      <w:bookmarkStart w:id="204" w:name="_Toc30224"/>
      <w:bookmarkStart w:id="205" w:name="_Toc20259"/>
      <w:bookmarkStart w:id="206" w:name="_Toc20370"/>
      <w:bookmarkStart w:id="207" w:name="_Toc17542"/>
      <w:bookmarkStart w:id="208" w:name="_Toc21017"/>
      <w:bookmarkStart w:id="209" w:name="_Toc7675"/>
      <w:r>
        <w:rPr>
          <w:rFonts w:ascii="宋体" w:hAnsi="宋体" w:eastAsia="宋体" w:cs="宋体"/>
          <w:color w:val="auto"/>
          <w:szCs w:val="24"/>
          <w:highlight w:val="none"/>
        </w:rPr>
        <w:t xml:space="preserve">2.2 </w:t>
      </w:r>
      <w:r>
        <w:rPr>
          <w:rFonts w:hint="eastAsia" w:ascii="宋体" w:hAnsi="宋体" w:eastAsia="宋体" w:cs="宋体"/>
          <w:color w:val="auto"/>
          <w:szCs w:val="24"/>
          <w:highlight w:val="none"/>
        </w:rPr>
        <w:t>招标文件的澄清</w:t>
      </w:r>
      <w:bookmarkEnd w:id="199"/>
      <w:bookmarkEnd w:id="200"/>
      <w:bookmarkEnd w:id="201"/>
      <w:bookmarkEnd w:id="202"/>
      <w:bookmarkEnd w:id="203"/>
      <w:bookmarkEnd w:id="204"/>
      <w:bookmarkEnd w:id="205"/>
      <w:bookmarkEnd w:id="206"/>
      <w:bookmarkEnd w:id="207"/>
      <w:bookmarkEnd w:id="208"/>
      <w:bookmarkEnd w:id="209"/>
    </w:p>
    <w:p w14:paraId="2317C6DC">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2.2.1 </w:t>
      </w:r>
      <w:r>
        <w:rPr>
          <w:rFonts w:hint="eastAsia" w:ascii="宋体" w:hAnsi="宋体" w:cs="宋体"/>
          <w:color w:val="auto"/>
          <w:sz w:val="24"/>
          <w:szCs w:val="24"/>
          <w:highlight w:val="none"/>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6D82D81">
      <w:pPr>
        <w:spacing w:line="360" w:lineRule="auto"/>
        <w:ind w:firstLine="480" w:firstLineChars="200"/>
        <w:rPr>
          <w:rFonts w:ascii="宋体" w:hAnsi="宋体" w:cs="宋体"/>
          <w:color w:val="auto"/>
          <w:sz w:val="24"/>
          <w:szCs w:val="24"/>
          <w:highlight w:val="none"/>
        </w:rPr>
      </w:pPr>
      <w:bookmarkStart w:id="210" w:name="_Hlk136176439"/>
      <w:r>
        <w:rPr>
          <w:rFonts w:hint="eastAsia" w:ascii="宋体" w:hAnsi="宋体" w:cs="宋体"/>
          <w:color w:val="auto"/>
          <w:sz w:val="24"/>
          <w:szCs w:val="24"/>
          <w:highlight w:val="none"/>
        </w:rPr>
        <w:t>2.2.2招标文件的澄清以投标人须知前附表规定的形式发给所有购买招标文件的投标人，但不指明澄清问题的来源。澄清发出的时间距本章第</w:t>
      </w:r>
      <w:r>
        <w:rPr>
          <w:rFonts w:ascii="宋体" w:hAnsi="宋体" w:cs="宋体"/>
          <w:color w:val="auto"/>
          <w:sz w:val="24"/>
          <w:szCs w:val="24"/>
          <w:highlight w:val="none"/>
        </w:rPr>
        <w:t>4.2.1项规定的投标截止时间不足15日的，并且澄清内容可能影响投标文件编制的，将相应延长投标截止时间。</w:t>
      </w:r>
    </w:p>
    <w:bookmarkEnd w:id="210"/>
    <w:p w14:paraId="139CD63D">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2.2.3 </w:t>
      </w:r>
      <w:r>
        <w:rPr>
          <w:rFonts w:hint="eastAsia" w:ascii="宋体" w:hAnsi="宋体" w:cs="宋体"/>
          <w:color w:val="auto"/>
          <w:sz w:val="24"/>
          <w:szCs w:val="24"/>
          <w:highlight w:val="none"/>
        </w:rPr>
        <w:t>投标人在收到澄清后，应按投标人须知前附表规定的时间和形式通知招标人，确认已收到该澄清。</w:t>
      </w:r>
    </w:p>
    <w:p w14:paraId="3EAD9200">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2.2.4 </w:t>
      </w:r>
      <w:r>
        <w:rPr>
          <w:rFonts w:hint="eastAsia" w:ascii="宋体" w:hAnsi="宋体" w:cs="宋体"/>
          <w:color w:val="auto"/>
          <w:sz w:val="24"/>
          <w:szCs w:val="24"/>
          <w:highlight w:val="none"/>
        </w:rPr>
        <w:t>除非招标人认为确有必要答复，否则，招标人有权拒绝回复投标人在本章第2.2.1项规定的时间后的任何澄清要求。</w:t>
      </w:r>
    </w:p>
    <w:p w14:paraId="419BDFC8">
      <w:pPr>
        <w:pStyle w:val="5"/>
        <w:spacing w:line="360" w:lineRule="auto"/>
        <w:ind w:firstLine="0" w:firstLineChars="0"/>
        <w:rPr>
          <w:rFonts w:ascii="宋体" w:hAnsi="宋体" w:eastAsia="宋体" w:cs="宋体"/>
          <w:color w:val="auto"/>
          <w:szCs w:val="24"/>
          <w:highlight w:val="none"/>
        </w:rPr>
      </w:pPr>
      <w:bookmarkStart w:id="211" w:name="_Toc16341"/>
      <w:bookmarkStart w:id="212" w:name="_Toc23346"/>
      <w:bookmarkStart w:id="213" w:name="_Toc19220"/>
      <w:bookmarkStart w:id="214" w:name="_Toc28678"/>
      <w:bookmarkStart w:id="215" w:name="_Toc7145"/>
      <w:bookmarkStart w:id="216" w:name="_Toc21906"/>
      <w:bookmarkStart w:id="217" w:name="_Toc1454"/>
      <w:bookmarkStart w:id="218" w:name="_Toc3354"/>
      <w:bookmarkStart w:id="219" w:name="_Toc492300580"/>
      <w:bookmarkStart w:id="220" w:name="_Toc6375"/>
      <w:bookmarkStart w:id="221" w:name="_Toc11529"/>
      <w:bookmarkStart w:id="222" w:name="_Toc352691479"/>
      <w:r>
        <w:rPr>
          <w:rFonts w:ascii="宋体" w:hAnsi="宋体" w:eastAsia="宋体" w:cs="宋体"/>
          <w:color w:val="auto"/>
          <w:szCs w:val="24"/>
          <w:highlight w:val="none"/>
        </w:rPr>
        <w:t xml:space="preserve">2.3 </w:t>
      </w:r>
      <w:r>
        <w:rPr>
          <w:rFonts w:hint="eastAsia" w:ascii="宋体" w:hAnsi="宋体" w:eastAsia="宋体" w:cs="宋体"/>
          <w:color w:val="auto"/>
          <w:szCs w:val="24"/>
          <w:highlight w:val="none"/>
        </w:rPr>
        <w:t>招标文件的修</w:t>
      </w:r>
      <w:bookmarkStart w:id="223" w:name="_Toc16514"/>
      <w:bookmarkStart w:id="224" w:name="_Toc369531521"/>
      <w:r>
        <w:rPr>
          <w:rFonts w:hint="eastAsia" w:ascii="宋体" w:hAnsi="宋体" w:eastAsia="宋体" w:cs="宋体"/>
          <w:color w:val="auto"/>
          <w:szCs w:val="24"/>
          <w:highlight w:val="none"/>
        </w:rPr>
        <w:t>改</w:t>
      </w:r>
      <w:bookmarkEnd w:id="211"/>
      <w:bookmarkEnd w:id="212"/>
      <w:bookmarkEnd w:id="213"/>
      <w:bookmarkEnd w:id="214"/>
      <w:bookmarkEnd w:id="215"/>
      <w:bookmarkEnd w:id="216"/>
      <w:bookmarkEnd w:id="217"/>
      <w:bookmarkEnd w:id="218"/>
      <w:bookmarkEnd w:id="219"/>
      <w:bookmarkEnd w:id="220"/>
      <w:bookmarkEnd w:id="221"/>
    </w:p>
    <w:p w14:paraId="66C7100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222"/>
    <w:bookmarkEnd w:id="223"/>
    <w:bookmarkEnd w:id="224"/>
    <w:p w14:paraId="5F877E8F">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2.3.2 </w:t>
      </w:r>
      <w:r>
        <w:rPr>
          <w:rFonts w:hint="eastAsia" w:ascii="宋体" w:hAnsi="宋体" w:cs="宋体"/>
          <w:color w:val="auto"/>
          <w:sz w:val="24"/>
          <w:szCs w:val="24"/>
          <w:highlight w:val="none"/>
        </w:rPr>
        <w:t>投标人收到修改内容</w:t>
      </w:r>
      <w:bookmarkStart w:id="225" w:name="_Toc152045538"/>
      <w:bookmarkStart w:id="226" w:name="_Toc247513961"/>
      <w:bookmarkStart w:id="227" w:name="_Toc369531524"/>
      <w:bookmarkStart w:id="228" w:name="_Toc300834958"/>
      <w:bookmarkStart w:id="229" w:name="_Toc247527562"/>
      <w:bookmarkStart w:id="230" w:name="_Toc352691482"/>
      <w:bookmarkStart w:id="231" w:name="_Toc144974506"/>
      <w:bookmarkStart w:id="232" w:name="_Toc384308218"/>
      <w:bookmarkStart w:id="233" w:name="_Toc361508593"/>
      <w:bookmarkStart w:id="234" w:name="_Toc152042314"/>
      <w:bookmarkStart w:id="235" w:name="_Toc24632"/>
      <w:r>
        <w:rPr>
          <w:rFonts w:hint="eastAsia" w:ascii="宋体" w:hAnsi="宋体" w:cs="宋体"/>
          <w:color w:val="auto"/>
          <w:sz w:val="24"/>
          <w:szCs w:val="24"/>
          <w:highlight w:val="none"/>
        </w:rPr>
        <w:t>后，</w:t>
      </w:r>
      <w:bookmarkEnd w:id="225"/>
      <w:bookmarkEnd w:id="226"/>
      <w:bookmarkEnd w:id="227"/>
      <w:bookmarkEnd w:id="228"/>
      <w:bookmarkEnd w:id="229"/>
      <w:bookmarkEnd w:id="230"/>
      <w:bookmarkEnd w:id="231"/>
      <w:bookmarkEnd w:id="232"/>
      <w:bookmarkEnd w:id="233"/>
      <w:bookmarkEnd w:id="234"/>
      <w:bookmarkEnd w:id="235"/>
      <w:bookmarkStart w:id="236" w:name="_Toc247513963"/>
      <w:bookmarkStart w:id="237" w:name="_Toc144974508"/>
      <w:bookmarkStart w:id="238" w:name="_Toc352691484"/>
      <w:bookmarkStart w:id="239" w:name="_Toc16623"/>
      <w:bookmarkStart w:id="240" w:name="_Toc361508595"/>
      <w:bookmarkStart w:id="241" w:name="_Toc152045540"/>
      <w:bookmarkStart w:id="242" w:name="_Toc300834960"/>
      <w:bookmarkStart w:id="243" w:name="_Toc369531526"/>
      <w:bookmarkStart w:id="244" w:name="_Toc247527564"/>
      <w:bookmarkStart w:id="245" w:name="_Toc152042316"/>
      <w:bookmarkStart w:id="246" w:name="_Toc384308220"/>
      <w:r>
        <w:rPr>
          <w:rFonts w:hint="eastAsia" w:ascii="宋体" w:hAnsi="宋体" w:cs="宋体"/>
          <w:color w:val="auto"/>
          <w:sz w:val="24"/>
          <w:szCs w:val="24"/>
          <w:highlight w:val="none"/>
        </w:rPr>
        <w:t>应按投标人须知前附表规定的时间和形式通知招标人，确认已收到该修改。</w:t>
      </w:r>
    </w:p>
    <w:p w14:paraId="1BEC9578">
      <w:pPr>
        <w:pStyle w:val="5"/>
        <w:spacing w:line="360" w:lineRule="auto"/>
        <w:ind w:firstLine="0" w:firstLineChars="0"/>
        <w:rPr>
          <w:rFonts w:ascii="宋体" w:hAnsi="宋体" w:eastAsia="宋体" w:cs="宋体"/>
          <w:color w:val="auto"/>
          <w:szCs w:val="24"/>
          <w:highlight w:val="none"/>
        </w:rPr>
      </w:pPr>
      <w:bookmarkStart w:id="247" w:name="_Toc30892"/>
      <w:bookmarkStart w:id="248" w:name="_Toc492300581"/>
      <w:bookmarkStart w:id="249" w:name="_Toc32698"/>
      <w:bookmarkStart w:id="250" w:name="_Toc30063"/>
      <w:bookmarkStart w:id="251" w:name="_Toc7678"/>
      <w:bookmarkStart w:id="252" w:name="_Toc12303"/>
      <w:bookmarkStart w:id="253" w:name="_Toc11612"/>
      <w:bookmarkStart w:id="254" w:name="_Toc24120"/>
      <w:bookmarkStart w:id="255" w:name="_Toc333"/>
      <w:bookmarkStart w:id="256" w:name="_Toc9879"/>
      <w:bookmarkStart w:id="257" w:name="_Toc26966"/>
      <w:bookmarkStart w:id="258" w:name="_Hlk136176469"/>
      <w:r>
        <w:rPr>
          <w:rFonts w:ascii="宋体" w:hAnsi="宋体" w:eastAsia="宋体" w:cs="宋体"/>
          <w:color w:val="auto"/>
          <w:szCs w:val="24"/>
          <w:highlight w:val="none"/>
        </w:rPr>
        <w:t>2.</w:t>
      </w:r>
      <w:bookmarkEnd w:id="236"/>
      <w:bookmarkEnd w:id="237"/>
      <w:bookmarkEnd w:id="238"/>
      <w:bookmarkEnd w:id="239"/>
      <w:bookmarkEnd w:id="240"/>
      <w:bookmarkEnd w:id="241"/>
      <w:bookmarkEnd w:id="242"/>
      <w:bookmarkEnd w:id="243"/>
      <w:bookmarkEnd w:id="244"/>
      <w:bookmarkEnd w:id="245"/>
      <w:bookmarkEnd w:id="246"/>
      <w:r>
        <w:rPr>
          <w:rFonts w:ascii="宋体" w:hAnsi="宋体" w:eastAsia="宋体" w:cs="宋体"/>
          <w:color w:val="auto"/>
          <w:szCs w:val="24"/>
          <w:highlight w:val="none"/>
        </w:rPr>
        <w:t xml:space="preserve">4 </w:t>
      </w:r>
      <w:r>
        <w:rPr>
          <w:rFonts w:hint="eastAsia" w:ascii="宋体" w:hAnsi="宋体" w:eastAsia="宋体" w:cs="宋体"/>
          <w:color w:val="auto"/>
          <w:szCs w:val="24"/>
          <w:highlight w:val="none"/>
        </w:rPr>
        <w:t>招标文件的异议</w:t>
      </w:r>
      <w:bookmarkEnd w:id="247"/>
      <w:bookmarkEnd w:id="248"/>
      <w:bookmarkEnd w:id="249"/>
      <w:bookmarkEnd w:id="250"/>
      <w:bookmarkEnd w:id="251"/>
      <w:bookmarkEnd w:id="252"/>
      <w:bookmarkEnd w:id="253"/>
      <w:bookmarkEnd w:id="254"/>
      <w:bookmarkEnd w:id="255"/>
      <w:bookmarkEnd w:id="256"/>
      <w:bookmarkEnd w:id="257"/>
    </w:p>
    <w:p w14:paraId="69017BA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投标人或者其他利害关系人对招标文件有异议的，应当在投标截止时间10日前以书面形式提出。招标人将在收到异议之日起3日内作出答复；作出答复前，将暂停招标投标活动。</w:t>
      </w:r>
    </w:p>
    <w:bookmarkEnd w:id="258"/>
    <w:p w14:paraId="1B93C6F1">
      <w:pPr>
        <w:pStyle w:val="4"/>
        <w:spacing w:line="360" w:lineRule="auto"/>
        <w:rPr>
          <w:rFonts w:ascii="宋体" w:hAnsi="宋体" w:eastAsia="宋体" w:cs="宋体"/>
          <w:color w:val="auto"/>
          <w:sz w:val="28"/>
          <w:szCs w:val="28"/>
          <w:highlight w:val="none"/>
        </w:rPr>
      </w:pPr>
      <w:bookmarkStart w:id="259" w:name="_Toc11693"/>
      <w:bookmarkStart w:id="260" w:name="_Toc24928"/>
      <w:bookmarkStart w:id="261" w:name="_Toc18998"/>
      <w:bookmarkStart w:id="262" w:name="_Toc12169"/>
      <w:bookmarkStart w:id="263" w:name="_Toc27869"/>
      <w:bookmarkStart w:id="264" w:name="_Toc23844"/>
      <w:bookmarkStart w:id="265" w:name="_Toc492300582"/>
      <w:bookmarkStart w:id="266" w:name="_Toc27522"/>
      <w:bookmarkStart w:id="267" w:name="_Toc8793"/>
      <w:bookmarkStart w:id="268" w:name="_Toc18605"/>
      <w:bookmarkStart w:id="269" w:name="_Toc32598"/>
      <w:r>
        <w:rPr>
          <w:rFonts w:ascii="宋体" w:hAnsi="宋体" w:eastAsia="宋体" w:cs="宋体"/>
          <w:color w:val="auto"/>
          <w:sz w:val="28"/>
          <w:szCs w:val="28"/>
          <w:highlight w:val="none"/>
        </w:rPr>
        <w:t xml:space="preserve">3. </w:t>
      </w:r>
      <w:r>
        <w:rPr>
          <w:rFonts w:hint="eastAsia" w:ascii="宋体" w:hAnsi="宋体" w:eastAsia="宋体" w:cs="宋体"/>
          <w:color w:val="auto"/>
          <w:sz w:val="28"/>
          <w:szCs w:val="28"/>
          <w:highlight w:val="none"/>
        </w:rPr>
        <w:t>投标文件</w:t>
      </w:r>
      <w:bookmarkEnd w:id="259"/>
      <w:bookmarkEnd w:id="260"/>
      <w:bookmarkEnd w:id="261"/>
      <w:bookmarkEnd w:id="262"/>
      <w:bookmarkEnd w:id="263"/>
      <w:bookmarkEnd w:id="264"/>
      <w:bookmarkEnd w:id="265"/>
      <w:bookmarkEnd w:id="266"/>
      <w:bookmarkEnd w:id="267"/>
      <w:bookmarkEnd w:id="268"/>
      <w:bookmarkEnd w:id="269"/>
    </w:p>
    <w:p w14:paraId="6FCAA994">
      <w:pPr>
        <w:pStyle w:val="5"/>
        <w:spacing w:line="360" w:lineRule="auto"/>
        <w:ind w:firstLine="0" w:firstLineChars="0"/>
        <w:rPr>
          <w:rFonts w:ascii="宋体" w:hAnsi="宋体" w:eastAsia="宋体" w:cs="宋体"/>
          <w:color w:val="auto"/>
          <w:szCs w:val="24"/>
          <w:highlight w:val="none"/>
        </w:rPr>
      </w:pPr>
      <w:bookmarkStart w:id="270" w:name="_Toc24454"/>
      <w:bookmarkStart w:id="271" w:name="_Toc26287"/>
      <w:bookmarkStart w:id="272" w:name="_Toc26587"/>
      <w:bookmarkStart w:id="273" w:name="_Toc16439"/>
      <w:bookmarkStart w:id="274" w:name="_Toc29143"/>
      <w:bookmarkStart w:id="275" w:name="_Toc1311"/>
      <w:bookmarkStart w:id="276" w:name="_Toc22448"/>
      <w:bookmarkStart w:id="277" w:name="_Toc8333"/>
      <w:bookmarkStart w:id="278" w:name="_Toc14035"/>
      <w:bookmarkStart w:id="279" w:name="_Toc492300583"/>
      <w:bookmarkStart w:id="280" w:name="_Toc31064"/>
      <w:r>
        <w:rPr>
          <w:rFonts w:ascii="宋体" w:hAnsi="宋体" w:eastAsia="宋体" w:cs="宋体"/>
          <w:color w:val="auto"/>
          <w:szCs w:val="24"/>
          <w:highlight w:val="none"/>
        </w:rPr>
        <w:t xml:space="preserve">3.1 </w:t>
      </w:r>
      <w:r>
        <w:rPr>
          <w:rFonts w:hint="eastAsia" w:ascii="宋体" w:hAnsi="宋体" w:eastAsia="宋体" w:cs="宋体"/>
          <w:color w:val="auto"/>
          <w:szCs w:val="24"/>
          <w:highlight w:val="none"/>
        </w:rPr>
        <w:t>投标文件的组成</w:t>
      </w:r>
      <w:bookmarkEnd w:id="270"/>
      <w:bookmarkEnd w:id="271"/>
      <w:bookmarkEnd w:id="272"/>
      <w:bookmarkEnd w:id="273"/>
      <w:bookmarkEnd w:id="274"/>
      <w:bookmarkEnd w:id="275"/>
      <w:bookmarkEnd w:id="276"/>
      <w:bookmarkEnd w:id="277"/>
      <w:bookmarkEnd w:id="278"/>
      <w:bookmarkEnd w:id="279"/>
      <w:bookmarkEnd w:id="280"/>
    </w:p>
    <w:p w14:paraId="08D743AA">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3.1.1 </w:t>
      </w:r>
      <w:r>
        <w:rPr>
          <w:rFonts w:hint="eastAsia" w:ascii="宋体" w:hAnsi="宋体" w:cs="宋体"/>
          <w:color w:val="auto"/>
          <w:sz w:val="24"/>
          <w:szCs w:val="24"/>
          <w:highlight w:val="none"/>
        </w:rPr>
        <w:t>投标文件应包括下列内容：</w:t>
      </w:r>
    </w:p>
    <w:p w14:paraId="5CFCFA8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（1）投标函及投标函附录；</w:t>
      </w:r>
    </w:p>
    <w:p w14:paraId="22CD9B0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（2）法定代表人身份证明或授权委托书；</w:t>
      </w:r>
    </w:p>
    <w:p w14:paraId="6771E764">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联合体协议书（如有）；</w:t>
      </w:r>
    </w:p>
    <w:p w14:paraId="62AD7AD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）投标报价表；</w:t>
      </w:r>
    </w:p>
    <w:p w14:paraId="7F3B268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）资格审查资料；</w:t>
      </w:r>
    </w:p>
    <w:p w14:paraId="7186C16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技术服务方案</w:t>
      </w:r>
      <w:r>
        <w:rPr>
          <w:rFonts w:hint="eastAsia" w:ascii="宋体" w:hAnsi="宋体" w:cs="宋体"/>
          <w:color w:val="auto"/>
          <w:sz w:val="24"/>
          <w:szCs w:val="24"/>
          <w:highlight w:val="none"/>
        </w:rPr>
        <w:t>；</w:t>
      </w:r>
    </w:p>
    <w:p w14:paraId="1739D29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）其他资料。</w:t>
      </w:r>
    </w:p>
    <w:p w14:paraId="1AA2048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投标人在评标过程中作出的符合法律法规和招标文件规定的澄清确认，构成投标文件的组成部分。</w:t>
      </w:r>
    </w:p>
    <w:p w14:paraId="14FFB8B2">
      <w:pPr>
        <w:spacing w:line="360" w:lineRule="auto"/>
        <w:ind w:firstLine="480" w:firstLineChars="200"/>
        <w:rPr>
          <w:rFonts w:ascii="宋体" w:hAnsi="宋体" w:cs="宋体"/>
          <w:strike w:val="0"/>
          <w:color w:val="auto"/>
          <w:sz w:val="24"/>
          <w:szCs w:val="24"/>
          <w:highlight w:val="none"/>
        </w:rPr>
      </w:pPr>
      <w:r>
        <w:rPr>
          <w:rFonts w:ascii="宋体" w:hAnsi="宋体" w:cs="宋体"/>
          <w:strike w:val="0"/>
          <w:color w:val="auto"/>
          <w:sz w:val="24"/>
          <w:szCs w:val="24"/>
          <w:highlight w:val="none"/>
        </w:rPr>
        <w:t xml:space="preserve">3.1.2 </w:t>
      </w:r>
      <w:r>
        <w:rPr>
          <w:rFonts w:hint="eastAsia" w:ascii="宋体" w:hAnsi="宋体" w:cs="宋体"/>
          <w:strike w:val="0"/>
          <w:color w:val="auto"/>
          <w:sz w:val="24"/>
          <w:szCs w:val="24"/>
          <w:highlight w:val="none"/>
        </w:rPr>
        <w:t>投标人须知前附表规定不接受联合体投标的，或投标人没有组成联合体的，投标文件不包括本章第3.1.1（3）目所指的联合体协议书。</w:t>
      </w:r>
    </w:p>
    <w:p w14:paraId="168E2A7F">
      <w:pPr>
        <w:spacing w:line="360" w:lineRule="auto"/>
        <w:ind w:firstLine="480" w:firstLineChars="200"/>
        <w:rPr>
          <w:rFonts w:ascii="宋体" w:hAnsi="宋体" w:cs="宋体"/>
          <w:strike/>
          <w:dstrike w:val="0"/>
          <w:color w:val="auto"/>
          <w:sz w:val="24"/>
          <w:szCs w:val="24"/>
          <w:highlight w:val="none"/>
        </w:rPr>
      </w:pPr>
      <w:r>
        <w:rPr>
          <w:rFonts w:ascii="宋体" w:hAnsi="宋体" w:cs="宋体"/>
          <w:strike/>
          <w:dstrike w:val="0"/>
          <w:color w:val="auto"/>
          <w:sz w:val="24"/>
          <w:szCs w:val="24"/>
          <w:highlight w:val="none"/>
        </w:rPr>
        <w:t xml:space="preserve">3.1.3 </w:t>
      </w:r>
      <w:r>
        <w:rPr>
          <w:rFonts w:hint="eastAsia" w:ascii="宋体" w:hAnsi="宋体" w:cs="宋体"/>
          <w:strike/>
          <w:dstrike w:val="0"/>
          <w:color w:val="auto"/>
          <w:sz w:val="24"/>
          <w:szCs w:val="24"/>
          <w:highlight w:val="none"/>
        </w:rPr>
        <w:t>投标人须知前附表未要求提交投标保证金的，投标文件不包括本章第3.1.1（</w:t>
      </w:r>
      <w:r>
        <w:rPr>
          <w:rFonts w:hint="eastAsia" w:ascii="宋体" w:hAnsi="宋体" w:cs="宋体"/>
          <w:strike/>
          <w:dstrike w:val="0"/>
          <w:color w:val="auto"/>
          <w:sz w:val="24"/>
          <w:szCs w:val="24"/>
          <w:highlight w:val="none"/>
          <w:lang w:val="en-US" w:eastAsia="zh-CN"/>
        </w:rPr>
        <w:t>3</w:t>
      </w:r>
      <w:r>
        <w:rPr>
          <w:rFonts w:hint="eastAsia" w:ascii="宋体" w:hAnsi="宋体" w:cs="宋体"/>
          <w:strike/>
          <w:dstrike w:val="0"/>
          <w:color w:val="auto"/>
          <w:sz w:val="24"/>
          <w:szCs w:val="24"/>
          <w:highlight w:val="none"/>
        </w:rPr>
        <w:t>）目所指的投标保证金。</w:t>
      </w:r>
    </w:p>
    <w:p w14:paraId="108F467F">
      <w:pPr>
        <w:pStyle w:val="5"/>
        <w:spacing w:line="360" w:lineRule="auto"/>
        <w:ind w:firstLine="0" w:firstLineChars="0"/>
        <w:rPr>
          <w:rFonts w:ascii="宋体" w:hAnsi="宋体" w:eastAsia="宋体" w:cs="宋体"/>
          <w:color w:val="auto"/>
          <w:szCs w:val="24"/>
          <w:highlight w:val="none"/>
        </w:rPr>
      </w:pPr>
      <w:bookmarkStart w:id="281" w:name="_Toc22722"/>
      <w:bookmarkStart w:id="282" w:name="_Toc2013"/>
      <w:bookmarkStart w:id="283" w:name="_Toc28363"/>
      <w:bookmarkStart w:id="284" w:name="_Toc13408"/>
      <w:bookmarkStart w:id="285" w:name="_Toc27845"/>
      <w:bookmarkStart w:id="286" w:name="_Toc27272"/>
      <w:bookmarkStart w:id="287" w:name="_Toc30414"/>
      <w:bookmarkStart w:id="288" w:name="_Toc492300584"/>
      <w:bookmarkStart w:id="289" w:name="_Toc15851"/>
      <w:bookmarkStart w:id="290" w:name="_Toc4291"/>
      <w:bookmarkStart w:id="291" w:name="_Toc32515"/>
      <w:r>
        <w:rPr>
          <w:rFonts w:ascii="宋体" w:hAnsi="宋体" w:eastAsia="宋体" w:cs="宋体"/>
          <w:color w:val="auto"/>
          <w:szCs w:val="24"/>
          <w:highlight w:val="none"/>
        </w:rPr>
        <w:t xml:space="preserve">3.2 </w:t>
      </w:r>
      <w:r>
        <w:rPr>
          <w:rFonts w:hint="eastAsia" w:ascii="宋体" w:hAnsi="宋体" w:eastAsia="宋体" w:cs="宋体"/>
          <w:color w:val="auto"/>
          <w:szCs w:val="24"/>
          <w:highlight w:val="none"/>
        </w:rPr>
        <w:t>投标报价</w:t>
      </w:r>
      <w:bookmarkEnd w:id="281"/>
      <w:bookmarkEnd w:id="282"/>
      <w:bookmarkEnd w:id="283"/>
      <w:bookmarkEnd w:id="284"/>
      <w:bookmarkEnd w:id="285"/>
      <w:bookmarkEnd w:id="286"/>
      <w:bookmarkEnd w:id="287"/>
      <w:bookmarkEnd w:id="288"/>
      <w:bookmarkEnd w:id="289"/>
      <w:bookmarkEnd w:id="290"/>
      <w:bookmarkEnd w:id="291"/>
    </w:p>
    <w:p w14:paraId="6FBE18B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3.2.1投标报价应包括国家规定的增值税税金，除投标人须知前附表另有规定外，增值税税金按一般计税方法计算。投标人应按第六章“投标文件格式”的要求在投标函中进行报价并填写投标报价表。</w:t>
      </w:r>
    </w:p>
    <w:p w14:paraId="335C63D9">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3.2.2 </w:t>
      </w:r>
      <w:r>
        <w:rPr>
          <w:rFonts w:hint="eastAsia" w:ascii="宋体" w:hAnsi="宋体" w:cs="宋体"/>
          <w:color w:val="auto"/>
          <w:sz w:val="24"/>
          <w:szCs w:val="24"/>
          <w:highlight w:val="none"/>
        </w:rPr>
        <w:t>投标人应充分了解该项目的总体情况以及影响投标报价的其他要素。</w:t>
      </w:r>
    </w:p>
    <w:p w14:paraId="64A24D79">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3.2.3</w:t>
      </w:r>
      <w:bookmarkStart w:id="292" w:name="_Toc300834964"/>
      <w:bookmarkEnd w:id="292"/>
      <w:bookmarkStart w:id="293" w:name="_Toc352691487"/>
      <w:bookmarkEnd w:id="293"/>
      <w:bookmarkStart w:id="294" w:name="_Toc144974511"/>
      <w:bookmarkEnd w:id="294"/>
      <w:bookmarkStart w:id="295" w:name="_Toc152042319"/>
      <w:bookmarkEnd w:id="295"/>
      <w:bookmarkStart w:id="296" w:name="_Toc247527568"/>
      <w:bookmarkEnd w:id="296"/>
      <w:bookmarkStart w:id="297" w:name="_Toc15242"/>
      <w:bookmarkEnd w:id="297"/>
      <w:bookmarkStart w:id="298" w:name="_Toc384308224"/>
      <w:bookmarkEnd w:id="298"/>
      <w:bookmarkStart w:id="299" w:name="_Toc247513967"/>
      <w:bookmarkEnd w:id="299"/>
      <w:bookmarkStart w:id="300" w:name="_Toc361508599"/>
      <w:bookmarkEnd w:id="300"/>
      <w:bookmarkStart w:id="301" w:name="_Toc369531530"/>
      <w:bookmarkEnd w:id="301"/>
      <w:bookmarkStart w:id="302" w:name="_Toc152045543"/>
      <w:bookmarkEnd w:id="302"/>
      <w:r>
        <w:rPr>
          <w:rFonts w:hint="eastAsia" w:ascii="宋体" w:hAnsi="宋体" w:cs="宋体"/>
          <w:color w:val="auto"/>
          <w:sz w:val="24"/>
          <w:szCs w:val="24"/>
          <w:highlight w:val="none"/>
        </w:rPr>
        <w:t xml:space="preserve"> 本项目的报价方式见投标人须知前附表。投标人在投标截止时间前修改投标函中的投标报价总额，应同时修改投标文件“投标报价表”中的相应报价。此修改须符合本章第4.3款的有关要求。</w:t>
      </w:r>
    </w:p>
    <w:p w14:paraId="21D3073C">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3.2.4</w:t>
      </w:r>
      <w:r>
        <w:rPr>
          <w:rFonts w:hint="eastAsia" w:ascii="宋体" w:hAnsi="宋体" w:cs="宋体"/>
          <w:color w:val="auto"/>
          <w:sz w:val="24"/>
          <w:szCs w:val="24"/>
          <w:highlight w:val="none"/>
        </w:rPr>
        <w:t>招标人设有最高投标限价的，投标人的投标报价不得超过最高投标限价，最高投标限价在投标</w:t>
      </w:r>
      <w:bookmarkStart w:id="303" w:name="_Toc300834965"/>
      <w:bookmarkStart w:id="304" w:name="_Toc144974512"/>
      <w:bookmarkStart w:id="305" w:name="_Toc152042320"/>
      <w:bookmarkStart w:id="306" w:name="_Toc352691488"/>
      <w:bookmarkStart w:id="307" w:name="_Toc247513968"/>
      <w:bookmarkStart w:id="308" w:name="_Toc384308225"/>
      <w:bookmarkStart w:id="309" w:name="_Toc369531531"/>
      <w:bookmarkStart w:id="310" w:name="_Toc10429"/>
      <w:bookmarkStart w:id="311" w:name="_Toc247527569"/>
      <w:bookmarkStart w:id="312" w:name="_Toc152045544"/>
      <w:bookmarkStart w:id="313" w:name="_Toc361508600"/>
      <w:r>
        <w:rPr>
          <w:rFonts w:hint="eastAsia" w:ascii="宋体" w:hAnsi="宋体" w:cs="宋体"/>
          <w:color w:val="auto"/>
          <w:sz w:val="24"/>
          <w:szCs w:val="24"/>
          <w:highlight w:val="none"/>
        </w:rPr>
        <w:t>人须知前附表中载明。</w:t>
      </w:r>
      <w:bookmarkEnd w:id="303"/>
      <w:bookmarkEnd w:id="304"/>
      <w:bookmarkEnd w:id="305"/>
      <w:bookmarkEnd w:id="306"/>
      <w:bookmarkEnd w:id="307"/>
      <w:bookmarkEnd w:id="308"/>
      <w:bookmarkEnd w:id="309"/>
      <w:bookmarkEnd w:id="310"/>
      <w:bookmarkEnd w:id="311"/>
      <w:bookmarkEnd w:id="312"/>
      <w:bookmarkEnd w:id="313"/>
    </w:p>
    <w:p w14:paraId="2E182187">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3.2.5 </w:t>
      </w:r>
      <w:r>
        <w:rPr>
          <w:rFonts w:hint="eastAsia" w:ascii="宋体" w:hAnsi="宋体" w:cs="宋体"/>
          <w:color w:val="auto"/>
          <w:sz w:val="24"/>
          <w:szCs w:val="24"/>
          <w:highlight w:val="none"/>
        </w:rPr>
        <w:t>投标报价的其他要求见投标人须知前附表。</w:t>
      </w:r>
    </w:p>
    <w:p w14:paraId="49C54CD4">
      <w:pPr>
        <w:pStyle w:val="5"/>
        <w:spacing w:line="360" w:lineRule="auto"/>
        <w:ind w:firstLine="0" w:firstLineChars="0"/>
        <w:rPr>
          <w:rFonts w:ascii="宋体" w:hAnsi="宋体" w:eastAsia="宋体" w:cs="宋体"/>
          <w:color w:val="auto"/>
          <w:szCs w:val="24"/>
          <w:highlight w:val="none"/>
        </w:rPr>
      </w:pPr>
      <w:bookmarkStart w:id="314" w:name="_Toc12868"/>
      <w:bookmarkStart w:id="315" w:name="_Toc14738"/>
      <w:bookmarkStart w:id="316" w:name="_Toc10185"/>
      <w:bookmarkStart w:id="317" w:name="_Toc24303"/>
      <w:bookmarkStart w:id="318" w:name="_Toc27035"/>
      <w:bookmarkStart w:id="319" w:name="_Toc2810"/>
      <w:bookmarkStart w:id="320" w:name="_Toc492300585"/>
      <w:bookmarkStart w:id="321" w:name="_Toc4335"/>
      <w:bookmarkStart w:id="322" w:name="_Toc20912"/>
      <w:bookmarkStart w:id="323" w:name="_Toc25774"/>
      <w:bookmarkStart w:id="324" w:name="_Toc14811"/>
      <w:r>
        <w:rPr>
          <w:rFonts w:ascii="宋体" w:hAnsi="宋体" w:eastAsia="宋体" w:cs="宋体"/>
          <w:color w:val="auto"/>
          <w:szCs w:val="24"/>
          <w:highlight w:val="none"/>
        </w:rPr>
        <w:t xml:space="preserve">3.3 </w:t>
      </w:r>
      <w:r>
        <w:rPr>
          <w:rFonts w:hint="eastAsia" w:ascii="宋体" w:hAnsi="宋体" w:eastAsia="宋体" w:cs="宋体"/>
          <w:color w:val="auto"/>
          <w:szCs w:val="24"/>
          <w:highlight w:val="none"/>
        </w:rPr>
        <w:t>投标有效期</w:t>
      </w:r>
      <w:bookmarkEnd w:id="314"/>
      <w:bookmarkEnd w:id="315"/>
      <w:bookmarkEnd w:id="316"/>
      <w:bookmarkEnd w:id="317"/>
      <w:bookmarkEnd w:id="318"/>
      <w:bookmarkEnd w:id="319"/>
      <w:bookmarkEnd w:id="320"/>
      <w:bookmarkEnd w:id="321"/>
      <w:bookmarkEnd w:id="322"/>
      <w:bookmarkEnd w:id="323"/>
      <w:bookmarkEnd w:id="324"/>
    </w:p>
    <w:p w14:paraId="6590A49A">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3.3.1 </w:t>
      </w:r>
      <w:r>
        <w:rPr>
          <w:rFonts w:hint="eastAsia" w:ascii="宋体" w:hAnsi="宋体" w:cs="宋体"/>
          <w:color w:val="auto"/>
          <w:sz w:val="24"/>
          <w:szCs w:val="24"/>
          <w:highlight w:val="none"/>
        </w:rPr>
        <w:t>除投标人须知前附表另有规定外，投标有效期为90天。</w:t>
      </w:r>
    </w:p>
    <w:p w14:paraId="1C784F6B">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3.3.2 </w:t>
      </w:r>
      <w:r>
        <w:rPr>
          <w:rFonts w:hint="eastAsia" w:ascii="宋体" w:hAnsi="宋体" w:cs="宋体"/>
          <w:color w:val="auto"/>
          <w:sz w:val="24"/>
          <w:szCs w:val="24"/>
          <w:highlight w:val="none"/>
        </w:rPr>
        <w:t>在投标有效期内，投标人撤销投标文件的，应承担招标文件和法律规定的责任。</w:t>
      </w:r>
    </w:p>
    <w:p w14:paraId="097B9AC7">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3.3.3 </w:t>
      </w:r>
      <w:r>
        <w:rPr>
          <w:rFonts w:hint="eastAsia" w:ascii="宋体" w:hAnsi="宋体" w:cs="宋体"/>
          <w:color w:val="auto"/>
          <w:sz w:val="24"/>
          <w:szCs w:val="24"/>
          <w:highlight w:val="none"/>
        </w:rPr>
        <w:t>出现特殊情况需要延长投标有效期的，招标人以书面形式通知所有投标人延长投标有效期。投标人应予以书面答复，同意延长的，</w:t>
      </w:r>
      <w:r>
        <w:rPr>
          <w:rFonts w:hint="eastAsia" w:ascii="宋体" w:hAnsi="宋体" w:cs="宋体"/>
          <w:strike/>
          <w:dstrike w:val="0"/>
          <w:color w:val="auto"/>
          <w:sz w:val="24"/>
          <w:szCs w:val="24"/>
          <w:highlight w:val="none"/>
        </w:rPr>
        <w:t>应相应延长其投标保证金的有效期，</w:t>
      </w:r>
      <w:r>
        <w:rPr>
          <w:rFonts w:hint="eastAsia" w:ascii="宋体" w:hAnsi="宋体" w:cs="宋体"/>
          <w:color w:val="auto"/>
          <w:sz w:val="24"/>
          <w:szCs w:val="24"/>
          <w:highlight w:val="none"/>
        </w:rPr>
        <w:t>但不得要求或被允许修改其投标文件；投标人拒绝延长的，其投标失效</w:t>
      </w:r>
      <w:r>
        <w:rPr>
          <w:rFonts w:hint="eastAsia" w:ascii="宋体" w:hAnsi="宋体" w:cs="宋体"/>
          <w:strike/>
          <w:dstrike w:val="0"/>
          <w:color w:val="auto"/>
          <w:sz w:val="24"/>
          <w:szCs w:val="24"/>
          <w:highlight w:val="none"/>
        </w:rPr>
        <w:t>，但投标人有权收回其投标保证金及以现金或者支票形式递交的投标保证金的银行同期存款利息</w:t>
      </w:r>
      <w:r>
        <w:rPr>
          <w:rFonts w:hint="eastAsia" w:ascii="宋体" w:hAnsi="宋体" w:cs="宋体"/>
          <w:strike w:val="0"/>
          <w:dstrike w:val="0"/>
          <w:color w:val="auto"/>
          <w:sz w:val="24"/>
          <w:szCs w:val="24"/>
          <w:highlight w:val="none"/>
        </w:rPr>
        <w:t>。</w:t>
      </w:r>
    </w:p>
    <w:p w14:paraId="5293AE1A">
      <w:pPr>
        <w:pStyle w:val="5"/>
        <w:spacing w:line="360" w:lineRule="auto"/>
        <w:ind w:firstLine="0" w:firstLineChars="0"/>
        <w:rPr>
          <w:rFonts w:ascii="宋体" w:hAnsi="宋体" w:eastAsia="宋体" w:cs="宋体"/>
          <w:color w:val="auto"/>
          <w:szCs w:val="24"/>
          <w:highlight w:val="none"/>
        </w:rPr>
      </w:pPr>
      <w:bookmarkStart w:id="325" w:name="_Toc311"/>
      <w:bookmarkStart w:id="326" w:name="_Toc27738"/>
      <w:bookmarkStart w:id="327" w:name="_Toc26401"/>
      <w:bookmarkStart w:id="328" w:name="_Toc12714"/>
      <w:bookmarkStart w:id="329" w:name="_Toc16740"/>
      <w:bookmarkStart w:id="330" w:name="_Toc29543"/>
      <w:bookmarkStart w:id="331" w:name="_Toc30597"/>
      <w:bookmarkStart w:id="332" w:name="_Toc6274"/>
      <w:bookmarkStart w:id="333" w:name="_Toc492300586"/>
      <w:bookmarkStart w:id="334" w:name="_Toc5522"/>
      <w:bookmarkStart w:id="335" w:name="_Toc14072"/>
      <w:r>
        <w:rPr>
          <w:rFonts w:ascii="宋体" w:hAnsi="宋体" w:eastAsia="宋体" w:cs="宋体"/>
          <w:color w:val="auto"/>
          <w:szCs w:val="24"/>
          <w:highlight w:val="none"/>
        </w:rPr>
        <w:t xml:space="preserve">3.4 </w:t>
      </w:r>
      <w:r>
        <w:rPr>
          <w:rFonts w:hint="eastAsia" w:ascii="宋体" w:hAnsi="宋体" w:eastAsia="宋体" w:cs="宋体"/>
          <w:color w:val="auto"/>
          <w:szCs w:val="24"/>
          <w:highlight w:val="none"/>
        </w:rPr>
        <w:t>投标保证金</w:t>
      </w:r>
      <w:bookmarkEnd w:id="325"/>
      <w:bookmarkEnd w:id="326"/>
      <w:bookmarkEnd w:id="327"/>
      <w:bookmarkEnd w:id="328"/>
      <w:bookmarkEnd w:id="329"/>
      <w:bookmarkEnd w:id="330"/>
      <w:bookmarkEnd w:id="331"/>
      <w:bookmarkEnd w:id="332"/>
      <w:bookmarkEnd w:id="333"/>
      <w:bookmarkEnd w:id="334"/>
      <w:bookmarkEnd w:id="335"/>
      <w:r>
        <w:rPr>
          <w:rFonts w:hint="eastAsia" w:ascii="宋体" w:hAnsi="宋体" w:eastAsia="宋体" w:cs="宋体"/>
          <w:color w:val="auto"/>
          <w:szCs w:val="24"/>
          <w:highlight w:val="none"/>
          <w:u w:val="single"/>
          <w:lang w:eastAsia="zh-CN"/>
        </w:rPr>
        <w:t>（</w:t>
      </w:r>
      <w:r>
        <w:rPr>
          <w:rFonts w:hint="eastAsia" w:ascii="宋体" w:hAnsi="宋体" w:eastAsia="宋体" w:cs="宋体"/>
          <w:color w:val="auto"/>
          <w:szCs w:val="24"/>
          <w:highlight w:val="none"/>
          <w:u w:val="single"/>
          <w:lang w:val="en-US" w:eastAsia="zh-CN"/>
        </w:rPr>
        <w:t>本项目不要求递交投标保证金</w:t>
      </w:r>
      <w:r>
        <w:rPr>
          <w:rFonts w:hint="eastAsia" w:ascii="宋体" w:hAnsi="宋体" w:eastAsia="宋体" w:cs="宋体"/>
          <w:color w:val="auto"/>
          <w:szCs w:val="24"/>
          <w:highlight w:val="none"/>
          <w:u w:val="single"/>
          <w:lang w:eastAsia="zh-CN"/>
        </w:rPr>
        <w:t>）</w:t>
      </w:r>
    </w:p>
    <w:p w14:paraId="5E5C913B">
      <w:pPr>
        <w:spacing w:line="360" w:lineRule="auto"/>
        <w:ind w:firstLine="480" w:firstLineChars="200"/>
        <w:rPr>
          <w:rFonts w:ascii="宋体" w:hAnsi="宋体" w:cs="宋体"/>
          <w:strike/>
          <w:dstrike w:val="0"/>
          <w:color w:val="auto"/>
          <w:sz w:val="24"/>
          <w:szCs w:val="24"/>
          <w:highlight w:val="none"/>
        </w:rPr>
      </w:pPr>
      <w:r>
        <w:rPr>
          <w:rFonts w:ascii="宋体" w:hAnsi="宋体" w:cs="宋体"/>
          <w:strike/>
          <w:dstrike w:val="0"/>
          <w:color w:val="auto"/>
          <w:sz w:val="24"/>
          <w:szCs w:val="24"/>
          <w:highlight w:val="none"/>
        </w:rPr>
        <w:t xml:space="preserve">3.4.1 </w:t>
      </w:r>
      <w:r>
        <w:rPr>
          <w:rFonts w:hint="eastAsia" w:ascii="宋体" w:hAnsi="宋体" w:cs="宋体"/>
          <w:strike/>
          <w:dstrike w:val="0"/>
          <w:color w:val="auto"/>
          <w:sz w:val="24"/>
          <w:szCs w:val="24"/>
          <w:highlight w:val="none"/>
        </w:rPr>
        <w:t>投标人在递交投标文件的同时，应按投标人须知前附表规定的金额</w:t>
      </w:r>
      <w:bookmarkStart w:id="336" w:name="_Toc369531532"/>
      <w:bookmarkStart w:id="337" w:name="_Toc361508601"/>
      <w:bookmarkStart w:id="338" w:name="_Toc247513969"/>
      <w:bookmarkStart w:id="339" w:name="_Toc352691489"/>
      <w:bookmarkStart w:id="340" w:name="_Toc152042321"/>
      <w:bookmarkStart w:id="341" w:name="_Toc247527570"/>
      <w:bookmarkStart w:id="342" w:name="_Toc144974513"/>
      <w:bookmarkStart w:id="343" w:name="_Toc152045545"/>
      <w:bookmarkStart w:id="344" w:name="_Toc300834966"/>
      <w:bookmarkStart w:id="345" w:name="_Toc384308226"/>
      <w:bookmarkStart w:id="346" w:name="_Toc4592"/>
      <w:r>
        <w:rPr>
          <w:rFonts w:hint="eastAsia" w:ascii="宋体" w:hAnsi="宋体" w:cs="宋体"/>
          <w:strike/>
          <w:dstrike w:val="0"/>
          <w:color w:val="auto"/>
          <w:sz w:val="24"/>
          <w:szCs w:val="24"/>
          <w:highlight w:val="none"/>
        </w:rPr>
        <w:t>、形式和第六章“投标文</w:t>
      </w:r>
      <w:bookmarkEnd w:id="336"/>
      <w:bookmarkEnd w:id="337"/>
      <w:bookmarkEnd w:id="338"/>
      <w:bookmarkEnd w:id="339"/>
      <w:bookmarkEnd w:id="340"/>
      <w:bookmarkEnd w:id="341"/>
      <w:bookmarkEnd w:id="342"/>
      <w:bookmarkEnd w:id="343"/>
      <w:bookmarkEnd w:id="344"/>
      <w:bookmarkEnd w:id="345"/>
      <w:bookmarkEnd w:id="346"/>
      <w:r>
        <w:rPr>
          <w:rFonts w:hint="eastAsia" w:ascii="宋体" w:hAnsi="宋体" w:cs="宋体"/>
          <w:strike/>
          <w:dstrike w:val="0"/>
          <w:color w:val="auto"/>
          <w:sz w:val="24"/>
          <w:szCs w:val="24"/>
          <w:highlight w:val="none"/>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60F6598A">
      <w:pPr>
        <w:spacing w:line="360" w:lineRule="auto"/>
        <w:ind w:firstLine="480" w:firstLineChars="200"/>
        <w:rPr>
          <w:rFonts w:ascii="宋体" w:hAnsi="宋体" w:cs="宋体"/>
          <w:strike/>
          <w:dstrike w:val="0"/>
          <w:color w:val="auto"/>
          <w:sz w:val="24"/>
          <w:szCs w:val="24"/>
          <w:highlight w:val="none"/>
        </w:rPr>
      </w:pPr>
      <w:r>
        <w:rPr>
          <w:rFonts w:ascii="宋体" w:hAnsi="宋体" w:cs="宋体"/>
          <w:strike/>
          <w:dstrike w:val="0"/>
          <w:color w:val="auto"/>
          <w:sz w:val="24"/>
          <w:szCs w:val="24"/>
          <w:highlight w:val="none"/>
        </w:rPr>
        <w:t xml:space="preserve">3.4.2 </w:t>
      </w:r>
      <w:r>
        <w:rPr>
          <w:rFonts w:hint="eastAsia" w:ascii="宋体" w:hAnsi="宋体" w:cs="宋体"/>
          <w:strike/>
          <w:dstrike w:val="0"/>
          <w:color w:val="auto"/>
          <w:sz w:val="24"/>
          <w:szCs w:val="24"/>
          <w:highlight w:val="none"/>
        </w:rPr>
        <w:t>投标人不按本章第3.4.1项</w:t>
      </w:r>
      <w:bookmarkStart w:id="347" w:name="_Toc29025"/>
      <w:bookmarkStart w:id="348" w:name="_Toc384308227"/>
      <w:bookmarkStart w:id="349" w:name="_Toc369531533"/>
      <w:bookmarkStart w:id="350" w:name="_Toc352691490"/>
      <w:bookmarkStart w:id="351" w:name="_Toc361508602"/>
      <w:r>
        <w:rPr>
          <w:rFonts w:hint="eastAsia" w:ascii="宋体" w:hAnsi="宋体" w:cs="宋体"/>
          <w:strike/>
          <w:dstrike w:val="0"/>
          <w:color w:val="auto"/>
          <w:sz w:val="24"/>
          <w:szCs w:val="24"/>
          <w:highlight w:val="none"/>
        </w:rPr>
        <w:t>要求提交投标保证金的，</w:t>
      </w:r>
      <w:bookmarkEnd w:id="347"/>
      <w:bookmarkEnd w:id="348"/>
      <w:bookmarkEnd w:id="349"/>
      <w:bookmarkEnd w:id="350"/>
      <w:bookmarkEnd w:id="351"/>
      <w:r>
        <w:rPr>
          <w:rFonts w:hint="eastAsia" w:ascii="宋体" w:hAnsi="宋体" w:cs="宋体"/>
          <w:strike/>
          <w:dstrike w:val="0"/>
          <w:color w:val="auto"/>
          <w:sz w:val="24"/>
          <w:szCs w:val="24"/>
          <w:highlight w:val="none"/>
        </w:rPr>
        <w:t>评标委员会将否决其投标。</w:t>
      </w:r>
    </w:p>
    <w:p w14:paraId="3EF1C2A0">
      <w:pPr>
        <w:spacing w:line="360" w:lineRule="auto"/>
        <w:ind w:firstLine="480" w:firstLineChars="200"/>
        <w:rPr>
          <w:rFonts w:ascii="宋体" w:hAnsi="宋体" w:cs="宋体"/>
          <w:strike/>
          <w:dstrike w:val="0"/>
          <w:color w:val="auto"/>
          <w:sz w:val="24"/>
          <w:szCs w:val="24"/>
          <w:highlight w:val="none"/>
        </w:rPr>
      </w:pPr>
      <w:r>
        <w:rPr>
          <w:rFonts w:ascii="宋体" w:hAnsi="宋体" w:cs="宋体"/>
          <w:strike/>
          <w:dstrike w:val="0"/>
          <w:color w:val="auto"/>
          <w:sz w:val="24"/>
          <w:szCs w:val="24"/>
          <w:highlight w:val="none"/>
        </w:rPr>
        <w:t xml:space="preserve">3.4.3 </w:t>
      </w:r>
      <w:r>
        <w:rPr>
          <w:rFonts w:hint="eastAsia" w:ascii="宋体" w:hAnsi="宋体" w:cs="宋体"/>
          <w:strike/>
          <w:dstrike w:val="0"/>
          <w:color w:val="auto"/>
          <w:sz w:val="24"/>
          <w:szCs w:val="24"/>
          <w:highlight w:val="none"/>
        </w:rPr>
        <w:t>招标人最迟将在与中标人签订合同后5日内，</w:t>
      </w:r>
      <w:r>
        <w:rPr>
          <w:rFonts w:hint="eastAsia" w:ascii="宋体" w:hAnsi="宋体" w:cs="宋体"/>
          <w:strike/>
          <w:dstrike w:val="0"/>
          <w:color w:val="auto"/>
          <w:sz w:val="24"/>
          <w:szCs w:val="24"/>
          <w:highlight w:val="none"/>
          <w:lang w:val="en-US" w:eastAsia="zh-CN"/>
        </w:rPr>
        <w:t>由广州交易集团有限公司（广州公共资源交易中心）</w:t>
      </w:r>
      <w:r>
        <w:rPr>
          <w:rFonts w:hint="eastAsia" w:ascii="宋体" w:hAnsi="宋体" w:cs="宋体"/>
          <w:strike/>
          <w:dstrike w:val="0"/>
          <w:color w:val="auto"/>
          <w:sz w:val="24"/>
          <w:szCs w:val="24"/>
          <w:highlight w:val="none"/>
        </w:rPr>
        <w:t>向未中标的投标人和中标人退还投标保证金</w:t>
      </w:r>
      <w:r>
        <w:rPr>
          <w:rFonts w:hint="eastAsia" w:ascii="宋体" w:hAnsi="宋体" w:cs="宋体"/>
          <w:strike/>
          <w:dstrike w:val="0"/>
          <w:color w:val="auto"/>
          <w:sz w:val="24"/>
          <w:szCs w:val="24"/>
          <w:highlight w:val="none"/>
          <w:lang w:eastAsia="zh-CN"/>
        </w:rPr>
        <w:t>，</w:t>
      </w:r>
      <w:r>
        <w:rPr>
          <w:rFonts w:hint="eastAsia" w:ascii="宋体" w:hAnsi="宋体" w:cs="宋体"/>
          <w:strike/>
          <w:dstrike w:val="0"/>
          <w:color w:val="auto"/>
          <w:sz w:val="24"/>
          <w:szCs w:val="24"/>
          <w:highlight w:val="none"/>
        </w:rPr>
        <w:t>投标保证金以现金或者支票形式递交的，还应退还银行同期存款利息。</w:t>
      </w:r>
    </w:p>
    <w:p w14:paraId="3891070D">
      <w:pPr>
        <w:spacing w:line="360" w:lineRule="auto"/>
        <w:ind w:firstLine="480" w:firstLineChars="200"/>
        <w:rPr>
          <w:rFonts w:ascii="宋体" w:hAnsi="宋体" w:cs="宋体"/>
          <w:strike/>
          <w:dstrike w:val="0"/>
          <w:color w:val="auto"/>
          <w:sz w:val="24"/>
          <w:szCs w:val="24"/>
          <w:highlight w:val="none"/>
        </w:rPr>
      </w:pPr>
      <w:r>
        <w:rPr>
          <w:rFonts w:ascii="宋体" w:hAnsi="宋体" w:cs="宋体"/>
          <w:strike/>
          <w:dstrike w:val="0"/>
          <w:color w:val="auto"/>
          <w:sz w:val="24"/>
          <w:szCs w:val="24"/>
          <w:highlight w:val="none"/>
        </w:rPr>
        <w:t xml:space="preserve">3.4.4 </w:t>
      </w:r>
      <w:r>
        <w:rPr>
          <w:rFonts w:hint="eastAsia" w:ascii="宋体" w:hAnsi="宋体" w:cs="宋体"/>
          <w:strike/>
          <w:dstrike w:val="0"/>
          <w:color w:val="auto"/>
          <w:sz w:val="24"/>
          <w:szCs w:val="24"/>
          <w:highlight w:val="none"/>
        </w:rPr>
        <w:t>有下列情形之一的，投标保证金将不予退还：</w:t>
      </w:r>
    </w:p>
    <w:p w14:paraId="7132E9C3">
      <w:pPr>
        <w:spacing w:line="360" w:lineRule="auto"/>
        <w:ind w:firstLine="480" w:firstLineChars="200"/>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（1）投标人在投标有效期内撤销投标文件；</w:t>
      </w:r>
    </w:p>
    <w:p w14:paraId="6A5457D5">
      <w:pPr>
        <w:spacing w:line="360" w:lineRule="auto"/>
        <w:ind w:firstLine="480" w:firstLineChars="200"/>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（2）中标人在收到中标通知书后，无正当理由不与招标人订立合同，在签订合同时向招标人提出附加条件，或者不按照招标文件要求提交履约保证金；</w:t>
      </w:r>
    </w:p>
    <w:p w14:paraId="006FF77D">
      <w:pPr>
        <w:spacing w:line="360" w:lineRule="auto"/>
        <w:ind w:firstLine="480" w:firstLineChars="200"/>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（3）发生投标人须知前附表规定的其他可以不予退还投标保证金的情形。</w:t>
      </w:r>
    </w:p>
    <w:p w14:paraId="6A2C5E2D">
      <w:pPr>
        <w:pStyle w:val="5"/>
        <w:spacing w:line="360" w:lineRule="auto"/>
        <w:ind w:firstLine="0" w:firstLineChars="0"/>
        <w:rPr>
          <w:rFonts w:ascii="宋体" w:hAnsi="宋体" w:eastAsia="宋体" w:cs="宋体"/>
          <w:color w:val="auto"/>
          <w:szCs w:val="24"/>
          <w:highlight w:val="none"/>
        </w:rPr>
      </w:pPr>
      <w:bookmarkStart w:id="352" w:name="_Toc15036"/>
      <w:bookmarkStart w:id="353" w:name="_Toc5941"/>
      <w:bookmarkStart w:id="354" w:name="_Toc11489"/>
      <w:bookmarkStart w:id="355" w:name="_Toc278"/>
      <w:bookmarkStart w:id="356" w:name="_Toc19882"/>
      <w:bookmarkStart w:id="357" w:name="_Toc24524"/>
      <w:bookmarkStart w:id="358" w:name="_Toc492300588"/>
      <w:bookmarkStart w:id="359" w:name="_Toc29907"/>
      <w:bookmarkStart w:id="360" w:name="_Toc7646"/>
      <w:bookmarkStart w:id="361" w:name="_Toc5639"/>
      <w:bookmarkStart w:id="362" w:name="_Toc30937"/>
      <w:bookmarkStart w:id="363" w:name="_Hlk136177837"/>
      <w:r>
        <w:rPr>
          <w:rFonts w:ascii="宋体" w:hAnsi="宋体" w:eastAsia="宋体" w:cs="宋体"/>
          <w:color w:val="auto"/>
          <w:szCs w:val="24"/>
          <w:highlight w:val="none"/>
        </w:rPr>
        <w:t xml:space="preserve">3.5 </w:t>
      </w:r>
      <w:r>
        <w:rPr>
          <w:rFonts w:hint="eastAsia" w:ascii="宋体" w:hAnsi="宋体" w:eastAsia="宋体" w:cs="宋体"/>
          <w:color w:val="auto"/>
          <w:szCs w:val="24"/>
          <w:highlight w:val="none"/>
        </w:rPr>
        <w:t>资格审查资料（适用于未进行资格预审的）</w:t>
      </w:r>
      <w:bookmarkEnd w:id="352"/>
      <w:bookmarkEnd w:id="353"/>
      <w:bookmarkEnd w:id="354"/>
      <w:bookmarkEnd w:id="355"/>
      <w:bookmarkEnd w:id="356"/>
      <w:bookmarkEnd w:id="357"/>
      <w:bookmarkEnd w:id="358"/>
      <w:bookmarkEnd w:id="359"/>
      <w:bookmarkEnd w:id="360"/>
      <w:bookmarkEnd w:id="361"/>
      <w:bookmarkEnd w:id="362"/>
    </w:p>
    <w:bookmarkEnd w:id="363"/>
    <w:p w14:paraId="79D52BFC">
      <w:pPr>
        <w:spacing w:line="500" w:lineRule="exact"/>
        <w:ind w:firstLine="480" w:firstLineChars="200"/>
        <w:rPr>
          <w:rFonts w:hint="eastAsia" w:ascii="宋体" w:hAnsi="宋体" w:cs="宋体"/>
          <w:color w:val="auto"/>
          <w:sz w:val="24"/>
          <w:szCs w:val="24"/>
          <w:highlight w:val="none"/>
          <w:u w:val="single"/>
        </w:rPr>
      </w:pPr>
      <w:bookmarkStart w:id="364" w:name="_Toc19100"/>
      <w:bookmarkStart w:id="365" w:name="_Toc22361"/>
      <w:bookmarkStart w:id="366" w:name="_Toc492300589"/>
      <w:bookmarkStart w:id="367" w:name="_Toc13900"/>
      <w:bookmarkStart w:id="368" w:name="_Toc14983"/>
      <w:bookmarkStart w:id="369" w:name="_Toc21646"/>
      <w:bookmarkStart w:id="370" w:name="_Toc24690"/>
      <w:bookmarkStart w:id="371" w:name="_Toc21637"/>
      <w:bookmarkStart w:id="372" w:name="_Toc26607"/>
      <w:bookmarkStart w:id="373" w:name="_Toc8890"/>
      <w:bookmarkStart w:id="374" w:name="_Toc15775"/>
      <w:r>
        <w:rPr>
          <w:rFonts w:hint="eastAsia" w:ascii="宋体" w:hAnsi="宋体" w:cs="宋体"/>
          <w:color w:val="auto"/>
          <w:sz w:val="24"/>
          <w:szCs w:val="24"/>
          <w:highlight w:val="none"/>
          <w:u w:val="single"/>
        </w:rPr>
        <w:t>3.</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1投标人参加投标的意思表达清楚，法定代表人证明书及投标人代表被授权有效。</w:t>
      </w:r>
    </w:p>
    <w:p w14:paraId="2B991FC0">
      <w:pPr>
        <w:spacing w:line="5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2投标人具有独立法人资格，持有事业单位登记管理部门核发的事业单位法人证书或工商行政</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市场监督</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管理部门核发的企业法人营业执照，按国家法律经营。</w:t>
      </w:r>
    </w:p>
    <w:p w14:paraId="651C7CC9">
      <w:pPr>
        <w:spacing w:line="5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w:t>
      </w:r>
      <w:r>
        <w:rPr>
          <w:rFonts w:hint="eastAsia" w:ascii="宋体" w:hAnsi="宋体" w:cs="宋体"/>
          <w:color w:val="auto"/>
          <w:sz w:val="24"/>
          <w:szCs w:val="24"/>
          <w:highlight w:val="none"/>
          <w:u w:val="single"/>
          <w:lang w:val="en-US" w:eastAsia="zh-CN"/>
        </w:rPr>
        <w:t>5.3投标人须具备有效期内的质量技术监督部门颁发的计量认证（CMA）资质认定证书。</w:t>
      </w:r>
    </w:p>
    <w:p w14:paraId="32F9C93C">
      <w:pPr>
        <w:spacing w:line="5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3.5.4</w:t>
      </w:r>
      <w:r>
        <w:rPr>
          <w:rFonts w:hint="eastAsia" w:ascii="宋体" w:hAnsi="宋体" w:cs="宋体"/>
          <w:color w:val="auto"/>
          <w:sz w:val="24"/>
          <w:szCs w:val="24"/>
          <w:highlight w:val="none"/>
          <w:u w:val="single"/>
        </w:rPr>
        <w:t>投标人未出现以下情形：与其它投标人的单位负责人为同一人或者存在控股、管理关系的（按投标人提供的《投标人声明》第</w:t>
      </w:r>
      <w:r>
        <w:rPr>
          <w:rFonts w:hint="eastAsia" w:ascii="宋体" w:hAnsi="宋体" w:cs="宋体"/>
          <w:color w:val="auto"/>
          <w:sz w:val="24"/>
          <w:szCs w:val="24"/>
          <w:highlight w:val="none"/>
          <w:u w:val="single"/>
          <w:lang w:val="en-US" w:eastAsia="zh-CN"/>
        </w:rPr>
        <w:t>六</w:t>
      </w:r>
      <w:r>
        <w:rPr>
          <w:rFonts w:hint="eastAsia" w:ascii="宋体" w:hAnsi="宋体" w:cs="宋体"/>
          <w:color w:val="auto"/>
          <w:sz w:val="24"/>
          <w:szCs w:val="24"/>
          <w:highlight w:val="none"/>
          <w:u w:val="single"/>
        </w:rPr>
        <w:t>条内容进行评审）。如不同投标申请人出现单位负责人为同一人或者存在控股、管理关系的情形，则相关投标均无效。</w:t>
      </w:r>
    </w:p>
    <w:p w14:paraId="69E46745">
      <w:pPr>
        <w:spacing w:line="500" w:lineRule="exact"/>
        <w:ind w:firstLine="480" w:firstLineChars="200"/>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rPr>
        <w:t>3.</w:t>
      </w:r>
      <w:r>
        <w:rPr>
          <w:rFonts w:hint="eastAsia" w:ascii="宋体" w:hAnsi="宋体" w:cs="宋体"/>
          <w:color w:val="auto"/>
          <w:sz w:val="24"/>
          <w:szCs w:val="24"/>
          <w:highlight w:val="none"/>
          <w:u w:val="single"/>
          <w:lang w:val="en-US" w:eastAsia="zh-CN"/>
        </w:rPr>
        <w:t>5.5资格审查前，投标人须在广州公共资源交易中心办理企业信息登记，企业信息取自投标截止时间投标人在广州公共资源交易中心企业库内登记的信息。</w:t>
      </w:r>
    </w:p>
    <w:p w14:paraId="0EA31CF7">
      <w:pPr>
        <w:spacing w:line="5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w:t>
      </w:r>
      <w:r>
        <w:rPr>
          <w:rFonts w:hint="eastAsia" w:ascii="宋体" w:hAnsi="宋体" w:cs="宋体"/>
          <w:color w:val="auto"/>
          <w:sz w:val="24"/>
          <w:szCs w:val="24"/>
          <w:highlight w:val="none"/>
          <w:u w:val="single"/>
          <w:lang w:val="en-US" w:eastAsia="zh-CN"/>
        </w:rPr>
        <w:t>5.6</w:t>
      </w:r>
      <w:r>
        <w:rPr>
          <w:rFonts w:hint="eastAsia" w:ascii="宋体" w:hAnsi="宋体" w:cs="宋体"/>
          <w:color w:val="auto"/>
          <w:sz w:val="24"/>
          <w:szCs w:val="24"/>
          <w:highlight w:val="none"/>
          <w:u w:val="single"/>
        </w:rPr>
        <w:t>关于联合体投标：本</w:t>
      </w:r>
      <w:r>
        <w:rPr>
          <w:rFonts w:hint="eastAsia" w:ascii="宋体" w:hAnsi="宋体" w:cs="宋体"/>
          <w:color w:val="auto"/>
          <w:sz w:val="24"/>
          <w:szCs w:val="24"/>
          <w:highlight w:val="none"/>
          <w:u w:val="single"/>
          <w:lang w:val="en-US"/>
        </w:rPr>
        <w:t>项目</w:t>
      </w:r>
      <w:r>
        <w:rPr>
          <w:rFonts w:hint="eastAsia" w:ascii="宋体" w:hAnsi="宋体" w:cs="宋体"/>
          <w:b/>
          <w:bCs/>
          <w:color w:val="auto"/>
          <w:sz w:val="24"/>
          <w:szCs w:val="24"/>
          <w:highlight w:val="none"/>
          <w:u w:val="single"/>
        </w:rPr>
        <w:t>接受</w:t>
      </w:r>
      <w:r>
        <w:rPr>
          <w:rFonts w:hint="eastAsia" w:ascii="宋体" w:hAnsi="宋体" w:cs="宋体"/>
          <w:color w:val="auto"/>
          <w:sz w:val="24"/>
          <w:szCs w:val="24"/>
          <w:highlight w:val="none"/>
          <w:u w:val="single"/>
        </w:rPr>
        <w:t>联合体投标。</w:t>
      </w:r>
      <w:r>
        <w:rPr>
          <w:rFonts w:hint="eastAsia" w:ascii="宋体" w:hAnsi="宋体" w:cs="宋体"/>
          <w:color w:val="auto"/>
          <w:sz w:val="24"/>
          <w:szCs w:val="24"/>
          <w:highlight w:val="none"/>
          <w:u w:val="single"/>
          <w:lang w:val="en-US" w:eastAsia="zh-CN"/>
        </w:rPr>
        <w:t>联合体各方</w:t>
      </w:r>
      <w:r>
        <w:rPr>
          <w:rFonts w:hint="eastAsia" w:ascii="宋体" w:hAnsi="宋体" w:cs="宋体"/>
          <w:color w:val="auto"/>
          <w:sz w:val="24"/>
          <w:szCs w:val="24"/>
          <w:highlight w:val="none"/>
          <w:u w:val="single"/>
          <w:lang w:eastAsia="zh-CN"/>
        </w:rPr>
        <w:t>必须签定联合体协议书，</w:t>
      </w:r>
      <w:r>
        <w:rPr>
          <w:rFonts w:hint="eastAsia" w:ascii="宋体" w:hAnsi="宋体" w:cs="宋体"/>
          <w:color w:val="auto"/>
          <w:sz w:val="24"/>
          <w:szCs w:val="24"/>
          <w:highlight w:val="none"/>
          <w:u w:val="single"/>
          <w:lang w:val="en-US" w:eastAsia="zh-CN"/>
        </w:rPr>
        <w:t>明确牵头方和成员方。</w:t>
      </w:r>
      <w:r>
        <w:rPr>
          <w:rFonts w:hint="eastAsia" w:ascii="宋体" w:hAnsi="宋体" w:cs="宋体"/>
          <w:color w:val="auto"/>
          <w:sz w:val="24"/>
          <w:szCs w:val="24"/>
          <w:highlight w:val="none"/>
          <w:u w:val="single"/>
          <w:lang w:eastAsia="zh-CN"/>
        </w:rPr>
        <w:t>联合体各方</w:t>
      </w:r>
      <w:r>
        <w:rPr>
          <w:rFonts w:hint="eastAsia" w:ascii="宋体" w:hAnsi="宋体" w:cs="宋体"/>
          <w:color w:val="auto"/>
          <w:sz w:val="24"/>
          <w:szCs w:val="24"/>
          <w:highlight w:val="none"/>
          <w:u w:val="single"/>
          <w:lang w:val="en-US" w:eastAsia="zh-CN"/>
        </w:rPr>
        <w:t>均</w:t>
      </w:r>
      <w:r>
        <w:rPr>
          <w:rFonts w:hint="eastAsia" w:ascii="宋体" w:hAnsi="宋体" w:cs="宋体"/>
          <w:color w:val="auto"/>
          <w:sz w:val="24"/>
          <w:szCs w:val="24"/>
          <w:highlight w:val="none"/>
          <w:u w:val="single"/>
          <w:lang w:eastAsia="zh-CN"/>
        </w:rPr>
        <w:t>须满足</w:t>
      </w:r>
      <w:r>
        <w:rPr>
          <w:rFonts w:hint="eastAsia" w:ascii="宋体" w:hAnsi="宋体" w:cs="宋体"/>
          <w:color w:val="auto"/>
          <w:sz w:val="24"/>
          <w:szCs w:val="24"/>
          <w:highlight w:val="none"/>
          <w:u w:val="single"/>
          <w:lang w:val="en-US" w:eastAsia="zh-CN"/>
        </w:rPr>
        <w:t>本项目</w:t>
      </w:r>
      <w:r>
        <w:rPr>
          <w:rFonts w:hint="eastAsia" w:ascii="宋体" w:hAnsi="宋体" w:cs="宋体"/>
          <w:color w:val="auto"/>
          <w:sz w:val="24"/>
          <w:szCs w:val="24"/>
          <w:highlight w:val="none"/>
          <w:u w:val="single"/>
          <w:lang w:eastAsia="zh-CN"/>
        </w:rPr>
        <w:t>资质要求。拟任本</w:t>
      </w:r>
      <w:r>
        <w:rPr>
          <w:rFonts w:hint="eastAsia" w:ascii="宋体" w:hAnsi="宋体" w:cs="宋体"/>
          <w:color w:val="auto"/>
          <w:sz w:val="24"/>
          <w:szCs w:val="24"/>
          <w:highlight w:val="none"/>
          <w:u w:val="single"/>
          <w:lang w:val="en-US" w:eastAsia="zh-CN"/>
        </w:rPr>
        <w:t>项目的</w:t>
      </w:r>
      <w:r>
        <w:rPr>
          <w:rFonts w:hint="eastAsia" w:ascii="宋体" w:hAnsi="宋体" w:cs="宋体"/>
          <w:color w:val="auto"/>
          <w:sz w:val="24"/>
          <w:szCs w:val="24"/>
          <w:highlight w:val="none"/>
          <w:u w:val="single"/>
          <w:lang w:eastAsia="zh-CN"/>
        </w:rPr>
        <w:t>项目负责人应为联合体</w:t>
      </w:r>
      <w:r>
        <w:rPr>
          <w:rFonts w:hint="eastAsia" w:ascii="宋体" w:hAnsi="宋体" w:cs="宋体"/>
          <w:color w:val="auto"/>
          <w:sz w:val="24"/>
          <w:szCs w:val="24"/>
          <w:highlight w:val="none"/>
          <w:u w:val="single"/>
          <w:lang w:val="en-US" w:eastAsia="zh-CN"/>
        </w:rPr>
        <w:t>牵头方</w:t>
      </w:r>
      <w:r>
        <w:rPr>
          <w:rFonts w:hint="eastAsia" w:ascii="宋体" w:hAnsi="宋体" w:cs="宋体"/>
          <w:color w:val="auto"/>
          <w:sz w:val="24"/>
          <w:szCs w:val="24"/>
          <w:highlight w:val="none"/>
          <w:u w:val="single"/>
          <w:lang w:eastAsia="zh-CN"/>
        </w:rPr>
        <w:t>正式员工。</w:t>
      </w:r>
    </w:p>
    <w:p w14:paraId="1F156C84">
      <w:pPr>
        <w:pStyle w:val="5"/>
        <w:spacing w:line="360" w:lineRule="auto"/>
        <w:ind w:firstLine="0" w:firstLineChars="0"/>
        <w:rPr>
          <w:rFonts w:ascii="宋体" w:hAnsi="宋体" w:eastAsia="宋体" w:cs="宋体"/>
          <w:color w:val="auto"/>
          <w:szCs w:val="24"/>
          <w:highlight w:val="none"/>
        </w:rPr>
      </w:pPr>
      <w:r>
        <w:rPr>
          <w:rFonts w:ascii="宋体" w:hAnsi="宋体" w:eastAsia="宋体" w:cs="宋体"/>
          <w:color w:val="auto"/>
          <w:szCs w:val="24"/>
          <w:highlight w:val="none"/>
        </w:rPr>
        <w:t xml:space="preserve">3.6 </w:t>
      </w:r>
      <w:r>
        <w:rPr>
          <w:rFonts w:hint="eastAsia" w:ascii="宋体" w:hAnsi="宋体" w:eastAsia="宋体" w:cs="宋体"/>
          <w:color w:val="auto"/>
          <w:szCs w:val="24"/>
          <w:highlight w:val="none"/>
        </w:rPr>
        <w:t>备选投标方案</w:t>
      </w:r>
      <w:bookmarkEnd w:id="364"/>
      <w:bookmarkEnd w:id="365"/>
      <w:bookmarkEnd w:id="366"/>
      <w:bookmarkEnd w:id="367"/>
      <w:bookmarkEnd w:id="368"/>
      <w:bookmarkEnd w:id="369"/>
      <w:bookmarkEnd w:id="370"/>
      <w:bookmarkEnd w:id="371"/>
      <w:bookmarkEnd w:id="372"/>
      <w:bookmarkEnd w:id="373"/>
      <w:bookmarkEnd w:id="374"/>
    </w:p>
    <w:p w14:paraId="248F7E61">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3.6.1 </w:t>
      </w:r>
      <w:r>
        <w:rPr>
          <w:rFonts w:hint="eastAsia" w:ascii="宋体" w:hAnsi="宋体" w:cs="宋体"/>
          <w:color w:val="auto"/>
          <w:sz w:val="24"/>
          <w:szCs w:val="24"/>
          <w:highlight w:val="none"/>
        </w:rPr>
        <w:t>除投标人须知前附表规定允许外，投标人不得递交备选投标方案，否则其投标将被否决。</w:t>
      </w:r>
    </w:p>
    <w:p w14:paraId="363C07E9">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3.6.2 </w:t>
      </w:r>
      <w:r>
        <w:rPr>
          <w:rFonts w:hint="eastAsia" w:ascii="宋体" w:hAnsi="宋体" w:cs="宋体"/>
          <w:color w:val="auto"/>
          <w:sz w:val="24"/>
          <w:szCs w:val="24"/>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65D77290">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3.6.3 </w:t>
      </w:r>
      <w:r>
        <w:rPr>
          <w:rFonts w:hint="eastAsia" w:ascii="宋体" w:hAnsi="宋体" w:cs="宋体"/>
          <w:color w:val="auto"/>
          <w:sz w:val="24"/>
          <w:szCs w:val="24"/>
          <w:highlight w:val="none"/>
        </w:rPr>
        <w:t>投标人提供两个或两个以上投标报价，或者在投标文件中提供一个报价，但同时提供两个或两个以上</w:t>
      </w:r>
      <w:bookmarkStart w:id="375" w:name="_Toc361508607"/>
      <w:bookmarkStart w:id="376" w:name="_Toc300834971"/>
      <w:bookmarkStart w:id="377" w:name="_Toc152042326"/>
      <w:bookmarkStart w:id="378" w:name="_Toc144974518"/>
      <w:bookmarkStart w:id="379" w:name="_Toc369531538"/>
      <w:bookmarkStart w:id="380" w:name="_Toc247513974"/>
      <w:bookmarkStart w:id="381" w:name="_Toc384308232"/>
      <w:bookmarkStart w:id="382" w:name="_Toc352691495"/>
      <w:bookmarkStart w:id="383" w:name="_Toc29902"/>
      <w:bookmarkStart w:id="384" w:name="_Toc247527575"/>
      <w:bookmarkStart w:id="385" w:name="_Toc152045550"/>
      <w:r>
        <w:rPr>
          <w:rFonts w:hint="eastAsia" w:ascii="宋体" w:hAnsi="宋体" w:cs="宋体"/>
          <w:color w:val="auto"/>
          <w:sz w:val="24"/>
          <w:szCs w:val="24"/>
          <w:highlight w:val="none"/>
          <w:lang w:val="en-US" w:eastAsia="zh-CN"/>
        </w:rPr>
        <w:t>技术服务</w:t>
      </w:r>
      <w:r>
        <w:rPr>
          <w:rFonts w:hint="eastAsia" w:ascii="宋体" w:hAnsi="宋体" w:cs="宋体"/>
          <w:color w:val="auto"/>
          <w:sz w:val="24"/>
          <w:szCs w:val="24"/>
          <w:highlight w:val="none"/>
        </w:rPr>
        <w:t>方案的</w:t>
      </w:r>
      <w:bookmarkEnd w:id="375"/>
      <w:bookmarkEnd w:id="376"/>
      <w:bookmarkEnd w:id="377"/>
      <w:bookmarkEnd w:id="378"/>
      <w:bookmarkEnd w:id="379"/>
      <w:bookmarkEnd w:id="380"/>
      <w:bookmarkEnd w:id="381"/>
      <w:bookmarkEnd w:id="382"/>
      <w:bookmarkEnd w:id="383"/>
      <w:bookmarkEnd w:id="384"/>
      <w:bookmarkEnd w:id="385"/>
      <w:r>
        <w:rPr>
          <w:rFonts w:hint="eastAsia" w:ascii="宋体" w:hAnsi="宋体" w:cs="宋体"/>
          <w:color w:val="auto"/>
          <w:sz w:val="24"/>
          <w:szCs w:val="24"/>
          <w:highlight w:val="none"/>
        </w:rPr>
        <w:t>，视为提供备选方案。</w:t>
      </w:r>
    </w:p>
    <w:p w14:paraId="4BF0C66E">
      <w:pPr>
        <w:pStyle w:val="5"/>
        <w:spacing w:line="360" w:lineRule="auto"/>
        <w:ind w:firstLine="0" w:firstLineChars="0"/>
        <w:rPr>
          <w:rFonts w:ascii="宋体" w:hAnsi="宋体" w:eastAsia="宋体" w:cs="宋体"/>
          <w:color w:val="auto"/>
          <w:szCs w:val="24"/>
          <w:highlight w:val="none"/>
        </w:rPr>
      </w:pPr>
      <w:bookmarkStart w:id="386" w:name="_Toc21879"/>
      <w:bookmarkStart w:id="387" w:name="_Toc18115"/>
      <w:bookmarkStart w:id="388" w:name="_Toc6531"/>
      <w:bookmarkStart w:id="389" w:name="_Toc5860"/>
      <w:bookmarkStart w:id="390" w:name="_Toc28209"/>
      <w:bookmarkStart w:id="391" w:name="_Toc6577"/>
      <w:bookmarkStart w:id="392" w:name="_Toc12491"/>
      <w:bookmarkStart w:id="393" w:name="_Toc492300590"/>
      <w:bookmarkStart w:id="394" w:name="_Toc18836"/>
      <w:bookmarkStart w:id="395" w:name="_Toc15838"/>
      <w:bookmarkStart w:id="396" w:name="_Toc19725"/>
      <w:r>
        <w:rPr>
          <w:rFonts w:ascii="宋体" w:hAnsi="宋体" w:eastAsia="宋体" w:cs="宋体"/>
          <w:color w:val="auto"/>
          <w:szCs w:val="24"/>
          <w:highlight w:val="none"/>
        </w:rPr>
        <w:t xml:space="preserve">3.7 </w:t>
      </w:r>
      <w:r>
        <w:rPr>
          <w:rFonts w:hint="eastAsia" w:ascii="宋体" w:hAnsi="宋体" w:eastAsia="宋体" w:cs="宋体"/>
          <w:color w:val="auto"/>
          <w:szCs w:val="24"/>
          <w:highlight w:val="none"/>
        </w:rPr>
        <w:t>投标文件的编制</w:t>
      </w:r>
      <w:bookmarkEnd w:id="386"/>
      <w:bookmarkEnd w:id="387"/>
      <w:bookmarkEnd w:id="388"/>
      <w:bookmarkEnd w:id="389"/>
      <w:bookmarkEnd w:id="390"/>
      <w:bookmarkEnd w:id="391"/>
      <w:bookmarkEnd w:id="392"/>
      <w:bookmarkEnd w:id="393"/>
      <w:bookmarkEnd w:id="394"/>
      <w:bookmarkEnd w:id="395"/>
      <w:bookmarkEnd w:id="396"/>
    </w:p>
    <w:p w14:paraId="6F0ABB82">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3.7.1 </w:t>
      </w:r>
      <w:r>
        <w:rPr>
          <w:rFonts w:hint="eastAsia" w:ascii="宋体" w:hAnsi="宋体" w:cs="宋体"/>
          <w:color w:val="auto"/>
          <w:sz w:val="24"/>
          <w:szCs w:val="24"/>
          <w:highlight w:val="none"/>
        </w:rPr>
        <w:t>投标文件应按第六章“投标文件格式”进行编写，如有必要，可以增加附页，作为投标文件的组成部分。其中，投标函附录在满足招标文件实质性要求的基础上，可以提出比招标文件要求更有利于招标人的承诺。</w:t>
      </w:r>
    </w:p>
    <w:p w14:paraId="7FCF06DD">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3.7.2 </w:t>
      </w:r>
      <w:r>
        <w:rPr>
          <w:rFonts w:hint="eastAsia" w:ascii="宋体" w:hAnsi="宋体" w:cs="宋体"/>
          <w:color w:val="auto"/>
          <w:sz w:val="24"/>
          <w:szCs w:val="24"/>
          <w:highlight w:val="none"/>
        </w:rPr>
        <w:t>投标文件应当对招标文件有关服务期限、投标有效期、委托人要求、招标范围等实质性内容作出响应。</w:t>
      </w:r>
    </w:p>
    <w:p w14:paraId="1F5BE2C3">
      <w:pPr>
        <w:spacing w:line="360" w:lineRule="auto"/>
        <w:ind w:firstLine="480" w:firstLineChars="200"/>
        <w:rPr>
          <w:rFonts w:ascii="宋体" w:hAnsi="宋体" w:cs="宋体"/>
          <w:strike/>
          <w:color w:val="auto"/>
          <w:sz w:val="24"/>
          <w:szCs w:val="24"/>
          <w:highlight w:val="none"/>
        </w:rPr>
      </w:pPr>
      <w:r>
        <w:rPr>
          <w:rFonts w:hint="eastAsia" w:ascii="宋体" w:hAnsi="宋体" w:cs="宋体"/>
          <w:strike/>
          <w:color w:val="auto"/>
          <w:sz w:val="24"/>
          <w:szCs w:val="24"/>
          <w:highlight w:val="non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70F704DC">
      <w:pPr>
        <w:spacing w:line="360" w:lineRule="auto"/>
        <w:ind w:firstLine="480" w:firstLineChars="200"/>
        <w:rPr>
          <w:rFonts w:ascii="宋体" w:hAnsi="宋体" w:cs="宋体"/>
          <w:strike/>
          <w:color w:val="auto"/>
          <w:sz w:val="24"/>
          <w:szCs w:val="24"/>
          <w:highlight w:val="none"/>
        </w:rPr>
      </w:pPr>
      <w:r>
        <w:rPr>
          <w:rFonts w:hint="eastAsia" w:ascii="宋体" w:hAnsi="宋体" w:cs="宋体"/>
          <w:strike/>
          <w:color w:val="auto"/>
          <w:sz w:val="24"/>
          <w:szCs w:val="24"/>
          <w:highlight w:val="none"/>
        </w:rPr>
        <w:t>（2）投标文件正本一份，副本份数见投标人须知前附表。正本和副本的封面</w:t>
      </w:r>
      <w:r>
        <w:rPr>
          <w:rStyle w:val="20"/>
          <w:rFonts w:hint="eastAsia" w:ascii="宋体" w:hAnsi="宋体" w:cs="宋体"/>
          <w:strike/>
          <w:color w:val="auto"/>
          <w:kern w:val="0"/>
          <w:sz w:val="24"/>
          <w:szCs w:val="24"/>
          <w:highlight w:val="none"/>
        </w:rPr>
        <w:t>右上角</w:t>
      </w:r>
      <w:r>
        <w:rPr>
          <w:rFonts w:hint="eastAsia" w:ascii="宋体" w:hAnsi="宋体" w:cs="宋体"/>
          <w:strike/>
          <w:color w:val="auto"/>
          <w:sz w:val="24"/>
          <w:szCs w:val="24"/>
          <w:highlight w:val="none"/>
        </w:rPr>
        <w:t>上应清楚地标记“正本”或“副本”的字样。投标人应根据投标人须知前附表要求提供电子版文件。当副本和正本不一致或电子版文件和纸质正本文件不一致时，以纸质正本文件为准。</w:t>
      </w:r>
    </w:p>
    <w:p w14:paraId="1C14E29E">
      <w:pPr>
        <w:spacing w:line="360" w:lineRule="auto"/>
        <w:ind w:firstLine="480" w:firstLineChars="200"/>
        <w:rPr>
          <w:rFonts w:ascii="宋体" w:hAnsi="宋体" w:cs="宋体"/>
          <w:strike/>
          <w:color w:val="auto"/>
          <w:sz w:val="24"/>
          <w:szCs w:val="24"/>
          <w:highlight w:val="none"/>
        </w:rPr>
      </w:pPr>
      <w:r>
        <w:rPr>
          <w:rFonts w:hint="eastAsia" w:ascii="宋体" w:hAnsi="宋体" w:cs="宋体"/>
          <w:strike/>
          <w:color w:val="auto"/>
          <w:sz w:val="24"/>
          <w:szCs w:val="24"/>
          <w:highlight w:val="none"/>
        </w:rPr>
        <w:t>（3）投标文件的正本与副本应分别装订，并编制目录，投标文件需分册装订的，具体分册装订要求见投标人须知前附表规定。</w:t>
      </w:r>
    </w:p>
    <w:p w14:paraId="6C9200E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3.7.3（B）投标文件全部采用电子文档，除投标人须知前附表另有规定外，投标文件所附证书证件均为清晰扫描件，并采用单位和个人数字证书，</w:t>
      </w:r>
      <w:r>
        <w:rPr>
          <w:rFonts w:hint="eastAsia" w:ascii="宋体" w:hAnsi="宋体" w:cs="宋体"/>
          <w:color w:val="auto"/>
          <w:sz w:val="24"/>
          <w:szCs w:val="24"/>
          <w:highlight w:val="none"/>
          <w:lang w:val="en-US" w:eastAsia="zh-CN"/>
        </w:rPr>
        <w:t>对投标文件</w:t>
      </w:r>
      <w:r>
        <w:rPr>
          <w:rFonts w:hint="eastAsia" w:ascii="宋体" w:hAnsi="宋体" w:cs="宋体"/>
          <w:color w:val="auto"/>
          <w:sz w:val="24"/>
          <w:szCs w:val="24"/>
          <w:highlight w:val="none"/>
        </w:rPr>
        <w:t>加盖电子印章。由投标人的法定代表人签字或加盖电子印章的，应附法定代表人身份证明，由代理人签字或加盖电子印章的，应附由法定代表人签署的授权委托书。签字或盖章的具体要求见投标人须知前附表。</w:t>
      </w:r>
    </w:p>
    <w:p w14:paraId="73E459D0">
      <w:pPr>
        <w:pStyle w:val="4"/>
        <w:spacing w:line="360" w:lineRule="auto"/>
        <w:rPr>
          <w:rFonts w:ascii="宋体" w:hAnsi="宋体" w:eastAsia="宋体" w:cs="宋体"/>
          <w:color w:val="auto"/>
          <w:sz w:val="28"/>
          <w:szCs w:val="28"/>
          <w:highlight w:val="none"/>
        </w:rPr>
      </w:pPr>
      <w:bookmarkStart w:id="397" w:name="_Toc3720"/>
      <w:bookmarkStart w:id="398" w:name="_Toc9808"/>
      <w:bookmarkStart w:id="399" w:name="_Toc20445"/>
      <w:bookmarkStart w:id="400" w:name="_Toc1464"/>
      <w:bookmarkStart w:id="401" w:name="_Toc492300591"/>
      <w:bookmarkStart w:id="402" w:name="_Toc31476"/>
      <w:bookmarkStart w:id="403" w:name="_Toc21771"/>
      <w:bookmarkStart w:id="404" w:name="_Toc10003"/>
      <w:bookmarkStart w:id="405" w:name="_Toc10101"/>
      <w:bookmarkStart w:id="406" w:name="_Toc26591"/>
      <w:bookmarkStart w:id="407" w:name="_Toc5182"/>
      <w:r>
        <w:rPr>
          <w:rFonts w:ascii="宋体" w:hAnsi="宋体" w:eastAsia="宋体" w:cs="宋体"/>
          <w:color w:val="auto"/>
          <w:sz w:val="28"/>
          <w:szCs w:val="28"/>
          <w:highlight w:val="none"/>
        </w:rPr>
        <w:t xml:space="preserve">4. </w:t>
      </w:r>
      <w:r>
        <w:rPr>
          <w:rFonts w:hint="eastAsia" w:ascii="宋体" w:hAnsi="宋体" w:eastAsia="宋体" w:cs="宋体"/>
          <w:color w:val="auto"/>
          <w:sz w:val="28"/>
          <w:szCs w:val="28"/>
          <w:highlight w:val="none"/>
        </w:rPr>
        <w:t>投标</w:t>
      </w:r>
      <w:bookmarkEnd w:id="397"/>
      <w:bookmarkEnd w:id="398"/>
      <w:bookmarkEnd w:id="399"/>
      <w:bookmarkEnd w:id="400"/>
      <w:bookmarkEnd w:id="401"/>
      <w:bookmarkEnd w:id="402"/>
      <w:bookmarkEnd w:id="403"/>
      <w:bookmarkEnd w:id="404"/>
      <w:bookmarkEnd w:id="405"/>
      <w:bookmarkEnd w:id="406"/>
      <w:bookmarkEnd w:id="407"/>
    </w:p>
    <w:p w14:paraId="0A44B693">
      <w:pPr>
        <w:pStyle w:val="5"/>
        <w:spacing w:line="360" w:lineRule="auto"/>
        <w:ind w:firstLine="0" w:firstLineChars="0"/>
        <w:rPr>
          <w:rFonts w:ascii="宋体" w:hAnsi="宋体" w:eastAsia="宋体" w:cs="宋体"/>
          <w:color w:val="auto"/>
          <w:szCs w:val="24"/>
          <w:highlight w:val="none"/>
        </w:rPr>
      </w:pPr>
      <w:bookmarkStart w:id="408" w:name="_Toc1661"/>
      <w:bookmarkStart w:id="409" w:name="_Toc26160"/>
      <w:bookmarkStart w:id="410" w:name="_Toc747"/>
      <w:bookmarkStart w:id="411" w:name="_Toc21559"/>
      <w:bookmarkStart w:id="412" w:name="_Toc20798"/>
      <w:bookmarkStart w:id="413" w:name="_Toc30551"/>
      <w:bookmarkStart w:id="414" w:name="_Toc13412"/>
      <w:bookmarkStart w:id="415" w:name="_Toc16071"/>
      <w:bookmarkStart w:id="416" w:name="_Toc31527"/>
      <w:bookmarkStart w:id="417" w:name="_Toc492300592"/>
      <w:bookmarkStart w:id="418" w:name="_Toc31825"/>
      <w:r>
        <w:rPr>
          <w:rFonts w:ascii="宋体" w:hAnsi="宋体" w:eastAsia="宋体" w:cs="宋体"/>
          <w:color w:val="auto"/>
          <w:szCs w:val="24"/>
          <w:highlight w:val="none"/>
        </w:rPr>
        <w:t xml:space="preserve">4.1 </w:t>
      </w:r>
      <w:r>
        <w:rPr>
          <w:rFonts w:hint="eastAsia" w:ascii="宋体" w:hAnsi="宋体" w:eastAsia="宋体" w:cs="宋体"/>
          <w:color w:val="auto"/>
          <w:szCs w:val="24"/>
          <w:highlight w:val="none"/>
        </w:rPr>
        <w:t>投标文件的密封和标记</w:t>
      </w:r>
      <w:bookmarkEnd w:id="408"/>
      <w:bookmarkEnd w:id="409"/>
      <w:bookmarkEnd w:id="410"/>
      <w:bookmarkEnd w:id="411"/>
      <w:bookmarkEnd w:id="412"/>
      <w:bookmarkEnd w:id="413"/>
      <w:bookmarkEnd w:id="414"/>
      <w:bookmarkEnd w:id="415"/>
      <w:bookmarkEnd w:id="416"/>
      <w:bookmarkEnd w:id="417"/>
      <w:bookmarkEnd w:id="418"/>
    </w:p>
    <w:p w14:paraId="21C16CF1">
      <w:pPr>
        <w:spacing w:line="360" w:lineRule="auto"/>
        <w:ind w:firstLine="480" w:firstLineChars="200"/>
        <w:rPr>
          <w:rFonts w:ascii="宋体" w:hAnsi="宋体" w:cs="宋体"/>
          <w:strike/>
          <w:color w:val="auto"/>
          <w:sz w:val="24"/>
          <w:szCs w:val="24"/>
          <w:highlight w:val="none"/>
        </w:rPr>
      </w:pPr>
      <w:r>
        <w:rPr>
          <w:rFonts w:ascii="宋体" w:hAnsi="宋体" w:cs="宋体"/>
          <w:strike/>
          <w:color w:val="auto"/>
          <w:sz w:val="24"/>
          <w:szCs w:val="24"/>
          <w:highlight w:val="none"/>
        </w:rPr>
        <w:t xml:space="preserve">4.1.1 </w:t>
      </w:r>
      <w:r>
        <w:rPr>
          <w:rFonts w:hint="eastAsia" w:ascii="宋体" w:hAnsi="宋体" w:cs="宋体"/>
          <w:strike/>
          <w:color w:val="auto"/>
          <w:sz w:val="24"/>
          <w:szCs w:val="24"/>
          <w:highlight w:val="none"/>
        </w:rPr>
        <w:t>（A）投标文件应密封包装，并在封套的封口处加盖投标人单位章或由投标人的法定代表人或其授权的代理人签字。</w:t>
      </w:r>
    </w:p>
    <w:p w14:paraId="4DBF3B8F">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4.1.1 </w:t>
      </w:r>
      <w:r>
        <w:rPr>
          <w:rFonts w:hint="eastAsia" w:ascii="宋体" w:hAnsi="宋体" w:cs="宋体"/>
          <w:color w:val="auto"/>
          <w:sz w:val="24"/>
          <w:szCs w:val="24"/>
          <w:highlight w:val="none"/>
        </w:rPr>
        <w:t>（B）投标人应当按照招标文件和电子招标投标交易平台的要求加密投标文件，具体要求见投标人须知前附表。</w:t>
      </w:r>
    </w:p>
    <w:p w14:paraId="146973D9">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4.1.2 </w:t>
      </w:r>
      <w:r>
        <w:rPr>
          <w:rFonts w:hint="eastAsia" w:ascii="宋体" w:hAnsi="宋体" w:cs="宋体"/>
          <w:color w:val="auto"/>
          <w:sz w:val="24"/>
          <w:szCs w:val="24"/>
          <w:highlight w:val="none"/>
        </w:rPr>
        <w:t>投标文件封套上应写明的内容见投标人须知前附表。</w:t>
      </w:r>
    </w:p>
    <w:p w14:paraId="5B664CFB">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4.1.3 </w:t>
      </w:r>
      <w:r>
        <w:rPr>
          <w:rFonts w:hint="eastAsia" w:ascii="宋体" w:hAnsi="宋体" w:cs="宋体"/>
          <w:color w:val="auto"/>
          <w:sz w:val="24"/>
          <w:szCs w:val="24"/>
          <w:highlight w:val="none"/>
        </w:rPr>
        <w:t>未按本章第4.1.1项要求密封的投标文件，招标人将予以拒收。</w:t>
      </w:r>
    </w:p>
    <w:p w14:paraId="1B2856D1">
      <w:pPr>
        <w:pStyle w:val="5"/>
        <w:spacing w:line="360" w:lineRule="auto"/>
        <w:ind w:firstLine="0" w:firstLineChars="0"/>
        <w:rPr>
          <w:rFonts w:ascii="宋体" w:hAnsi="宋体" w:eastAsia="宋体" w:cs="宋体"/>
          <w:color w:val="auto"/>
          <w:szCs w:val="24"/>
          <w:highlight w:val="none"/>
        </w:rPr>
      </w:pPr>
      <w:bookmarkStart w:id="419" w:name="_Toc22506"/>
      <w:bookmarkStart w:id="420" w:name="_Toc29912"/>
      <w:bookmarkStart w:id="421" w:name="_Toc767"/>
      <w:bookmarkStart w:id="422" w:name="_Toc21455"/>
      <w:bookmarkStart w:id="423" w:name="_Toc492300593"/>
      <w:bookmarkStart w:id="424" w:name="_Toc18806"/>
      <w:bookmarkStart w:id="425" w:name="_Toc24037"/>
      <w:bookmarkStart w:id="426" w:name="_Toc28965"/>
      <w:bookmarkStart w:id="427" w:name="_Toc6415"/>
      <w:bookmarkStart w:id="428" w:name="_Toc8542"/>
      <w:bookmarkStart w:id="429" w:name="_Toc19526"/>
      <w:r>
        <w:rPr>
          <w:rFonts w:ascii="宋体" w:hAnsi="宋体" w:eastAsia="宋体" w:cs="宋体"/>
          <w:color w:val="auto"/>
          <w:szCs w:val="24"/>
          <w:highlight w:val="none"/>
        </w:rPr>
        <w:t xml:space="preserve">4.2 </w:t>
      </w:r>
      <w:r>
        <w:rPr>
          <w:rFonts w:hint="eastAsia" w:ascii="宋体" w:hAnsi="宋体" w:eastAsia="宋体" w:cs="宋体"/>
          <w:color w:val="auto"/>
          <w:szCs w:val="24"/>
          <w:highlight w:val="none"/>
        </w:rPr>
        <w:t>投标文件的递交</w:t>
      </w:r>
      <w:bookmarkEnd w:id="419"/>
      <w:bookmarkEnd w:id="420"/>
      <w:bookmarkEnd w:id="421"/>
      <w:bookmarkEnd w:id="422"/>
      <w:bookmarkEnd w:id="423"/>
      <w:bookmarkEnd w:id="424"/>
      <w:bookmarkEnd w:id="425"/>
      <w:bookmarkEnd w:id="426"/>
      <w:bookmarkEnd w:id="427"/>
      <w:bookmarkEnd w:id="428"/>
      <w:bookmarkEnd w:id="429"/>
    </w:p>
    <w:p w14:paraId="383B2FA3">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4.2.1 </w:t>
      </w:r>
      <w:r>
        <w:rPr>
          <w:rFonts w:hint="eastAsia" w:ascii="宋体" w:hAnsi="宋体" w:cs="宋体"/>
          <w:color w:val="auto"/>
          <w:sz w:val="24"/>
          <w:szCs w:val="24"/>
          <w:highlight w:val="none"/>
        </w:rPr>
        <w:t>投标人应在投标人须知前附表规定的投标截止时间前递交投标文件。</w:t>
      </w:r>
    </w:p>
    <w:p w14:paraId="145EF27F">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4.2.2 </w:t>
      </w:r>
      <w:r>
        <w:rPr>
          <w:rFonts w:hint="eastAsia" w:ascii="宋体" w:hAnsi="宋体" w:cs="宋体"/>
          <w:color w:val="auto"/>
          <w:sz w:val="24"/>
          <w:szCs w:val="24"/>
          <w:highlight w:val="none"/>
        </w:rPr>
        <w:t>（A）投标人递交投标文件的地点：见投标人须知前附表。</w:t>
      </w:r>
    </w:p>
    <w:p w14:paraId="0AE31F3C">
      <w:pPr>
        <w:spacing w:line="360" w:lineRule="auto"/>
        <w:ind w:firstLine="480" w:firstLineChars="200"/>
        <w:rPr>
          <w:rFonts w:ascii="宋体" w:hAnsi="宋体" w:cs="宋体"/>
          <w:strike/>
          <w:color w:val="auto"/>
          <w:sz w:val="24"/>
          <w:szCs w:val="24"/>
          <w:highlight w:val="none"/>
        </w:rPr>
      </w:pPr>
      <w:r>
        <w:rPr>
          <w:rFonts w:ascii="宋体" w:hAnsi="宋体" w:cs="宋体"/>
          <w:strike/>
          <w:color w:val="auto"/>
          <w:sz w:val="24"/>
          <w:szCs w:val="24"/>
          <w:highlight w:val="none"/>
        </w:rPr>
        <w:t xml:space="preserve">4.2.2 </w:t>
      </w:r>
      <w:r>
        <w:rPr>
          <w:rFonts w:hint="eastAsia" w:ascii="宋体" w:hAnsi="宋体" w:cs="宋体"/>
          <w:strike/>
          <w:color w:val="auto"/>
          <w:sz w:val="24"/>
          <w:szCs w:val="24"/>
          <w:highlight w:val="none"/>
        </w:rPr>
        <w:t>（B）</w:t>
      </w:r>
      <w:r>
        <w:rPr>
          <w:rFonts w:hint="eastAsia" w:ascii="宋体" w:hAnsi="宋体" w:cs="宋体"/>
          <w:bCs/>
          <w:iCs/>
          <w:strike/>
          <w:color w:val="auto"/>
          <w:sz w:val="24"/>
          <w:szCs w:val="24"/>
          <w:highlight w:val="none"/>
        </w:rPr>
        <w:t>投标人通过下载招标文件的电子招标投标交易平台递交电子投标文件。</w:t>
      </w:r>
    </w:p>
    <w:p w14:paraId="434E3178">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4.2.3 </w:t>
      </w:r>
      <w:r>
        <w:rPr>
          <w:rFonts w:hint="eastAsia" w:ascii="宋体" w:hAnsi="宋体" w:cs="宋体"/>
          <w:color w:val="auto"/>
          <w:sz w:val="24"/>
          <w:szCs w:val="24"/>
          <w:highlight w:val="none"/>
        </w:rPr>
        <w:t>除投标人须知前附表另有规定外，投标人所递交的投标文件不予退还。</w:t>
      </w:r>
    </w:p>
    <w:p w14:paraId="3C3465DA">
      <w:pPr>
        <w:spacing w:line="360" w:lineRule="auto"/>
        <w:ind w:firstLine="480" w:firstLineChars="200"/>
        <w:rPr>
          <w:rFonts w:ascii="宋体" w:hAnsi="宋体" w:cs="宋体"/>
          <w:strike/>
          <w:color w:val="auto"/>
          <w:sz w:val="24"/>
          <w:szCs w:val="24"/>
          <w:highlight w:val="none"/>
        </w:rPr>
      </w:pPr>
      <w:r>
        <w:rPr>
          <w:rFonts w:ascii="宋体" w:hAnsi="宋体" w:cs="宋体"/>
          <w:strike/>
          <w:color w:val="auto"/>
          <w:sz w:val="24"/>
          <w:szCs w:val="24"/>
          <w:highlight w:val="none"/>
        </w:rPr>
        <w:t xml:space="preserve">4.2.4 </w:t>
      </w:r>
      <w:r>
        <w:rPr>
          <w:rFonts w:hint="eastAsia" w:ascii="宋体" w:hAnsi="宋体" w:cs="宋体"/>
          <w:strike/>
          <w:color w:val="auto"/>
          <w:sz w:val="24"/>
          <w:szCs w:val="24"/>
          <w:highlight w:val="none"/>
        </w:rPr>
        <w:t>（A）招标人收到投标文件后，向投标人出具签收凭证。</w:t>
      </w:r>
    </w:p>
    <w:p w14:paraId="3E3FBFEF">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4.2.4 </w:t>
      </w:r>
      <w:r>
        <w:rPr>
          <w:rFonts w:hint="eastAsia" w:ascii="宋体" w:hAnsi="宋体" w:cs="宋体"/>
          <w:color w:val="auto"/>
          <w:sz w:val="24"/>
          <w:szCs w:val="24"/>
          <w:highlight w:val="none"/>
        </w:rPr>
        <w:t>（B）投标人完成电子投标文件上传后，</w:t>
      </w:r>
      <w:r>
        <w:rPr>
          <w:rFonts w:hint="eastAsia" w:ascii="宋体" w:hAnsi="宋体" w:cs="宋体"/>
          <w:bCs/>
          <w:iCs/>
          <w:color w:val="auto"/>
          <w:sz w:val="24"/>
          <w:szCs w:val="24"/>
          <w:highlight w:val="none"/>
        </w:rPr>
        <w:t>电子招标投标交易平台</w:t>
      </w:r>
      <w:r>
        <w:rPr>
          <w:rFonts w:hint="eastAsia" w:ascii="宋体" w:hAnsi="宋体" w:cs="宋体"/>
          <w:color w:val="auto"/>
          <w:sz w:val="24"/>
          <w:szCs w:val="24"/>
          <w:highlight w:val="none"/>
        </w:rPr>
        <w:t>即时向投标人发出递交回执通知。递交时间以递交回执通知载明的传输完成时间为准。</w:t>
      </w:r>
    </w:p>
    <w:p w14:paraId="1DFF518D">
      <w:pPr>
        <w:spacing w:line="360" w:lineRule="auto"/>
        <w:ind w:firstLine="480" w:firstLineChars="200"/>
        <w:rPr>
          <w:rFonts w:ascii="宋体" w:hAnsi="宋体" w:cs="宋体"/>
          <w:strike/>
          <w:color w:val="auto"/>
          <w:sz w:val="24"/>
          <w:szCs w:val="24"/>
          <w:highlight w:val="none"/>
        </w:rPr>
      </w:pPr>
      <w:r>
        <w:rPr>
          <w:rFonts w:ascii="宋体" w:hAnsi="宋体" w:cs="宋体"/>
          <w:strike/>
          <w:color w:val="auto"/>
          <w:sz w:val="24"/>
          <w:szCs w:val="24"/>
          <w:highlight w:val="none"/>
        </w:rPr>
        <w:t xml:space="preserve">4.2.5 </w:t>
      </w:r>
      <w:r>
        <w:rPr>
          <w:rFonts w:hint="eastAsia" w:ascii="宋体" w:hAnsi="宋体" w:cs="宋体"/>
          <w:strike/>
          <w:color w:val="auto"/>
          <w:sz w:val="24"/>
          <w:szCs w:val="24"/>
          <w:highlight w:val="none"/>
        </w:rPr>
        <w:t>（A）逾期送达的投标文件，招标人将予以拒收。</w:t>
      </w:r>
    </w:p>
    <w:p w14:paraId="4E1D39BD">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4.2.5 </w:t>
      </w:r>
      <w:r>
        <w:rPr>
          <w:rFonts w:hint="eastAsia" w:ascii="宋体" w:hAnsi="宋体" w:cs="宋体"/>
          <w:color w:val="auto"/>
          <w:sz w:val="24"/>
          <w:szCs w:val="24"/>
          <w:highlight w:val="none"/>
        </w:rPr>
        <w:t>（B）逾期送达的投标文件，电子招标投标交易平台将予以拒收。</w:t>
      </w:r>
    </w:p>
    <w:p w14:paraId="1C57050A">
      <w:pPr>
        <w:spacing w:line="360" w:lineRule="auto"/>
        <w:ind w:firstLine="480" w:firstLineChars="200"/>
        <w:rPr>
          <w:rFonts w:ascii="宋体" w:hAnsi="宋体" w:cs="宋体"/>
          <w:color w:val="auto"/>
          <w:sz w:val="24"/>
          <w:szCs w:val="24"/>
          <w:highlight w:val="none"/>
        </w:rPr>
      </w:pPr>
    </w:p>
    <w:p w14:paraId="63034ABE">
      <w:pPr>
        <w:pStyle w:val="5"/>
        <w:spacing w:line="360" w:lineRule="auto"/>
        <w:ind w:firstLine="0" w:firstLineChars="0"/>
        <w:rPr>
          <w:rFonts w:ascii="宋体" w:hAnsi="宋体" w:eastAsia="宋体" w:cs="宋体"/>
          <w:color w:val="auto"/>
          <w:szCs w:val="24"/>
          <w:highlight w:val="none"/>
        </w:rPr>
      </w:pPr>
      <w:bookmarkStart w:id="430" w:name="_Toc4752"/>
      <w:bookmarkStart w:id="431" w:name="_Toc526"/>
      <w:bookmarkStart w:id="432" w:name="_Toc26387"/>
      <w:bookmarkStart w:id="433" w:name="_Toc1607"/>
      <w:bookmarkStart w:id="434" w:name="_Toc23826"/>
      <w:bookmarkStart w:id="435" w:name="_Toc492300594"/>
      <w:bookmarkStart w:id="436" w:name="_Toc15299"/>
      <w:bookmarkStart w:id="437" w:name="_Toc5000"/>
      <w:bookmarkStart w:id="438" w:name="_Toc20720"/>
      <w:bookmarkStart w:id="439" w:name="_Toc22205"/>
      <w:bookmarkStart w:id="440" w:name="_Toc16381"/>
      <w:r>
        <w:rPr>
          <w:rFonts w:ascii="宋体" w:hAnsi="宋体" w:eastAsia="宋体" w:cs="宋体"/>
          <w:color w:val="auto"/>
          <w:szCs w:val="24"/>
          <w:highlight w:val="none"/>
        </w:rPr>
        <w:t xml:space="preserve">4.3 </w:t>
      </w:r>
      <w:r>
        <w:rPr>
          <w:rFonts w:hint="eastAsia" w:ascii="宋体" w:hAnsi="宋体" w:eastAsia="宋体" w:cs="宋体"/>
          <w:color w:val="auto"/>
          <w:szCs w:val="24"/>
          <w:highlight w:val="none"/>
        </w:rPr>
        <w:t>投标文件的修改与撤回</w:t>
      </w:r>
      <w:bookmarkEnd w:id="430"/>
      <w:bookmarkEnd w:id="431"/>
      <w:bookmarkEnd w:id="432"/>
      <w:bookmarkEnd w:id="433"/>
      <w:bookmarkEnd w:id="434"/>
      <w:bookmarkEnd w:id="435"/>
      <w:bookmarkEnd w:id="436"/>
      <w:bookmarkEnd w:id="437"/>
      <w:bookmarkEnd w:id="438"/>
      <w:bookmarkEnd w:id="439"/>
      <w:bookmarkEnd w:id="440"/>
    </w:p>
    <w:p w14:paraId="465BA779">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4.3.1 </w:t>
      </w:r>
      <w:r>
        <w:rPr>
          <w:rFonts w:hint="eastAsia" w:ascii="宋体" w:hAnsi="宋体" w:cs="宋体"/>
          <w:color w:val="auto"/>
          <w:sz w:val="24"/>
          <w:szCs w:val="24"/>
          <w:highlight w:val="none"/>
        </w:rPr>
        <w:t>在本章第4.2.1项规定的投标截止时间前，投标人可以修改或撤回已递交的投标文件，但应以书面形式通知招标人。</w:t>
      </w:r>
    </w:p>
    <w:p w14:paraId="62C16403">
      <w:pPr>
        <w:spacing w:line="360" w:lineRule="auto"/>
        <w:ind w:firstLine="480" w:firstLineChars="200"/>
        <w:rPr>
          <w:rFonts w:ascii="宋体" w:hAnsi="宋体" w:cs="宋体"/>
          <w:strike/>
          <w:color w:val="auto"/>
          <w:sz w:val="24"/>
          <w:szCs w:val="24"/>
          <w:highlight w:val="none"/>
        </w:rPr>
      </w:pPr>
      <w:r>
        <w:rPr>
          <w:rFonts w:ascii="宋体" w:hAnsi="宋体" w:cs="宋体"/>
          <w:strike/>
          <w:color w:val="auto"/>
          <w:sz w:val="24"/>
          <w:szCs w:val="24"/>
          <w:highlight w:val="none"/>
        </w:rPr>
        <w:t xml:space="preserve">4.3.2 </w:t>
      </w:r>
      <w:r>
        <w:rPr>
          <w:rFonts w:hint="eastAsia" w:ascii="宋体" w:hAnsi="宋体" w:cs="宋体"/>
          <w:strike/>
          <w:color w:val="auto"/>
          <w:sz w:val="24"/>
          <w:szCs w:val="24"/>
          <w:highlight w:val="none"/>
        </w:rPr>
        <w:t>（A）投标人修改或撤回已递交投标文件的书面通知应按照本章第3.7.3（A）项的要求签字或盖章。招标人收到书面通知后，向投标人出具签收凭证。</w:t>
      </w:r>
    </w:p>
    <w:p w14:paraId="6AFD89B0">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4.3.2 </w:t>
      </w:r>
      <w:r>
        <w:rPr>
          <w:rFonts w:hint="eastAsia" w:ascii="宋体" w:hAnsi="宋体" w:cs="宋体"/>
          <w:color w:val="auto"/>
          <w:sz w:val="24"/>
          <w:szCs w:val="24"/>
          <w:highlight w:val="none"/>
        </w:rPr>
        <w:t>（B）投标人修改或撤回已递交投标文件的通知，应按照本章第3.7.3（B）项的要求加盖电子印章。</w:t>
      </w:r>
      <w:r>
        <w:rPr>
          <w:rFonts w:hint="eastAsia" w:ascii="宋体" w:hAnsi="宋体" w:cs="宋体"/>
          <w:bCs/>
          <w:iCs/>
          <w:color w:val="auto"/>
          <w:sz w:val="24"/>
          <w:szCs w:val="24"/>
          <w:highlight w:val="none"/>
        </w:rPr>
        <w:t>电子招标投标交易平台收到通知后，</w:t>
      </w:r>
      <w:r>
        <w:rPr>
          <w:rFonts w:hint="eastAsia" w:ascii="宋体" w:hAnsi="宋体" w:cs="宋体"/>
          <w:color w:val="auto"/>
          <w:sz w:val="24"/>
          <w:szCs w:val="24"/>
          <w:highlight w:val="none"/>
        </w:rPr>
        <w:t>即时向投标人发出确认回执通知。</w:t>
      </w:r>
    </w:p>
    <w:p w14:paraId="6527653F">
      <w:pPr>
        <w:spacing w:line="360" w:lineRule="auto"/>
        <w:ind w:firstLine="480" w:firstLineChars="200"/>
        <w:rPr>
          <w:rFonts w:ascii="宋体" w:hAnsi="宋体" w:cs="宋体"/>
          <w:strike/>
          <w:color w:val="auto"/>
          <w:sz w:val="24"/>
          <w:szCs w:val="24"/>
          <w:highlight w:val="none"/>
        </w:rPr>
      </w:pPr>
      <w:r>
        <w:rPr>
          <w:rFonts w:ascii="宋体" w:hAnsi="宋体" w:cs="宋体"/>
          <w:strike/>
          <w:color w:val="auto"/>
          <w:sz w:val="24"/>
          <w:szCs w:val="24"/>
          <w:highlight w:val="none"/>
        </w:rPr>
        <w:t xml:space="preserve">4.3.3 </w:t>
      </w:r>
      <w:r>
        <w:rPr>
          <w:rFonts w:hint="eastAsia" w:ascii="宋体" w:hAnsi="宋体" w:cs="宋体"/>
          <w:strike/>
          <w:color w:val="auto"/>
          <w:sz w:val="24"/>
          <w:szCs w:val="24"/>
          <w:highlight w:val="none"/>
        </w:rPr>
        <w:t>投标人撤回投标文件的，招标人自收到投标人书面撤回通知之日起5日内退还已收取的投标保证金。</w:t>
      </w:r>
    </w:p>
    <w:p w14:paraId="6296FB65">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4.3.</w:t>
      </w:r>
      <w:bookmarkStart w:id="441" w:name="_Toc247527578"/>
      <w:bookmarkStart w:id="442" w:name="_Toc144974521"/>
      <w:bookmarkStart w:id="443" w:name="_Toc384308235"/>
      <w:bookmarkStart w:id="444" w:name="_Toc152042329"/>
      <w:bookmarkStart w:id="445" w:name="_Toc19203"/>
      <w:bookmarkStart w:id="446" w:name="_Toc369531541"/>
      <w:bookmarkStart w:id="447" w:name="_Toc361508610"/>
      <w:bookmarkStart w:id="448" w:name="_Toc152045553"/>
      <w:bookmarkStart w:id="449" w:name="_Toc247513977"/>
      <w:bookmarkStart w:id="450" w:name="_Toc352691497"/>
      <w:bookmarkStart w:id="451" w:name="_Toc300834974"/>
      <w:r>
        <w:rPr>
          <w:rFonts w:ascii="宋体" w:hAnsi="宋体" w:cs="宋体"/>
          <w:color w:val="auto"/>
          <w:sz w:val="24"/>
          <w:szCs w:val="24"/>
          <w:highlight w:val="none"/>
        </w:rPr>
        <w:t xml:space="preserve">4 </w:t>
      </w:r>
      <w:r>
        <w:rPr>
          <w:rFonts w:hint="eastAsia" w:ascii="宋体" w:hAnsi="宋体" w:cs="宋体"/>
          <w:color w:val="auto"/>
          <w:sz w:val="24"/>
          <w:szCs w:val="24"/>
          <w:highlight w:val="none"/>
        </w:rPr>
        <w:t>修改的内容为投标</w:t>
      </w:r>
      <w:bookmarkEnd w:id="441"/>
      <w:bookmarkEnd w:id="442"/>
      <w:bookmarkEnd w:id="443"/>
      <w:bookmarkEnd w:id="444"/>
      <w:bookmarkEnd w:id="445"/>
      <w:bookmarkEnd w:id="446"/>
      <w:bookmarkEnd w:id="447"/>
      <w:bookmarkEnd w:id="448"/>
      <w:bookmarkEnd w:id="449"/>
      <w:bookmarkEnd w:id="450"/>
      <w:bookmarkEnd w:id="451"/>
      <w:r>
        <w:rPr>
          <w:rFonts w:hint="eastAsia" w:ascii="宋体" w:hAnsi="宋体" w:cs="宋体"/>
          <w:color w:val="auto"/>
          <w:sz w:val="24"/>
          <w:szCs w:val="24"/>
          <w:highlight w:val="none"/>
        </w:rPr>
        <w:t>文件的组成部分。修改的投标文件应按照本章第3条、第4条的规定进行编制、密封、标记和递交，并标明“修改”字样。</w:t>
      </w:r>
    </w:p>
    <w:p w14:paraId="258F06FC">
      <w:pPr>
        <w:pStyle w:val="4"/>
        <w:spacing w:line="360" w:lineRule="auto"/>
        <w:rPr>
          <w:rFonts w:ascii="宋体" w:hAnsi="宋体" w:eastAsia="宋体" w:cs="宋体"/>
          <w:color w:val="auto"/>
          <w:sz w:val="28"/>
          <w:szCs w:val="28"/>
          <w:highlight w:val="none"/>
        </w:rPr>
      </w:pPr>
      <w:bookmarkStart w:id="452" w:name="_Toc492300595"/>
      <w:bookmarkStart w:id="453" w:name="_Toc20390"/>
      <w:bookmarkStart w:id="454" w:name="_Toc23648"/>
      <w:bookmarkStart w:id="455" w:name="_Toc12162"/>
      <w:bookmarkStart w:id="456" w:name="_Toc17579"/>
      <w:bookmarkStart w:id="457" w:name="_Toc23409"/>
      <w:bookmarkStart w:id="458" w:name="_Toc453"/>
      <w:bookmarkStart w:id="459" w:name="_Toc266"/>
      <w:bookmarkStart w:id="460" w:name="_Toc16835"/>
      <w:bookmarkStart w:id="461" w:name="_Toc26120"/>
      <w:bookmarkStart w:id="462" w:name="_Toc24926"/>
      <w:r>
        <w:rPr>
          <w:rFonts w:ascii="宋体" w:hAnsi="宋体" w:eastAsia="宋体" w:cs="宋体"/>
          <w:color w:val="auto"/>
          <w:sz w:val="28"/>
          <w:szCs w:val="28"/>
          <w:highlight w:val="none"/>
        </w:rPr>
        <w:t xml:space="preserve">5. </w:t>
      </w:r>
      <w:r>
        <w:rPr>
          <w:rFonts w:hint="eastAsia" w:ascii="宋体" w:hAnsi="宋体" w:eastAsia="宋体" w:cs="宋体"/>
          <w:color w:val="auto"/>
          <w:sz w:val="28"/>
          <w:szCs w:val="28"/>
          <w:highlight w:val="none"/>
        </w:rPr>
        <w:t>开标</w:t>
      </w:r>
      <w:bookmarkEnd w:id="452"/>
      <w:bookmarkEnd w:id="453"/>
      <w:bookmarkEnd w:id="454"/>
      <w:bookmarkEnd w:id="455"/>
      <w:bookmarkEnd w:id="456"/>
      <w:bookmarkEnd w:id="457"/>
      <w:bookmarkEnd w:id="458"/>
      <w:bookmarkEnd w:id="459"/>
      <w:bookmarkEnd w:id="460"/>
      <w:bookmarkEnd w:id="461"/>
      <w:bookmarkEnd w:id="462"/>
    </w:p>
    <w:p w14:paraId="2BB67468">
      <w:pPr>
        <w:pStyle w:val="5"/>
        <w:spacing w:line="360" w:lineRule="auto"/>
        <w:ind w:firstLine="0" w:firstLineChars="0"/>
        <w:rPr>
          <w:rFonts w:ascii="宋体" w:hAnsi="宋体" w:eastAsia="宋体" w:cs="宋体"/>
          <w:strike/>
          <w:color w:val="auto"/>
          <w:szCs w:val="24"/>
          <w:highlight w:val="none"/>
        </w:rPr>
      </w:pPr>
      <w:bookmarkStart w:id="463" w:name="_Toc2691"/>
      <w:bookmarkStart w:id="464" w:name="_Toc18721"/>
      <w:bookmarkStart w:id="465" w:name="_Toc11763"/>
      <w:bookmarkStart w:id="466" w:name="_Toc492300596"/>
      <w:bookmarkStart w:id="467" w:name="_Toc18135"/>
      <w:bookmarkStart w:id="468" w:name="_Toc31594"/>
      <w:bookmarkStart w:id="469" w:name="_Toc23012"/>
      <w:bookmarkStart w:id="470" w:name="_Toc26374"/>
      <w:bookmarkStart w:id="471" w:name="_Toc2684"/>
      <w:bookmarkStart w:id="472" w:name="_Toc20761"/>
      <w:bookmarkStart w:id="473" w:name="_Toc15899"/>
      <w:r>
        <w:rPr>
          <w:rFonts w:ascii="宋体" w:hAnsi="宋体" w:eastAsia="宋体" w:cs="宋体"/>
          <w:strike/>
          <w:color w:val="auto"/>
          <w:szCs w:val="24"/>
          <w:highlight w:val="none"/>
        </w:rPr>
        <w:t xml:space="preserve">5.1 </w:t>
      </w:r>
      <w:r>
        <w:rPr>
          <w:rFonts w:hint="eastAsia" w:ascii="宋体" w:hAnsi="宋体" w:eastAsia="宋体" w:cs="宋体"/>
          <w:strike/>
          <w:color w:val="auto"/>
          <w:szCs w:val="24"/>
          <w:highlight w:val="none"/>
        </w:rPr>
        <w:t>开标时间和地点（A）</w:t>
      </w:r>
      <w:bookmarkEnd w:id="463"/>
      <w:bookmarkEnd w:id="464"/>
      <w:bookmarkEnd w:id="465"/>
      <w:bookmarkEnd w:id="466"/>
      <w:bookmarkEnd w:id="467"/>
      <w:bookmarkEnd w:id="468"/>
      <w:bookmarkEnd w:id="469"/>
      <w:bookmarkEnd w:id="470"/>
      <w:bookmarkEnd w:id="471"/>
      <w:bookmarkEnd w:id="472"/>
      <w:bookmarkEnd w:id="473"/>
    </w:p>
    <w:p w14:paraId="48F67AE1">
      <w:pPr>
        <w:spacing w:line="360" w:lineRule="auto"/>
        <w:ind w:firstLine="480" w:firstLineChars="200"/>
        <w:rPr>
          <w:rFonts w:ascii="宋体" w:hAnsi="宋体" w:cs="宋体"/>
          <w:strike/>
          <w:color w:val="auto"/>
          <w:sz w:val="24"/>
          <w:szCs w:val="24"/>
          <w:highlight w:val="none"/>
        </w:rPr>
      </w:pPr>
      <w:r>
        <w:rPr>
          <w:rFonts w:hint="eastAsia" w:ascii="宋体" w:hAnsi="宋体" w:cs="宋体"/>
          <w:strike/>
          <w:color w:val="auto"/>
          <w:sz w:val="24"/>
          <w:szCs w:val="24"/>
          <w:highlight w:val="none"/>
        </w:rPr>
        <w:t>招标人在本章第4.2.1项规定的投标截止时间（开标时间）和投标人须知前附表规定的地点公开开标，并邀请所有投标人的法定代表人或其委托代理人准时参加。</w:t>
      </w:r>
    </w:p>
    <w:p w14:paraId="2A9D1915">
      <w:pPr>
        <w:pStyle w:val="5"/>
        <w:spacing w:line="360" w:lineRule="auto"/>
        <w:ind w:firstLine="0" w:firstLineChars="0"/>
        <w:rPr>
          <w:rFonts w:ascii="宋体" w:hAnsi="宋体" w:eastAsia="宋体" w:cs="宋体"/>
          <w:color w:val="auto"/>
          <w:szCs w:val="24"/>
          <w:highlight w:val="none"/>
        </w:rPr>
      </w:pPr>
      <w:bookmarkStart w:id="474" w:name="_Toc23813"/>
      <w:bookmarkStart w:id="475" w:name="_Toc17266"/>
      <w:bookmarkStart w:id="476" w:name="_Toc22209"/>
      <w:bookmarkStart w:id="477" w:name="_Toc27321"/>
      <w:bookmarkStart w:id="478" w:name="_Toc24094"/>
      <w:bookmarkStart w:id="479" w:name="_Toc22844"/>
      <w:bookmarkStart w:id="480" w:name="_Toc27378"/>
      <w:bookmarkStart w:id="481" w:name="_Toc7772"/>
      <w:bookmarkStart w:id="482" w:name="_Toc7349"/>
      <w:bookmarkStart w:id="483" w:name="_Toc492300597"/>
      <w:bookmarkStart w:id="484" w:name="_Toc20139"/>
      <w:r>
        <w:rPr>
          <w:rFonts w:ascii="宋体" w:hAnsi="宋体" w:eastAsia="宋体" w:cs="宋体"/>
          <w:color w:val="auto"/>
          <w:szCs w:val="24"/>
          <w:highlight w:val="none"/>
        </w:rPr>
        <w:t xml:space="preserve">5.1 </w:t>
      </w:r>
      <w:r>
        <w:rPr>
          <w:rFonts w:hint="eastAsia" w:ascii="宋体" w:hAnsi="宋体" w:eastAsia="宋体" w:cs="宋体"/>
          <w:color w:val="auto"/>
          <w:szCs w:val="24"/>
          <w:highlight w:val="none"/>
        </w:rPr>
        <w:t>开标时间和地点（B）</w:t>
      </w:r>
      <w:bookmarkEnd w:id="474"/>
      <w:bookmarkEnd w:id="475"/>
      <w:bookmarkEnd w:id="476"/>
      <w:bookmarkEnd w:id="477"/>
      <w:bookmarkEnd w:id="478"/>
      <w:bookmarkEnd w:id="479"/>
      <w:bookmarkEnd w:id="480"/>
      <w:bookmarkEnd w:id="481"/>
      <w:bookmarkEnd w:id="482"/>
      <w:bookmarkEnd w:id="483"/>
      <w:bookmarkEnd w:id="484"/>
    </w:p>
    <w:p w14:paraId="025381D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招标人在本章第4.2.1项规定的投标截止时间（开标时间）,通过电子招标投标交易平台公开开标，所有投标人的法定代表人或其委托代理人应当准时参加。</w:t>
      </w:r>
    </w:p>
    <w:p w14:paraId="36904BED">
      <w:pPr>
        <w:pStyle w:val="5"/>
        <w:spacing w:line="360" w:lineRule="auto"/>
        <w:ind w:firstLine="0" w:firstLineChars="0"/>
        <w:rPr>
          <w:rFonts w:ascii="宋体" w:hAnsi="宋体" w:eastAsia="宋体" w:cs="宋体"/>
          <w:color w:val="auto"/>
          <w:szCs w:val="24"/>
          <w:highlight w:val="none"/>
        </w:rPr>
      </w:pPr>
      <w:bookmarkStart w:id="485" w:name="_Toc68"/>
      <w:bookmarkStart w:id="486" w:name="_Toc6316"/>
      <w:bookmarkStart w:id="487" w:name="_Toc1756"/>
      <w:bookmarkStart w:id="488" w:name="_Toc18939"/>
      <w:bookmarkStart w:id="489" w:name="_Toc25527"/>
      <w:bookmarkStart w:id="490" w:name="_Toc7734"/>
      <w:bookmarkStart w:id="491" w:name="_Toc25404"/>
      <w:bookmarkStart w:id="492" w:name="_Toc2757"/>
      <w:bookmarkStart w:id="493" w:name="_Toc492300598"/>
      <w:bookmarkStart w:id="494" w:name="_Toc24429"/>
      <w:bookmarkStart w:id="495" w:name="_Toc1229"/>
      <w:r>
        <w:rPr>
          <w:rFonts w:ascii="宋体" w:hAnsi="宋体" w:eastAsia="宋体" w:cs="宋体"/>
          <w:color w:val="auto"/>
          <w:szCs w:val="24"/>
          <w:highlight w:val="none"/>
        </w:rPr>
        <w:t xml:space="preserve">5.2 </w:t>
      </w:r>
      <w:r>
        <w:rPr>
          <w:rFonts w:hint="eastAsia" w:ascii="宋体" w:hAnsi="宋体" w:eastAsia="宋体" w:cs="宋体"/>
          <w:color w:val="auto"/>
          <w:szCs w:val="24"/>
          <w:highlight w:val="none"/>
        </w:rPr>
        <w:t>开标程序</w:t>
      </w:r>
      <w:bookmarkEnd w:id="485"/>
      <w:bookmarkEnd w:id="486"/>
      <w:bookmarkEnd w:id="487"/>
      <w:bookmarkEnd w:id="488"/>
      <w:bookmarkEnd w:id="489"/>
      <w:bookmarkEnd w:id="490"/>
      <w:bookmarkEnd w:id="491"/>
      <w:bookmarkEnd w:id="492"/>
      <w:bookmarkEnd w:id="493"/>
      <w:bookmarkEnd w:id="494"/>
      <w:bookmarkEnd w:id="495"/>
    </w:p>
    <w:p w14:paraId="6636C35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主持人按下列程序进行开标：</w:t>
      </w:r>
    </w:p>
    <w:p w14:paraId="2D6666C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（1）宣布开标纪律；</w:t>
      </w:r>
    </w:p>
    <w:p w14:paraId="53B08079">
      <w:pPr>
        <w:spacing w:line="360" w:lineRule="auto"/>
        <w:ind w:firstLine="480" w:firstLineChars="200"/>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（2）公布在投标截止时间前递交投标文件的投标人名称；</w:t>
      </w:r>
    </w:p>
    <w:p w14:paraId="67002A1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（3）宣布</w:t>
      </w:r>
      <w:bookmarkStart w:id="496" w:name="_Toc300834975"/>
      <w:bookmarkStart w:id="497" w:name="_Toc247513978"/>
      <w:bookmarkStart w:id="498" w:name="_Toc144974522"/>
      <w:bookmarkStart w:id="499" w:name="_Toc152045554"/>
      <w:bookmarkStart w:id="500" w:name="_Toc352691498"/>
      <w:bookmarkStart w:id="501" w:name="_Toc247527579"/>
      <w:bookmarkStart w:id="502" w:name="_Toc152042330"/>
      <w:bookmarkStart w:id="503" w:name="_Toc369531542"/>
      <w:bookmarkStart w:id="504" w:name="_Toc361508611"/>
      <w:bookmarkStart w:id="505" w:name="_Toc22119"/>
      <w:bookmarkStart w:id="506" w:name="_Toc384308236"/>
      <w:r>
        <w:rPr>
          <w:rFonts w:hint="eastAsia" w:ascii="宋体" w:hAnsi="宋体" w:cs="宋体"/>
          <w:color w:val="auto"/>
          <w:sz w:val="24"/>
          <w:szCs w:val="24"/>
          <w:highlight w:val="none"/>
        </w:rPr>
        <w:t>开标人、唱标人、记录人</w:t>
      </w:r>
      <w:bookmarkEnd w:id="496"/>
      <w:bookmarkEnd w:id="497"/>
      <w:bookmarkEnd w:id="498"/>
      <w:bookmarkEnd w:id="499"/>
      <w:bookmarkEnd w:id="500"/>
      <w:bookmarkEnd w:id="501"/>
      <w:bookmarkEnd w:id="502"/>
      <w:bookmarkEnd w:id="503"/>
      <w:bookmarkEnd w:id="504"/>
      <w:bookmarkEnd w:id="505"/>
      <w:bookmarkEnd w:id="506"/>
      <w:r>
        <w:rPr>
          <w:rFonts w:hint="eastAsia" w:ascii="宋体" w:hAnsi="宋体" w:cs="宋体"/>
          <w:color w:val="auto"/>
          <w:sz w:val="24"/>
          <w:szCs w:val="24"/>
          <w:highlight w:val="none"/>
        </w:rPr>
        <w:t>、监标人等有关人员姓名；</w:t>
      </w:r>
    </w:p>
    <w:p w14:paraId="68D90606">
      <w:pPr>
        <w:spacing w:line="360" w:lineRule="auto"/>
        <w:ind w:firstLine="480" w:firstLineChars="200"/>
        <w:rPr>
          <w:rFonts w:ascii="宋体" w:hAnsi="宋体" w:cs="宋体"/>
          <w:strike/>
          <w:color w:val="auto"/>
          <w:sz w:val="24"/>
          <w:szCs w:val="24"/>
          <w:highlight w:val="none"/>
        </w:rPr>
      </w:pPr>
      <w:r>
        <w:rPr>
          <w:rFonts w:hint="eastAsia" w:ascii="宋体" w:hAnsi="宋体" w:cs="宋体"/>
          <w:strike/>
          <w:color w:val="auto"/>
          <w:sz w:val="24"/>
          <w:szCs w:val="24"/>
          <w:highlight w:val="none"/>
        </w:rPr>
        <w:t>（4）（A）检查投标文件的密封情况，按照投标人须知前附表规定的开标顺序当众开标，公布招标项目名称、投标人名称、投标保证金的递交情况、投标报价、监理服务期限及其他内容，并记录在案；</w:t>
      </w:r>
    </w:p>
    <w:p w14:paraId="5F0C6B2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（4）（B）投标人通过电子招标投标交易平台对已递交的电子投标文件进行解密，公布招标项目名称、投标人名称</w:t>
      </w:r>
      <w:r>
        <w:rPr>
          <w:rFonts w:hint="eastAsia" w:ascii="宋体" w:hAnsi="宋体" w:cs="宋体"/>
          <w:strike/>
          <w:dstrike w:val="0"/>
          <w:color w:val="auto"/>
          <w:sz w:val="24"/>
          <w:szCs w:val="24"/>
          <w:highlight w:val="none"/>
        </w:rPr>
        <w:t>、投标保证金的递交情况</w:t>
      </w:r>
      <w:r>
        <w:rPr>
          <w:rFonts w:hint="eastAsia" w:ascii="宋体" w:hAnsi="宋体" w:cs="宋体"/>
          <w:color w:val="auto"/>
          <w:sz w:val="24"/>
          <w:szCs w:val="24"/>
          <w:highlight w:val="none"/>
        </w:rPr>
        <w:t>、投标报价、服务期限及其他内容，并记录在案；</w:t>
      </w:r>
    </w:p>
    <w:p w14:paraId="3BFEA362">
      <w:pPr>
        <w:spacing w:line="360" w:lineRule="auto"/>
        <w:ind w:firstLine="480" w:firstLineChars="200"/>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（5）（A）投标人代表、招标人代表、监标人、记录人等有关人员在开标记录上签字确认；</w:t>
      </w:r>
    </w:p>
    <w:p w14:paraId="70A566BA">
      <w:pPr>
        <w:spacing w:line="360" w:lineRule="auto"/>
        <w:ind w:firstLine="480" w:firstLineChars="200"/>
        <w:rPr>
          <w:rFonts w:ascii="宋体" w:hAnsi="宋体" w:cs="宋体"/>
          <w:strike w:val="0"/>
          <w:color w:val="auto"/>
          <w:sz w:val="24"/>
          <w:szCs w:val="24"/>
          <w:highlight w:val="none"/>
        </w:rPr>
      </w:pPr>
      <w:r>
        <w:rPr>
          <w:rFonts w:hint="eastAsia" w:ascii="宋体" w:hAnsi="宋体" w:cs="宋体"/>
          <w:strike w:val="0"/>
          <w:color w:val="auto"/>
          <w:sz w:val="24"/>
          <w:szCs w:val="24"/>
          <w:highlight w:val="none"/>
        </w:rPr>
        <w:t>（5）（B）投标人代表、招标人代表、监标人、记录人等有关人员使用本人的电子印章在开标记录上签字确认；</w:t>
      </w:r>
      <w:r>
        <w:rPr>
          <w:rFonts w:hint="eastAsia" w:ascii="宋体" w:hAnsi="宋体" w:cs="宋体"/>
          <w:color w:val="auto"/>
          <w:sz w:val="24"/>
          <w:szCs w:val="24"/>
          <w:highlight w:val="none"/>
          <w:u w:val="single"/>
        </w:rPr>
        <w:t>若有关人员不签字的，不影响开标程序；</w:t>
      </w:r>
    </w:p>
    <w:p w14:paraId="1645A58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（6）开标结束。</w:t>
      </w:r>
    </w:p>
    <w:p w14:paraId="68F6FBFD">
      <w:pPr>
        <w:pStyle w:val="5"/>
        <w:spacing w:line="360" w:lineRule="auto"/>
        <w:ind w:firstLine="0" w:firstLineChars="0"/>
        <w:rPr>
          <w:rFonts w:ascii="宋体" w:hAnsi="宋体" w:eastAsia="宋体" w:cs="宋体"/>
          <w:color w:val="auto"/>
          <w:szCs w:val="24"/>
          <w:highlight w:val="none"/>
        </w:rPr>
      </w:pPr>
      <w:bookmarkStart w:id="507" w:name="_Toc18350"/>
      <w:bookmarkStart w:id="508" w:name="_Toc17087"/>
      <w:bookmarkStart w:id="509" w:name="_Toc492300599"/>
      <w:bookmarkStart w:id="510" w:name="_Toc17039"/>
      <w:bookmarkStart w:id="511" w:name="_Toc8923"/>
      <w:bookmarkStart w:id="512" w:name="_Toc18956"/>
      <w:bookmarkStart w:id="513" w:name="_Toc22136"/>
      <w:bookmarkStart w:id="514" w:name="_Toc26649"/>
      <w:bookmarkStart w:id="515" w:name="_Toc14189"/>
      <w:bookmarkStart w:id="516" w:name="_Toc18357"/>
      <w:bookmarkStart w:id="517" w:name="_Toc27376"/>
      <w:r>
        <w:rPr>
          <w:rFonts w:ascii="宋体" w:hAnsi="宋体" w:eastAsia="宋体" w:cs="宋体"/>
          <w:color w:val="auto"/>
          <w:szCs w:val="24"/>
          <w:highlight w:val="none"/>
        </w:rPr>
        <w:t xml:space="preserve">5.3 </w:t>
      </w:r>
      <w:r>
        <w:rPr>
          <w:rFonts w:hint="eastAsia" w:ascii="宋体" w:hAnsi="宋体" w:eastAsia="宋体" w:cs="宋体"/>
          <w:color w:val="auto"/>
          <w:szCs w:val="24"/>
          <w:highlight w:val="none"/>
        </w:rPr>
        <w:t>开标异议</w:t>
      </w:r>
      <w:bookmarkEnd w:id="507"/>
      <w:bookmarkEnd w:id="508"/>
      <w:bookmarkEnd w:id="509"/>
      <w:bookmarkEnd w:id="510"/>
      <w:bookmarkEnd w:id="511"/>
      <w:bookmarkEnd w:id="512"/>
      <w:bookmarkEnd w:id="513"/>
      <w:bookmarkEnd w:id="514"/>
      <w:bookmarkEnd w:id="515"/>
      <w:bookmarkEnd w:id="516"/>
      <w:bookmarkEnd w:id="517"/>
    </w:p>
    <w:p w14:paraId="72AEFC7E">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投标人对开标有异议的，应当在开标现场提出，招标人当场作出答复，并制作记录。</w:t>
      </w:r>
    </w:p>
    <w:p w14:paraId="10173DC3">
      <w:pPr>
        <w:spacing w:line="360" w:lineRule="auto"/>
        <w:ind w:firstLine="480" w:firstLineChars="200"/>
        <w:rPr>
          <w:rFonts w:ascii="宋体" w:hAnsi="宋体" w:cs="宋体"/>
          <w:color w:val="auto"/>
          <w:sz w:val="24"/>
          <w:szCs w:val="24"/>
          <w:highlight w:val="none"/>
        </w:rPr>
      </w:pPr>
    </w:p>
    <w:p w14:paraId="4C981446">
      <w:pPr>
        <w:pStyle w:val="4"/>
        <w:spacing w:line="360" w:lineRule="auto"/>
        <w:rPr>
          <w:rFonts w:ascii="宋体" w:hAnsi="宋体" w:eastAsia="宋体" w:cs="宋体"/>
          <w:color w:val="auto"/>
          <w:sz w:val="28"/>
          <w:szCs w:val="28"/>
          <w:highlight w:val="none"/>
        </w:rPr>
      </w:pPr>
      <w:bookmarkStart w:id="518" w:name="_Toc3417"/>
      <w:bookmarkStart w:id="519" w:name="_Toc492300600"/>
      <w:bookmarkStart w:id="520" w:name="_Toc21275"/>
      <w:bookmarkStart w:id="521" w:name="_Toc9100"/>
      <w:bookmarkStart w:id="522" w:name="_Toc23928"/>
      <w:bookmarkStart w:id="523" w:name="_Toc10602"/>
      <w:bookmarkStart w:id="524" w:name="_Toc4522"/>
      <w:bookmarkStart w:id="525" w:name="_Toc21251"/>
      <w:bookmarkStart w:id="526" w:name="_Toc598"/>
      <w:bookmarkStart w:id="527" w:name="_Toc3701"/>
      <w:bookmarkStart w:id="528" w:name="_Toc18081"/>
      <w:r>
        <w:rPr>
          <w:rFonts w:ascii="宋体" w:hAnsi="宋体" w:eastAsia="宋体" w:cs="宋体"/>
          <w:color w:val="auto"/>
          <w:sz w:val="28"/>
          <w:szCs w:val="28"/>
          <w:highlight w:val="none"/>
        </w:rPr>
        <w:t xml:space="preserve">6. </w:t>
      </w:r>
      <w:r>
        <w:rPr>
          <w:rFonts w:hint="eastAsia" w:ascii="宋体" w:hAnsi="宋体" w:eastAsia="宋体" w:cs="宋体"/>
          <w:color w:val="auto"/>
          <w:sz w:val="28"/>
          <w:szCs w:val="28"/>
          <w:highlight w:val="none"/>
        </w:rPr>
        <w:t>评标</w:t>
      </w:r>
      <w:bookmarkEnd w:id="518"/>
      <w:bookmarkEnd w:id="519"/>
      <w:bookmarkEnd w:id="520"/>
      <w:bookmarkEnd w:id="521"/>
      <w:bookmarkEnd w:id="522"/>
      <w:bookmarkEnd w:id="523"/>
      <w:bookmarkEnd w:id="524"/>
      <w:bookmarkEnd w:id="525"/>
      <w:bookmarkEnd w:id="526"/>
      <w:bookmarkEnd w:id="527"/>
      <w:bookmarkEnd w:id="528"/>
    </w:p>
    <w:p w14:paraId="3AC9E23E">
      <w:pPr>
        <w:pStyle w:val="5"/>
        <w:spacing w:line="360" w:lineRule="auto"/>
        <w:ind w:firstLine="0" w:firstLineChars="0"/>
        <w:rPr>
          <w:rFonts w:ascii="宋体" w:hAnsi="宋体" w:eastAsia="宋体" w:cs="宋体"/>
          <w:color w:val="auto"/>
          <w:szCs w:val="24"/>
          <w:highlight w:val="none"/>
        </w:rPr>
      </w:pPr>
      <w:bookmarkStart w:id="529" w:name="_Toc1011"/>
      <w:bookmarkStart w:id="530" w:name="_Toc20498"/>
      <w:bookmarkStart w:id="531" w:name="_Toc24646"/>
      <w:bookmarkStart w:id="532" w:name="_Toc6806"/>
      <w:bookmarkStart w:id="533" w:name="_Toc8849"/>
      <w:bookmarkStart w:id="534" w:name="_Toc349"/>
      <w:bookmarkStart w:id="535" w:name="_Toc5367"/>
      <w:bookmarkStart w:id="536" w:name="_Toc492300601"/>
      <w:bookmarkStart w:id="537" w:name="_Toc29125"/>
      <w:bookmarkStart w:id="538" w:name="_Toc15424"/>
      <w:bookmarkStart w:id="539" w:name="_Toc9698"/>
      <w:r>
        <w:rPr>
          <w:rFonts w:ascii="宋体" w:hAnsi="宋体" w:eastAsia="宋体" w:cs="宋体"/>
          <w:color w:val="auto"/>
          <w:szCs w:val="24"/>
          <w:highlight w:val="none"/>
        </w:rPr>
        <w:t xml:space="preserve">6.1 </w:t>
      </w:r>
      <w:r>
        <w:rPr>
          <w:rFonts w:hint="eastAsia" w:ascii="宋体" w:hAnsi="宋体" w:eastAsia="宋体" w:cs="宋体"/>
          <w:color w:val="auto"/>
          <w:szCs w:val="24"/>
          <w:highlight w:val="none"/>
        </w:rPr>
        <w:t>评标委员会</w:t>
      </w:r>
      <w:bookmarkEnd w:id="529"/>
      <w:bookmarkEnd w:id="530"/>
      <w:bookmarkEnd w:id="531"/>
      <w:bookmarkEnd w:id="532"/>
      <w:bookmarkEnd w:id="533"/>
      <w:bookmarkEnd w:id="534"/>
      <w:bookmarkEnd w:id="535"/>
      <w:bookmarkEnd w:id="536"/>
      <w:bookmarkEnd w:id="537"/>
      <w:bookmarkEnd w:id="538"/>
      <w:bookmarkEnd w:id="539"/>
    </w:p>
    <w:p w14:paraId="3F3BBA72">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6.1.1 </w:t>
      </w:r>
      <w:r>
        <w:rPr>
          <w:rFonts w:hint="eastAsia" w:ascii="宋体" w:hAnsi="宋体" w:cs="宋体"/>
          <w:color w:val="auto"/>
          <w:sz w:val="24"/>
          <w:szCs w:val="24"/>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F07F653">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6.1.2 </w:t>
      </w:r>
      <w:r>
        <w:rPr>
          <w:rFonts w:hint="eastAsia" w:ascii="宋体" w:hAnsi="宋体" w:cs="宋体"/>
          <w:color w:val="auto"/>
          <w:sz w:val="24"/>
          <w:szCs w:val="24"/>
          <w:highlight w:val="none"/>
        </w:rPr>
        <w:t>评标委员会成员有下列情形之一的，应当回避：</w:t>
      </w:r>
    </w:p>
    <w:p w14:paraId="041B066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（1）投标人或投标人主要负责人的近亲属；</w:t>
      </w:r>
    </w:p>
    <w:p w14:paraId="68E179A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（2）项目主管部门或者行政监督部门的人员；</w:t>
      </w:r>
    </w:p>
    <w:p w14:paraId="641EFDB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（3）与投标人有经济利益关系，可能影响对投标公正评审的；</w:t>
      </w:r>
    </w:p>
    <w:p w14:paraId="7C94DE0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（4）曾因在招标、评</w:t>
      </w:r>
      <w:bookmarkStart w:id="540" w:name="_Toc300834976"/>
      <w:bookmarkStart w:id="541" w:name="_Toc352691499"/>
      <w:bookmarkStart w:id="542" w:name="_Toc247527580"/>
      <w:bookmarkStart w:id="543" w:name="_Toc152045555"/>
      <w:bookmarkStart w:id="544" w:name="_Toc144974523"/>
      <w:bookmarkStart w:id="545" w:name="_Toc369531543"/>
      <w:bookmarkStart w:id="546" w:name="_Toc247513979"/>
      <w:bookmarkStart w:id="547" w:name="_Toc361508612"/>
      <w:bookmarkStart w:id="548" w:name="_Toc152042331"/>
      <w:bookmarkStart w:id="549" w:name="_Toc384308237"/>
      <w:bookmarkStart w:id="550" w:name="_Toc6230"/>
      <w:r>
        <w:rPr>
          <w:rFonts w:hint="eastAsia" w:ascii="宋体" w:hAnsi="宋体" w:cs="宋体"/>
          <w:color w:val="auto"/>
          <w:sz w:val="24"/>
          <w:szCs w:val="24"/>
          <w:highlight w:val="none"/>
        </w:rPr>
        <w:t>标以及其他</w:t>
      </w:r>
      <w:bookmarkEnd w:id="540"/>
      <w:bookmarkEnd w:id="541"/>
      <w:bookmarkEnd w:id="542"/>
      <w:bookmarkEnd w:id="543"/>
      <w:bookmarkEnd w:id="544"/>
      <w:bookmarkEnd w:id="545"/>
      <w:bookmarkEnd w:id="546"/>
      <w:bookmarkEnd w:id="547"/>
      <w:bookmarkEnd w:id="548"/>
      <w:bookmarkEnd w:id="549"/>
      <w:bookmarkEnd w:id="550"/>
      <w:r>
        <w:rPr>
          <w:rFonts w:hint="eastAsia" w:ascii="宋体" w:hAnsi="宋体" w:cs="宋体"/>
          <w:color w:val="auto"/>
          <w:sz w:val="24"/>
          <w:szCs w:val="24"/>
          <w:highlight w:val="none"/>
        </w:rPr>
        <w:t>与</w:t>
      </w:r>
      <w:bookmarkStart w:id="551" w:name="_Toc369531544"/>
      <w:bookmarkStart w:id="552" w:name="_Toc247513980"/>
      <w:bookmarkStart w:id="553" w:name="_Toc152045556"/>
      <w:bookmarkStart w:id="554" w:name="_Toc144974524"/>
      <w:bookmarkStart w:id="555" w:name="_Toc384308238"/>
      <w:bookmarkStart w:id="556" w:name="_Toc361508613"/>
      <w:bookmarkStart w:id="557" w:name="_Toc17703"/>
      <w:bookmarkStart w:id="558" w:name="_Toc300834977"/>
      <w:bookmarkStart w:id="559" w:name="_Toc352691500"/>
      <w:bookmarkStart w:id="560" w:name="_Toc247527581"/>
      <w:bookmarkStart w:id="561" w:name="_Toc152042332"/>
      <w:r>
        <w:rPr>
          <w:rFonts w:hint="eastAsia" w:ascii="宋体" w:hAnsi="宋体" w:cs="宋体"/>
          <w:color w:val="auto"/>
          <w:sz w:val="24"/>
          <w:szCs w:val="24"/>
          <w:highlight w:val="none"/>
        </w:rPr>
        <w:t>招标投标有关活动中从事违法行</w:t>
      </w:r>
      <w:bookmarkEnd w:id="551"/>
      <w:bookmarkEnd w:id="552"/>
      <w:bookmarkEnd w:id="553"/>
      <w:bookmarkEnd w:id="554"/>
      <w:bookmarkEnd w:id="555"/>
      <w:bookmarkEnd w:id="556"/>
      <w:bookmarkEnd w:id="557"/>
      <w:bookmarkEnd w:id="558"/>
      <w:bookmarkEnd w:id="559"/>
      <w:bookmarkEnd w:id="560"/>
      <w:bookmarkEnd w:id="561"/>
      <w:r>
        <w:rPr>
          <w:rFonts w:hint="eastAsia" w:ascii="宋体" w:hAnsi="宋体" w:cs="宋体"/>
          <w:color w:val="auto"/>
          <w:sz w:val="24"/>
          <w:szCs w:val="24"/>
          <w:highlight w:val="none"/>
        </w:rPr>
        <w:t>为而受过行政处罚或刑事处罚的；</w:t>
      </w:r>
    </w:p>
    <w:p w14:paraId="5FB9C09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（5）与投标人有其他利害关系。</w:t>
      </w:r>
    </w:p>
    <w:p w14:paraId="204B7898">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6.1.3 </w:t>
      </w:r>
      <w:r>
        <w:rPr>
          <w:rFonts w:hint="eastAsia" w:ascii="宋体" w:hAnsi="宋体" w:cs="宋体"/>
          <w:color w:val="auto"/>
          <w:sz w:val="24"/>
          <w:szCs w:val="24"/>
          <w:highlight w:val="none"/>
        </w:rPr>
        <w:t>评标过程中，评标委员会成员有回避事由、擅离职守或者因健康等原因不能继续评标的，招标人有权更换。被更换的评标委员会成员作出的评审结论无效，由更换后的评标委员会成员重新进行评审。</w:t>
      </w:r>
    </w:p>
    <w:p w14:paraId="0F3459DE">
      <w:pPr>
        <w:pStyle w:val="5"/>
        <w:spacing w:line="360" w:lineRule="auto"/>
        <w:ind w:firstLine="0" w:firstLineChars="0"/>
        <w:rPr>
          <w:rFonts w:ascii="宋体" w:hAnsi="宋体" w:eastAsia="宋体" w:cs="宋体"/>
          <w:color w:val="auto"/>
          <w:szCs w:val="24"/>
          <w:highlight w:val="none"/>
        </w:rPr>
      </w:pPr>
      <w:bookmarkStart w:id="562" w:name="_Toc23433"/>
      <w:bookmarkStart w:id="563" w:name="_Toc32590"/>
      <w:bookmarkStart w:id="564" w:name="_Toc13705"/>
      <w:bookmarkStart w:id="565" w:name="_Toc419"/>
      <w:bookmarkStart w:id="566" w:name="_Toc1118"/>
      <w:bookmarkStart w:id="567" w:name="_Toc19021"/>
      <w:bookmarkStart w:id="568" w:name="_Toc11730"/>
      <w:bookmarkStart w:id="569" w:name="_Toc7627"/>
      <w:bookmarkStart w:id="570" w:name="_Toc409"/>
      <w:bookmarkStart w:id="571" w:name="_Toc492300602"/>
      <w:bookmarkStart w:id="572" w:name="_Toc31284"/>
      <w:r>
        <w:rPr>
          <w:rFonts w:ascii="宋体" w:hAnsi="宋体" w:eastAsia="宋体" w:cs="宋体"/>
          <w:color w:val="auto"/>
          <w:szCs w:val="24"/>
          <w:highlight w:val="none"/>
        </w:rPr>
        <w:t xml:space="preserve">6.2 </w:t>
      </w:r>
      <w:r>
        <w:rPr>
          <w:rFonts w:hint="eastAsia" w:ascii="宋体" w:hAnsi="宋体" w:eastAsia="宋体" w:cs="宋体"/>
          <w:color w:val="auto"/>
          <w:szCs w:val="24"/>
          <w:highlight w:val="none"/>
        </w:rPr>
        <w:t>评标原则</w:t>
      </w:r>
      <w:bookmarkEnd w:id="562"/>
      <w:bookmarkEnd w:id="563"/>
      <w:bookmarkEnd w:id="564"/>
      <w:bookmarkEnd w:id="565"/>
      <w:bookmarkEnd w:id="566"/>
      <w:bookmarkEnd w:id="567"/>
      <w:bookmarkEnd w:id="568"/>
      <w:bookmarkEnd w:id="569"/>
      <w:bookmarkEnd w:id="570"/>
      <w:bookmarkEnd w:id="571"/>
      <w:bookmarkEnd w:id="572"/>
    </w:p>
    <w:p w14:paraId="67BF50A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评标活动遵循公平、公正、科学和择优的原</w:t>
      </w:r>
      <w:bookmarkStart w:id="573" w:name="_Toc384308239"/>
      <w:bookmarkStart w:id="574" w:name="_Toc247527582"/>
      <w:bookmarkStart w:id="575" w:name="_Toc361508614"/>
      <w:bookmarkStart w:id="576" w:name="_Toc152045557"/>
      <w:bookmarkStart w:id="577" w:name="_Toc300834978"/>
      <w:bookmarkStart w:id="578" w:name="_Toc152042333"/>
      <w:bookmarkStart w:id="579" w:name="_Toc144974525"/>
      <w:bookmarkStart w:id="580" w:name="_Toc247513981"/>
      <w:bookmarkStart w:id="581" w:name="_Toc18949"/>
      <w:bookmarkStart w:id="582" w:name="_Toc352691501"/>
      <w:bookmarkStart w:id="583" w:name="_Toc369531545"/>
      <w:r>
        <w:rPr>
          <w:rFonts w:hint="eastAsia" w:ascii="宋体" w:hAnsi="宋体" w:cs="宋体"/>
          <w:color w:val="auto"/>
          <w:sz w:val="24"/>
          <w:szCs w:val="24"/>
          <w:highlight w:val="none"/>
        </w:rPr>
        <w:t>则。</w:t>
      </w:r>
    </w:p>
    <w:p w14:paraId="3F6A4F5C">
      <w:pPr>
        <w:pStyle w:val="5"/>
        <w:spacing w:line="360" w:lineRule="auto"/>
        <w:ind w:firstLine="0" w:firstLineChars="0"/>
        <w:rPr>
          <w:rFonts w:ascii="宋体" w:hAnsi="宋体" w:eastAsia="宋体" w:cs="宋体"/>
          <w:color w:val="auto"/>
          <w:szCs w:val="24"/>
          <w:highlight w:val="none"/>
        </w:rPr>
      </w:pPr>
      <w:bookmarkStart w:id="584" w:name="_Toc8640"/>
      <w:bookmarkStart w:id="585" w:name="_Toc30279"/>
      <w:bookmarkStart w:id="586" w:name="_Toc10473"/>
      <w:bookmarkStart w:id="587" w:name="_Toc492300603"/>
      <w:bookmarkStart w:id="588" w:name="_Toc29486"/>
      <w:bookmarkStart w:id="589" w:name="_Toc8776"/>
      <w:bookmarkStart w:id="590" w:name="_Toc10558"/>
      <w:bookmarkStart w:id="591" w:name="_Toc16296"/>
      <w:bookmarkStart w:id="592" w:name="_Toc29396"/>
      <w:bookmarkStart w:id="593" w:name="_Toc26119"/>
      <w:bookmarkStart w:id="594" w:name="_Toc2802"/>
      <w:r>
        <w:rPr>
          <w:rFonts w:ascii="宋体" w:hAnsi="宋体" w:eastAsia="宋体" w:cs="宋体"/>
          <w:color w:val="auto"/>
          <w:szCs w:val="24"/>
          <w:highlight w:val="none"/>
        </w:rPr>
        <w:t xml:space="preserve">6.3 </w:t>
      </w:r>
      <w:r>
        <w:rPr>
          <w:rFonts w:hint="eastAsia" w:ascii="宋体" w:hAnsi="宋体" w:eastAsia="宋体" w:cs="宋体"/>
          <w:color w:val="auto"/>
          <w:szCs w:val="24"/>
          <w:highlight w:val="none"/>
        </w:rPr>
        <w:t>评标</w:t>
      </w:r>
      <w:bookmarkEnd w:id="584"/>
      <w:bookmarkEnd w:id="585"/>
      <w:bookmarkEnd w:id="586"/>
      <w:bookmarkEnd w:id="587"/>
      <w:bookmarkEnd w:id="588"/>
      <w:bookmarkEnd w:id="589"/>
      <w:bookmarkEnd w:id="590"/>
      <w:bookmarkEnd w:id="591"/>
      <w:bookmarkEnd w:id="592"/>
      <w:bookmarkEnd w:id="593"/>
      <w:bookmarkEnd w:id="594"/>
    </w:p>
    <w:p w14:paraId="6233E004">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w:t>
      </w:r>
      <w:bookmarkEnd w:id="573"/>
      <w:bookmarkEnd w:id="574"/>
      <w:bookmarkEnd w:id="575"/>
      <w:bookmarkEnd w:id="576"/>
      <w:bookmarkEnd w:id="577"/>
      <w:bookmarkEnd w:id="578"/>
      <w:bookmarkEnd w:id="579"/>
      <w:bookmarkEnd w:id="580"/>
      <w:bookmarkEnd w:id="581"/>
      <w:bookmarkEnd w:id="582"/>
      <w:bookmarkEnd w:id="583"/>
      <w:r>
        <w:rPr>
          <w:rFonts w:hint="eastAsia" w:ascii="宋体" w:hAnsi="宋体" w:cs="宋体"/>
          <w:color w:val="auto"/>
          <w:sz w:val="24"/>
          <w:szCs w:val="24"/>
          <w:highlight w:val="none"/>
        </w:rPr>
        <w:t>.3.1评标委员会按照第三章“评标办法”规定的方法、评审因素、标准和程序对投标文件进行评审。第三章“评标办法”没有规定的方法、评审因素和标准，不作为评标依据。</w:t>
      </w:r>
    </w:p>
    <w:p w14:paraId="6897E42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6.3.2评标完成后，评标委员会应当向招标人提交书面评标报告和中标候选人名单。评标委员会推荐中标</w:t>
      </w:r>
      <w:bookmarkStart w:id="595" w:name="_Toc300834979"/>
      <w:bookmarkStart w:id="596" w:name="_Toc144974526"/>
      <w:bookmarkStart w:id="597" w:name="_Toc247527583"/>
      <w:bookmarkStart w:id="598" w:name="_Toc369531546"/>
      <w:bookmarkStart w:id="599" w:name="_Toc12259"/>
      <w:bookmarkStart w:id="600" w:name="_Toc247513982"/>
      <w:bookmarkStart w:id="601" w:name="_Toc352691502"/>
      <w:bookmarkStart w:id="602" w:name="_Toc361508615"/>
      <w:bookmarkStart w:id="603" w:name="_Toc152042334"/>
      <w:bookmarkStart w:id="604" w:name="_Toc384308240"/>
      <w:bookmarkStart w:id="605" w:name="_Toc152045558"/>
      <w:r>
        <w:rPr>
          <w:rFonts w:hint="eastAsia" w:ascii="宋体" w:hAnsi="宋体" w:cs="宋体"/>
          <w:color w:val="auto"/>
          <w:sz w:val="24"/>
          <w:szCs w:val="24"/>
          <w:highlight w:val="none"/>
        </w:rPr>
        <w:t>候选人的人数见投标人须知前附</w:t>
      </w:r>
      <w:bookmarkEnd w:id="595"/>
      <w:bookmarkEnd w:id="596"/>
      <w:bookmarkEnd w:id="597"/>
      <w:bookmarkEnd w:id="598"/>
      <w:bookmarkEnd w:id="599"/>
      <w:bookmarkEnd w:id="600"/>
      <w:bookmarkEnd w:id="601"/>
      <w:bookmarkEnd w:id="602"/>
      <w:bookmarkEnd w:id="603"/>
      <w:bookmarkEnd w:id="604"/>
      <w:bookmarkEnd w:id="605"/>
      <w:r>
        <w:rPr>
          <w:rFonts w:hint="eastAsia" w:ascii="宋体" w:hAnsi="宋体" w:cs="宋体"/>
          <w:color w:val="auto"/>
          <w:sz w:val="24"/>
          <w:szCs w:val="24"/>
          <w:highlight w:val="none"/>
        </w:rPr>
        <w:t>表。</w:t>
      </w:r>
    </w:p>
    <w:p w14:paraId="2FE0BB0E">
      <w:pPr>
        <w:pStyle w:val="4"/>
        <w:spacing w:line="360" w:lineRule="auto"/>
        <w:rPr>
          <w:rFonts w:ascii="宋体" w:hAnsi="宋体" w:eastAsia="宋体" w:cs="宋体"/>
          <w:color w:val="auto"/>
          <w:sz w:val="28"/>
          <w:szCs w:val="28"/>
          <w:highlight w:val="none"/>
        </w:rPr>
      </w:pPr>
      <w:bookmarkStart w:id="606" w:name="_Toc7020"/>
      <w:bookmarkStart w:id="607" w:name="_Toc6397"/>
      <w:bookmarkStart w:id="608" w:name="_Toc22635"/>
      <w:bookmarkStart w:id="609" w:name="_Toc16732"/>
      <w:bookmarkStart w:id="610" w:name="_Toc25633"/>
      <w:bookmarkStart w:id="611" w:name="_Toc28355"/>
      <w:bookmarkStart w:id="612" w:name="_Toc492300604"/>
      <w:bookmarkStart w:id="613" w:name="_Toc5657"/>
      <w:bookmarkStart w:id="614" w:name="_Toc10110"/>
      <w:bookmarkStart w:id="615" w:name="_Toc26433"/>
      <w:bookmarkStart w:id="616" w:name="_Toc15386"/>
      <w:r>
        <w:rPr>
          <w:rFonts w:ascii="宋体" w:hAnsi="宋体" w:eastAsia="宋体" w:cs="宋体"/>
          <w:color w:val="auto"/>
          <w:sz w:val="28"/>
          <w:szCs w:val="28"/>
          <w:highlight w:val="none"/>
        </w:rPr>
        <w:t xml:space="preserve">7. </w:t>
      </w:r>
      <w:r>
        <w:rPr>
          <w:rFonts w:hint="eastAsia" w:ascii="宋体" w:hAnsi="宋体" w:eastAsia="宋体" w:cs="宋体"/>
          <w:color w:val="auto"/>
          <w:sz w:val="28"/>
          <w:szCs w:val="28"/>
          <w:highlight w:val="none"/>
        </w:rPr>
        <w:t>合同授予</w:t>
      </w:r>
      <w:bookmarkEnd w:id="606"/>
      <w:bookmarkEnd w:id="607"/>
      <w:bookmarkEnd w:id="608"/>
      <w:bookmarkEnd w:id="609"/>
      <w:bookmarkEnd w:id="610"/>
      <w:bookmarkEnd w:id="611"/>
      <w:bookmarkEnd w:id="612"/>
      <w:bookmarkEnd w:id="613"/>
      <w:bookmarkEnd w:id="614"/>
      <w:bookmarkEnd w:id="615"/>
      <w:bookmarkEnd w:id="616"/>
    </w:p>
    <w:p w14:paraId="08C87F9E">
      <w:pPr>
        <w:pStyle w:val="5"/>
        <w:spacing w:line="360" w:lineRule="auto"/>
        <w:ind w:firstLine="0" w:firstLineChars="0"/>
        <w:rPr>
          <w:rFonts w:ascii="宋体" w:hAnsi="宋体" w:eastAsia="宋体" w:cs="宋体"/>
          <w:color w:val="auto"/>
          <w:szCs w:val="24"/>
          <w:highlight w:val="none"/>
        </w:rPr>
      </w:pPr>
      <w:bookmarkStart w:id="617" w:name="_Toc9013"/>
      <w:bookmarkStart w:id="618" w:name="_Toc16687"/>
      <w:bookmarkStart w:id="619" w:name="_Toc22584"/>
      <w:bookmarkStart w:id="620" w:name="_Toc958"/>
      <w:bookmarkStart w:id="621" w:name="_Toc19715"/>
      <w:bookmarkStart w:id="622" w:name="_Toc30180"/>
      <w:bookmarkStart w:id="623" w:name="_Toc492300605"/>
      <w:bookmarkStart w:id="624" w:name="_Toc1924"/>
      <w:bookmarkStart w:id="625" w:name="_Toc9125"/>
      <w:bookmarkStart w:id="626" w:name="_Toc3854"/>
      <w:bookmarkStart w:id="627" w:name="_Toc9762"/>
      <w:r>
        <w:rPr>
          <w:rFonts w:ascii="宋体" w:hAnsi="宋体" w:eastAsia="宋体" w:cs="宋体"/>
          <w:color w:val="auto"/>
          <w:szCs w:val="24"/>
          <w:highlight w:val="none"/>
        </w:rPr>
        <w:t xml:space="preserve">7.1 </w:t>
      </w:r>
      <w:r>
        <w:rPr>
          <w:rFonts w:hint="eastAsia" w:ascii="宋体" w:hAnsi="宋体" w:eastAsia="宋体" w:cs="宋体"/>
          <w:color w:val="auto"/>
          <w:szCs w:val="24"/>
          <w:highlight w:val="none"/>
        </w:rPr>
        <w:t>中标候选人公示</w:t>
      </w:r>
      <w:bookmarkEnd w:id="617"/>
      <w:bookmarkEnd w:id="618"/>
      <w:bookmarkEnd w:id="619"/>
      <w:bookmarkEnd w:id="620"/>
      <w:bookmarkEnd w:id="621"/>
      <w:bookmarkEnd w:id="622"/>
      <w:bookmarkEnd w:id="623"/>
      <w:bookmarkEnd w:id="624"/>
      <w:bookmarkEnd w:id="625"/>
      <w:bookmarkEnd w:id="626"/>
      <w:bookmarkEnd w:id="627"/>
    </w:p>
    <w:p w14:paraId="5F51AD3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招标人在收到评标报告之日起3日内，按照投标人须知前附表规定的公示媒介和期限公示中标候选人，公示期不得少于3天。</w:t>
      </w:r>
    </w:p>
    <w:p w14:paraId="506C3094">
      <w:pPr>
        <w:pStyle w:val="5"/>
        <w:spacing w:line="360" w:lineRule="auto"/>
        <w:ind w:firstLine="0" w:firstLineChars="0"/>
        <w:rPr>
          <w:rFonts w:ascii="宋体" w:hAnsi="宋体" w:eastAsia="宋体" w:cs="宋体"/>
          <w:color w:val="auto"/>
          <w:szCs w:val="24"/>
          <w:highlight w:val="none"/>
        </w:rPr>
      </w:pPr>
      <w:bookmarkStart w:id="628" w:name="_Toc1246"/>
      <w:bookmarkStart w:id="629" w:name="_Toc16494"/>
      <w:bookmarkStart w:id="630" w:name="_Toc11891"/>
      <w:bookmarkStart w:id="631" w:name="_Toc26910"/>
      <w:bookmarkStart w:id="632" w:name="_Toc15567"/>
      <w:bookmarkStart w:id="633" w:name="_Toc2875"/>
      <w:bookmarkStart w:id="634" w:name="_Toc3108"/>
      <w:bookmarkStart w:id="635" w:name="_Toc15404"/>
      <w:bookmarkStart w:id="636" w:name="_Toc19277"/>
      <w:bookmarkStart w:id="637" w:name="_Toc19700"/>
      <w:bookmarkStart w:id="638" w:name="_Toc492300606"/>
      <w:r>
        <w:rPr>
          <w:rFonts w:ascii="宋体" w:hAnsi="宋体" w:eastAsia="宋体" w:cs="宋体"/>
          <w:color w:val="auto"/>
          <w:szCs w:val="24"/>
          <w:highlight w:val="none"/>
        </w:rPr>
        <w:t xml:space="preserve">7.2 </w:t>
      </w:r>
      <w:r>
        <w:rPr>
          <w:rFonts w:hint="eastAsia" w:ascii="宋体" w:hAnsi="宋体" w:eastAsia="宋体" w:cs="宋体"/>
          <w:color w:val="auto"/>
          <w:szCs w:val="24"/>
          <w:highlight w:val="none"/>
        </w:rPr>
        <w:t>评标结果异议</w:t>
      </w:r>
      <w:bookmarkEnd w:id="628"/>
      <w:bookmarkEnd w:id="629"/>
      <w:bookmarkEnd w:id="630"/>
      <w:bookmarkEnd w:id="631"/>
      <w:bookmarkEnd w:id="632"/>
      <w:bookmarkEnd w:id="633"/>
      <w:bookmarkEnd w:id="634"/>
      <w:bookmarkEnd w:id="635"/>
      <w:bookmarkEnd w:id="636"/>
      <w:bookmarkEnd w:id="637"/>
      <w:bookmarkEnd w:id="638"/>
    </w:p>
    <w:p w14:paraId="0F593AD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投标人或者其他利</w:t>
      </w:r>
      <w:bookmarkStart w:id="639" w:name="_Toc144974529"/>
      <w:bookmarkStart w:id="640" w:name="_Toc30095"/>
      <w:bookmarkStart w:id="641" w:name="_Toc247527586"/>
      <w:bookmarkStart w:id="642" w:name="_Toc300834982"/>
      <w:bookmarkStart w:id="643" w:name="_Toc152042337"/>
      <w:bookmarkStart w:id="644" w:name="_Toc352691505"/>
      <w:bookmarkStart w:id="645" w:name="_Toc384308243"/>
      <w:bookmarkStart w:id="646" w:name="_Toc152045561"/>
      <w:bookmarkStart w:id="647" w:name="_Toc369531549"/>
      <w:bookmarkStart w:id="648" w:name="_Toc361508618"/>
      <w:bookmarkStart w:id="649" w:name="_Toc247513985"/>
      <w:r>
        <w:rPr>
          <w:rFonts w:hint="eastAsia" w:ascii="宋体" w:hAnsi="宋体" w:cs="宋体"/>
          <w:color w:val="auto"/>
          <w:sz w:val="24"/>
          <w:szCs w:val="24"/>
          <w:highlight w:val="none"/>
        </w:rPr>
        <w:t>害关系人对评标结</w:t>
      </w:r>
      <w:bookmarkEnd w:id="639"/>
      <w:bookmarkEnd w:id="640"/>
      <w:bookmarkEnd w:id="641"/>
      <w:bookmarkEnd w:id="642"/>
      <w:bookmarkEnd w:id="643"/>
      <w:bookmarkEnd w:id="644"/>
      <w:bookmarkEnd w:id="645"/>
      <w:bookmarkEnd w:id="646"/>
      <w:bookmarkEnd w:id="647"/>
      <w:bookmarkEnd w:id="648"/>
      <w:bookmarkEnd w:id="649"/>
      <w:r>
        <w:rPr>
          <w:rFonts w:hint="eastAsia" w:ascii="宋体" w:hAnsi="宋体" w:cs="宋体"/>
          <w:color w:val="auto"/>
          <w:sz w:val="24"/>
          <w:szCs w:val="24"/>
          <w:highlight w:val="none"/>
        </w:rPr>
        <w:t>果有异议的，应当在中标候选人公示期间提出。招标人将在收到异议之日起</w:t>
      </w:r>
      <w:r>
        <w:rPr>
          <w:rFonts w:ascii="宋体" w:hAnsi="宋体" w:cs="宋体"/>
          <w:color w:val="auto"/>
          <w:sz w:val="24"/>
          <w:szCs w:val="24"/>
          <w:highlight w:val="none"/>
        </w:rPr>
        <w:t>3日内</w:t>
      </w:r>
      <w:r>
        <w:rPr>
          <w:rFonts w:hint="eastAsia" w:ascii="宋体" w:hAnsi="宋体" w:cs="宋体"/>
          <w:color w:val="auto"/>
          <w:sz w:val="24"/>
          <w:szCs w:val="24"/>
          <w:highlight w:val="none"/>
        </w:rPr>
        <w:t>作出答复；作出答复前，将暂停招标投标活动。</w:t>
      </w:r>
    </w:p>
    <w:p w14:paraId="450FC00C">
      <w:pPr>
        <w:pStyle w:val="5"/>
        <w:spacing w:line="360" w:lineRule="auto"/>
        <w:ind w:firstLine="0" w:firstLineChars="0"/>
        <w:rPr>
          <w:rFonts w:ascii="宋体" w:hAnsi="宋体" w:eastAsia="宋体" w:cs="宋体"/>
          <w:color w:val="auto"/>
          <w:szCs w:val="24"/>
          <w:highlight w:val="none"/>
        </w:rPr>
      </w:pPr>
      <w:bookmarkStart w:id="650" w:name="_Toc20125"/>
      <w:bookmarkStart w:id="651" w:name="_Toc11242"/>
      <w:bookmarkStart w:id="652" w:name="_Toc16358"/>
      <w:bookmarkStart w:id="653" w:name="_Toc5106"/>
      <w:bookmarkStart w:id="654" w:name="_Toc4223"/>
      <w:bookmarkStart w:id="655" w:name="_Toc8456"/>
      <w:bookmarkStart w:id="656" w:name="_Toc12436"/>
      <w:bookmarkStart w:id="657" w:name="_Toc24306"/>
      <w:bookmarkStart w:id="658" w:name="_Toc492300607"/>
      <w:bookmarkStart w:id="659" w:name="_Toc10747"/>
      <w:bookmarkStart w:id="660" w:name="_Toc7255"/>
      <w:r>
        <w:rPr>
          <w:rFonts w:ascii="宋体" w:hAnsi="宋体" w:eastAsia="宋体" w:cs="宋体"/>
          <w:color w:val="auto"/>
          <w:szCs w:val="24"/>
          <w:highlight w:val="none"/>
        </w:rPr>
        <w:t xml:space="preserve">7.3 </w:t>
      </w:r>
      <w:r>
        <w:rPr>
          <w:rFonts w:hint="eastAsia" w:ascii="宋体" w:hAnsi="宋体" w:eastAsia="宋体" w:cs="宋体"/>
          <w:color w:val="auto"/>
          <w:szCs w:val="24"/>
          <w:highlight w:val="none"/>
        </w:rPr>
        <w:t>中标候选人履约能力审查</w:t>
      </w:r>
      <w:bookmarkEnd w:id="650"/>
      <w:bookmarkEnd w:id="651"/>
      <w:bookmarkEnd w:id="652"/>
      <w:bookmarkEnd w:id="653"/>
      <w:bookmarkEnd w:id="654"/>
      <w:bookmarkEnd w:id="655"/>
      <w:bookmarkEnd w:id="656"/>
      <w:bookmarkEnd w:id="657"/>
      <w:bookmarkEnd w:id="658"/>
      <w:bookmarkEnd w:id="659"/>
      <w:bookmarkEnd w:id="660"/>
    </w:p>
    <w:p w14:paraId="2F44115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3A515FC2">
      <w:pPr>
        <w:pStyle w:val="5"/>
        <w:spacing w:line="360" w:lineRule="auto"/>
        <w:ind w:firstLine="0" w:firstLineChars="0"/>
        <w:rPr>
          <w:rFonts w:ascii="宋体" w:hAnsi="宋体" w:eastAsia="宋体" w:cs="宋体"/>
          <w:color w:val="auto"/>
          <w:szCs w:val="24"/>
          <w:highlight w:val="none"/>
        </w:rPr>
      </w:pPr>
      <w:bookmarkStart w:id="661" w:name="_Toc13911"/>
      <w:bookmarkStart w:id="662" w:name="_Toc26023"/>
      <w:bookmarkStart w:id="663" w:name="_Toc20037"/>
      <w:bookmarkStart w:id="664" w:name="_Toc25871"/>
      <w:bookmarkStart w:id="665" w:name="_Toc24755"/>
      <w:bookmarkStart w:id="666" w:name="_Toc492300608"/>
      <w:bookmarkStart w:id="667" w:name="_Toc9704"/>
      <w:bookmarkStart w:id="668" w:name="_Toc24096"/>
      <w:bookmarkStart w:id="669" w:name="_Toc18639"/>
      <w:bookmarkStart w:id="670" w:name="_Toc26774"/>
      <w:bookmarkStart w:id="671" w:name="_Toc16645"/>
      <w:r>
        <w:rPr>
          <w:rFonts w:ascii="宋体" w:hAnsi="宋体" w:eastAsia="宋体" w:cs="宋体"/>
          <w:color w:val="auto"/>
          <w:szCs w:val="24"/>
          <w:highlight w:val="none"/>
        </w:rPr>
        <w:t xml:space="preserve">7.4 </w:t>
      </w:r>
      <w:r>
        <w:rPr>
          <w:rFonts w:hint="eastAsia" w:ascii="宋体" w:hAnsi="宋体" w:eastAsia="宋体" w:cs="宋体"/>
          <w:color w:val="auto"/>
          <w:szCs w:val="24"/>
          <w:highlight w:val="none"/>
        </w:rPr>
        <w:t>定标</w:t>
      </w:r>
      <w:bookmarkEnd w:id="661"/>
      <w:bookmarkEnd w:id="662"/>
      <w:bookmarkEnd w:id="663"/>
      <w:bookmarkEnd w:id="664"/>
      <w:bookmarkEnd w:id="665"/>
      <w:bookmarkEnd w:id="666"/>
      <w:bookmarkEnd w:id="667"/>
      <w:bookmarkEnd w:id="668"/>
      <w:bookmarkEnd w:id="669"/>
      <w:bookmarkEnd w:id="670"/>
      <w:bookmarkEnd w:id="671"/>
    </w:p>
    <w:p w14:paraId="323DDE4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按照投标人须知前附表的规定，招标人或招标人授权的评标委员会依法确定中标人。</w:t>
      </w:r>
    </w:p>
    <w:p w14:paraId="2ABAF857">
      <w:pPr>
        <w:pStyle w:val="5"/>
        <w:spacing w:line="360" w:lineRule="auto"/>
        <w:ind w:firstLine="0" w:firstLineChars="0"/>
        <w:rPr>
          <w:rFonts w:ascii="宋体" w:hAnsi="宋体" w:eastAsia="宋体" w:cs="宋体"/>
          <w:color w:val="auto"/>
          <w:szCs w:val="24"/>
          <w:highlight w:val="none"/>
        </w:rPr>
      </w:pPr>
      <w:bookmarkStart w:id="672" w:name="_Toc22074"/>
      <w:bookmarkStart w:id="673" w:name="_Toc22955"/>
      <w:bookmarkStart w:id="674" w:name="_Toc28708"/>
      <w:bookmarkStart w:id="675" w:name="_Toc2936"/>
      <w:bookmarkStart w:id="676" w:name="_Toc9194"/>
      <w:bookmarkStart w:id="677" w:name="_Toc492300609"/>
      <w:bookmarkStart w:id="678" w:name="_Toc12343"/>
      <w:bookmarkStart w:id="679" w:name="_Toc31128"/>
      <w:bookmarkStart w:id="680" w:name="_Toc22192"/>
      <w:bookmarkStart w:id="681" w:name="_Toc9845"/>
      <w:bookmarkStart w:id="682" w:name="_Toc20477"/>
      <w:r>
        <w:rPr>
          <w:rFonts w:ascii="宋体" w:hAnsi="宋体" w:eastAsia="宋体" w:cs="宋体"/>
          <w:color w:val="auto"/>
          <w:szCs w:val="24"/>
          <w:highlight w:val="none"/>
        </w:rPr>
        <w:t xml:space="preserve">7.5 </w:t>
      </w:r>
      <w:r>
        <w:rPr>
          <w:rFonts w:hint="eastAsia" w:ascii="宋体" w:hAnsi="宋体" w:eastAsia="宋体" w:cs="宋体"/>
          <w:color w:val="auto"/>
          <w:szCs w:val="24"/>
          <w:highlight w:val="none"/>
        </w:rPr>
        <w:t>中标通知</w:t>
      </w:r>
      <w:bookmarkEnd w:id="672"/>
      <w:bookmarkEnd w:id="673"/>
      <w:bookmarkEnd w:id="674"/>
      <w:bookmarkEnd w:id="675"/>
      <w:bookmarkEnd w:id="676"/>
      <w:bookmarkEnd w:id="677"/>
      <w:bookmarkEnd w:id="678"/>
      <w:bookmarkEnd w:id="679"/>
      <w:bookmarkEnd w:id="680"/>
      <w:bookmarkEnd w:id="681"/>
      <w:bookmarkEnd w:id="682"/>
    </w:p>
    <w:p w14:paraId="267905B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在本章第3.3款规定的投标有效期内，招标人以书面形式向中标人发出中标</w:t>
      </w:r>
      <w:bookmarkStart w:id="683" w:name="_Toc5668"/>
      <w:bookmarkStart w:id="684" w:name="_Toc361508619"/>
      <w:bookmarkStart w:id="685" w:name="_Toc369531550"/>
      <w:bookmarkStart w:id="686" w:name="_Toc384308244"/>
      <w:bookmarkStart w:id="687" w:name="_Toc300834983"/>
      <w:bookmarkStart w:id="688" w:name="_Toc352691506"/>
      <w:r>
        <w:rPr>
          <w:rFonts w:hint="eastAsia" w:ascii="宋体" w:hAnsi="宋体" w:cs="宋体"/>
          <w:color w:val="auto"/>
          <w:sz w:val="24"/>
          <w:szCs w:val="24"/>
          <w:highlight w:val="none"/>
        </w:rPr>
        <w:t>通知书，同时将中</w:t>
      </w:r>
      <w:bookmarkEnd w:id="683"/>
      <w:bookmarkEnd w:id="684"/>
      <w:bookmarkEnd w:id="685"/>
      <w:bookmarkEnd w:id="686"/>
      <w:bookmarkEnd w:id="687"/>
      <w:bookmarkEnd w:id="688"/>
      <w:r>
        <w:rPr>
          <w:rFonts w:hint="eastAsia" w:ascii="宋体" w:hAnsi="宋体" w:cs="宋体"/>
          <w:color w:val="auto"/>
          <w:sz w:val="24"/>
          <w:szCs w:val="24"/>
          <w:highlight w:val="none"/>
        </w:rPr>
        <w:t>标结果通知未中标的投标人。</w:t>
      </w:r>
    </w:p>
    <w:p w14:paraId="2F7DA805">
      <w:pPr>
        <w:pStyle w:val="5"/>
        <w:spacing w:line="360" w:lineRule="auto"/>
        <w:ind w:firstLine="0" w:firstLineChars="0"/>
        <w:rPr>
          <w:rFonts w:ascii="宋体" w:hAnsi="宋体" w:eastAsia="宋体" w:cs="宋体"/>
          <w:color w:val="auto"/>
          <w:szCs w:val="24"/>
          <w:highlight w:val="none"/>
        </w:rPr>
      </w:pPr>
      <w:bookmarkStart w:id="689" w:name="_Toc2673"/>
      <w:bookmarkStart w:id="690" w:name="_Toc28838"/>
      <w:bookmarkStart w:id="691" w:name="_Toc11461"/>
      <w:bookmarkStart w:id="692" w:name="_Toc30658"/>
      <w:bookmarkStart w:id="693" w:name="_Toc29460"/>
      <w:bookmarkStart w:id="694" w:name="_Toc10579"/>
      <w:bookmarkStart w:id="695" w:name="_Toc31786"/>
      <w:bookmarkStart w:id="696" w:name="_Toc8209"/>
      <w:bookmarkStart w:id="697" w:name="_Toc7444"/>
      <w:bookmarkStart w:id="698" w:name="_Toc14148"/>
      <w:bookmarkStart w:id="699" w:name="_Toc492300610"/>
      <w:r>
        <w:rPr>
          <w:rFonts w:ascii="宋体" w:hAnsi="宋体" w:eastAsia="宋体" w:cs="宋体"/>
          <w:color w:val="auto"/>
          <w:szCs w:val="24"/>
          <w:highlight w:val="none"/>
        </w:rPr>
        <w:t xml:space="preserve">7.6 </w:t>
      </w:r>
      <w:r>
        <w:rPr>
          <w:rFonts w:hint="eastAsia" w:ascii="宋体" w:hAnsi="宋体" w:eastAsia="宋体" w:cs="宋体"/>
          <w:color w:val="auto"/>
          <w:szCs w:val="24"/>
          <w:highlight w:val="none"/>
        </w:rPr>
        <w:t>履约保证金</w:t>
      </w:r>
      <w:bookmarkEnd w:id="689"/>
      <w:bookmarkEnd w:id="690"/>
      <w:bookmarkEnd w:id="691"/>
      <w:bookmarkEnd w:id="692"/>
      <w:bookmarkEnd w:id="693"/>
      <w:bookmarkEnd w:id="694"/>
      <w:bookmarkEnd w:id="695"/>
      <w:bookmarkEnd w:id="696"/>
      <w:bookmarkEnd w:id="697"/>
      <w:bookmarkEnd w:id="698"/>
      <w:bookmarkEnd w:id="699"/>
      <w:r>
        <w:rPr>
          <w:rFonts w:hint="eastAsia" w:ascii="宋体" w:hAnsi="宋体" w:eastAsia="宋体" w:cs="宋体"/>
          <w:color w:val="auto"/>
          <w:szCs w:val="24"/>
          <w:highlight w:val="none"/>
          <w:u w:val="single"/>
          <w:lang w:eastAsia="zh-CN"/>
        </w:rPr>
        <w:t>（</w:t>
      </w:r>
      <w:r>
        <w:rPr>
          <w:rFonts w:hint="eastAsia" w:ascii="宋体" w:hAnsi="宋体" w:eastAsia="宋体" w:cs="宋体"/>
          <w:color w:val="auto"/>
          <w:szCs w:val="24"/>
          <w:highlight w:val="none"/>
          <w:u w:val="single"/>
          <w:lang w:val="en-US" w:eastAsia="zh-CN"/>
        </w:rPr>
        <w:t>本项目不要求递交履约保证金</w:t>
      </w:r>
      <w:r>
        <w:rPr>
          <w:rFonts w:hint="eastAsia" w:ascii="宋体" w:hAnsi="宋体" w:eastAsia="宋体" w:cs="宋体"/>
          <w:color w:val="auto"/>
          <w:szCs w:val="24"/>
          <w:highlight w:val="none"/>
          <w:u w:val="single"/>
          <w:lang w:eastAsia="zh-CN"/>
        </w:rPr>
        <w:t>）</w:t>
      </w:r>
    </w:p>
    <w:p w14:paraId="500EEDAF">
      <w:pPr>
        <w:spacing w:line="360" w:lineRule="auto"/>
        <w:ind w:firstLine="480" w:firstLineChars="200"/>
        <w:rPr>
          <w:rFonts w:ascii="宋体" w:hAnsi="宋体" w:cs="宋体"/>
          <w:strike/>
          <w:dstrike w:val="0"/>
          <w:color w:val="auto"/>
          <w:sz w:val="24"/>
          <w:szCs w:val="24"/>
          <w:highlight w:val="none"/>
        </w:rPr>
      </w:pPr>
      <w:r>
        <w:rPr>
          <w:rFonts w:ascii="宋体" w:hAnsi="宋体" w:cs="宋体"/>
          <w:strike/>
          <w:dstrike w:val="0"/>
          <w:color w:val="auto"/>
          <w:sz w:val="24"/>
          <w:szCs w:val="24"/>
          <w:highlight w:val="none"/>
        </w:rPr>
        <w:t xml:space="preserve">7.6.1 </w:t>
      </w:r>
      <w:r>
        <w:rPr>
          <w:rFonts w:hint="eastAsia" w:ascii="宋体" w:hAnsi="宋体" w:cs="宋体"/>
          <w:strike/>
          <w:dstrike w:val="0"/>
          <w:color w:val="auto"/>
          <w:sz w:val="24"/>
          <w:szCs w:val="24"/>
          <w:highlight w:val="none"/>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39C3C513">
      <w:pPr>
        <w:spacing w:line="360" w:lineRule="auto"/>
        <w:ind w:firstLine="480" w:firstLineChars="200"/>
        <w:rPr>
          <w:rFonts w:ascii="宋体" w:hAnsi="宋体" w:cs="宋体"/>
          <w:strike/>
          <w:dstrike w:val="0"/>
          <w:color w:val="auto"/>
          <w:sz w:val="24"/>
          <w:szCs w:val="24"/>
          <w:highlight w:val="none"/>
        </w:rPr>
      </w:pPr>
      <w:r>
        <w:rPr>
          <w:rFonts w:ascii="宋体" w:hAnsi="宋体" w:cs="宋体"/>
          <w:strike/>
          <w:dstrike w:val="0"/>
          <w:color w:val="auto"/>
          <w:sz w:val="24"/>
          <w:szCs w:val="24"/>
          <w:highlight w:val="none"/>
        </w:rPr>
        <w:t xml:space="preserve">7.6.2 </w:t>
      </w:r>
      <w:r>
        <w:rPr>
          <w:rFonts w:hint="eastAsia" w:ascii="宋体" w:hAnsi="宋体" w:cs="宋体"/>
          <w:strike/>
          <w:dstrike w:val="0"/>
          <w:color w:val="auto"/>
          <w:sz w:val="24"/>
          <w:szCs w:val="24"/>
          <w:highlight w:val="none"/>
        </w:rPr>
        <w:t>中标人不能按本章第7.6.1项要求提交履约保证金的，视为放弃中标，其投标保证金不予退还，给招标人造成的损失超过投标保证金数额的，中标人还应当对超过部分予以赔偿。</w:t>
      </w:r>
    </w:p>
    <w:p w14:paraId="773A2137">
      <w:pPr>
        <w:pStyle w:val="5"/>
        <w:spacing w:line="360" w:lineRule="auto"/>
        <w:ind w:firstLine="0" w:firstLineChars="0"/>
        <w:rPr>
          <w:rFonts w:ascii="宋体" w:hAnsi="宋体" w:eastAsia="宋体" w:cs="宋体"/>
          <w:color w:val="auto"/>
          <w:szCs w:val="24"/>
          <w:highlight w:val="none"/>
        </w:rPr>
      </w:pPr>
      <w:bookmarkStart w:id="700" w:name="_Toc21668"/>
      <w:bookmarkStart w:id="701" w:name="_Toc23355"/>
      <w:bookmarkStart w:id="702" w:name="_Toc28497"/>
      <w:bookmarkStart w:id="703" w:name="_Toc492300611"/>
      <w:bookmarkStart w:id="704" w:name="_Toc18227"/>
      <w:bookmarkStart w:id="705" w:name="_Toc22239"/>
      <w:bookmarkStart w:id="706" w:name="_Toc1050"/>
      <w:bookmarkStart w:id="707" w:name="_Toc4249"/>
      <w:bookmarkStart w:id="708" w:name="_Toc6210"/>
      <w:bookmarkStart w:id="709" w:name="_Toc25434"/>
      <w:bookmarkStart w:id="710" w:name="_Toc25308"/>
      <w:r>
        <w:rPr>
          <w:rFonts w:ascii="宋体" w:hAnsi="宋体" w:eastAsia="宋体" w:cs="宋体"/>
          <w:color w:val="auto"/>
          <w:szCs w:val="24"/>
          <w:highlight w:val="none"/>
        </w:rPr>
        <w:t xml:space="preserve">7.7 </w:t>
      </w:r>
      <w:r>
        <w:rPr>
          <w:rFonts w:hint="eastAsia" w:ascii="宋体" w:hAnsi="宋体" w:eastAsia="宋体" w:cs="宋体"/>
          <w:color w:val="auto"/>
          <w:szCs w:val="24"/>
          <w:highlight w:val="none"/>
        </w:rPr>
        <w:t>签订合同</w:t>
      </w:r>
      <w:bookmarkEnd w:id="700"/>
      <w:bookmarkEnd w:id="701"/>
      <w:bookmarkEnd w:id="702"/>
      <w:bookmarkEnd w:id="703"/>
      <w:bookmarkEnd w:id="704"/>
      <w:bookmarkEnd w:id="705"/>
      <w:bookmarkEnd w:id="706"/>
      <w:bookmarkEnd w:id="707"/>
      <w:bookmarkEnd w:id="708"/>
      <w:bookmarkEnd w:id="709"/>
      <w:bookmarkEnd w:id="710"/>
    </w:p>
    <w:p w14:paraId="2AA8A929">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7.7.1 </w:t>
      </w:r>
      <w:r>
        <w:rPr>
          <w:rFonts w:hint="eastAsia" w:ascii="宋体" w:hAnsi="宋体" w:cs="宋体"/>
          <w:color w:val="auto"/>
          <w:sz w:val="24"/>
          <w:szCs w:val="24"/>
          <w:highlight w:val="none"/>
        </w:rPr>
        <w:t>招标人和中标人应当在中标通知书发出之日起30日内，根据招标文件和中标人的投标文件订立书面合同。中标人无正当理由拒签合同，在签订合同时向招标人提出附加条件，</w:t>
      </w:r>
      <w:r>
        <w:rPr>
          <w:rFonts w:hint="eastAsia" w:ascii="宋体" w:hAnsi="宋体" w:cs="宋体"/>
          <w:strike/>
          <w:dstrike w:val="0"/>
          <w:color w:val="auto"/>
          <w:sz w:val="24"/>
          <w:szCs w:val="24"/>
          <w:highlight w:val="none"/>
        </w:rPr>
        <w:t>或者不按照招标文件要求提交履约保证金的，</w:t>
      </w:r>
      <w:r>
        <w:rPr>
          <w:rFonts w:hint="eastAsia" w:ascii="宋体" w:hAnsi="宋体" w:cs="宋体"/>
          <w:color w:val="auto"/>
          <w:sz w:val="24"/>
          <w:szCs w:val="24"/>
          <w:highlight w:val="none"/>
        </w:rPr>
        <w:t>招标人有权取消其中标资格</w:t>
      </w:r>
      <w:r>
        <w:rPr>
          <w:rFonts w:hint="eastAsia" w:ascii="宋体" w:hAnsi="宋体" w:cs="宋体"/>
          <w:strike/>
          <w:dstrike w:val="0"/>
          <w:color w:val="auto"/>
          <w:sz w:val="24"/>
          <w:szCs w:val="24"/>
          <w:highlight w:val="none"/>
        </w:rPr>
        <w:t>，其投标保证金不予退还</w:t>
      </w:r>
      <w:r>
        <w:rPr>
          <w:rFonts w:hint="eastAsia" w:ascii="宋体" w:hAnsi="宋体" w:cs="宋体"/>
          <w:color w:val="auto"/>
          <w:sz w:val="24"/>
          <w:szCs w:val="24"/>
          <w:highlight w:val="none"/>
        </w:rPr>
        <w:t>；给招标人造成的损失</w:t>
      </w:r>
      <w:r>
        <w:rPr>
          <w:rFonts w:hint="eastAsia" w:ascii="宋体" w:hAnsi="宋体" w:cs="宋体"/>
          <w:strike/>
          <w:dstrike w:val="0"/>
          <w:color w:val="auto"/>
          <w:sz w:val="24"/>
          <w:szCs w:val="24"/>
          <w:highlight w:val="none"/>
        </w:rPr>
        <w:t>超过投标保证金数额</w:t>
      </w:r>
      <w:r>
        <w:rPr>
          <w:rFonts w:hint="eastAsia" w:ascii="宋体" w:hAnsi="宋体" w:cs="宋体"/>
          <w:color w:val="auto"/>
          <w:sz w:val="24"/>
          <w:szCs w:val="24"/>
          <w:highlight w:val="none"/>
        </w:rPr>
        <w:t>的，中标人还应当</w:t>
      </w:r>
      <w:r>
        <w:rPr>
          <w:rFonts w:hint="eastAsia" w:ascii="宋体" w:hAnsi="宋体" w:cs="宋体"/>
          <w:strike/>
          <w:dstrike w:val="0"/>
          <w:color w:val="auto"/>
          <w:sz w:val="24"/>
          <w:szCs w:val="24"/>
          <w:highlight w:val="none"/>
        </w:rPr>
        <w:t>对超过部分</w:t>
      </w:r>
      <w:r>
        <w:rPr>
          <w:rFonts w:hint="eastAsia" w:ascii="宋体" w:hAnsi="宋体" w:cs="宋体"/>
          <w:color w:val="auto"/>
          <w:sz w:val="24"/>
          <w:szCs w:val="24"/>
          <w:highlight w:val="none"/>
        </w:rPr>
        <w:t>予以赔偿。</w:t>
      </w:r>
    </w:p>
    <w:p w14:paraId="6EC5D21B">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7.7.2 </w:t>
      </w:r>
      <w:r>
        <w:rPr>
          <w:rFonts w:hint="eastAsia" w:ascii="宋体" w:hAnsi="宋体" w:cs="宋体"/>
          <w:color w:val="auto"/>
          <w:sz w:val="24"/>
          <w:szCs w:val="24"/>
          <w:highlight w:val="none"/>
        </w:rPr>
        <w:t>发出中标通知书后，招标人无正当理由拒签合同，或者在签订合同时向中标人提出附加条件的，</w:t>
      </w:r>
      <w:r>
        <w:rPr>
          <w:rFonts w:hint="eastAsia" w:ascii="宋体" w:hAnsi="宋体" w:cs="宋体"/>
          <w:strike/>
          <w:dstrike w:val="0"/>
          <w:color w:val="auto"/>
          <w:sz w:val="24"/>
          <w:szCs w:val="24"/>
          <w:highlight w:val="none"/>
        </w:rPr>
        <w:t>招标人向中标人退还投标保证金；</w:t>
      </w:r>
      <w:r>
        <w:rPr>
          <w:rFonts w:hint="eastAsia" w:ascii="宋体" w:hAnsi="宋体" w:cs="宋体"/>
          <w:color w:val="auto"/>
          <w:sz w:val="24"/>
          <w:szCs w:val="24"/>
          <w:highlight w:val="none"/>
        </w:rPr>
        <w:t>给中标人造成损失的，</w:t>
      </w:r>
      <w:r>
        <w:rPr>
          <w:rFonts w:hint="eastAsia" w:ascii="宋体" w:hAnsi="宋体" w:cs="宋体"/>
          <w:strike/>
          <w:dstrike w:val="0"/>
          <w:color w:val="auto"/>
          <w:sz w:val="24"/>
          <w:szCs w:val="24"/>
          <w:highlight w:val="none"/>
        </w:rPr>
        <w:t>还</w:t>
      </w:r>
      <w:r>
        <w:rPr>
          <w:rFonts w:hint="eastAsia" w:ascii="宋体" w:hAnsi="宋体" w:cs="宋体"/>
          <w:color w:val="auto"/>
          <w:sz w:val="24"/>
          <w:szCs w:val="24"/>
          <w:highlight w:val="none"/>
        </w:rPr>
        <w:t>应当赔偿损失。</w:t>
      </w:r>
    </w:p>
    <w:p w14:paraId="6BE58056">
      <w:pPr>
        <w:spacing w:line="360" w:lineRule="auto"/>
        <w:ind w:firstLine="480" w:firstLineChars="200"/>
        <w:rPr>
          <w:rFonts w:ascii="宋体" w:hAnsi="宋体" w:cs="宋体"/>
          <w:strike w:val="0"/>
          <w:dstrike w:val="0"/>
          <w:color w:val="auto"/>
          <w:sz w:val="24"/>
          <w:szCs w:val="24"/>
          <w:highlight w:val="none"/>
        </w:rPr>
      </w:pPr>
      <w:r>
        <w:rPr>
          <w:rFonts w:ascii="宋体" w:hAnsi="宋体" w:cs="宋体"/>
          <w:strike w:val="0"/>
          <w:dstrike w:val="0"/>
          <w:color w:val="auto"/>
          <w:sz w:val="24"/>
          <w:szCs w:val="24"/>
          <w:highlight w:val="none"/>
        </w:rPr>
        <w:t>7.7.3</w:t>
      </w:r>
      <w:r>
        <w:rPr>
          <w:rFonts w:hint="eastAsia" w:ascii="宋体" w:hAnsi="宋体" w:cs="宋体"/>
          <w:strike w:val="0"/>
          <w:dstrike w:val="0"/>
          <w:color w:val="auto"/>
          <w:sz w:val="24"/>
          <w:szCs w:val="24"/>
          <w:highlight w:val="none"/>
        </w:rPr>
        <w:t>联合体中标的，联合体各方应当</w:t>
      </w:r>
      <w:r>
        <w:rPr>
          <w:rFonts w:ascii="宋体" w:hAnsi="宋体" w:cs="宋体"/>
          <w:strike w:val="0"/>
          <w:dstrike w:val="0"/>
          <w:color w:val="auto"/>
          <w:sz w:val="24"/>
          <w:szCs w:val="24"/>
          <w:highlight w:val="none"/>
        </w:rPr>
        <w:t>共同</w:t>
      </w:r>
      <w:r>
        <w:rPr>
          <w:rFonts w:hint="eastAsia" w:ascii="宋体" w:hAnsi="宋体" w:cs="宋体"/>
          <w:strike w:val="0"/>
          <w:dstrike w:val="0"/>
          <w:color w:val="auto"/>
          <w:sz w:val="24"/>
          <w:szCs w:val="24"/>
          <w:highlight w:val="none"/>
        </w:rPr>
        <w:t>与招标人签订合同，就中标项目向招标人承担连带责任。</w:t>
      </w:r>
    </w:p>
    <w:p w14:paraId="1988DC91">
      <w:pPr>
        <w:pStyle w:val="4"/>
        <w:spacing w:line="360" w:lineRule="auto"/>
        <w:rPr>
          <w:rFonts w:ascii="宋体" w:hAnsi="宋体" w:eastAsia="宋体" w:cs="宋体"/>
          <w:color w:val="auto"/>
          <w:sz w:val="28"/>
          <w:szCs w:val="28"/>
          <w:highlight w:val="none"/>
        </w:rPr>
      </w:pPr>
      <w:bookmarkStart w:id="711" w:name="_Toc384308252"/>
      <w:bookmarkStart w:id="712" w:name="_Toc24067"/>
      <w:bookmarkStart w:id="713" w:name="_Toc361508627"/>
      <w:bookmarkStart w:id="714" w:name="_Toc15061"/>
      <w:bookmarkStart w:id="715" w:name="_Toc14302"/>
      <w:bookmarkStart w:id="716" w:name="_Toc16626"/>
      <w:bookmarkStart w:id="717" w:name="_Toc25547"/>
      <w:bookmarkStart w:id="718" w:name="_Toc31097"/>
      <w:bookmarkStart w:id="719" w:name="_Toc5519"/>
      <w:bookmarkStart w:id="720" w:name="_Toc12616"/>
      <w:bookmarkStart w:id="721" w:name="_Toc642"/>
      <w:bookmarkStart w:id="722" w:name="_Toc15194"/>
      <w:bookmarkStart w:id="723" w:name="_Toc5631"/>
      <w:bookmarkStart w:id="724" w:name="_Toc492300612"/>
      <w:bookmarkStart w:id="725" w:name="_Toc247527593"/>
      <w:bookmarkStart w:id="726" w:name="_Toc152045568"/>
      <w:bookmarkStart w:id="727" w:name="_Toc152042344"/>
      <w:bookmarkStart w:id="728" w:name="_Toc247513992"/>
      <w:bookmarkStart w:id="729" w:name="_Toc300834991"/>
      <w:bookmarkStart w:id="730" w:name="_Toc144974536"/>
      <w:r>
        <w:rPr>
          <w:rFonts w:ascii="宋体" w:hAnsi="宋体" w:eastAsia="宋体" w:cs="宋体"/>
          <w:color w:val="auto"/>
          <w:sz w:val="28"/>
          <w:szCs w:val="28"/>
          <w:highlight w:val="none"/>
        </w:rPr>
        <w:t>8.</w:t>
      </w:r>
      <w:bookmarkEnd w:id="711"/>
      <w:bookmarkEnd w:id="712"/>
      <w:bookmarkEnd w:id="713"/>
      <w:r>
        <w:rPr>
          <w:rFonts w:hint="eastAsia" w:ascii="宋体" w:hAnsi="宋体" w:eastAsia="宋体" w:cs="宋体"/>
          <w:color w:val="auto"/>
          <w:sz w:val="28"/>
          <w:szCs w:val="28"/>
          <w:highlight w:val="none"/>
        </w:rPr>
        <w:t>纪律和监督</w:t>
      </w:r>
      <w:bookmarkEnd w:id="714"/>
      <w:bookmarkEnd w:id="715"/>
      <w:bookmarkEnd w:id="716"/>
      <w:bookmarkEnd w:id="717"/>
      <w:bookmarkEnd w:id="718"/>
      <w:bookmarkEnd w:id="719"/>
      <w:bookmarkEnd w:id="720"/>
      <w:bookmarkEnd w:id="721"/>
      <w:bookmarkEnd w:id="722"/>
      <w:bookmarkEnd w:id="723"/>
      <w:bookmarkEnd w:id="724"/>
    </w:p>
    <w:p w14:paraId="1739167B">
      <w:pPr>
        <w:pStyle w:val="5"/>
        <w:spacing w:line="360" w:lineRule="auto"/>
        <w:ind w:firstLine="0" w:firstLineChars="0"/>
        <w:rPr>
          <w:rFonts w:ascii="宋体" w:hAnsi="宋体" w:eastAsia="宋体" w:cs="宋体"/>
          <w:color w:val="auto"/>
          <w:szCs w:val="24"/>
          <w:highlight w:val="none"/>
        </w:rPr>
      </w:pPr>
      <w:bookmarkStart w:id="731" w:name="_Toc15883"/>
      <w:bookmarkStart w:id="732" w:name="_Toc4178"/>
      <w:bookmarkStart w:id="733" w:name="_Toc11398"/>
      <w:bookmarkStart w:id="734" w:name="_Toc492300613"/>
      <w:bookmarkStart w:id="735" w:name="_Toc21301"/>
      <w:bookmarkStart w:id="736" w:name="_Toc16376"/>
      <w:bookmarkStart w:id="737" w:name="_Toc18110"/>
      <w:bookmarkStart w:id="738" w:name="_Toc23120"/>
      <w:bookmarkStart w:id="739" w:name="_Toc9299"/>
      <w:bookmarkStart w:id="740" w:name="_Toc32544"/>
      <w:bookmarkStart w:id="741" w:name="_Toc21921"/>
      <w:r>
        <w:rPr>
          <w:rFonts w:ascii="宋体" w:hAnsi="宋体" w:eastAsia="宋体" w:cs="宋体"/>
          <w:color w:val="auto"/>
          <w:szCs w:val="24"/>
          <w:highlight w:val="none"/>
        </w:rPr>
        <w:t xml:space="preserve">8.1 </w:t>
      </w:r>
      <w:r>
        <w:rPr>
          <w:rFonts w:hint="eastAsia" w:ascii="宋体" w:hAnsi="宋体" w:eastAsia="宋体" w:cs="宋体"/>
          <w:color w:val="auto"/>
          <w:szCs w:val="24"/>
          <w:highlight w:val="none"/>
        </w:rPr>
        <w:t>对招标人的纪律要求</w:t>
      </w:r>
      <w:bookmarkEnd w:id="731"/>
      <w:bookmarkEnd w:id="732"/>
      <w:bookmarkEnd w:id="733"/>
      <w:bookmarkEnd w:id="734"/>
      <w:bookmarkEnd w:id="735"/>
      <w:bookmarkEnd w:id="736"/>
      <w:bookmarkEnd w:id="737"/>
      <w:bookmarkEnd w:id="738"/>
      <w:bookmarkEnd w:id="739"/>
      <w:bookmarkEnd w:id="740"/>
      <w:bookmarkEnd w:id="741"/>
    </w:p>
    <w:p w14:paraId="1FA2AE2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招标人不得泄露招标投标活动中应当保密的情况和资料，不得与投标人串通损害国家利益、社会公共利益或者他人合法权益。</w:t>
      </w:r>
    </w:p>
    <w:p w14:paraId="6167C18A">
      <w:pPr>
        <w:pStyle w:val="5"/>
        <w:spacing w:line="360" w:lineRule="auto"/>
        <w:ind w:firstLine="0" w:firstLineChars="0"/>
        <w:rPr>
          <w:rFonts w:ascii="宋体" w:hAnsi="宋体" w:eastAsia="宋体" w:cs="宋体"/>
          <w:color w:val="auto"/>
          <w:szCs w:val="24"/>
          <w:highlight w:val="none"/>
        </w:rPr>
      </w:pPr>
      <w:bookmarkStart w:id="742" w:name="_Toc23526"/>
      <w:bookmarkStart w:id="743" w:name="_Toc7748"/>
      <w:bookmarkStart w:id="744" w:name="_Toc21145"/>
      <w:bookmarkStart w:id="745" w:name="_Toc13684"/>
      <w:bookmarkStart w:id="746" w:name="_Toc492300614"/>
      <w:bookmarkStart w:id="747" w:name="_Toc31887"/>
      <w:bookmarkStart w:id="748" w:name="_Toc32615"/>
      <w:bookmarkStart w:id="749" w:name="_Toc8183"/>
      <w:bookmarkStart w:id="750" w:name="_Toc14517"/>
      <w:bookmarkStart w:id="751" w:name="_Toc6541"/>
      <w:bookmarkStart w:id="752" w:name="_Toc28671"/>
      <w:r>
        <w:rPr>
          <w:rFonts w:ascii="宋体" w:hAnsi="宋体" w:eastAsia="宋体" w:cs="宋体"/>
          <w:color w:val="auto"/>
          <w:szCs w:val="24"/>
          <w:highlight w:val="none"/>
        </w:rPr>
        <w:t xml:space="preserve">8.2 </w:t>
      </w:r>
      <w:r>
        <w:rPr>
          <w:rFonts w:hint="eastAsia" w:ascii="宋体" w:hAnsi="宋体" w:eastAsia="宋体" w:cs="宋体"/>
          <w:color w:val="auto"/>
          <w:szCs w:val="24"/>
          <w:highlight w:val="none"/>
        </w:rPr>
        <w:t>对投标人的纪律要求</w:t>
      </w:r>
      <w:bookmarkEnd w:id="742"/>
      <w:bookmarkEnd w:id="743"/>
      <w:bookmarkEnd w:id="744"/>
      <w:bookmarkEnd w:id="745"/>
      <w:bookmarkEnd w:id="746"/>
      <w:bookmarkEnd w:id="747"/>
      <w:bookmarkEnd w:id="748"/>
      <w:bookmarkEnd w:id="749"/>
      <w:bookmarkEnd w:id="750"/>
      <w:bookmarkEnd w:id="751"/>
      <w:bookmarkEnd w:id="752"/>
    </w:p>
    <w:p w14:paraId="758A4A3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94608CB">
      <w:pPr>
        <w:pStyle w:val="5"/>
        <w:spacing w:line="360" w:lineRule="auto"/>
        <w:ind w:firstLine="0" w:firstLineChars="0"/>
        <w:rPr>
          <w:rFonts w:ascii="宋体" w:hAnsi="宋体" w:eastAsia="宋体" w:cs="宋体"/>
          <w:color w:val="auto"/>
          <w:szCs w:val="24"/>
          <w:highlight w:val="none"/>
        </w:rPr>
      </w:pPr>
      <w:bookmarkStart w:id="753" w:name="_Toc6527"/>
      <w:bookmarkStart w:id="754" w:name="_Toc10298"/>
      <w:bookmarkStart w:id="755" w:name="_Toc21474"/>
      <w:bookmarkStart w:id="756" w:name="_Toc1865"/>
      <w:bookmarkStart w:id="757" w:name="_Toc30851"/>
      <w:bookmarkStart w:id="758" w:name="_Toc15814"/>
      <w:bookmarkStart w:id="759" w:name="_Toc941"/>
      <w:bookmarkStart w:id="760" w:name="_Toc28223"/>
      <w:bookmarkStart w:id="761" w:name="_Toc25078"/>
      <w:bookmarkStart w:id="762" w:name="_Toc492300615"/>
      <w:bookmarkStart w:id="763" w:name="_Toc7612"/>
      <w:r>
        <w:rPr>
          <w:rFonts w:ascii="宋体" w:hAnsi="宋体" w:eastAsia="宋体" w:cs="宋体"/>
          <w:color w:val="auto"/>
          <w:szCs w:val="24"/>
          <w:highlight w:val="none"/>
        </w:rPr>
        <w:t xml:space="preserve">8.3 </w:t>
      </w:r>
      <w:r>
        <w:rPr>
          <w:rFonts w:hint="eastAsia" w:ascii="宋体" w:hAnsi="宋体" w:eastAsia="宋体" w:cs="宋体"/>
          <w:color w:val="auto"/>
          <w:szCs w:val="24"/>
          <w:highlight w:val="none"/>
        </w:rPr>
        <w:t>对评标委员会成员的纪律要求</w:t>
      </w:r>
      <w:bookmarkEnd w:id="753"/>
      <w:bookmarkEnd w:id="754"/>
      <w:bookmarkEnd w:id="755"/>
      <w:bookmarkEnd w:id="756"/>
      <w:bookmarkEnd w:id="757"/>
      <w:bookmarkEnd w:id="758"/>
      <w:bookmarkEnd w:id="759"/>
      <w:bookmarkEnd w:id="760"/>
      <w:bookmarkEnd w:id="761"/>
      <w:bookmarkEnd w:id="762"/>
      <w:bookmarkEnd w:id="763"/>
    </w:p>
    <w:p w14:paraId="2604CA4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评标委员会成员不得收受他人的财物或者其他好处，不得向他人透露对投标文件的评审</w:t>
      </w:r>
      <w:bookmarkStart w:id="764" w:name="_Toc13644"/>
      <w:bookmarkStart w:id="765" w:name="_Toc352691515"/>
      <w:bookmarkStart w:id="766" w:name="_Toc361508628"/>
      <w:bookmarkStart w:id="767" w:name="_Toc384308253"/>
      <w:bookmarkStart w:id="768" w:name="_Toc369531559"/>
      <w:r>
        <w:rPr>
          <w:rFonts w:hint="eastAsia" w:ascii="宋体" w:hAnsi="宋体" w:cs="宋体"/>
          <w:color w:val="auto"/>
          <w:sz w:val="24"/>
          <w:szCs w:val="24"/>
          <w:highlight w:val="none"/>
        </w:rPr>
        <w:t>和比较、中标候选人</w:t>
      </w:r>
      <w:bookmarkEnd w:id="725"/>
      <w:bookmarkEnd w:id="726"/>
      <w:bookmarkEnd w:id="727"/>
      <w:bookmarkEnd w:id="728"/>
      <w:bookmarkEnd w:id="729"/>
      <w:bookmarkEnd w:id="730"/>
      <w:bookmarkEnd w:id="764"/>
      <w:bookmarkEnd w:id="765"/>
      <w:bookmarkEnd w:id="766"/>
      <w:bookmarkEnd w:id="767"/>
      <w:bookmarkEnd w:id="768"/>
      <w:r>
        <w:rPr>
          <w:rFonts w:hint="eastAsia" w:ascii="宋体" w:hAnsi="宋体" w:cs="宋体"/>
          <w:color w:val="auto"/>
          <w:sz w:val="24"/>
          <w:szCs w:val="24"/>
          <w:highlight w:val="none"/>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4EE2652">
      <w:pPr>
        <w:pStyle w:val="5"/>
        <w:spacing w:line="360" w:lineRule="auto"/>
        <w:ind w:firstLine="0" w:firstLineChars="0"/>
        <w:rPr>
          <w:rFonts w:ascii="宋体" w:hAnsi="宋体" w:eastAsia="宋体" w:cs="宋体"/>
          <w:color w:val="auto"/>
          <w:szCs w:val="24"/>
          <w:highlight w:val="none"/>
        </w:rPr>
      </w:pPr>
      <w:bookmarkStart w:id="769" w:name="_Toc492300616"/>
      <w:bookmarkStart w:id="770" w:name="_Toc8939"/>
      <w:bookmarkStart w:id="771" w:name="_Toc282"/>
      <w:bookmarkStart w:id="772" w:name="_Toc3593"/>
      <w:bookmarkStart w:id="773" w:name="_Toc27753"/>
      <w:bookmarkStart w:id="774" w:name="_Toc684"/>
      <w:bookmarkStart w:id="775" w:name="_Toc22625"/>
      <w:bookmarkStart w:id="776" w:name="_Toc30798"/>
      <w:bookmarkStart w:id="777" w:name="_Toc28320"/>
      <w:bookmarkStart w:id="778" w:name="_Toc13979"/>
      <w:bookmarkStart w:id="779" w:name="_Toc5380"/>
      <w:r>
        <w:rPr>
          <w:rFonts w:ascii="宋体" w:hAnsi="宋体" w:eastAsia="宋体" w:cs="宋体"/>
          <w:color w:val="auto"/>
          <w:szCs w:val="24"/>
          <w:highlight w:val="none"/>
        </w:rPr>
        <w:t xml:space="preserve">8.4 </w:t>
      </w:r>
      <w:r>
        <w:rPr>
          <w:rFonts w:hint="eastAsia" w:ascii="宋体" w:hAnsi="宋体" w:eastAsia="宋体" w:cs="宋体"/>
          <w:color w:val="auto"/>
          <w:szCs w:val="24"/>
          <w:highlight w:val="none"/>
        </w:rPr>
        <w:t>对与评标活动有关的工作人员的纪律要求</w:t>
      </w:r>
      <w:bookmarkEnd w:id="769"/>
      <w:bookmarkEnd w:id="770"/>
      <w:bookmarkEnd w:id="771"/>
      <w:bookmarkEnd w:id="772"/>
      <w:bookmarkEnd w:id="773"/>
      <w:bookmarkEnd w:id="774"/>
      <w:bookmarkEnd w:id="775"/>
      <w:bookmarkEnd w:id="776"/>
      <w:bookmarkEnd w:id="777"/>
      <w:bookmarkEnd w:id="778"/>
      <w:bookmarkEnd w:id="779"/>
    </w:p>
    <w:p w14:paraId="7C29721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与评标活动有关的工作人员不得收受他人的财物或者其他好处，不得向他人透露对投标文件</w:t>
      </w:r>
      <w:bookmarkStart w:id="780" w:name="_Toc152045569"/>
      <w:bookmarkStart w:id="781" w:name="_Toc384308254"/>
      <w:bookmarkStart w:id="782" w:name="_Toc361508629"/>
      <w:bookmarkStart w:id="783" w:name="_Toc352691516"/>
      <w:bookmarkStart w:id="784" w:name="_Toc144974537"/>
      <w:bookmarkStart w:id="785" w:name="_Toc152042345"/>
      <w:bookmarkStart w:id="786" w:name="_Toc247513993"/>
      <w:bookmarkStart w:id="787" w:name="_Toc300834992"/>
      <w:bookmarkStart w:id="788" w:name="_Toc19429"/>
      <w:bookmarkStart w:id="789" w:name="_Toc247527594"/>
      <w:bookmarkStart w:id="790" w:name="_Toc369531560"/>
      <w:r>
        <w:rPr>
          <w:rFonts w:hint="eastAsia" w:ascii="宋体" w:hAnsi="宋体" w:cs="宋体"/>
          <w:color w:val="auto"/>
          <w:sz w:val="24"/>
          <w:szCs w:val="24"/>
          <w:highlight w:val="none"/>
        </w:rPr>
        <w:t>的评审和比较、中标</w:t>
      </w:r>
      <w:bookmarkEnd w:id="780"/>
      <w:bookmarkEnd w:id="781"/>
      <w:bookmarkEnd w:id="782"/>
      <w:bookmarkEnd w:id="783"/>
      <w:bookmarkEnd w:id="784"/>
      <w:bookmarkEnd w:id="785"/>
      <w:bookmarkEnd w:id="786"/>
      <w:bookmarkEnd w:id="787"/>
      <w:bookmarkEnd w:id="788"/>
      <w:bookmarkEnd w:id="789"/>
      <w:bookmarkEnd w:id="790"/>
      <w:r>
        <w:rPr>
          <w:rFonts w:hint="eastAsia" w:ascii="宋体" w:hAnsi="宋体" w:cs="宋体"/>
          <w:color w:val="auto"/>
          <w:sz w:val="24"/>
          <w:szCs w:val="24"/>
          <w:highlight w:val="none"/>
        </w:rPr>
        <w:t>候选人的推荐情况以及评标有关的其他情况。在评标活动中，与评标活动有关的工作人员不得擅离职守，影响评标程序正常进行。</w:t>
      </w:r>
    </w:p>
    <w:p w14:paraId="6FC1B6AA">
      <w:pPr>
        <w:pStyle w:val="5"/>
        <w:spacing w:line="360" w:lineRule="auto"/>
        <w:ind w:firstLine="0" w:firstLineChars="0"/>
        <w:rPr>
          <w:rFonts w:ascii="宋体" w:hAnsi="宋体" w:eastAsia="宋体" w:cs="宋体"/>
          <w:color w:val="auto"/>
          <w:szCs w:val="24"/>
          <w:highlight w:val="none"/>
        </w:rPr>
      </w:pPr>
      <w:bookmarkStart w:id="791" w:name="_Toc15494"/>
      <w:bookmarkStart w:id="792" w:name="_Toc22474"/>
      <w:bookmarkStart w:id="793" w:name="_Toc2142"/>
      <w:bookmarkStart w:id="794" w:name="_Toc24577"/>
      <w:bookmarkStart w:id="795" w:name="_Toc14715"/>
      <w:bookmarkStart w:id="796" w:name="_Toc19832"/>
      <w:bookmarkStart w:id="797" w:name="_Toc492300617"/>
      <w:bookmarkStart w:id="798" w:name="_Toc9633"/>
      <w:bookmarkStart w:id="799" w:name="_Toc27306"/>
      <w:bookmarkStart w:id="800" w:name="_Toc1751"/>
      <w:bookmarkStart w:id="801" w:name="_Toc27624"/>
      <w:r>
        <w:rPr>
          <w:rFonts w:ascii="宋体" w:hAnsi="宋体" w:eastAsia="宋体" w:cs="宋体"/>
          <w:color w:val="auto"/>
          <w:szCs w:val="24"/>
          <w:highlight w:val="none"/>
        </w:rPr>
        <w:t xml:space="preserve">8.5 </w:t>
      </w:r>
      <w:r>
        <w:rPr>
          <w:rFonts w:hint="eastAsia" w:ascii="宋体" w:hAnsi="宋体" w:eastAsia="宋体" w:cs="宋体"/>
          <w:color w:val="auto"/>
          <w:szCs w:val="24"/>
          <w:highlight w:val="none"/>
        </w:rPr>
        <w:t>投诉</w:t>
      </w:r>
      <w:bookmarkEnd w:id="791"/>
      <w:bookmarkEnd w:id="792"/>
      <w:bookmarkEnd w:id="793"/>
      <w:bookmarkEnd w:id="794"/>
      <w:bookmarkEnd w:id="795"/>
      <w:bookmarkEnd w:id="796"/>
      <w:bookmarkEnd w:id="797"/>
      <w:bookmarkEnd w:id="798"/>
      <w:bookmarkEnd w:id="799"/>
      <w:bookmarkEnd w:id="800"/>
      <w:bookmarkEnd w:id="801"/>
    </w:p>
    <w:p w14:paraId="1CCDF0F6">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8.5.1 </w:t>
      </w:r>
      <w:r>
        <w:rPr>
          <w:rFonts w:hint="eastAsia" w:ascii="宋体" w:hAnsi="宋体" w:cs="宋体"/>
          <w:color w:val="auto"/>
          <w:sz w:val="24"/>
          <w:szCs w:val="24"/>
          <w:highlight w:val="none"/>
        </w:rPr>
        <w:t>投标人或者其他利害关系人认为招标投标活动不符合法律、行政法规规定的，可以自知道或者应当知道之日起10日内向有关行政监督部门投诉。投诉应当有明确的请求和必要的证明材料。</w:t>
      </w:r>
    </w:p>
    <w:p w14:paraId="09819988">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8.5.2 </w:t>
      </w:r>
      <w:r>
        <w:rPr>
          <w:rFonts w:hint="eastAsia" w:ascii="宋体" w:hAnsi="宋体" w:cs="宋体"/>
          <w:color w:val="auto"/>
          <w:sz w:val="24"/>
          <w:szCs w:val="24"/>
          <w:highlight w:val="none"/>
        </w:rPr>
        <w:t>投标人或者其他利害关系人对招标文件、开标和评标结果提出投诉的，应当按照投标人须知第2.4款、第5.3款和第7.2款的规定先向招标人提出异议。异议答复期间</w:t>
      </w:r>
      <w:bookmarkStart w:id="802" w:name="_Toc361508630"/>
      <w:bookmarkStart w:id="803" w:name="_Toc152045570"/>
      <w:bookmarkStart w:id="804" w:name="_Toc144974538"/>
      <w:bookmarkStart w:id="805" w:name="_Toc352691517"/>
      <w:bookmarkStart w:id="806" w:name="_Toc247513994"/>
      <w:bookmarkStart w:id="807" w:name="_Toc247527595"/>
      <w:bookmarkStart w:id="808" w:name="_Toc384308255"/>
      <w:bookmarkStart w:id="809" w:name="_Toc300834993"/>
      <w:bookmarkStart w:id="810" w:name="_Toc369531561"/>
      <w:bookmarkStart w:id="811" w:name="_Toc152042346"/>
      <w:bookmarkStart w:id="812" w:name="_Toc12776"/>
      <w:r>
        <w:rPr>
          <w:rFonts w:hint="eastAsia" w:ascii="宋体" w:hAnsi="宋体" w:cs="宋体"/>
          <w:color w:val="auto"/>
          <w:sz w:val="24"/>
          <w:szCs w:val="24"/>
          <w:highlight w:val="none"/>
        </w:rPr>
        <w:t>不计算在第8.5.</w:t>
      </w:r>
      <w:bookmarkEnd w:id="802"/>
      <w:bookmarkEnd w:id="803"/>
      <w:bookmarkEnd w:id="804"/>
      <w:bookmarkEnd w:id="805"/>
      <w:bookmarkEnd w:id="806"/>
      <w:bookmarkEnd w:id="807"/>
      <w:bookmarkEnd w:id="808"/>
      <w:bookmarkEnd w:id="809"/>
      <w:bookmarkEnd w:id="810"/>
      <w:bookmarkEnd w:id="811"/>
      <w:bookmarkEnd w:id="812"/>
      <w:r>
        <w:rPr>
          <w:rFonts w:hint="eastAsia" w:ascii="宋体" w:hAnsi="宋体" w:cs="宋体"/>
          <w:color w:val="auto"/>
          <w:sz w:val="24"/>
          <w:szCs w:val="24"/>
          <w:highlight w:val="none"/>
        </w:rPr>
        <w:t>1项规定的期限内。</w:t>
      </w:r>
    </w:p>
    <w:p w14:paraId="7FB5657A">
      <w:pPr>
        <w:pStyle w:val="4"/>
        <w:spacing w:line="360" w:lineRule="auto"/>
        <w:rPr>
          <w:rFonts w:ascii="宋体" w:hAnsi="宋体" w:eastAsia="宋体" w:cs="宋体"/>
          <w:color w:val="auto"/>
          <w:sz w:val="28"/>
          <w:szCs w:val="28"/>
          <w:highlight w:val="none"/>
        </w:rPr>
      </w:pPr>
      <w:bookmarkStart w:id="813" w:name="_Toc12204"/>
      <w:bookmarkStart w:id="814" w:name="_Toc23565"/>
      <w:bookmarkStart w:id="815" w:name="_Toc21121"/>
      <w:bookmarkStart w:id="816" w:name="_Toc9137"/>
      <w:bookmarkStart w:id="817" w:name="_Toc6758"/>
      <w:bookmarkStart w:id="818" w:name="_Toc8988"/>
      <w:bookmarkStart w:id="819" w:name="_Toc17880"/>
      <w:bookmarkStart w:id="820" w:name="_Toc21761"/>
      <w:bookmarkStart w:id="821" w:name="_Toc16792"/>
      <w:bookmarkStart w:id="822" w:name="_Toc492300618"/>
      <w:bookmarkStart w:id="823" w:name="_Toc16390"/>
      <w:bookmarkStart w:id="824" w:name="_Toc477134992"/>
      <w:r>
        <w:rPr>
          <w:rFonts w:ascii="宋体" w:hAnsi="宋体" w:eastAsia="宋体" w:cs="宋体"/>
          <w:color w:val="auto"/>
          <w:sz w:val="28"/>
          <w:szCs w:val="28"/>
          <w:highlight w:val="none"/>
        </w:rPr>
        <w:t xml:space="preserve">9. </w:t>
      </w:r>
      <w:r>
        <w:rPr>
          <w:rFonts w:hint="eastAsia" w:ascii="宋体" w:hAnsi="宋体" w:eastAsia="宋体" w:cs="宋体"/>
          <w:color w:val="auto"/>
          <w:sz w:val="28"/>
          <w:szCs w:val="28"/>
          <w:highlight w:val="none"/>
        </w:rPr>
        <w:t>是否采用电子招标投标</w:t>
      </w:r>
      <w:bookmarkEnd w:id="813"/>
      <w:bookmarkEnd w:id="814"/>
      <w:bookmarkEnd w:id="815"/>
      <w:bookmarkEnd w:id="816"/>
      <w:bookmarkEnd w:id="817"/>
      <w:bookmarkEnd w:id="818"/>
      <w:bookmarkEnd w:id="819"/>
      <w:bookmarkEnd w:id="820"/>
      <w:bookmarkEnd w:id="821"/>
      <w:bookmarkEnd w:id="822"/>
      <w:bookmarkEnd w:id="823"/>
      <w:bookmarkEnd w:id="824"/>
    </w:p>
    <w:p w14:paraId="7A13218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本招标项目是否采用电子招标投标方式，见投标人须知前附表。</w:t>
      </w:r>
    </w:p>
    <w:p w14:paraId="3CD8F8E4">
      <w:pPr>
        <w:pStyle w:val="4"/>
        <w:spacing w:line="360" w:lineRule="auto"/>
        <w:rPr>
          <w:rFonts w:ascii="宋体" w:hAnsi="宋体" w:eastAsia="宋体" w:cs="宋体"/>
          <w:color w:val="auto"/>
          <w:sz w:val="28"/>
          <w:szCs w:val="28"/>
          <w:highlight w:val="none"/>
        </w:rPr>
      </w:pPr>
      <w:bookmarkStart w:id="825" w:name="_Toc14161"/>
      <w:bookmarkStart w:id="826" w:name="_Toc21051"/>
      <w:bookmarkStart w:id="827" w:name="_Toc30975"/>
      <w:bookmarkStart w:id="828" w:name="_Toc21221"/>
      <w:bookmarkStart w:id="829" w:name="_Toc583"/>
      <w:bookmarkStart w:id="830" w:name="_Toc9413"/>
      <w:bookmarkStart w:id="831" w:name="_Toc12439"/>
      <w:bookmarkStart w:id="832" w:name="_Toc1446"/>
      <w:bookmarkStart w:id="833" w:name="_Toc28956"/>
      <w:bookmarkStart w:id="834" w:name="_Toc17964"/>
      <w:bookmarkStart w:id="835" w:name="_Toc492300619"/>
      <w:r>
        <w:rPr>
          <w:rFonts w:ascii="宋体" w:hAnsi="宋体" w:eastAsia="宋体" w:cs="宋体"/>
          <w:color w:val="auto"/>
          <w:sz w:val="28"/>
          <w:szCs w:val="28"/>
          <w:highlight w:val="none"/>
        </w:rPr>
        <w:t xml:space="preserve">10. </w:t>
      </w:r>
      <w:r>
        <w:rPr>
          <w:rFonts w:hint="eastAsia" w:ascii="宋体" w:hAnsi="宋体" w:eastAsia="宋体" w:cs="宋体"/>
          <w:color w:val="auto"/>
          <w:sz w:val="28"/>
          <w:szCs w:val="28"/>
          <w:highlight w:val="none"/>
        </w:rPr>
        <w:t>需要补充的其他内容</w:t>
      </w:r>
      <w:bookmarkEnd w:id="825"/>
      <w:bookmarkEnd w:id="826"/>
      <w:bookmarkEnd w:id="827"/>
      <w:bookmarkEnd w:id="828"/>
      <w:bookmarkEnd w:id="829"/>
      <w:bookmarkEnd w:id="830"/>
      <w:bookmarkEnd w:id="831"/>
      <w:bookmarkEnd w:id="832"/>
      <w:bookmarkEnd w:id="833"/>
      <w:bookmarkEnd w:id="834"/>
      <w:bookmarkEnd w:id="835"/>
    </w:p>
    <w:p w14:paraId="0058975D">
      <w:pPr>
        <w:spacing w:line="360" w:lineRule="auto"/>
        <w:ind w:firstLine="480" w:firstLineChars="200"/>
        <w:rPr>
          <w:rFonts w:ascii="Times New Roman" w:hAnsi="Times New Roman"/>
          <w:color w:val="auto"/>
          <w:highlight w:val="none"/>
        </w:rPr>
      </w:pPr>
      <w:r>
        <w:rPr>
          <w:rFonts w:hint="eastAsia" w:ascii="宋体" w:hAnsi="宋体" w:cs="宋体"/>
          <w:color w:val="auto"/>
          <w:sz w:val="24"/>
          <w:szCs w:val="24"/>
          <w:highlight w:val="none"/>
        </w:rPr>
        <w:t>需要补充的其他内容：见投标人须知前附表。</w:t>
      </w:r>
      <w:bookmarkEnd w:id="25"/>
      <w:bookmarkEnd w:id="26"/>
      <w:bookmarkEnd w:id="27"/>
      <w:bookmarkEnd w:id="28"/>
    </w:p>
    <w:p w14:paraId="30465B6E">
      <w:pPr>
        <w:pStyle w:val="5"/>
        <w:keepNext w:val="0"/>
        <w:keepLines w:val="0"/>
        <w:ind w:firstLine="137"/>
        <w:rPr>
          <w:rFonts w:ascii="Times New Roman" w:hAnsi="Times New Roman"/>
          <w:color w:val="auto"/>
          <w:highlight w:val="none"/>
        </w:rPr>
      </w:pPr>
      <w:bookmarkStart w:id="836" w:name="_Toc527028503"/>
      <w:r>
        <w:rPr>
          <w:rFonts w:ascii="Times New Roman" w:hAnsi="Times New Roman"/>
          <w:color w:val="auto"/>
          <w:highlight w:val="none"/>
        </w:rPr>
        <w:br w:type="page"/>
      </w:r>
      <w:bookmarkStart w:id="837" w:name="_Toc13243"/>
      <w:bookmarkStart w:id="838" w:name="_Toc28579"/>
      <w:bookmarkStart w:id="839" w:name="_Toc18760"/>
      <w:bookmarkStart w:id="840" w:name="_Toc23876"/>
      <w:bookmarkStart w:id="841" w:name="_Toc15566"/>
      <w:r>
        <w:rPr>
          <w:rFonts w:ascii="Times New Roman" w:hAnsi="Times New Roman"/>
          <w:color w:val="auto"/>
          <w:highlight w:val="none"/>
        </w:rPr>
        <w:t>附件一：开标记录表</w:t>
      </w:r>
      <w:bookmarkEnd w:id="836"/>
      <w:r>
        <w:rPr>
          <w:rFonts w:hint="eastAsia" w:ascii="Times New Roman" w:hAnsi="Times New Roman"/>
          <w:color w:val="auto"/>
          <w:highlight w:val="none"/>
        </w:rPr>
        <w:t>（按</w:t>
      </w:r>
      <w:r>
        <w:rPr>
          <w:rFonts w:hint="eastAsia" w:ascii="Times New Roman" w:hAnsi="Times New Roman"/>
          <w:color w:val="auto"/>
          <w:highlight w:val="none"/>
          <w:lang w:eastAsia="zh-CN"/>
        </w:rPr>
        <w:t>广州交易集团有限公司（广州公共资源交易中心）</w:t>
      </w:r>
      <w:r>
        <w:rPr>
          <w:rFonts w:hint="eastAsia" w:ascii="Times New Roman" w:hAnsi="Times New Roman"/>
          <w:color w:val="auto"/>
          <w:highlight w:val="none"/>
        </w:rPr>
        <w:t>开标记录表格式）</w:t>
      </w:r>
      <w:bookmarkEnd w:id="837"/>
      <w:bookmarkEnd w:id="838"/>
      <w:bookmarkEnd w:id="839"/>
      <w:bookmarkEnd w:id="840"/>
      <w:bookmarkEnd w:id="841"/>
    </w:p>
    <w:p w14:paraId="66253FDA">
      <w:pPr>
        <w:spacing w:line="440" w:lineRule="exact"/>
        <w:jc w:val="center"/>
        <w:rPr>
          <w:rFonts w:ascii="Times New Roman" w:hAnsi="Times New Roman" w:eastAsia="黑体"/>
          <w:color w:val="auto"/>
          <w:sz w:val="28"/>
          <w:highlight w:val="none"/>
        </w:rPr>
      </w:pPr>
      <w:r>
        <w:rPr>
          <w:rFonts w:ascii="Times New Roman" w:hAnsi="Times New Roman" w:eastAsia="黑体"/>
          <w:color w:val="auto"/>
          <w:sz w:val="28"/>
          <w:highlight w:val="none"/>
        </w:rPr>
        <w:t>开标记录表</w:t>
      </w:r>
    </w:p>
    <w:tbl>
      <w:tblPr>
        <w:tblStyle w:val="17"/>
        <w:tblpPr w:leftFromText="180" w:rightFromText="180" w:vertAnchor="text" w:horzAnchor="page" w:tblpX="1593" w:tblpY="100"/>
        <w:tblOverlap w:val="never"/>
        <w:tblW w:w="4996" w:type="pct"/>
        <w:jc w:val="center"/>
        <w:tblLayout w:type="autofit"/>
        <w:tblCellMar>
          <w:top w:w="0" w:type="dxa"/>
          <w:left w:w="108" w:type="dxa"/>
          <w:bottom w:w="0" w:type="dxa"/>
          <w:right w:w="108" w:type="dxa"/>
        </w:tblCellMar>
      </w:tblPr>
      <w:tblGrid>
        <w:gridCol w:w="667"/>
        <w:gridCol w:w="1055"/>
        <w:gridCol w:w="1034"/>
        <w:gridCol w:w="1234"/>
        <w:gridCol w:w="1317"/>
        <w:gridCol w:w="1058"/>
        <w:gridCol w:w="1077"/>
        <w:gridCol w:w="782"/>
        <w:gridCol w:w="1224"/>
      </w:tblGrid>
      <w:tr w14:paraId="47FF3F8A">
        <w:tblPrEx>
          <w:tblCellMar>
            <w:top w:w="0" w:type="dxa"/>
            <w:left w:w="108" w:type="dxa"/>
            <w:bottom w:w="0" w:type="dxa"/>
            <w:right w:w="108" w:type="dxa"/>
          </w:tblCellMar>
        </w:tblPrEx>
        <w:trPr>
          <w:jc w:val="center"/>
        </w:trPr>
        <w:tc>
          <w:tcPr>
            <w:tcW w:w="353" w:type="pct"/>
            <w:tcBorders>
              <w:top w:val="single" w:color="auto" w:sz="4" w:space="0"/>
              <w:left w:val="single" w:color="auto" w:sz="4" w:space="0"/>
              <w:bottom w:val="single" w:color="auto" w:sz="4" w:space="0"/>
              <w:right w:val="single" w:color="auto" w:sz="4" w:space="0"/>
            </w:tcBorders>
            <w:vAlign w:val="center"/>
          </w:tcPr>
          <w:p w14:paraId="44090DCC">
            <w:pPr>
              <w:spacing w:line="500" w:lineRule="exact"/>
              <w:jc w:val="center"/>
              <w:rPr>
                <w:rFonts w:ascii="Times New Roman" w:hAnsi="Times New Roman"/>
                <w:color w:val="auto"/>
                <w:sz w:val="18"/>
                <w:highlight w:val="none"/>
              </w:rPr>
            </w:pPr>
            <w:r>
              <w:rPr>
                <w:rFonts w:ascii="Times New Roman" w:hAnsi="Times New Roman"/>
                <w:color w:val="auto"/>
                <w:sz w:val="18"/>
                <w:highlight w:val="none"/>
              </w:rPr>
              <w:t>序号</w:t>
            </w:r>
          </w:p>
        </w:tc>
        <w:tc>
          <w:tcPr>
            <w:tcW w:w="558" w:type="pct"/>
            <w:tcBorders>
              <w:top w:val="single" w:color="auto" w:sz="4" w:space="0"/>
              <w:left w:val="single" w:color="auto" w:sz="4" w:space="0"/>
              <w:bottom w:val="single" w:color="auto" w:sz="4" w:space="0"/>
              <w:right w:val="single" w:color="auto" w:sz="4" w:space="0"/>
            </w:tcBorders>
            <w:vAlign w:val="center"/>
          </w:tcPr>
          <w:p w14:paraId="07CA4596">
            <w:pPr>
              <w:spacing w:line="500" w:lineRule="exact"/>
              <w:jc w:val="center"/>
              <w:rPr>
                <w:rFonts w:ascii="Times New Roman" w:hAnsi="Times New Roman"/>
                <w:color w:val="auto"/>
                <w:sz w:val="18"/>
                <w:highlight w:val="none"/>
              </w:rPr>
            </w:pPr>
            <w:r>
              <w:rPr>
                <w:rFonts w:ascii="Times New Roman" w:hAnsi="Times New Roman"/>
                <w:color w:val="auto"/>
                <w:sz w:val="18"/>
                <w:highlight w:val="none"/>
              </w:rPr>
              <w:t>投标人</w:t>
            </w:r>
          </w:p>
        </w:tc>
        <w:tc>
          <w:tcPr>
            <w:tcW w:w="546" w:type="pct"/>
            <w:tcBorders>
              <w:top w:val="single" w:color="auto" w:sz="4" w:space="0"/>
              <w:left w:val="single" w:color="auto" w:sz="4" w:space="0"/>
              <w:bottom w:val="single" w:color="auto" w:sz="4" w:space="0"/>
              <w:right w:val="single" w:color="auto" w:sz="4" w:space="0"/>
            </w:tcBorders>
            <w:vAlign w:val="center"/>
          </w:tcPr>
          <w:p w14:paraId="75733FB0">
            <w:pPr>
              <w:spacing w:line="500" w:lineRule="exact"/>
              <w:rPr>
                <w:rFonts w:ascii="Times New Roman" w:hAnsi="Times New Roman"/>
                <w:color w:val="auto"/>
                <w:sz w:val="18"/>
                <w:highlight w:val="none"/>
              </w:rPr>
            </w:pPr>
            <w:r>
              <w:rPr>
                <w:rFonts w:ascii="Times New Roman" w:hAnsi="Times New Roman"/>
                <w:color w:val="auto"/>
                <w:sz w:val="18"/>
                <w:highlight w:val="none"/>
              </w:rPr>
              <w:t>密封情况</w:t>
            </w:r>
          </w:p>
        </w:tc>
        <w:tc>
          <w:tcPr>
            <w:tcW w:w="653" w:type="pct"/>
            <w:tcBorders>
              <w:top w:val="single" w:color="auto" w:sz="4" w:space="0"/>
              <w:left w:val="single" w:color="auto" w:sz="4" w:space="0"/>
              <w:bottom w:val="single" w:color="auto" w:sz="4" w:space="0"/>
              <w:right w:val="single" w:color="auto" w:sz="4" w:space="0"/>
            </w:tcBorders>
            <w:vAlign w:val="center"/>
          </w:tcPr>
          <w:p w14:paraId="11078361">
            <w:pPr>
              <w:spacing w:line="500" w:lineRule="exact"/>
              <w:jc w:val="center"/>
              <w:rPr>
                <w:rFonts w:ascii="Times New Roman" w:hAnsi="Times New Roman"/>
                <w:color w:val="auto"/>
                <w:sz w:val="18"/>
                <w:highlight w:val="none"/>
              </w:rPr>
            </w:pPr>
            <w:r>
              <w:rPr>
                <w:rFonts w:ascii="Times New Roman" w:hAnsi="Times New Roman"/>
                <w:strike/>
                <w:dstrike w:val="0"/>
                <w:color w:val="auto"/>
                <w:sz w:val="18"/>
                <w:highlight w:val="none"/>
              </w:rPr>
              <w:t>投标保证金</w:t>
            </w:r>
          </w:p>
        </w:tc>
        <w:tc>
          <w:tcPr>
            <w:tcW w:w="697" w:type="pct"/>
            <w:tcBorders>
              <w:top w:val="single" w:color="auto" w:sz="4" w:space="0"/>
              <w:left w:val="single" w:color="auto" w:sz="4" w:space="0"/>
              <w:bottom w:val="single" w:color="auto" w:sz="4" w:space="0"/>
              <w:right w:val="single" w:color="auto" w:sz="4" w:space="0"/>
            </w:tcBorders>
            <w:vAlign w:val="center"/>
          </w:tcPr>
          <w:p w14:paraId="49350BC3">
            <w:pPr>
              <w:spacing w:line="500" w:lineRule="exact"/>
              <w:jc w:val="center"/>
              <w:rPr>
                <w:rFonts w:ascii="Times New Roman" w:hAnsi="Times New Roman"/>
                <w:color w:val="auto"/>
                <w:sz w:val="18"/>
                <w:highlight w:val="none"/>
              </w:rPr>
            </w:pPr>
            <w:r>
              <w:rPr>
                <w:rFonts w:ascii="Times New Roman" w:hAnsi="Times New Roman"/>
                <w:color w:val="auto"/>
                <w:sz w:val="18"/>
                <w:highlight w:val="none"/>
              </w:rPr>
              <w:t>投标报价</w:t>
            </w:r>
          </w:p>
          <w:p w14:paraId="74AAF90B">
            <w:pPr>
              <w:spacing w:line="500" w:lineRule="exact"/>
              <w:jc w:val="center"/>
              <w:rPr>
                <w:rFonts w:ascii="Times New Roman" w:hAnsi="Times New Roman"/>
                <w:color w:val="auto"/>
                <w:sz w:val="18"/>
                <w:highlight w:val="none"/>
              </w:rPr>
            </w:pPr>
            <w:r>
              <w:rPr>
                <w:rFonts w:ascii="Times New Roman" w:hAnsi="Times New Roman"/>
                <w:color w:val="auto"/>
                <w:sz w:val="18"/>
                <w:highlight w:val="none"/>
              </w:rPr>
              <w:t>（元）</w:t>
            </w:r>
          </w:p>
        </w:tc>
        <w:tc>
          <w:tcPr>
            <w:tcW w:w="560" w:type="pct"/>
            <w:tcBorders>
              <w:top w:val="single" w:color="auto" w:sz="4" w:space="0"/>
              <w:left w:val="single" w:color="auto" w:sz="4" w:space="0"/>
              <w:bottom w:val="single" w:color="auto" w:sz="4" w:space="0"/>
              <w:right w:val="single" w:color="auto" w:sz="4" w:space="0"/>
            </w:tcBorders>
            <w:vAlign w:val="center"/>
          </w:tcPr>
          <w:p w14:paraId="05E86D17">
            <w:pPr>
              <w:spacing w:line="500" w:lineRule="exact"/>
              <w:jc w:val="center"/>
              <w:rPr>
                <w:rFonts w:hint="eastAsia" w:ascii="Times New Roman" w:hAnsi="Times New Roman" w:eastAsia="宋体"/>
                <w:color w:val="auto"/>
                <w:sz w:val="18"/>
                <w:highlight w:val="none"/>
                <w:lang w:eastAsia="zh-CN"/>
              </w:rPr>
            </w:pPr>
            <w:r>
              <w:rPr>
                <w:rFonts w:hint="eastAsia" w:ascii="Times New Roman" w:hAnsi="Times New Roman"/>
                <w:color w:val="auto"/>
                <w:sz w:val="18"/>
                <w:highlight w:val="none"/>
                <w:lang w:eastAsia="zh-CN"/>
              </w:rPr>
              <w:t>项目负责人</w:t>
            </w:r>
          </w:p>
        </w:tc>
        <w:tc>
          <w:tcPr>
            <w:tcW w:w="570" w:type="pct"/>
            <w:tcBorders>
              <w:top w:val="single" w:color="auto" w:sz="4" w:space="0"/>
              <w:left w:val="single" w:color="auto" w:sz="4" w:space="0"/>
              <w:bottom w:val="single" w:color="auto" w:sz="4" w:space="0"/>
              <w:right w:val="single" w:color="auto" w:sz="4" w:space="0"/>
            </w:tcBorders>
            <w:vAlign w:val="center"/>
          </w:tcPr>
          <w:p w14:paraId="0C1F865C">
            <w:pPr>
              <w:spacing w:line="500" w:lineRule="exact"/>
              <w:jc w:val="center"/>
              <w:rPr>
                <w:rFonts w:ascii="Times New Roman" w:hAnsi="Times New Roman"/>
                <w:color w:val="auto"/>
                <w:sz w:val="18"/>
                <w:highlight w:val="none"/>
              </w:rPr>
            </w:pPr>
            <w:r>
              <w:rPr>
                <w:rFonts w:ascii="Times New Roman" w:hAnsi="Times New Roman"/>
                <w:color w:val="auto"/>
                <w:sz w:val="18"/>
                <w:highlight w:val="none"/>
              </w:rPr>
              <w:t>服务期限</w:t>
            </w:r>
          </w:p>
        </w:tc>
        <w:tc>
          <w:tcPr>
            <w:tcW w:w="414" w:type="pct"/>
            <w:tcBorders>
              <w:top w:val="single" w:color="auto" w:sz="4" w:space="0"/>
              <w:left w:val="single" w:color="auto" w:sz="4" w:space="0"/>
              <w:bottom w:val="single" w:color="auto" w:sz="4" w:space="0"/>
              <w:right w:val="single" w:color="auto" w:sz="4" w:space="0"/>
            </w:tcBorders>
            <w:vAlign w:val="center"/>
          </w:tcPr>
          <w:p w14:paraId="4B69403E">
            <w:pPr>
              <w:spacing w:line="500" w:lineRule="exact"/>
              <w:jc w:val="center"/>
              <w:rPr>
                <w:rFonts w:ascii="Times New Roman" w:hAnsi="Times New Roman"/>
                <w:color w:val="auto"/>
                <w:sz w:val="18"/>
                <w:highlight w:val="none"/>
              </w:rPr>
            </w:pPr>
            <w:r>
              <w:rPr>
                <w:rFonts w:ascii="Times New Roman" w:hAnsi="Times New Roman"/>
                <w:color w:val="auto"/>
                <w:sz w:val="18"/>
                <w:highlight w:val="none"/>
              </w:rPr>
              <w:t>备注</w:t>
            </w:r>
          </w:p>
        </w:tc>
        <w:tc>
          <w:tcPr>
            <w:tcW w:w="644" w:type="pct"/>
            <w:tcBorders>
              <w:top w:val="single" w:color="auto" w:sz="4" w:space="0"/>
              <w:left w:val="single" w:color="auto" w:sz="4" w:space="0"/>
              <w:bottom w:val="single" w:color="auto" w:sz="4" w:space="0"/>
              <w:right w:val="single" w:color="auto" w:sz="4" w:space="0"/>
            </w:tcBorders>
            <w:vAlign w:val="center"/>
          </w:tcPr>
          <w:p w14:paraId="4BC833E5">
            <w:pPr>
              <w:spacing w:line="500" w:lineRule="exact"/>
              <w:jc w:val="center"/>
              <w:rPr>
                <w:rFonts w:ascii="Times New Roman" w:hAnsi="Times New Roman"/>
                <w:color w:val="auto"/>
                <w:sz w:val="18"/>
                <w:highlight w:val="none"/>
              </w:rPr>
            </w:pPr>
            <w:r>
              <w:rPr>
                <w:rFonts w:ascii="Times New Roman" w:hAnsi="Times New Roman"/>
                <w:color w:val="auto"/>
                <w:sz w:val="18"/>
                <w:highlight w:val="none"/>
              </w:rPr>
              <w:t>投标人代表签名</w:t>
            </w:r>
          </w:p>
        </w:tc>
      </w:tr>
      <w:tr w14:paraId="0FC02188">
        <w:tblPrEx>
          <w:tblCellMar>
            <w:top w:w="0" w:type="dxa"/>
            <w:left w:w="108" w:type="dxa"/>
            <w:bottom w:w="0" w:type="dxa"/>
            <w:right w:w="108" w:type="dxa"/>
          </w:tblCellMar>
        </w:tblPrEx>
        <w:trPr>
          <w:jc w:val="center"/>
        </w:trPr>
        <w:tc>
          <w:tcPr>
            <w:tcW w:w="353" w:type="pct"/>
            <w:tcBorders>
              <w:top w:val="single" w:color="auto" w:sz="4" w:space="0"/>
              <w:left w:val="single" w:color="auto" w:sz="4" w:space="0"/>
              <w:bottom w:val="single" w:color="auto" w:sz="4" w:space="0"/>
              <w:right w:val="single" w:color="auto" w:sz="4" w:space="0"/>
            </w:tcBorders>
          </w:tcPr>
          <w:p w14:paraId="500FD105">
            <w:pPr>
              <w:spacing w:line="500" w:lineRule="exact"/>
              <w:jc w:val="left"/>
              <w:rPr>
                <w:rFonts w:ascii="Times New Roman" w:hAnsi="Times New Roman"/>
                <w:color w:val="auto"/>
                <w:highlight w:val="none"/>
              </w:rPr>
            </w:pPr>
          </w:p>
        </w:tc>
        <w:tc>
          <w:tcPr>
            <w:tcW w:w="558" w:type="pct"/>
            <w:tcBorders>
              <w:top w:val="single" w:color="auto" w:sz="4" w:space="0"/>
              <w:left w:val="single" w:color="auto" w:sz="4" w:space="0"/>
              <w:bottom w:val="single" w:color="auto" w:sz="4" w:space="0"/>
              <w:right w:val="single" w:color="auto" w:sz="4" w:space="0"/>
            </w:tcBorders>
          </w:tcPr>
          <w:p w14:paraId="6F8DE453">
            <w:pPr>
              <w:spacing w:line="500" w:lineRule="exact"/>
              <w:jc w:val="left"/>
              <w:rPr>
                <w:rFonts w:ascii="Times New Roman" w:hAnsi="Times New Roman"/>
                <w:color w:val="auto"/>
                <w:highlight w:val="none"/>
              </w:rPr>
            </w:pPr>
          </w:p>
        </w:tc>
        <w:tc>
          <w:tcPr>
            <w:tcW w:w="546" w:type="pct"/>
            <w:tcBorders>
              <w:top w:val="single" w:color="auto" w:sz="4" w:space="0"/>
              <w:left w:val="single" w:color="auto" w:sz="4" w:space="0"/>
              <w:bottom w:val="single" w:color="auto" w:sz="4" w:space="0"/>
              <w:right w:val="single" w:color="auto" w:sz="4" w:space="0"/>
            </w:tcBorders>
          </w:tcPr>
          <w:p w14:paraId="5D930D9E">
            <w:pPr>
              <w:spacing w:line="500" w:lineRule="exact"/>
              <w:jc w:val="left"/>
              <w:rPr>
                <w:rFonts w:ascii="Times New Roman" w:hAnsi="Times New Roman"/>
                <w:color w:val="auto"/>
                <w:highlight w:val="none"/>
              </w:rPr>
            </w:pPr>
          </w:p>
        </w:tc>
        <w:tc>
          <w:tcPr>
            <w:tcW w:w="653" w:type="pct"/>
            <w:tcBorders>
              <w:top w:val="single" w:color="auto" w:sz="4" w:space="0"/>
              <w:left w:val="single" w:color="auto" w:sz="4" w:space="0"/>
              <w:bottom w:val="single" w:color="auto" w:sz="4" w:space="0"/>
              <w:right w:val="single" w:color="auto" w:sz="4" w:space="0"/>
            </w:tcBorders>
          </w:tcPr>
          <w:p w14:paraId="4197536F">
            <w:pPr>
              <w:spacing w:line="500" w:lineRule="exact"/>
              <w:jc w:val="left"/>
              <w:rPr>
                <w:rFonts w:ascii="Times New Roman" w:hAnsi="Times New Roman"/>
                <w:color w:val="auto"/>
                <w:highlight w:val="none"/>
              </w:rPr>
            </w:pPr>
          </w:p>
        </w:tc>
        <w:tc>
          <w:tcPr>
            <w:tcW w:w="697" w:type="pct"/>
            <w:tcBorders>
              <w:top w:val="single" w:color="auto" w:sz="4" w:space="0"/>
              <w:left w:val="single" w:color="auto" w:sz="4" w:space="0"/>
              <w:bottom w:val="single" w:color="auto" w:sz="4" w:space="0"/>
              <w:right w:val="single" w:color="auto" w:sz="4" w:space="0"/>
            </w:tcBorders>
          </w:tcPr>
          <w:p w14:paraId="25F53017">
            <w:pPr>
              <w:spacing w:line="500" w:lineRule="exact"/>
              <w:jc w:val="left"/>
              <w:rPr>
                <w:rFonts w:ascii="Times New Roman" w:hAnsi="Times New Roman"/>
                <w:color w:val="auto"/>
                <w:highlight w:val="none"/>
              </w:rPr>
            </w:pPr>
          </w:p>
        </w:tc>
        <w:tc>
          <w:tcPr>
            <w:tcW w:w="560" w:type="pct"/>
            <w:tcBorders>
              <w:top w:val="single" w:color="auto" w:sz="4" w:space="0"/>
              <w:left w:val="single" w:color="auto" w:sz="4" w:space="0"/>
              <w:bottom w:val="single" w:color="auto" w:sz="4" w:space="0"/>
              <w:right w:val="single" w:color="auto" w:sz="4" w:space="0"/>
            </w:tcBorders>
          </w:tcPr>
          <w:p w14:paraId="2B964628">
            <w:pPr>
              <w:spacing w:line="500" w:lineRule="exact"/>
              <w:jc w:val="left"/>
              <w:rPr>
                <w:rFonts w:ascii="Times New Roman" w:hAnsi="Times New Roman"/>
                <w:color w:val="auto"/>
                <w:highlight w:val="none"/>
              </w:rPr>
            </w:pPr>
          </w:p>
        </w:tc>
        <w:tc>
          <w:tcPr>
            <w:tcW w:w="570" w:type="pct"/>
            <w:tcBorders>
              <w:top w:val="single" w:color="auto" w:sz="4" w:space="0"/>
              <w:left w:val="single" w:color="auto" w:sz="4" w:space="0"/>
              <w:bottom w:val="single" w:color="auto" w:sz="4" w:space="0"/>
              <w:right w:val="single" w:color="auto" w:sz="4" w:space="0"/>
            </w:tcBorders>
          </w:tcPr>
          <w:p w14:paraId="147144B4">
            <w:pPr>
              <w:spacing w:line="500" w:lineRule="exact"/>
              <w:jc w:val="left"/>
              <w:rPr>
                <w:rFonts w:ascii="Times New Roman" w:hAnsi="Times New Roman"/>
                <w:color w:val="auto"/>
                <w:highlight w:val="none"/>
              </w:rPr>
            </w:pPr>
          </w:p>
        </w:tc>
        <w:tc>
          <w:tcPr>
            <w:tcW w:w="414" w:type="pct"/>
            <w:tcBorders>
              <w:top w:val="single" w:color="auto" w:sz="4" w:space="0"/>
              <w:left w:val="single" w:color="auto" w:sz="4" w:space="0"/>
              <w:bottom w:val="single" w:color="auto" w:sz="4" w:space="0"/>
              <w:right w:val="single" w:color="auto" w:sz="4" w:space="0"/>
            </w:tcBorders>
          </w:tcPr>
          <w:p w14:paraId="22C58A69">
            <w:pPr>
              <w:spacing w:line="500" w:lineRule="exact"/>
              <w:jc w:val="left"/>
              <w:rPr>
                <w:rFonts w:ascii="Times New Roman" w:hAnsi="Times New Roman"/>
                <w:color w:val="auto"/>
                <w:highlight w:val="none"/>
              </w:rPr>
            </w:pPr>
          </w:p>
        </w:tc>
        <w:tc>
          <w:tcPr>
            <w:tcW w:w="644" w:type="pct"/>
            <w:tcBorders>
              <w:top w:val="single" w:color="auto" w:sz="4" w:space="0"/>
              <w:left w:val="single" w:color="auto" w:sz="4" w:space="0"/>
              <w:bottom w:val="single" w:color="auto" w:sz="4" w:space="0"/>
              <w:right w:val="single" w:color="auto" w:sz="4" w:space="0"/>
            </w:tcBorders>
          </w:tcPr>
          <w:p w14:paraId="394C8A8A">
            <w:pPr>
              <w:spacing w:line="500" w:lineRule="exact"/>
              <w:jc w:val="left"/>
              <w:rPr>
                <w:rFonts w:ascii="Times New Roman" w:hAnsi="Times New Roman"/>
                <w:color w:val="auto"/>
                <w:highlight w:val="none"/>
              </w:rPr>
            </w:pPr>
          </w:p>
        </w:tc>
      </w:tr>
      <w:tr w14:paraId="28CB0D5B">
        <w:tblPrEx>
          <w:tblCellMar>
            <w:top w:w="0" w:type="dxa"/>
            <w:left w:w="108" w:type="dxa"/>
            <w:bottom w:w="0" w:type="dxa"/>
            <w:right w:w="108" w:type="dxa"/>
          </w:tblCellMar>
        </w:tblPrEx>
        <w:trPr>
          <w:jc w:val="center"/>
        </w:trPr>
        <w:tc>
          <w:tcPr>
            <w:tcW w:w="353" w:type="pct"/>
            <w:tcBorders>
              <w:top w:val="single" w:color="auto" w:sz="4" w:space="0"/>
              <w:left w:val="single" w:color="auto" w:sz="4" w:space="0"/>
              <w:bottom w:val="single" w:color="auto" w:sz="4" w:space="0"/>
              <w:right w:val="single" w:color="auto" w:sz="4" w:space="0"/>
            </w:tcBorders>
          </w:tcPr>
          <w:p w14:paraId="43C0E302">
            <w:pPr>
              <w:spacing w:line="500" w:lineRule="exact"/>
              <w:jc w:val="left"/>
              <w:rPr>
                <w:rFonts w:ascii="Times New Roman" w:hAnsi="Times New Roman"/>
                <w:color w:val="auto"/>
                <w:highlight w:val="none"/>
              </w:rPr>
            </w:pPr>
          </w:p>
        </w:tc>
        <w:tc>
          <w:tcPr>
            <w:tcW w:w="558" w:type="pct"/>
            <w:tcBorders>
              <w:top w:val="single" w:color="auto" w:sz="4" w:space="0"/>
              <w:left w:val="single" w:color="auto" w:sz="4" w:space="0"/>
              <w:bottom w:val="single" w:color="auto" w:sz="4" w:space="0"/>
              <w:right w:val="single" w:color="auto" w:sz="4" w:space="0"/>
            </w:tcBorders>
          </w:tcPr>
          <w:p w14:paraId="0A4F4C3D">
            <w:pPr>
              <w:spacing w:line="500" w:lineRule="exact"/>
              <w:jc w:val="left"/>
              <w:rPr>
                <w:rFonts w:ascii="Times New Roman" w:hAnsi="Times New Roman"/>
                <w:color w:val="auto"/>
                <w:highlight w:val="none"/>
              </w:rPr>
            </w:pPr>
          </w:p>
        </w:tc>
        <w:tc>
          <w:tcPr>
            <w:tcW w:w="546" w:type="pct"/>
            <w:tcBorders>
              <w:top w:val="single" w:color="auto" w:sz="4" w:space="0"/>
              <w:left w:val="single" w:color="auto" w:sz="4" w:space="0"/>
              <w:bottom w:val="single" w:color="auto" w:sz="4" w:space="0"/>
              <w:right w:val="single" w:color="auto" w:sz="4" w:space="0"/>
            </w:tcBorders>
          </w:tcPr>
          <w:p w14:paraId="10310F2E">
            <w:pPr>
              <w:spacing w:line="500" w:lineRule="exact"/>
              <w:jc w:val="left"/>
              <w:rPr>
                <w:rFonts w:ascii="Times New Roman" w:hAnsi="Times New Roman"/>
                <w:color w:val="auto"/>
                <w:highlight w:val="none"/>
              </w:rPr>
            </w:pPr>
          </w:p>
        </w:tc>
        <w:tc>
          <w:tcPr>
            <w:tcW w:w="653" w:type="pct"/>
            <w:tcBorders>
              <w:top w:val="single" w:color="auto" w:sz="4" w:space="0"/>
              <w:left w:val="single" w:color="auto" w:sz="4" w:space="0"/>
              <w:bottom w:val="single" w:color="auto" w:sz="4" w:space="0"/>
              <w:right w:val="single" w:color="auto" w:sz="4" w:space="0"/>
            </w:tcBorders>
          </w:tcPr>
          <w:p w14:paraId="06D01D35">
            <w:pPr>
              <w:spacing w:line="500" w:lineRule="exact"/>
              <w:jc w:val="left"/>
              <w:rPr>
                <w:rFonts w:ascii="Times New Roman" w:hAnsi="Times New Roman"/>
                <w:color w:val="auto"/>
                <w:highlight w:val="none"/>
              </w:rPr>
            </w:pPr>
          </w:p>
        </w:tc>
        <w:tc>
          <w:tcPr>
            <w:tcW w:w="697" w:type="pct"/>
            <w:tcBorders>
              <w:top w:val="single" w:color="auto" w:sz="4" w:space="0"/>
              <w:left w:val="single" w:color="auto" w:sz="4" w:space="0"/>
              <w:bottom w:val="single" w:color="auto" w:sz="4" w:space="0"/>
              <w:right w:val="single" w:color="auto" w:sz="4" w:space="0"/>
            </w:tcBorders>
          </w:tcPr>
          <w:p w14:paraId="6438108B">
            <w:pPr>
              <w:spacing w:line="500" w:lineRule="exact"/>
              <w:jc w:val="left"/>
              <w:rPr>
                <w:rFonts w:ascii="Times New Roman" w:hAnsi="Times New Roman"/>
                <w:color w:val="auto"/>
                <w:highlight w:val="none"/>
              </w:rPr>
            </w:pPr>
          </w:p>
        </w:tc>
        <w:tc>
          <w:tcPr>
            <w:tcW w:w="560" w:type="pct"/>
            <w:tcBorders>
              <w:top w:val="single" w:color="auto" w:sz="4" w:space="0"/>
              <w:left w:val="single" w:color="auto" w:sz="4" w:space="0"/>
              <w:bottom w:val="single" w:color="auto" w:sz="4" w:space="0"/>
              <w:right w:val="single" w:color="auto" w:sz="4" w:space="0"/>
            </w:tcBorders>
          </w:tcPr>
          <w:p w14:paraId="3B537C01">
            <w:pPr>
              <w:spacing w:line="500" w:lineRule="exact"/>
              <w:jc w:val="left"/>
              <w:rPr>
                <w:rFonts w:ascii="Times New Roman" w:hAnsi="Times New Roman"/>
                <w:color w:val="auto"/>
                <w:highlight w:val="none"/>
              </w:rPr>
            </w:pPr>
          </w:p>
        </w:tc>
        <w:tc>
          <w:tcPr>
            <w:tcW w:w="570" w:type="pct"/>
            <w:tcBorders>
              <w:top w:val="single" w:color="auto" w:sz="4" w:space="0"/>
              <w:left w:val="single" w:color="auto" w:sz="4" w:space="0"/>
              <w:bottom w:val="single" w:color="auto" w:sz="4" w:space="0"/>
              <w:right w:val="single" w:color="auto" w:sz="4" w:space="0"/>
            </w:tcBorders>
          </w:tcPr>
          <w:p w14:paraId="2540893D">
            <w:pPr>
              <w:spacing w:line="500" w:lineRule="exact"/>
              <w:jc w:val="left"/>
              <w:rPr>
                <w:rFonts w:ascii="Times New Roman" w:hAnsi="Times New Roman"/>
                <w:color w:val="auto"/>
                <w:highlight w:val="none"/>
              </w:rPr>
            </w:pPr>
          </w:p>
        </w:tc>
        <w:tc>
          <w:tcPr>
            <w:tcW w:w="414" w:type="pct"/>
            <w:tcBorders>
              <w:top w:val="single" w:color="auto" w:sz="4" w:space="0"/>
              <w:left w:val="single" w:color="auto" w:sz="4" w:space="0"/>
              <w:bottom w:val="single" w:color="auto" w:sz="4" w:space="0"/>
              <w:right w:val="single" w:color="auto" w:sz="4" w:space="0"/>
            </w:tcBorders>
          </w:tcPr>
          <w:p w14:paraId="209D754B">
            <w:pPr>
              <w:spacing w:line="500" w:lineRule="exact"/>
              <w:jc w:val="left"/>
              <w:rPr>
                <w:rFonts w:ascii="Times New Roman" w:hAnsi="Times New Roman"/>
                <w:color w:val="auto"/>
                <w:highlight w:val="none"/>
              </w:rPr>
            </w:pPr>
          </w:p>
        </w:tc>
        <w:tc>
          <w:tcPr>
            <w:tcW w:w="644" w:type="pct"/>
            <w:tcBorders>
              <w:top w:val="single" w:color="auto" w:sz="4" w:space="0"/>
              <w:left w:val="single" w:color="auto" w:sz="4" w:space="0"/>
              <w:bottom w:val="single" w:color="auto" w:sz="4" w:space="0"/>
              <w:right w:val="single" w:color="auto" w:sz="4" w:space="0"/>
            </w:tcBorders>
          </w:tcPr>
          <w:p w14:paraId="1E4C4526">
            <w:pPr>
              <w:spacing w:line="500" w:lineRule="exact"/>
              <w:jc w:val="left"/>
              <w:rPr>
                <w:rFonts w:ascii="Times New Roman" w:hAnsi="Times New Roman"/>
                <w:color w:val="auto"/>
                <w:highlight w:val="none"/>
              </w:rPr>
            </w:pPr>
          </w:p>
        </w:tc>
      </w:tr>
      <w:tr w14:paraId="778F7712">
        <w:tblPrEx>
          <w:tblCellMar>
            <w:top w:w="0" w:type="dxa"/>
            <w:left w:w="108" w:type="dxa"/>
            <w:bottom w:w="0" w:type="dxa"/>
            <w:right w:w="108" w:type="dxa"/>
          </w:tblCellMar>
        </w:tblPrEx>
        <w:trPr>
          <w:jc w:val="center"/>
        </w:trPr>
        <w:tc>
          <w:tcPr>
            <w:tcW w:w="353" w:type="pct"/>
            <w:tcBorders>
              <w:top w:val="single" w:color="auto" w:sz="4" w:space="0"/>
              <w:left w:val="single" w:color="auto" w:sz="4" w:space="0"/>
              <w:bottom w:val="single" w:color="auto" w:sz="4" w:space="0"/>
              <w:right w:val="single" w:color="auto" w:sz="4" w:space="0"/>
            </w:tcBorders>
          </w:tcPr>
          <w:p w14:paraId="12B56DB7">
            <w:pPr>
              <w:spacing w:line="500" w:lineRule="exact"/>
              <w:jc w:val="left"/>
              <w:rPr>
                <w:rFonts w:ascii="Times New Roman" w:hAnsi="Times New Roman"/>
                <w:color w:val="auto"/>
                <w:highlight w:val="none"/>
              </w:rPr>
            </w:pPr>
          </w:p>
        </w:tc>
        <w:tc>
          <w:tcPr>
            <w:tcW w:w="558" w:type="pct"/>
            <w:tcBorders>
              <w:top w:val="single" w:color="auto" w:sz="4" w:space="0"/>
              <w:left w:val="single" w:color="auto" w:sz="4" w:space="0"/>
              <w:bottom w:val="single" w:color="auto" w:sz="4" w:space="0"/>
              <w:right w:val="single" w:color="auto" w:sz="4" w:space="0"/>
            </w:tcBorders>
          </w:tcPr>
          <w:p w14:paraId="465E9FD8">
            <w:pPr>
              <w:spacing w:line="500" w:lineRule="exact"/>
              <w:jc w:val="left"/>
              <w:rPr>
                <w:rFonts w:ascii="Times New Roman" w:hAnsi="Times New Roman"/>
                <w:color w:val="auto"/>
                <w:highlight w:val="none"/>
              </w:rPr>
            </w:pPr>
          </w:p>
        </w:tc>
        <w:tc>
          <w:tcPr>
            <w:tcW w:w="546" w:type="pct"/>
            <w:tcBorders>
              <w:top w:val="single" w:color="auto" w:sz="4" w:space="0"/>
              <w:left w:val="single" w:color="auto" w:sz="4" w:space="0"/>
              <w:bottom w:val="single" w:color="auto" w:sz="4" w:space="0"/>
              <w:right w:val="single" w:color="auto" w:sz="4" w:space="0"/>
            </w:tcBorders>
          </w:tcPr>
          <w:p w14:paraId="7FAF8A33">
            <w:pPr>
              <w:spacing w:line="500" w:lineRule="exact"/>
              <w:jc w:val="left"/>
              <w:rPr>
                <w:rFonts w:ascii="Times New Roman" w:hAnsi="Times New Roman"/>
                <w:color w:val="auto"/>
                <w:highlight w:val="none"/>
              </w:rPr>
            </w:pPr>
          </w:p>
        </w:tc>
        <w:tc>
          <w:tcPr>
            <w:tcW w:w="653" w:type="pct"/>
            <w:tcBorders>
              <w:top w:val="single" w:color="auto" w:sz="4" w:space="0"/>
              <w:left w:val="single" w:color="auto" w:sz="4" w:space="0"/>
              <w:bottom w:val="single" w:color="auto" w:sz="4" w:space="0"/>
              <w:right w:val="single" w:color="auto" w:sz="4" w:space="0"/>
            </w:tcBorders>
          </w:tcPr>
          <w:p w14:paraId="492137C1">
            <w:pPr>
              <w:spacing w:line="500" w:lineRule="exact"/>
              <w:jc w:val="left"/>
              <w:rPr>
                <w:rFonts w:ascii="Times New Roman" w:hAnsi="Times New Roman"/>
                <w:color w:val="auto"/>
                <w:highlight w:val="none"/>
              </w:rPr>
            </w:pPr>
          </w:p>
        </w:tc>
        <w:tc>
          <w:tcPr>
            <w:tcW w:w="697" w:type="pct"/>
            <w:tcBorders>
              <w:top w:val="single" w:color="auto" w:sz="4" w:space="0"/>
              <w:left w:val="single" w:color="auto" w:sz="4" w:space="0"/>
              <w:bottom w:val="single" w:color="auto" w:sz="4" w:space="0"/>
              <w:right w:val="single" w:color="auto" w:sz="4" w:space="0"/>
            </w:tcBorders>
          </w:tcPr>
          <w:p w14:paraId="78E5BF30">
            <w:pPr>
              <w:spacing w:line="500" w:lineRule="exact"/>
              <w:jc w:val="left"/>
              <w:rPr>
                <w:rFonts w:ascii="Times New Roman" w:hAnsi="Times New Roman"/>
                <w:color w:val="auto"/>
                <w:highlight w:val="none"/>
              </w:rPr>
            </w:pPr>
          </w:p>
        </w:tc>
        <w:tc>
          <w:tcPr>
            <w:tcW w:w="560" w:type="pct"/>
            <w:tcBorders>
              <w:top w:val="single" w:color="auto" w:sz="4" w:space="0"/>
              <w:left w:val="single" w:color="auto" w:sz="4" w:space="0"/>
              <w:bottom w:val="single" w:color="auto" w:sz="4" w:space="0"/>
              <w:right w:val="single" w:color="auto" w:sz="4" w:space="0"/>
            </w:tcBorders>
          </w:tcPr>
          <w:p w14:paraId="62B2A583">
            <w:pPr>
              <w:spacing w:line="500" w:lineRule="exact"/>
              <w:jc w:val="left"/>
              <w:rPr>
                <w:rFonts w:ascii="Times New Roman" w:hAnsi="Times New Roman"/>
                <w:color w:val="auto"/>
                <w:highlight w:val="none"/>
              </w:rPr>
            </w:pPr>
          </w:p>
        </w:tc>
        <w:tc>
          <w:tcPr>
            <w:tcW w:w="570" w:type="pct"/>
            <w:tcBorders>
              <w:top w:val="single" w:color="auto" w:sz="4" w:space="0"/>
              <w:left w:val="single" w:color="auto" w:sz="4" w:space="0"/>
              <w:bottom w:val="single" w:color="auto" w:sz="4" w:space="0"/>
              <w:right w:val="single" w:color="auto" w:sz="4" w:space="0"/>
            </w:tcBorders>
          </w:tcPr>
          <w:p w14:paraId="4AD69541">
            <w:pPr>
              <w:spacing w:line="500" w:lineRule="exact"/>
              <w:jc w:val="left"/>
              <w:rPr>
                <w:rFonts w:ascii="Times New Roman" w:hAnsi="Times New Roman"/>
                <w:color w:val="auto"/>
                <w:highlight w:val="none"/>
              </w:rPr>
            </w:pPr>
          </w:p>
        </w:tc>
        <w:tc>
          <w:tcPr>
            <w:tcW w:w="414" w:type="pct"/>
            <w:tcBorders>
              <w:top w:val="single" w:color="auto" w:sz="4" w:space="0"/>
              <w:left w:val="single" w:color="auto" w:sz="4" w:space="0"/>
              <w:bottom w:val="single" w:color="auto" w:sz="4" w:space="0"/>
              <w:right w:val="single" w:color="auto" w:sz="4" w:space="0"/>
            </w:tcBorders>
          </w:tcPr>
          <w:p w14:paraId="7EDE3B49">
            <w:pPr>
              <w:spacing w:line="500" w:lineRule="exact"/>
              <w:jc w:val="left"/>
              <w:rPr>
                <w:rFonts w:ascii="Times New Roman" w:hAnsi="Times New Roman"/>
                <w:color w:val="auto"/>
                <w:highlight w:val="none"/>
              </w:rPr>
            </w:pPr>
          </w:p>
        </w:tc>
        <w:tc>
          <w:tcPr>
            <w:tcW w:w="644" w:type="pct"/>
            <w:tcBorders>
              <w:top w:val="single" w:color="auto" w:sz="4" w:space="0"/>
              <w:left w:val="single" w:color="auto" w:sz="4" w:space="0"/>
              <w:bottom w:val="single" w:color="auto" w:sz="4" w:space="0"/>
              <w:right w:val="single" w:color="auto" w:sz="4" w:space="0"/>
            </w:tcBorders>
          </w:tcPr>
          <w:p w14:paraId="5237ADA9">
            <w:pPr>
              <w:spacing w:line="500" w:lineRule="exact"/>
              <w:jc w:val="left"/>
              <w:rPr>
                <w:rFonts w:ascii="Times New Roman" w:hAnsi="Times New Roman"/>
                <w:color w:val="auto"/>
                <w:highlight w:val="none"/>
              </w:rPr>
            </w:pPr>
          </w:p>
        </w:tc>
      </w:tr>
      <w:tr w14:paraId="5AF93B7C">
        <w:tblPrEx>
          <w:tblCellMar>
            <w:top w:w="0" w:type="dxa"/>
            <w:left w:w="108" w:type="dxa"/>
            <w:bottom w:w="0" w:type="dxa"/>
            <w:right w:w="108" w:type="dxa"/>
          </w:tblCellMar>
        </w:tblPrEx>
        <w:trPr>
          <w:jc w:val="center"/>
        </w:trPr>
        <w:tc>
          <w:tcPr>
            <w:tcW w:w="353" w:type="pct"/>
            <w:tcBorders>
              <w:top w:val="single" w:color="auto" w:sz="4" w:space="0"/>
              <w:left w:val="single" w:color="auto" w:sz="4" w:space="0"/>
              <w:bottom w:val="single" w:color="auto" w:sz="4" w:space="0"/>
              <w:right w:val="single" w:color="auto" w:sz="4" w:space="0"/>
            </w:tcBorders>
          </w:tcPr>
          <w:p w14:paraId="01E9E534">
            <w:pPr>
              <w:spacing w:line="500" w:lineRule="exact"/>
              <w:jc w:val="left"/>
              <w:rPr>
                <w:rFonts w:ascii="Times New Roman" w:hAnsi="Times New Roman"/>
                <w:color w:val="auto"/>
                <w:highlight w:val="none"/>
              </w:rPr>
            </w:pPr>
          </w:p>
        </w:tc>
        <w:tc>
          <w:tcPr>
            <w:tcW w:w="558" w:type="pct"/>
            <w:tcBorders>
              <w:top w:val="single" w:color="auto" w:sz="4" w:space="0"/>
              <w:left w:val="single" w:color="auto" w:sz="4" w:space="0"/>
              <w:bottom w:val="single" w:color="auto" w:sz="4" w:space="0"/>
              <w:right w:val="single" w:color="auto" w:sz="4" w:space="0"/>
            </w:tcBorders>
          </w:tcPr>
          <w:p w14:paraId="5F7299C1">
            <w:pPr>
              <w:spacing w:line="500" w:lineRule="exact"/>
              <w:jc w:val="left"/>
              <w:rPr>
                <w:rFonts w:ascii="Times New Roman" w:hAnsi="Times New Roman"/>
                <w:color w:val="auto"/>
                <w:highlight w:val="none"/>
              </w:rPr>
            </w:pPr>
          </w:p>
        </w:tc>
        <w:tc>
          <w:tcPr>
            <w:tcW w:w="546" w:type="pct"/>
            <w:tcBorders>
              <w:top w:val="single" w:color="auto" w:sz="4" w:space="0"/>
              <w:left w:val="single" w:color="auto" w:sz="4" w:space="0"/>
              <w:bottom w:val="single" w:color="auto" w:sz="4" w:space="0"/>
              <w:right w:val="single" w:color="auto" w:sz="4" w:space="0"/>
            </w:tcBorders>
          </w:tcPr>
          <w:p w14:paraId="10AA031C">
            <w:pPr>
              <w:spacing w:line="500" w:lineRule="exact"/>
              <w:jc w:val="left"/>
              <w:rPr>
                <w:rFonts w:ascii="Times New Roman" w:hAnsi="Times New Roman"/>
                <w:color w:val="auto"/>
                <w:highlight w:val="none"/>
              </w:rPr>
            </w:pPr>
          </w:p>
        </w:tc>
        <w:tc>
          <w:tcPr>
            <w:tcW w:w="653" w:type="pct"/>
            <w:tcBorders>
              <w:top w:val="single" w:color="auto" w:sz="4" w:space="0"/>
              <w:left w:val="single" w:color="auto" w:sz="4" w:space="0"/>
              <w:bottom w:val="single" w:color="auto" w:sz="4" w:space="0"/>
              <w:right w:val="single" w:color="auto" w:sz="4" w:space="0"/>
            </w:tcBorders>
          </w:tcPr>
          <w:p w14:paraId="064F7E2E">
            <w:pPr>
              <w:spacing w:line="500" w:lineRule="exact"/>
              <w:jc w:val="left"/>
              <w:rPr>
                <w:rFonts w:ascii="Times New Roman" w:hAnsi="Times New Roman"/>
                <w:color w:val="auto"/>
                <w:highlight w:val="none"/>
              </w:rPr>
            </w:pPr>
          </w:p>
        </w:tc>
        <w:tc>
          <w:tcPr>
            <w:tcW w:w="697" w:type="pct"/>
            <w:tcBorders>
              <w:top w:val="single" w:color="auto" w:sz="4" w:space="0"/>
              <w:left w:val="single" w:color="auto" w:sz="4" w:space="0"/>
              <w:bottom w:val="single" w:color="auto" w:sz="4" w:space="0"/>
              <w:right w:val="single" w:color="auto" w:sz="4" w:space="0"/>
            </w:tcBorders>
          </w:tcPr>
          <w:p w14:paraId="305E5E45">
            <w:pPr>
              <w:spacing w:line="500" w:lineRule="exact"/>
              <w:jc w:val="left"/>
              <w:rPr>
                <w:rFonts w:ascii="Times New Roman" w:hAnsi="Times New Roman"/>
                <w:color w:val="auto"/>
                <w:highlight w:val="none"/>
              </w:rPr>
            </w:pPr>
          </w:p>
        </w:tc>
        <w:tc>
          <w:tcPr>
            <w:tcW w:w="560" w:type="pct"/>
            <w:tcBorders>
              <w:top w:val="single" w:color="auto" w:sz="4" w:space="0"/>
              <w:left w:val="single" w:color="auto" w:sz="4" w:space="0"/>
              <w:bottom w:val="single" w:color="auto" w:sz="4" w:space="0"/>
              <w:right w:val="single" w:color="auto" w:sz="4" w:space="0"/>
            </w:tcBorders>
          </w:tcPr>
          <w:p w14:paraId="21CE3381">
            <w:pPr>
              <w:spacing w:line="500" w:lineRule="exact"/>
              <w:jc w:val="left"/>
              <w:rPr>
                <w:rFonts w:ascii="Times New Roman" w:hAnsi="Times New Roman"/>
                <w:color w:val="auto"/>
                <w:highlight w:val="none"/>
              </w:rPr>
            </w:pPr>
          </w:p>
        </w:tc>
        <w:tc>
          <w:tcPr>
            <w:tcW w:w="570" w:type="pct"/>
            <w:tcBorders>
              <w:top w:val="single" w:color="auto" w:sz="4" w:space="0"/>
              <w:left w:val="single" w:color="auto" w:sz="4" w:space="0"/>
              <w:bottom w:val="single" w:color="auto" w:sz="4" w:space="0"/>
              <w:right w:val="single" w:color="auto" w:sz="4" w:space="0"/>
            </w:tcBorders>
          </w:tcPr>
          <w:p w14:paraId="0C688EA9">
            <w:pPr>
              <w:spacing w:line="500" w:lineRule="exact"/>
              <w:jc w:val="left"/>
              <w:rPr>
                <w:rFonts w:ascii="Times New Roman" w:hAnsi="Times New Roman"/>
                <w:color w:val="auto"/>
                <w:highlight w:val="none"/>
              </w:rPr>
            </w:pPr>
          </w:p>
        </w:tc>
        <w:tc>
          <w:tcPr>
            <w:tcW w:w="414" w:type="pct"/>
            <w:tcBorders>
              <w:top w:val="single" w:color="auto" w:sz="4" w:space="0"/>
              <w:left w:val="single" w:color="auto" w:sz="4" w:space="0"/>
              <w:bottom w:val="single" w:color="auto" w:sz="4" w:space="0"/>
              <w:right w:val="single" w:color="auto" w:sz="4" w:space="0"/>
            </w:tcBorders>
          </w:tcPr>
          <w:p w14:paraId="5863AF2F">
            <w:pPr>
              <w:spacing w:line="500" w:lineRule="exact"/>
              <w:jc w:val="left"/>
              <w:rPr>
                <w:rFonts w:ascii="Times New Roman" w:hAnsi="Times New Roman"/>
                <w:color w:val="auto"/>
                <w:highlight w:val="none"/>
              </w:rPr>
            </w:pPr>
          </w:p>
        </w:tc>
        <w:tc>
          <w:tcPr>
            <w:tcW w:w="644" w:type="pct"/>
            <w:tcBorders>
              <w:top w:val="single" w:color="auto" w:sz="4" w:space="0"/>
              <w:left w:val="single" w:color="auto" w:sz="4" w:space="0"/>
              <w:bottom w:val="single" w:color="auto" w:sz="4" w:space="0"/>
              <w:right w:val="single" w:color="auto" w:sz="4" w:space="0"/>
            </w:tcBorders>
          </w:tcPr>
          <w:p w14:paraId="6D7DF964">
            <w:pPr>
              <w:spacing w:line="500" w:lineRule="exact"/>
              <w:jc w:val="left"/>
              <w:rPr>
                <w:rFonts w:ascii="Times New Roman" w:hAnsi="Times New Roman"/>
                <w:color w:val="auto"/>
                <w:highlight w:val="none"/>
              </w:rPr>
            </w:pPr>
          </w:p>
        </w:tc>
      </w:tr>
      <w:tr w14:paraId="567D0B19">
        <w:tblPrEx>
          <w:tblCellMar>
            <w:top w:w="0" w:type="dxa"/>
            <w:left w:w="108" w:type="dxa"/>
            <w:bottom w:w="0" w:type="dxa"/>
            <w:right w:w="108" w:type="dxa"/>
          </w:tblCellMar>
        </w:tblPrEx>
        <w:trPr>
          <w:jc w:val="center"/>
        </w:trPr>
        <w:tc>
          <w:tcPr>
            <w:tcW w:w="353" w:type="pct"/>
            <w:tcBorders>
              <w:top w:val="single" w:color="auto" w:sz="4" w:space="0"/>
              <w:left w:val="single" w:color="auto" w:sz="4" w:space="0"/>
              <w:bottom w:val="single" w:color="auto" w:sz="4" w:space="0"/>
              <w:right w:val="single" w:color="auto" w:sz="4" w:space="0"/>
            </w:tcBorders>
          </w:tcPr>
          <w:p w14:paraId="57F054E7">
            <w:pPr>
              <w:spacing w:line="500" w:lineRule="exact"/>
              <w:jc w:val="left"/>
              <w:rPr>
                <w:rFonts w:ascii="Times New Roman" w:hAnsi="Times New Roman"/>
                <w:color w:val="auto"/>
                <w:highlight w:val="none"/>
              </w:rPr>
            </w:pPr>
          </w:p>
        </w:tc>
        <w:tc>
          <w:tcPr>
            <w:tcW w:w="558" w:type="pct"/>
            <w:tcBorders>
              <w:top w:val="single" w:color="auto" w:sz="4" w:space="0"/>
              <w:left w:val="single" w:color="auto" w:sz="4" w:space="0"/>
              <w:bottom w:val="single" w:color="auto" w:sz="4" w:space="0"/>
              <w:right w:val="single" w:color="auto" w:sz="4" w:space="0"/>
            </w:tcBorders>
          </w:tcPr>
          <w:p w14:paraId="6DC2DB7A">
            <w:pPr>
              <w:spacing w:line="500" w:lineRule="exact"/>
              <w:jc w:val="left"/>
              <w:rPr>
                <w:rFonts w:ascii="Times New Roman" w:hAnsi="Times New Roman"/>
                <w:color w:val="auto"/>
                <w:highlight w:val="none"/>
              </w:rPr>
            </w:pPr>
          </w:p>
        </w:tc>
        <w:tc>
          <w:tcPr>
            <w:tcW w:w="546" w:type="pct"/>
            <w:tcBorders>
              <w:top w:val="single" w:color="auto" w:sz="4" w:space="0"/>
              <w:left w:val="single" w:color="auto" w:sz="4" w:space="0"/>
              <w:bottom w:val="single" w:color="auto" w:sz="4" w:space="0"/>
              <w:right w:val="single" w:color="auto" w:sz="4" w:space="0"/>
            </w:tcBorders>
          </w:tcPr>
          <w:p w14:paraId="3E86709E">
            <w:pPr>
              <w:spacing w:line="500" w:lineRule="exact"/>
              <w:jc w:val="left"/>
              <w:rPr>
                <w:rFonts w:ascii="Times New Roman" w:hAnsi="Times New Roman"/>
                <w:color w:val="auto"/>
                <w:highlight w:val="none"/>
              </w:rPr>
            </w:pPr>
          </w:p>
        </w:tc>
        <w:tc>
          <w:tcPr>
            <w:tcW w:w="653" w:type="pct"/>
            <w:tcBorders>
              <w:top w:val="single" w:color="auto" w:sz="4" w:space="0"/>
              <w:left w:val="single" w:color="auto" w:sz="4" w:space="0"/>
              <w:bottom w:val="single" w:color="auto" w:sz="4" w:space="0"/>
              <w:right w:val="single" w:color="auto" w:sz="4" w:space="0"/>
            </w:tcBorders>
          </w:tcPr>
          <w:p w14:paraId="4D00091B">
            <w:pPr>
              <w:spacing w:line="500" w:lineRule="exact"/>
              <w:jc w:val="left"/>
              <w:rPr>
                <w:rFonts w:ascii="Times New Roman" w:hAnsi="Times New Roman"/>
                <w:color w:val="auto"/>
                <w:highlight w:val="none"/>
              </w:rPr>
            </w:pPr>
          </w:p>
        </w:tc>
        <w:tc>
          <w:tcPr>
            <w:tcW w:w="697" w:type="pct"/>
            <w:tcBorders>
              <w:top w:val="single" w:color="auto" w:sz="4" w:space="0"/>
              <w:left w:val="single" w:color="auto" w:sz="4" w:space="0"/>
              <w:bottom w:val="single" w:color="auto" w:sz="4" w:space="0"/>
              <w:right w:val="single" w:color="auto" w:sz="4" w:space="0"/>
            </w:tcBorders>
          </w:tcPr>
          <w:p w14:paraId="5615A0D6">
            <w:pPr>
              <w:spacing w:line="500" w:lineRule="exact"/>
              <w:jc w:val="left"/>
              <w:rPr>
                <w:rFonts w:ascii="Times New Roman" w:hAnsi="Times New Roman"/>
                <w:color w:val="auto"/>
                <w:highlight w:val="none"/>
              </w:rPr>
            </w:pPr>
          </w:p>
        </w:tc>
        <w:tc>
          <w:tcPr>
            <w:tcW w:w="560" w:type="pct"/>
            <w:tcBorders>
              <w:top w:val="single" w:color="auto" w:sz="4" w:space="0"/>
              <w:left w:val="single" w:color="auto" w:sz="4" w:space="0"/>
              <w:bottom w:val="single" w:color="auto" w:sz="4" w:space="0"/>
              <w:right w:val="single" w:color="auto" w:sz="4" w:space="0"/>
            </w:tcBorders>
          </w:tcPr>
          <w:p w14:paraId="1AE41535">
            <w:pPr>
              <w:spacing w:line="500" w:lineRule="exact"/>
              <w:jc w:val="left"/>
              <w:rPr>
                <w:rFonts w:ascii="Times New Roman" w:hAnsi="Times New Roman"/>
                <w:color w:val="auto"/>
                <w:highlight w:val="none"/>
              </w:rPr>
            </w:pPr>
          </w:p>
        </w:tc>
        <w:tc>
          <w:tcPr>
            <w:tcW w:w="570" w:type="pct"/>
            <w:tcBorders>
              <w:top w:val="single" w:color="auto" w:sz="4" w:space="0"/>
              <w:left w:val="single" w:color="auto" w:sz="4" w:space="0"/>
              <w:bottom w:val="single" w:color="auto" w:sz="4" w:space="0"/>
              <w:right w:val="single" w:color="auto" w:sz="4" w:space="0"/>
            </w:tcBorders>
          </w:tcPr>
          <w:p w14:paraId="728DBB6A">
            <w:pPr>
              <w:spacing w:line="500" w:lineRule="exact"/>
              <w:jc w:val="left"/>
              <w:rPr>
                <w:rFonts w:ascii="Times New Roman" w:hAnsi="Times New Roman"/>
                <w:color w:val="auto"/>
                <w:highlight w:val="none"/>
              </w:rPr>
            </w:pPr>
          </w:p>
        </w:tc>
        <w:tc>
          <w:tcPr>
            <w:tcW w:w="414" w:type="pct"/>
            <w:tcBorders>
              <w:top w:val="single" w:color="auto" w:sz="4" w:space="0"/>
              <w:left w:val="single" w:color="auto" w:sz="4" w:space="0"/>
              <w:bottom w:val="single" w:color="auto" w:sz="4" w:space="0"/>
              <w:right w:val="single" w:color="auto" w:sz="4" w:space="0"/>
            </w:tcBorders>
          </w:tcPr>
          <w:p w14:paraId="31D447CD">
            <w:pPr>
              <w:spacing w:line="500" w:lineRule="exact"/>
              <w:jc w:val="left"/>
              <w:rPr>
                <w:rFonts w:ascii="Times New Roman" w:hAnsi="Times New Roman"/>
                <w:color w:val="auto"/>
                <w:highlight w:val="none"/>
              </w:rPr>
            </w:pPr>
          </w:p>
        </w:tc>
        <w:tc>
          <w:tcPr>
            <w:tcW w:w="644" w:type="pct"/>
            <w:tcBorders>
              <w:top w:val="single" w:color="auto" w:sz="4" w:space="0"/>
              <w:left w:val="single" w:color="auto" w:sz="4" w:space="0"/>
              <w:bottom w:val="single" w:color="auto" w:sz="4" w:space="0"/>
              <w:right w:val="single" w:color="auto" w:sz="4" w:space="0"/>
            </w:tcBorders>
          </w:tcPr>
          <w:p w14:paraId="3D2544D0">
            <w:pPr>
              <w:spacing w:line="500" w:lineRule="exact"/>
              <w:jc w:val="left"/>
              <w:rPr>
                <w:rFonts w:ascii="Times New Roman" w:hAnsi="Times New Roman"/>
                <w:color w:val="auto"/>
                <w:highlight w:val="none"/>
              </w:rPr>
            </w:pPr>
          </w:p>
        </w:tc>
      </w:tr>
      <w:tr w14:paraId="55E26C08">
        <w:tblPrEx>
          <w:tblCellMar>
            <w:top w:w="0" w:type="dxa"/>
            <w:left w:w="108" w:type="dxa"/>
            <w:bottom w:w="0" w:type="dxa"/>
            <w:right w:w="108" w:type="dxa"/>
          </w:tblCellMar>
        </w:tblPrEx>
        <w:trPr>
          <w:jc w:val="center"/>
        </w:trPr>
        <w:tc>
          <w:tcPr>
            <w:tcW w:w="353" w:type="pct"/>
            <w:tcBorders>
              <w:top w:val="single" w:color="auto" w:sz="4" w:space="0"/>
              <w:left w:val="single" w:color="auto" w:sz="4" w:space="0"/>
              <w:bottom w:val="single" w:color="auto" w:sz="4" w:space="0"/>
              <w:right w:val="single" w:color="auto" w:sz="4" w:space="0"/>
            </w:tcBorders>
          </w:tcPr>
          <w:p w14:paraId="3F24AF8F">
            <w:pPr>
              <w:spacing w:line="500" w:lineRule="exact"/>
              <w:jc w:val="left"/>
              <w:rPr>
                <w:rFonts w:ascii="Times New Roman" w:hAnsi="Times New Roman"/>
                <w:color w:val="auto"/>
                <w:highlight w:val="none"/>
              </w:rPr>
            </w:pPr>
          </w:p>
        </w:tc>
        <w:tc>
          <w:tcPr>
            <w:tcW w:w="558" w:type="pct"/>
            <w:tcBorders>
              <w:top w:val="single" w:color="auto" w:sz="4" w:space="0"/>
              <w:left w:val="single" w:color="auto" w:sz="4" w:space="0"/>
              <w:bottom w:val="single" w:color="auto" w:sz="4" w:space="0"/>
              <w:right w:val="single" w:color="auto" w:sz="4" w:space="0"/>
            </w:tcBorders>
          </w:tcPr>
          <w:p w14:paraId="1A5FD33A">
            <w:pPr>
              <w:spacing w:line="500" w:lineRule="exact"/>
              <w:jc w:val="left"/>
              <w:rPr>
                <w:rFonts w:ascii="Times New Roman" w:hAnsi="Times New Roman"/>
                <w:color w:val="auto"/>
                <w:highlight w:val="none"/>
              </w:rPr>
            </w:pPr>
          </w:p>
        </w:tc>
        <w:tc>
          <w:tcPr>
            <w:tcW w:w="546" w:type="pct"/>
            <w:tcBorders>
              <w:top w:val="single" w:color="auto" w:sz="4" w:space="0"/>
              <w:left w:val="single" w:color="auto" w:sz="4" w:space="0"/>
              <w:bottom w:val="single" w:color="auto" w:sz="4" w:space="0"/>
              <w:right w:val="single" w:color="auto" w:sz="4" w:space="0"/>
            </w:tcBorders>
          </w:tcPr>
          <w:p w14:paraId="53432CB3">
            <w:pPr>
              <w:spacing w:line="500" w:lineRule="exact"/>
              <w:jc w:val="left"/>
              <w:rPr>
                <w:rFonts w:ascii="Times New Roman" w:hAnsi="Times New Roman"/>
                <w:color w:val="auto"/>
                <w:highlight w:val="none"/>
              </w:rPr>
            </w:pPr>
          </w:p>
        </w:tc>
        <w:tc>
          <w:tcPr>
            <w:tcW w:w="653" w:type="pct"/>
            <w:tcBorders>
              <w:top w:val="single" w:color="auto" w:sz="4" w:space="0"/>
              <w:left w:val="single" w:color="auto" w:sz="4" w:space="0"/>
              <w:bottom w:val="single" w:color="auto" w:sz="4" w:space="0"/>
              <w:right w:val="single" w:color="auto" w:sz="4" w:space="0"/>
            </w:tcBorders>
          </w:tcPr>
          <w:p w14:paraId="3F44A22D">
            <w:pPr>
              <w:spacing w:line="500" w:lineRule="exact"/>
              <w:jc w:val="left"/>
              <w:rPr>
                <w:rFonts w:ascii="Times New Roman" w:hAnsi="Times New Roman"/>
                <w:color w:val="auto"/>
                <w:highlight w:val="none"/>
              </w:rPr>
            </w:pPr>
          </w:p>
        </w:tc>
        <w:tc>
          <w:tcPr>
            <w:tcW w:w="697" w:type="pct"/>
            <w:tcBorders>
              <w:top w:val="single" w:color="auto" w:sz="4" w:space="0"/>
              <w:left w:val="single" w:color="auto" w:sz="4" w:space="0"/>
              <w:bottom w:val="single" w:color="auto" w:sz="4" w:space="0"/>
              <w:right w:val="single" w:color="auto" w:sz="4" w:space="0"/>
            </w:tcBorders>
          </w:tcPr>
          <w:p w14:paraId="23216F18">
            <w:pPr>
              <w:spacing w:line="500" w:lineRule="exact"/>
              <w:jc w:val="left"/>
              <w:rPr>
                <w:rFonts w:ascii="Times New Roman" w:hAnsi="Times New Roman"/>
                <w:color w:val="auto"/>
                <w:highlight w:val="none"/>
              </w:rPr>
            </w:pPr>
          </w:p>
        </w:tc>
        <w:tc>
          <w:tcPr>
            <w:tcW w:w="560" w:type="pct"/>
            <w:tcBorders>
              <w:top w:val="single" w:color="auto" w:sz="4" w:space="0"/>
              <w:left w:val="single" w:color="auto" w:sz="4" w:space="0"/>
              <w:bottom w:val="single" w:color="auto" w:sz="4" w:space="0"/>
              <w:right w:val="single" w:color="auto" w:sz="4" w:space="0"/>
            </w:tcBorders>
          </w:tcPr>
          <w:p w14:paraId="5E52FD44">
            <w:pPr>
              <w:spacing w:line="500" w:lineRule="exact"/>
              <w:jc w:val="left"/>
              <w:rPr>
                <w:rFonts w:ascii="Times New Roman" w:hAnsi="Times New Roman"/>
                <w:color w:val="auto"/>
                <w:highlight w:val="none"/>
              </w:rPr>
            </w:pPr>
          </w:p>
        </w:tc>
        <w:tc>
          <w:tcPr>
            <w:tcW w:w="570" w:type="pct"/>
            <w:tcBorders>
              <w:top w:val="single" w:color="auto" w:sz="4" w:space="0"/>
              <w:left w:val="single" w:color="auto" w:sz="4" w:space="0"/>
              <w:bottom w:val="single" w:color="auto" w:sz="4" w:space="0"/>
              <w:right w:val="single" w:color="auto" w:sz="4" w:space="0"/>
            </w:tcBorders>
          </w:tcPr>
          <w:p w14:paraId="195F88C5">
            <w:pPr>
              <w:spacing w:line="500" w:lineRule="exact"/>
              <w:jc w:val="left"/>
              <w:rPr>
                <w:rFonts w:ascii="Times New Roman" w:hAnsi="Times New Roman"/>
                <w:color w:val="auto"/>
                <w:highlight w:val="none"/>
              </w:rPr>
            </w:pPr>
          </w:p>
        </w:tc>
        <w:tc>
          <w:tcPr>
            <w:tcW w:w="414" w:type="pct"/>
            <w:tcBorders>
              <w:top w:val="single" w:color="auto" w:sz="4" w:space="0"/>
              <w:left w:val="single" w:color="auto" w:sz="4" w:space="0"/>
              <w:bottom w:val="single" w:color="auto" w:sz="4" w:space="0"/>
              <w:right w:val="single" w:color="auto" w:sz="4" w:space="0"/>
            </w:tcBorders>
          </w:tcPr>
          <w:p w14:paraId="030C012B">
            <w:pPr>
              <w:spacing w:line="500" w:lineRule="exact"/>
              <w:jc w:val="left"/>
              <w:rPr>
                <w:rFonts w:ascii="Times New Roman" w:hAnsi="Times New Roman"/>
                <w:color w:val="auto"/>
                <w:highlight w:val="none"/>
              </w:rPr>
            </w:pPr>
          </w:p>
        </w:tc>
        <w:tc>
          <w:tcPr>
            <w:tcW w:w="644" w:type="pct"/>
            <w:tcBorders>
              <w:top w:val="single" w:color="auto" w:sz="4" w:space="0"/>
              <w:left w:val="single" w:color="auto" w:sz="4" w:space="0"/>
              <w:bottom w:val="single" w:color="auto" w:sz="4" w:space="0"/>
              <w:right w:val="single" w:color="auto" w:sz="4" w:space="0"/>
            </w:tcBorders>
          </w:tcPr>
          <w:p w14:paraId="76D8C401">
            <w:pPr>
              <w:spacing w:line="500" w:lineRule="exact"/>
              <w:jc w:val="left"/>
              <w:rPr>
                <w:rFonts w:ascii="Times New Roman" w:hAnsi="Times New Roman"/>
                <w:color w:val="auto"/>
                <w:highlight w:val="none"/>
              </w:rPr>
            </w:pPr>
          </w:p>
        </w:tc>
      </w:tr>
      <w:tr w14:paraId="012D1334">
        <w:tblPrEx>
          <w:tblCellMar>
            <w:top w:w="0" w:type="dxa"/>
            <w:left w:w="108" w:type="dxa"/>
            <w:bottom w:w="0" w:type="dxa"/>
            <w:right w:w="108" w:type="dxa"/>
          </w:tblCellMar>
        </w:tblPrEx>
        <w:trPr>
          <w:jc w:val="center"/>
        </w:trPr>
        <w:tc>
          <w:tcPr>
            <w:tcW w:w="353" w:type="pct"/>
            <w:tcBorders>
              <w:top w:val="single" w:color="auto" w:sz="4" w:space="0"/>
              <w:left w:val="single" w:color="auto" w:sz="4" w:space="0"/>
              <w:bottom w:val="single" w:color="auto" w:sz="4" w:space="0"/>
              <w:right w:val="single" w:color="auto" w:sz="4" w:space="0"/>
            </w:tcBorders>
          </w:tcPr>
          <w:p w14:paraId="0740600C">
            <w:pPr>
              <w:spacing w:line="500" w:lineRule="exact"/>
              <w:jc w:val="left"/>
              <w:rPr>
                <w:rFonts w:ascii="Times New Roman" w:hAnsi="Times New Roman"/>
                <w:color w:val="auto"/>
                <w:highlight w:val="none"/>
              </w:rPr>
            </w:pPr>
          </w:p>
        </w:tc>
        <w:tc>
          <w:tcPr>
            <w:tcW w:w="558" w:type="pct"/>
            <w:tcBorders>
              <w:top w:val="single" w:color="auto" w:sz="4" w:space="0"/>
              <w:left w:val="single" w:color="auto" w:sz="4" w:space="0"/>
              <w:bottom w:val="single" w:color="auto" w:sz="4" w:space="0"/>
              <w:right w:val="single" w:color="auto" w:sz="4" w:space="0"/>
            </w:tcBorders>
          </w:tcPr>
          <w:p w14:paraId="5968AC7A">
            <w:pPr>
              <w:spacing w:line="500" w:lineRule="exact"/>
              <w:jc w:val="left"/>
              <w:rPr>
                <w:rFonts w:ascii="Times New Roman" w:hAnsi="Times New Roman"/>
                <w:color w:val="auto"/>
                <w:highlight w:val="none"/>
              </w:rPr>
            </w:pPr>
          </w:p>
        </w:tc>
        <w:tc>
          <w:tcPr>
            <w:tcW w:w="546" w:type="pct"/>
            <w:tcBorders>
              <w:top w:val="single" w:color="auto" w:sz="4" w:space="0"/>
              <w:left w:val="single" w:color="auto" w:sz="4" w:space="0"/>
              <w:bottom w:val="single" w:color="auto" w:sz="4" w:space="0"/>
              <w:right w:val="single" w:color="auto" w:sz="4" w:space="0"/>
            </w:tcBorders>
          </w:tcPr>
          <w:p w14:paraId="15B7AC48">
            <w:pPr>
              <w:spacing w:line="500" w:lineRule="exact"/>
              <w:jc w:val="left"/>
              <w:rPr>
                <w:rFonts w:ascii="Times New Roman" w:hAnsi="Times New Roman"/>
                <w:color w:val="auto"/>
                <w:highlight w:val="none"/>
              </w:rPr>
            </w:pPr>
          </w:p>
        </w:tc>
        <w:tc>
          <w:tcPr>
            <w:tcW w:w="653" w:type="pct"/>
            <w:tcBorders>
              <w:top w:val="single" w:color="auto" w:sz="4" w:space="0"/>
              <w:left w:val="single" w:color="auto" w:sz="4" w:space="0"/>
              <w:bottom w:val="single" w:color="auto" w:sz="4" w:space="0"/>
              <w:right w:val="single" w:color="auto" w:sz="4" w:space="0"/>
            </w:tcBorders>
          </w:tcPr>
          <w:p w14:paraId="6A3C742C">
            <w:pPr>
              <w:spacing w:line="500" w:lineRule="exact"/>
              <w:jc w:val="left"/>
              <w:rPr>
                <w:rFonts w:ascii="Times New Roman" w:hAnsi="Times New Roman"/>
                <w:color w:val="auto"/>
                <w:highlight w:val="none"/>
              </w:rPr>
            </w:pPr>
          </w:p>
        </w:tc>
        <w:tc>
          <w:tcPr>
            <w:tcW w:w="697" w:type="pct"/>
            <w:tcBorders>
              <w:top w:val="single" w:color="auto" w:sz="4" w:space="0"/>
              <w:left w:val="single" w:color="auto" w:sz="4" w:space="0"/>
              <w:bottom w:val="single" w:color="auto" w:sz="4" w:space="0"/>
              <w:right w:val="single" w:color="auto" w:sz="4" w:space="0"/>
            </w:tcBorders>
          </w:tcPr>
          <w:p w14:paraId="4BB1F75C">
            <w:pPr>
              <w:spacing w:line="500" w:lineRule="exact"/>
              <w:jc w:val="left"/>
              <w:rPr>
                <w:rFonts w:ascii="Times New Roman" w:hAnsi="Times New Roman"/>
                <w:color w:val="auto"/>
                <w:highlight w:val="none"/>
              </w:rPr>
            </w:pPr>
          </w:p>
        </w:tc>
        <w:tc>
          <w:tcPr>
            <w:tcW w:w="560" w:type="pct"/>
            <w:tcBorders>
              <w:top w:val="single" w:color="auto" w:sz="4" w:space="0"/>
              <w:left w:val="single" w:color="auto" w:sz="4" w:space="0"/>
              <w:bottom w:val="single" w:color="auto" w:sz="4" w:space="0"/>
              <w:right w:val="single" w:color="auto" w:sz="4" w:space="0"/>
            </w:tcBorders>
          </w:tcPr>
          <w:p w14:paraId="7B3B33C6">
            <w:pPr>
              <w:spacing w:line="500" w:lineRule="exact"/>
              <w:jc w:val="left"/>
              <w:rPr>
                <w:rFonts w:ascii="Times New Roman" w:hAnsi="Times New Roman"/>
                <w:color w:val="auto"/>
                <w:highlight w:val="none"/>
              </w:rPr>
            </w:pPr>
          </w:p>
        </w:tc>
        <w:tc>
          <w:tcPr>
            <w:tcW w:w="570" w:type="pct"/>
            <w:tcBorders>
              <w:top w:val="single" w:color="auto" w:sz="4" w:space="0"/>
              <w:left w:val="single" w:color="auto" w:sz="4" w:space="0"/>
              <w:bottom w:val="single" w:color="auto" w:sz="4" w:space="0"/>
              <w:right w:val="single" w:color="auto" w:sz="4" w:space="0"/>
            </w:tcBorders>
          </w:tcPr>
          <w:p w14:paraId="76EB3211">
            <w:pPr>
              <w:spacing w:line="500" w:lineRule="exact"/>
              <w:jc w:val="left"/>
              <w:rPr>
                <w:rFonts w:ascii="Times New Roman" w:hAnsi="Times New Roman"/>
                <w:color w:val="auto"/>
                <w:highlight w:val="none"/>
              </w:rPr>
            </w:pPr>
          </w:p>
        </w:tc>
        <w:tc>
          <w:tcPr>
            <w:tcW w:w="414" w:type="pct"/>
            <w:tcBorders>
              <w:top w:val="single" w:color="auto" w:sz="4" w:space="0"/>
              <w:left w:val="single" w:color="auto" w:sz="4" w:space="0"/>
              <w:bottom w:val="single" w:color="auto" w:sz="4" w:space="0"/>
              <w:right w:val="single" w:color="auto" w:sz="4" w:space="0"/>
            </w:tcBorders>
          </w:tcPr>
          <w:p w14:paraId="4219104C">
            <w:pPr>
              <w:spacing w:line="500" w:lineRule="exact"/>
              <w:jc w:val="left"/>
              <w:rPr>
                <w:rFonts w:ascii="Times New Roman" w:hAnsi="Times New Roman"/>
                <w:color w:val="auto"/>
                <w:highlight w:val="none"/>
              </w:rPr>
            </w:pPr>
          </w:p>
        </w:tc>
        <w:tc>
          <w:tcPr>
            <w:tcW w:w="644" w:type="pct"/>
            <w:tcBorders>
              <w:top w:val="single" w:color="auto" w:sz="4" w:space="0"/>
              <w:left w:val="single" w:color="auto" w:sz="4" w:space="0"/>
              <w:bottom w:val="single" w:color="auto" w:sz="4" w:space="0"/>
              <w:right w:val="single" w:color="auto" w:sz="4" w:space="0"/>
            </w:tcBorders>
          </w:tcPr>
          <w:p w14:paraId="5251F332">
            <w:pPr>
              <w:spacing w:line="500" w:lineRule="exact"/>
              <w:jc w:val="left"/>
              <w:rPr>
                <w:rFonts w:ascii="Times New Roman" w:hAnsi="Times New Roman"/>
                <w:color w:val="auto"/>
                <w:highlight w:val="none"/>
              </w:rPr>
            </w:pPr>
          </w:p>
        </w:tc>
      </w:tr>
      <w:tr w14:paraId="0F356746">
        <w:tblPrEx>
          <w:tblCellMar>
            <w:top w:w="0" w:type="dxa"/>
            <w:left w:w="108" w:type="dxa"/>
            <w:bottom w:w="0" w:type="dxa"/>
            <w:right w:w="108" w:type="dxa"/>
          </w:tblCellMar>
        </w:tblPrEx>
        <w:trPr>
          <w:jc w:val="center"/>
        </w:trPr>
        <w:tc>
          <w:tcPr>
            <w:tcW w:w="353" w:type="pct"/>
            <w:tcBorders>
              <w:top w:val="single" w:color="auto" w:sz="4" w:space="0"/>
              <w:left w:val="single" w:color="auto" w:sz="4" w:space="0"/>
              <w:bottom w:val="single" w:color="auto" w:sz="4" w:space="0"/>
              <w:right w:val="single" w:color="auto" w:sz="4" w:space="0"/>
            </w:tcBorders>
          </w:tcPr>
          <w:p w14:paraId="5F2ED0A9">
            <w:pPr>
              <w:spacing w:line="500" w:lineRule="exact"/>
              <w:jc w:val="left"/>
              <w:rPr>
                <w:rFonts w:ascii="Times New Roman" w:hAnsi="Times New Roman"/>
                <w:color w:val="auto"/>
                <w:highlight w:val="none"/>
              </w:rPr>
            </w:pPr>
          </w:p>
        </w:tc>
        <w:tc>
          <w:tcPr>
            <w:tcW w:w="558" w:type="pct"/>
            <w:tcBorders>
              <w:top w:val="single" w:color="auto" w:sz="4" w:space="0"/>
              <w:left w:val="single" w:color="auto" w:sz="4" w:space="0"/>
              <w:bottom w:val="single" w:color="auto" w:sz="4" w:space="0"/>
              <w:right w:val="single" w:color="auto" w:sz="4" w:space="0"/>
            </w:tcBorders>
          </w:tcPr>
          <w:p w14:paraId="71AC3111">
            <w:pPr>
              <w:spacing w:line="500" w:lineRule="exact"/>
              <w:jc w:val="left"/>
              <w:rPr>
                <w:rFonts w:ascii="Times New Roman" w:hAnsi="Times New Roman"/>
                <w:color w:val="auto"/>
                <w:highlight w:val="none"/>
              </w:rPr>
            </w:pPr>
          </w:p>
        </w:tc>
        <w:tc>
          <w:tcPr>
            <w:tcW w:w="546" w:type="pct"/>
            <w:tcBorders>
              <w:top w:val="single" w:color="auto" w:sz="4" w:space="0"/>
              <w:left w:val="single" w:color="auto" w:sz="4" w:space="0"/>
              <w:bottom w:val="single" w:color="auto" w:sz="4" w:space="0"/>
              <w:right w:val="single" w:color="auto" w:sz="4" w:space="0"/>
            </w:tcBorders>
          </w:tcPr>
          <w:p w14:paraId="56B13534">
            <w:pPr>
              <w:spacing w:line="500" w:lineRule="exact"/>
              <w:jc w:val="left"/>
              <w:rPr>
                <w:rFonts w:ascii="Times New Roman" w:hAnsi="Times New Roman"/>
                <w:color w:val="auto"/>
                <w:highlight w:val="none"/>
              </w:rPr>
            </w:pPr>
          </w:p>
        </w:tc>
        <w:tc>
          <w:tcPr>
            <w:tcW w:w="653" w:type="pct"/>
            <w:tcBorders>
              <w:top w:val="single" w:color="auto" w:sz="4" w:space="0"/>
              <w:left w:val="single" w:color="auto" w:sz="4" w:space="0"/>
              <w:bottom w:val="single" w:color="auto" w:sz="4" w:space="0"/>
              <w:right w:val="single" w:color="auto" w:sz="4" w:space="0"/>
            </w:tcBorders>
          </w:tcPr>
          <w:p w14:paraId="6B3B1DB9">
            <w:pPr>
              <w:spacing w:line="500" w:lineRule="exact"/>
              <w:jc w:val="left"/>
              <w:rPr>
                <w:rFonts w:ascii="Times New Roman" w:hAnsi="Times New Roman"/>
                <w:color w:val="auto"/>
                <w:highlight w:val="none"/>
              </w:rPr>
            </w:pPr>
          </w:p>
        </w:tc>
        <w:tc>
          <w:tcPr>
            <w:tcW w:w="697" w:type="pct"/>
            <w:tcBorders>
              <w:top w:val="single" w:color="auto" w:sz="4" w:space="0"/>
              <w:left w:val="single" w:color="auto" w:sz="4" w:space="0"/>
              <w:bottom w:val="single" w:color="auto" w:sz="4" w:space="0"/>
              <w:right w:val="single" w:color="auto" w:sz="4" w:space="0"/>
            </w:tcBorders>
          </w:tcPr>
          <w:p w14:paraId="1DD04B9D">
            <w:pPr>
              <w:spacing w:line="500" w:lineRule="exact"/>
              <w:jc w:val="left"/>
              <w:rPr>
                <w:rFonts w:ascii="Times New Roman" w:hAnsi="Times New Roman"/>
                <w:color w:val="auto"/>
                <w:highlight w:val="none"/>
              </w:rPr>
            </w:pPr>
          </w:p>
        </w:tc>
        <w:tc>
          <w:tcPr>
            <w:tcW w:w="560" w:type="pct"/>
            <w:tcBorders>
              <w:top w:val="single" w:color="auto" w:sz="4" w:space="0"/>
              <w:left w:val="single" w:color="auto" w:sz="4" w:space="0"/>
              <w:bottom w:val="single" w:color="auto" w:sz="4" w:space="0"/>
              <w:right w:val="single" w:color="auto" w:sz="4" w:space="0"/>
            </w:tcBorders>
          </w:tcPr>
          <w:p w14:paraId="09A4001A">
            <w:pPr>
              <w:spacing w:line="500" w:lineRule="exact"/>
              <w:jc w:val="left"/>
              <w:rPr>
                <w:rFonts w:ascii="Times New Roman" w:hAnsi="Times New Roman"/>
                <w:color w:val="auto"/>
                <w:highlight w:val="none"/>
              </w:rPr>
            </w:pPr>
          </w:p>
        </w:tc>
        <w:tc>
          <w:tcPr>
            <w:tcW w:w="570" w:type="pct"/>
            <w:tcBorders>
              <w:top w:val="single" w:color="auto" w:sz="4" w:space="0"/>
              <w:left w:val="single" w:color="auto" w:sz="4" w:space="0"/>
              <w:bottom w:val="single" w:color="auto" w:sz="4" w:space="0"/>
              <w:right w:val="single" w:color="auto" w:sz="4" w:space="0"/>
            </w:tcBorders>
          </w:tcPr>
          <w:p w14:paraId="577AC19D">
            <w:pPr>
              <w:spacing w:line="500" w:lineRule="exact"/>
              <w:jc w:val="left"/>
              <w:rPr>
                <w:rFonts w:ascii="Times New Roman" w:hAnsi="Times New Roman"/>
                <w:color w:val="auto"/>
                <w:highlight w:val="none"/>
              </w:rPr>
            </w:pPr>
          </w:p>
        </w:tc>
        <w:tc>
          <w:tcPr>
            <w:tcW w:w="414" w:type="pct"/>
            <w:tcBorders>
              <w:top w:val="single" w:color="auto" w:sz="4" w:space="0"/>
              <w:left w:val="single" w:color="auto" w:sz="4" w:space="0"/>
              <w:bottom w:val="single" w:color="auto" w:sz="4" w:space="0"/>
              <w:right w:val="single" w:color="auto" w:sz="4" w:space="0"/>
            </w:tcBorders>
          </w:tcPr>
          <w:p w14:paraId="70BF0349">
            <w:pPr>
              <w:spacing w:line="500" w:lineRule="exact"/>
              <w:jc w:val="left"/>
              <w:rPr>
                <w:rFonts w:ascii="Times New Roman" w:hAnsi="Times New Roman"/>
                <w:color w:val="auto"/>
                <w:highlight w:val="none"/>
              </w:rPr>
            </w:pPr>
          </w:p>
        </w:tc>
        <w:tc>
          <w:tcPr>
            <w:tcW w:w="644" w:type="pct"/>
            <w:tcBorders>
              <w:top w:val="single" w:color="auto" w:sz="4" w:space="0"/>
              <w:left w:val="single" w:color="auto" w:sz="4" w:space="0"/>
              <w:bottom w:val="single" w:color="auto" w:sz="4" w:space="0"/>
              <w:right w:val="single" w:color="auto" w:sz="4" w:space="0"/>
            </w:tcBorders>
          </w:tcPr>
          <w:p w14:paraId="0EA02862">
            <w:pPr>
              <w:spacing w:line="500" w:lineRule="exact"/>
              <w:jc w:val="left"/>
              <w:rPr>
                <w:rFonts w:ascii="Times New Roman" w:hAnsi="Times New Roman"/>
                <w:color w:val="auto"/>
                <w:highlight w:val="none"/>
              </w:rPr>
            </w:pPr>
          </w:p>
        </w:tc>
      </w:tr>
      <w:tr w14:paraId="433061B8">
        <w:tblPrEx>
          <w:tblCellMar>
            <w:top w:w="0" w:type="dxa"/>
            <w:left w:w="108" w:type="dxa"/>
            <w:bottom w:w="0" w:type="dxa"/>
            <w:right w:w="108" w:type="dxa"/>
          </w:tblCellMar>
        </w:tblPrEx>
        <w:trPr>
          <w:trHeight w:val="502" w:hRule="atLeast"/>
          <w:jc w:val="center"/>
        </w:trPr>
        <w:tc>
          <w:tcPr>
            <w:tcW w:w="353" w:type="pct"/>
            <w:tcBorders>
              <w:top w:val="single" w:color="auto" w:sz="4" w:space="0"/>
              <w:left w:val="single" w:color="auto" w:sz="4" w:space="0"/>
              <w:bottom w:val="single" w:color="auto" w:sz="4" w:space="0"/>
              <w:right w:val="single" w:color="auto" w:sz="4" w:space="0"/>
            </w:tcBorders>
          </w:tcPr>
          <w:p w14:paraId="065202F8">
            <w:pPr>
              <w:spacing w:line="500" w:lineRule="exact"/>
              <w:jc w:val="left"/>
              <w:rPr>
                <w:rFonts w:ascii="Times New Roman" w:hAnsi="Times New Roman"/>
                <w:color w:val="auto"/>
                <w:highlight w:val="none"/>
              </w:rPr>
            </w:pPr>
          </w:p>
        </w:tc>
        <w:tc>
          <w:tcPr>
            <w:tcW w:w="558" w:type="pct"/>
            <w:tcBorders>
              <w:top w:val="single" w:color="auto" w:sz="4" w:space="0"/>
              <w:left w:val="single" w:color="auto" w:sz="4" w:space="0"/>
              <w:bottom w:val="single" w:color="auto" w:sz="4" w:space="0"/>
              <w:right w:val="single" w:color="auto" w:sz="4" w:space="0"/>
            </w:tcBorders>
          </w:tcPr>
          <w:p w14:paraId="64452C0B">
            <w:pPr>
              <w:spacing w:line="500" w:lineRule="exact"/>
              <w:jc w:val="left"/>
              <w:rPr>
                <w:rFonts w:ascii="Times New Roman" w:hAnsi="Times New Roman"/>
                <w:color w:val="auto"/>
                <w:highlight w:val="none"/>
              </w:rPr>
            </w:pPr>
          </w:p>
        </w:tc>
        <w:tc>
          <w:tcPr>
            <w:tcW w:w="546" w:type="pct"/>
            <w:tcBorders>
              <w:top w:val="single" w:color="auto" w:sz="4" w:space="0"/>
              <w:left w:val="single" w:color="auto" w:sz="4" w:space="0"/>
              <w:bottom w:val="single" w:color="auto" w:sz="4" w:space="0"/>
              <w:right w:val="single" w:color="auto" w:sz="4" w:space="0"/>
            </w:tcBorders>
          </w:tcPr>
          <w:p w14:paraId="385E0B90">
            <w:pPr>
              <w:spacing w:line="500" w:lineRule="exact"/>
              <w:jc w:val="left"/>
              <w:rPr>
                <w:rFonts w:ascii="Times New Roman" w:hAnsi="Times New Roman"/>
                <w:color w:val="auto"/>
                <w:highlight w:val="none"/>
              </w:rPr>
            </w:pPr>
          </w:p>
        </w:tc>
        <w:tc>
          <w:tcPr>
            <w:tcW w:w="653" w:type="pct"/>
            <w:tcBorders>
              <w:top w:val="single" w:color="auto" w:sz="4" w:space="0"/>
              <w:left w:val="single" w:color="auto" w:sz="4" w:space="0"/>
              <w:bottom w:val="single" w:color="auto" w:sz="4" w:space="0"/>
              <w:right w:val="single" w:color="auto" w:sz="4" w:space="0"/>
            </w:tcBorders>
          </w:tcPr>
          <w:p w14:paraId="19B5E185">
            <w:pPr>
              <w:spacing w:line="500" w:lineRule="exact"/>
              <w:jc w:val="left"/>
              <w:rPr>
                <w:rFonts w:ascii="Times New Roman" w:hAnsi="Times New Roman"/>
                <w:color w:val="auto"/>
                <w:highlight w:val="none"/>
              </w:rPr>
            </w:pPr>
          </w:p>
        </w:tc>
        <w:tc>
          <w:tcPr>
            <w:tcW w:w="697" w:type="pct"/>
            <w:tcBorders>
              <w:top w:val="single" w:color="auto" w:sz="4" w:space="0"/>
              <w:left w:val="single" w:color="auto" w:sz="4" w:space="0"/>
              <w:bottom w:val="single" w:color="auto" w:sz="4" w:space="0"/>
              <w:right w:val="single" w:color="auto" w:sz="4" w:space="0"/>
            </w:tcBorders>
          </w:tcPr>
          <w:p w14:paraId="135EDD04">
            <w:pPr>
              <w:spacing w:line="500" w:lineRule="exact"/>
              <w:jc w:val="left"/>
              <w:rPr>
                <w:rFonts w:ascii="Times New Roman" w:hAnsi="Times New Roman"/>
                <w:color w:val="auto"/>
                <w:highlight w:val="none"/>
              </w:rPr>
            </w:pPr>
          </w:p>
        </w:tc>
        <w:tc>
          <w:tcPr>
            <w:tcW w:w="560" w:type="pct"/>
            <w:tcBorders>
              <w:top w:val="single" w:color="auto" w:sz="4" w:space="0"/>
              <w:left w:val="single" w:color="auto" w:sz="4" w:space="0"/>
              <w:bottom w:val="single" w:color="auto" w:sz="4" w:space="0"/>
              <w:right w:val="single" w:color="auto" w:sz="4" w:space="0"/>
            </w:tcBorders>
          </w:tcPr>
          <w:p w14:paraId="6E7ADC81">
            <w:pPr>
              <w:spacing w:line="500" w:lineRule="exact"/>
              <w:jc w:val="left"/>
              <w:rPr>
                <w:rFonts w:ascii="Times New Roman" w:hAnsi="Times New Roman"/>
                <w:color w:val="auto"/>
                <w:highlight w:val="none"/>
              </w:rPr>
            </w:pPr>
          </w:p>
        </w:tc>
        <w:tc>
          <w:tcPr>
            <w:tcW w:w="570" w:type="pct"/>
            <w:tcBorders>
              <w:top w:val="single" w:color="auto" w:sz="4" w:space="0"/>
              <w:left w:val="single" w:color="auto" w:sz="4" w:space="0"/>
              <w:bottom w:val="single" w:color="auto" w:sz="4" w:space="0"/>
              <w:right w:val="single" w:color="auto" w:sz="4" w:space="0"/>
            </w:tcBorders>
          </w:tcPr>
          <w:p w14:paraId="6EA91F89">
            <w:pPr>
              <w:spacing w:line="500" w:lineRule="exact"/>
              <w:jc w:val="left"/>
              <w:rPr>
                <w:rFonts w:ascii="Times New Roman" w:hAnsi="Times New Roman"/>
                <w:color w:val="auto"/>
                <w:highlight w:val="none"/>
              </w:rPr>
            </w:pPr>
          </w:p>
        </w:tc>
        <w:tc>
          <w:tcPr>
            <w:tcW w:w="414" w:type="pct"/>
            <w:tcBorders>
              <w:top w:val="single" w:color="auto" w:sz="4" w:space="0"/>
              <w:left w:val="single" w:color="auto" w:sz="4" w:space="0"/>
              <w:bottom w:val="single" w:color="auto" w:sz="4" w:space="0"/>
              <w:right w:val="single" w:color="auto" w:sz="4" w:space="0"/>
            </w:tcBorders>
          </w:tcPr>
          <w:p w14:paraId="487344CD">
            <w:pPr>
              <w:spacing w:line="500" w:lineRule="exact"/>
              <w:jc w:val="left"/>
              <w:rPr>
                <w:rFonts w:ascii="Times New Roman" w:hAnsi="Times New Roman"/>
                <w:color w:val="auto"/>
                <w:highlight w:val="none"/>
              </w:rPr>
            </w:pPr>
          </w:p>
        </w:tc>
        <w:tc>
          <w:tcPr>
            <w:tcW w:w="644" w:type="pct"/>
            <w:tcBorders>
              <w:top w:val="single" w:color="auto" w:sz="4" w:space="0"/>
              <w:left w:val="single" w:color="auto" w:sz="4" w:space="0"/>
              <w:bottom w:val="single" w:color="auto" w:sz="4" w:space="0"/>
              <w:right w:val="single" w:color="auto" w:sz="4" w:space="0"/>
            </w:tcBorders>
          </w:tcPr>
          <w:p w14:paraId="5FFB2AB1">
            <w:pPr>
              <w:spacing w:line="500" w:lineRule="exact"/>
              <w:jc w:val="left"/>
              <w:rPr>
                <w:rFonts w:ascii="Times New Roman" w:hAnsi="Times New Roman"/>
                <w:color w:val="auto"/>
                <w:highlight w:val="none"/>
              </w:rPr>
            </w:pPr>
          </w:p>
        </w:tc>
      </w:tr>
      <w:tr w14:paraId="08B481EE">
        <w:tblPrEx>
          <w:tblCellMar>
            <w:top w:w="0" w:type="dxa"/>
            <w:left w:w="108" w:type="dxa"/>
            <w:bottom w:w="0" w:type="dxa"/>
            <w:right w:w="108" w:type="dxa"/>
          </w:tblCellMar>
        </w:tblPrEx>
        <w:trPr>
          <w:jc w:val="center"/>
        </w:trPr>
        <w:tc>
          <w:tcPr>
            <w:tcW w:w="353" w:type="pct"/>
            <w:tcBorders>
              <w:top w:val="single" w:color="auto" w:sz="4" w:space="0"/>
              <w:left w:val="single" w:color="auto" w:sz="4" w:space="0"/>
              <w:bottom w:val="single" w:color="auto" w:sz="4" w:space="0"/>
              <w:right w:val="single" w:color="auto" w:sz="4" w:space="0"/>
            </w:tcBorders>
          </w:tcPr>
          <w:p w14:paraId="352305EE">
            <w:pPr>
              <w:spacing w:line="500" w:lineRule="exact"/>
              <w:jc w:val="left"/>
              <w:rPr>
                <w:rFonts w:ascii="Times New Roman" w:hAnsi="Times New Roman"/>
                <w:color w:val="auto"/>
                <w:highlight w:val="none"/>
              </w:rPr>
            </w:pPr>
          </w:p>
        </w:tc>
        <w:tc>
          <w:tcPr>
            <w:tcW w:w="558" w:type="pct"/>
            <w:tcBorders>
              <w:top w:val="single" w:color="auto" w:sz="4" w:space="0"/>
              <w:left w:val="single" w:color="auto" w:sz="4" w:space="0"/>
              <w:bottom w:val="single" w:color="auto" w:sz="4" w:space="0"/>
              <w:right w:val="single" w:color="auto" w:sz="4" w:space="0"/>
            </w:tcBorders>
          </w:tcPr>
          <w:p w14:paraId="71BEF0AB">
            <w:pPr>
              <w:spacing w:line="500" w:lineRule="exact"/>
              <w:jc w:val="left"/>
              <w:rPr>
                <w:rFonts w:ascii="Times New Roman" w:hAnsi="Times New Roman"/>
                <w:color w:val="auto"/>
                <w:highlight w:val="none"/>
              </w:rPr>
            </w:pPr>
          </w:p>
        </w:tc>
        <w:tc>
          <w:tcPr>
            <w:tcW w:w="546" w:type="pct"/>
            <w:tcBorders>
              <w:top w:val="single" w:color="auto" w:sz="4" w:space="0"/>
              <w:left w:val="single" w:color="auto" w:sz="4" w:space="0"/>
              <w:bottom w:val="single" w:color="auto" w:sz="4" w:space="0"/>
              <w:right w:val="single" w:color="auto" w:sz="4" w:space="0"/>
            </w:tcBorders>
          </w:tcPr>
          <w:p w14:paraId="24D7A806">
            <w:pPr>
              <w:spacing w:line="500" w:lineRule="exact"/>
              <w:jc w:val="left"/>
              <w:rPr>
                <w:rFonts w:ascii="Times New Roman" w:hAnsi="Times New Roman"/>
                <w:color w:val="auto"/>
                <w:highlight w:val="none"/>
              </w:rPr>
            </w:pPr>
          </w:p>
        </w:tc>
        <w:tc>
          <w:tcPr>
            <w:tcW w:w="653" w:type="pct"/>
            <w:tcBorders>
              <w:top w:val="single" w:color="auto" w:sz="4" w:space="0"/>
              <w:left w:val="single" w:color="auto" w:sz="4" w:space="0"/>
              <w:bottom w:val="single" w:color="auto" w:sz="4" w:space="0"/>
              <w:right w:val="single" w:color="auto" w:sz="4" w:space="0"/>
            </w:tcBorders>
          </w:tcPr>
          <w:p w14:paraId="5F165C46">
            <w:pPr>
              <w:spacing w:line="500" w:lineRule="exact"/>
              <w:jc w:val="left"/>
              <w:rPr>
                <w:rFonts w:ascii="Times New Roman" w:hAnsi="Times New Roman"/>
                <w:color w:val="auto"/>
                <w:highlight w:val="none"/>
              </w:rPr>
            </w:pPr>
          </w:p>
        </w:tc>
        <w:tc>
          <w:tcPr>
            <w:tcW w:w="697" w:type="pct"/>
            <w:tcBorders>
              <w:top w:val="single" w:color="auto" w:sz="4" w:space="0"/>
              <w:left w:val="single" w:color="auto" w:sz="4" w:space="0"/>
              <w:bottom w:val="single" w:color="auto" w:sz="4" w:space="0"/>
              <w:right w:val="single" w:color="auto" w:sz="4" w:space="0"/>
            </w:tcBorders>
          </w:tcPr>
          <w:p w14:paraId="7C400C17">
            <w:pPr>
              <w:spacing w:line="500" w:lineRule="exact"/>
              <w:jc w:val="left"/>
              <w:rPr>
                <w:rFonts w:ascii="Times New Roman" w:hAnsi="Times New Roman"/>
                <w:color w:val="auto"/>
                <w:highlight w:val="none"/>
              </w:rPr>
            </w:pPr>
          </w:p>
        </w:tc>
        <w:tc>
          <w:tcPr>
            <w:tcW w:w="560" w:type="pct"/>
            <w:tcBorders>
              <w:top w:val="single" w:color="auto" w:sz="4" w:space="0"/>
              <w:left w:val="single" w:color="auto" w:sz="4" w:space="0"/>
              <w:bottom w:val="single" w:color="auto" w:sz="4" w:space="0"/>
              <w:right w:val="single" w:color="auto" w:sz="4" w:space="0"/>
            </w:tcBorders>
          </w:tcPr>
          <w:p w14:paraId="33911DE0">
            <w:pPr>
              <w:spacing w:line="500" w:lineRule="exact"/>
              <w:jc w:val="left"/>
              <w:rPr>
                <w:rFonts w:ascii="Times New Roman" w:hAnsi="Times New Roman"/>
                <w:color w:val="auto"/>
                <w:highlight w:val="none"/>
              </w:rPr>
            </w:pPr>
          </w:p>
        </w:tc>
        <w:tc>
          <w:tcPr>
            <w:tcW w:w="570" w:type="pct"/>
            <w:tcBorders>
              <w:top w:val="single" w:color="auto" w:sz="4" w:space="0"/>
              <w:left w:val="single" w:color="auto" w:sz="4" w:space="0"/>
              <w:bottom w:val="single" w:color="auto" w:sz="4" w:space="0"/>
              <w:right w:val="single" w:color="auto" w:sz="4" w:space="0"/>
            </w:tcBorders>
          </w:tcPr>
          <w:p w14:paraId="5CB1970D">
            <w:pPr>
              <w:spacing w:line="500" w:lineRule="exact"/>
              <w:jc w:val="left"/>
              <w:rPr>
                <w:rFonts w:ascii="Times New Roman" w:hAnsi="Times New Roman"/>
                <w:color w:val="auto"/>
                <w:highlight w:val="none"/>
              </w:rPr>
            </w:pPr>
          </w:p>
        </w:tc>
        <w:tc>
          <w:tcPr>
            <w:tcW w:w="414" w:type="pct"/>
            <w:tcBorders>
              <w:top w:val="single" w:color="auto" w:sz="4" w:space="0"/>
              <w:left w:val="single" w:color="auto" w:sz="4" w:space="0"/>
              <w:bottom w:val="single" w:color="auto" w:sz="4" w:space="0"/>
              <w:right w:val="single" w:color="auto" w:sz="4" w:space="0"/>
            </w:tcBorders>
          </w:tcPr>
          <w:p w14:paraId="4D105E6D">
            <w:pPr>
              <w:spacing w:line="500" w:lineRule="exact"/>
              <w:jc w:val="left"/>
              <w:rPr>
                <w:rFonts w:ascii="Times New Roman" w:hAnsi="Times New Roman"/>
                <w:color w:val="auto"/>
                <w:highlight w:val="none"/>
              </w:rPr>
            </w:pPr>
          </w:p>
        </w:tc>
        <w:tc>
          <w:tcPr>
            <w:tcW w:w="644" w:type="pct"/>
            <w:tcBorders>
              <w:top w:val="single" w:color="auto" w:sz="4" w:space="0"/>
              <w:left w:val="single" w:color="auto" w:sz="4" w:space="0"/>
              <w:bottom w:val="single" w:color="auto" w:sz="4" w:space="0"/>
              <w:right w:val="single" w:color="auto" w:sz="4" w:space="0"/>
            </w:tcBorders>
          </w:tcPr>
          <w:p w14:paraId="3C122406">
            <w:pPr>
              <w:spacing w:line="500" w:lineRule="exact"/>
              <w:jc w:val="left"/>
              <w:rPr>
                <w:rFonts w:ascii="Times New Roman" w:hAnsi="Times New Roman"/>
                <w:color w:val="auto"/>
                <w:highlight w:val="none"/>
              </w:rPr>
            </w:pPr>
            <w:bookmarkStart w:id="842" w:name="_Toc17638"/>
          </w:p>
        </w:tc>
      </w:tr>
      <w:tr w14:paraId="1B583C1B">
        <w:tblPrEx>
          <w:tblCellMar>
            <w:top w:w="0" w:type="dxa"/>
            <w:left w:w="108" w:type="dxa"/>
            <w:bottom w:w="0" w:type="dxa"/>
            <w:right w:w="108" w:type="dxa"/>
          </w:tblCellMar>
        </w:tblPrEx>
        <w:trPr>
          <w:jc w:val="center"/>
        </w:trPr>
        <w:tc>
          <w:tcPr>
            <w:tcW w:w="353" w:type="pct"/>
            <w:tcBorders>
              <w:top w:val="single" w:color="auto" w:sz="4" w:space="0"/>
              <w:left w:val="single" w:color="auto" w:sz="4" w:space="0"/>
              <w:bottom w:val="single" w:color="auto" w:sz="4" w:space="0"/>
              <w:right w:val="single" w:color="auto" w:sz="4" w:space="0"/>
            </w:tcBorders>
          </w:tcPr>
          <w:p w14:paraId="4635A2F3">
            <w:pPr>
              <w:spacing w:line="500" w:lineRule="exact"/>
              <w:jc w:val="left"/>
              <w:rPr>
                <w:rFonts w:ascii="Times New Roman" w:hAnsi="Times New Roman"/>
                <w:color w:val="auto"/>
                <w:highlight w:val="none"/>
              </w:rPr>
            </w:pPr>
          </w:p>
        </w:tc>
        <w:tc>
          <w:tcPr>
            <w:tcW w:w="558" w:type="pct"/>
            <w:tcBorders>
              <w:top w:val="single" w:color="auto" w:sz="4" w:space="0"/>
              <w:left w:val="single" w:color="auto" w:sz="4" w:space="0"/>
              <w:bottom w:val="single" w:color="auto" w:sz="4" w:space="0"/>
              <w:right w:val="single" w:color="auto" w:sz="4" w:space="0"/>
            </w:tcBorders>
          </w:tcPr>
          <w:p w14:paraId="48E8B76A">
            <w:pPr>
              <w:spacing w:line="500" w:lineRule="exact"/>
              <w:jc w:val="left"/>
              <w:rPr>
                <w:rFonts w:ascii="Times New Roman" w:hAnsi="Times New Roman"/>
                <w:color w:val="auto"/>
                <w:highlight w:val="none"/>
              </w:rPr>
            </w:pPr>
          </w:p>
        </w:tc>
        <w:tc>
          <w:tcPr>
            <w:tcW w:w="546" w:type="pct"/>
            <w:tcBorders>
              <w:top w:val="single" w:color="auto" w:sz="4" w:space="0"/>
              <w:left w:val="single" w:color="auto" w:sz="4" w:space="0"/>
              <w:bottom w:val="single" w:color="auto" w:sz="4" w:space="0"/>
              <w:right w:val="single" w:color="auto" w:sz="4" w:space="0"/>
            </w:tcBorders>
          </w:tcPr>
          <w:p w14:paraId="6730E263">
            <w:pPr>
              <w:spacing w:line="500" w:lineRule="exact"/>
              <w:jc w:val="left"/>
              <w:rPr>
                <w:rFonts w:ascii="Times New Roman" w:hAnsi="Times New Roman"/>
                <w:color w:val="auto"/>
                <w:highlight w:val="none"/>
              </w:rPr>
            </w:pPr>
          </w:p>
        </w:tc>
        <w:tc>
          <w:tcPr>
            <w:tcW w:w="653" w:type="pct"/>
            <w:tcBorders>
              <w:top w:val="single" w:color="auto" w:sz="4" w:space="0"/>
              <w:left w:val="single" w:color="auto" w:sz="4" w:space="0"/>
              <w:bottom w:val="single" w:color="auto" w:sz="4" w:space="0"/>
              <w:right w:val="single" w:color="auto" w:sz="4" w:space="0"/>
            </w:tcBorders>
          </w:tcPr>
          <w:p w14:paraId="6DEB26AC">
            <w:pPr>
              <w:spacing w:line="500" w:lineRule="exact"/>
              <w:jc w:val="left"/>
              <w:rPr>
                <w:rFonts w:ascii="Times New Roman" w:hAnsi="Times New Roman"/>
                <w:color w:val="auto"/>
                <w:highlight w:val="none"/>
              </w:rPr>
            </w:pPr>
          </w:p>
        </w:tc>
        <w:tc>
          <w:tcPr>
            <w:tcW w:w="697" w:type="pct"/>
            <w:tcBorders>
              <w:top w:val="single" w:color="auto" w:sz="4" w:space="0"/>
              <w:left w:val="single" w:color="auto" w:sz="4" w:space="0"/>
              <w:bottom w:val="single" w:color="auto" w:sz="4" w:space="0"/>
              <w:right w:val="single" w:color="auto" w:sz="4" w:space="0"/>
            </w:tcBorders>
          </w:tcPr>
          <w:p w14:paraId="075EE051">
            <w:pPr>
              <w:spacing w:line="500" w:lineRule="exact"/>
              <w:jc w:val="left"/>
              <w:rPr>
                <w:rFonts w:ascii="Times New Roman" w:hAnsi="Times New Roman"/>
                <w:color w:val="auto"/>
                <w:highlight w:val="none"/>
              </w:rPr>
            </w:pPr>
          </w:p>
        </w:tc>
        <w:tc>
          <w:tcPr>
            <w:tcW w:w="560" w:type="pct"/>
            <w:tcBorders>
              <w:top w:val="single" w:color="auto" w:sz="4" w:space="0"/>
              <w:left w:val="single" w:color="auto" w:sz="4" w:space="0"/>
              <w:bottom w:val="single" w:color="auto" w:sz="4" w:space="0"/>
              <w:right w:val="single" w:color="auto" w:sz="4" w:space="0"/>
            </w:tcBorders>
          </w:tcPr>
          <w:p w14:paraId="7538EE86">
            <w:pPr>
              <w:spacing w:line="500" w:lineRule="exact"/>
              <w:jc w:val="left"/>
              <w:rPr>
                <w:rFonts w:ascii="Times New Roman" w:hAnsi="Times New Roman"/>
                <w:color w:val="auto"/>
                <w:highlight w:val="none"/>
              </w:rPr>
            </w:pPr>
          </w:p>
        </w:tc>
        <w:tc>
          <w:tcPr>
            <w:tcW w:w="570" w:type="pct"/>
            <w:tcBorders>
              <w:top w:val="single" w:color="auto" w:sz="4" w:space="0"/>
              <w:left w:val="single" w:color="auto" w:sz="4" w:space="0"/>
              <w:bottom w:val="single" w:color="auto" w:sz="4" w:space="0"/>
              <w:right w:val="single" w:color="auto" w:sz="4" w:space="0"/>
            </w:tcBorders>
          </w:tcPr>
          <w:p w14:paraId="7A58B07D">
            <w:pPr>
              <w:spacing w:line="500" w:lineRule="exact"/>
              <w:jc w:val="left"/>
              <w:rPr>
                <w:rFonts w:ascii="Times New Roman" w:hAnsi="Times New Roman"/>
                <w:color w:val="auto"/>
                <w:highlight w:val="none"/>
              </w:rPr>
            </w:pPr>
          </w:p>
        </w:tc>
        <w:tc>
          <w:tcPr>
            <w:tcW w:w="414" w:type="pct"/>
            <w:tcBorders>
              <w:top w:val="single" w:color="auto" w:sz="4" w:space="0"/>
              <w:left w:val="single" w:color="auto" w:sz="4" w:space="0"/>
              <w:bottom w:val="single" w:color="auto" w:sz="4" w:space="0"/>
              <w:right w:val="single" w:color="auto" w:sz="4" w:space="0"/>
            </w:tcBorders>
          </w:tcPr>
          <w:p w14:paraId="5398B23D">
            <w:pPr>
              <w:spacing w:line="500" w:lineRule="exact"/>
              <w:jc w:val="left"/>
              <w:rPr>
                <w:rFonts w:ascii="Times New Roman" w:hAnsi="Times New Roman"/>
                <w:color w:val="auto"/>
                <w:highlight w:val="none"/>
              </w:rPr>
            </w:pPr>
          </w:p>
        </w:tc>
        <w:tc>
          <w:tcPr>
            <w:tcW w:w="644" w:type="pct"/>
            <w:tcBorders>
              <w:top w:val="single" w:color="auto" w:sz="4" w:space="0"/>
              <w:left w:val="single" w:color="auto" w:sz="4" w:space="0"/>
              <w:bottom w:val="single" w:color="auto" w:sz="4" w:space="0"/>
              <w:right w:val="single" w:color="auto" w:sz="4" w:space="0"/>
            </w:tcBorders>
          </w:tcPr>
          <w:p w14:paraId="7468D721">
            <w:pPr>
              <w:spacing w:line="500" w:lineRule="exact"/>
              <w:jc w:val="left"/>
              <w:rPr>
                <w:rFonts w:ascii="Times New Roman" w:hAnsi="Times New Roman"/>
                <w:color w:val="auto"/>
                <w:highlight w:val="none"/>
              </w:rPr>
            </w:pPr>
          </w:p>
        </w:tc>
      </w:tr>
      <w:bookmarkEnd w:id="842"/>
      <w:tr w14:paraId="51681962">
        <w:tblPrEx>
          <w:tblCellMar>
            <w:top w:w="0" w:type="dxa"/>
            <w:left w:w="108" w:type="dxa"/>
            <w:bottom w:w="0" w:type="dxa"/>
            <w:right w:w="108" w:type="dxa"/>
          </w:tblCellMar>
        </w:tblPrEx>
        <w:trPr>
          <w:jc w:val="center"/>
        </w:trPr>
        <w:tc>
          <w:tcPr>
            <w:tcW w:w="1458" w:type="pct"/>
            <w:gridSpan w:val="3"/>
            <w:tcBorders>
              <w:top w:val="single" w:color="auto" w:sz="4" w:space="0"/>
              <w:left w:val="single" w:color="auto" w:sz="4" w:space="0"/>
              <w:bottom w:val="single" w:color="auto" w:sz="4" w:space="0"/>
              <w:right w:val="single" w:color="auto" w:sz="4" w:space="0"/>
            </w:tcBorders>
          </w:tcPr>
          <w:p w14:paraId="1C59962D">
            <w:pPr>
              <w:spacing w:line="500" w:lineRule="exact"/>
              <w:jc w:val="left"/>
              <w:rPr>
                <w:rFonts w:ascii="Times New Roman" w:hAnsi="Times New Roman"/>
                <w:color w:val="auto"/>
                <w:highlight w:val="none"/>
              </w:rPr>
            </w:pPr>
            <w:r>
              <w:rPr>
                <w:rFonts w:ascii="Times New Roman" w:hAnsi="Times New Roman"/>
                <w:color w:val="auto"/>
                <w:highlight w:val="none"/>
              </w:rPr>
              <w:t>最高投标限价：</w:t>
            </w:r>
          </w:p>
        </w:tc>
        <w:tc>
          <w:tcPr>
            <w:tcW w:w="3541" w:type="pct"/>
            <w:gridSpan w:val="6"/>
            <w:tcBorders>
              <w:top w:val="single" w:color="auto" w:sz="4" w:space="0"/>
              <w:left w:val="single" w:color="auto" w:sz="4" w:space="0"/>
              <w:bottom w:val="single" w:color="auto" w:sz="4" w:space="0"/>
              <w:right w:val="single" w:color="auto" w:sz="4" w:space="0"/>
            </w:tcBorders>
          </w:tcPr>
          <w:p w14:paraId="760B64A5">
            <w:pPr>
              <w:spacing w:line="500" w:lineRule="exact"/>
              <w:jc w:val="left"/>
              <w:rPr>
                <w:rFonts w:ascii="Times New Roman" w:hAnsi="Times New Roman"/>
                <w:color w:val="auto"/>
                <w:highlight w:val="none"/>
              </w:rPr>
            </w:pPr>
          </w:p>
        </w:tc>
      </w:tr>
    </w:tbl>
    <w:p w14:paraId="679BEB95">
      <w:pPr>
        <w:spacing w:before="120" w:beforeLines="50" w:after="120" w:afterLines="50" w:line="400" w:lineRule="exact"/>
        <w:ind w:right="420"/>
        <w:jc w:val="both"/>
        <w:rPr>
          <w:rFonts w:ascii="Times New Roman" w:hAnsi="Times New Roman"/>
          <w:color w:val="auto"/>
          <w:highlight w:val="none"/>
        </w:rPr>
      </w:pPr>
      <w:r>
        <w:rPr>
          <w:rFonts w:ascii="Times New Roman" w:hAnsi="Times New Roman"/>
          <w:color w:val="auto"/>
          <w:highlight w:val="none"/>
        </w:rPr>
        <w:t>开标时间：</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r>
        <w:rPr>
          <w:rFonts w:ascii="Times New Roman" w:hAnsi="Times New Roman"/>
          <w:color w:val="auto"/>
          <w:highlight w:val="none"/>
          <w:u w:val="single"/>
        </w:rPr>
        <w:t xml:space="preserve">         </w:t>
      </w:r>
      <w:r>
        <w:rPr>
          <w:rFonts w:ascii="Times New Roman" w:hAnsi="Times New Roman"/>
          <w:color w:val="auto"/>
          <w:highlight w:val="none"/>
        </w:rPr>
        <w:t>时</w:t>
      </w:r>
      <w:r>
        <w:rPr>
          <w:rFonts w:ascii="Times New Roman" w:hAnsi="Times New Roman"/>
          <w:color w:val="auto"/>
          <w:highlight w:val="none"/>
          <w:u w:val="single"/>
        </w:rPr>
        <w:t xml:space="preserve">         </w:t>
      </w:r>
      <w:r>
        <w:rPr>
          <w:rFonts w:ascii="Times New Roman" w:hAnsi="Times New Roman"/>
          <w:color w:val="auto"/>
          <w:highlight w:val="none"/>
        </w:rPr>
        <w:t>分</w:t>
      </w:r>
    </w:p>
    <w:p w14:paraId="51179C7A">
      <w:pPr>
        <w:spacing w:line="440" w:lineRule="exact"/>
        <w:rPr>
          <w:rFonts w:ascii="Times New Roman" w:hAnsi="Times New Roman"/>
          <w:color w:val="auto"/>
          <w:highlight w:val="none"/>
        </w:rPr>
      </w:pPr>
      <w:r>
        <w:rPr>
          <w:rFonts w:ascii="Times New Roman" w:hAnsi="Times New Roman"/>
          <w:color w:val="auto"/>
          <w:highlight w:val="none"/>
        </w:rPr>
        <w:t>　　　</w:t>
      </w:r>
    </w:p>
    <w:p w14:paraId="244BA12F">
      <w:pPr>
        <w:spacing w:line="620" w:lineRule="exact"/>
        <w:rPr>
          <w:rFonts w:ascii="Times New Roman" w:hAnsi="Times New Roman"/>
          <w:color w:val="auto"/>
          <w:highlight w:val="none"/>
        </w:rPr>
      </w:pPr>
      <w:r>
        <w:rPr>
          <w:rFonts w:ascii="Times New Roman" w:hAnsi="Times New Roman"/>
          <w:color w:val="auto"/>
          <w:highlight w:val="none"/>
        </w:rPr>
        <w:t>招标人代表：</w:t>
      </w:r>
      <w:r>
        <w:rPr>
          <w:rFonts w:ascii="Times New Roman" w:hAnsi="Times New Roman"/>
          <w:color w:val="auto"/>
          <w:highlight w:val="none"/>
          <w:u w:val="single"/>
        </w:rPr>
        <w:t xml:space="preserve">       </w:t>
      </w:r>
      <w:r>
        <w:rPr>
          <w:rFonts w:ascii="Times New Roman" w:hAnsi="Times New Roman"/>
          <w:color w:val="auto"/>
          <w:highlight w:val="none"/>
        </w:rPr>
        <w:t xml:space="preserve">        记录人：</w:t>
      </w:r>
      <w:r>
        <w:rPr>
          <w:rFonts w:ascii="Times New Roman" w:hAnsi="Times New Roman"/>
          <w:color w:val="auto"/>
          <w:highlight w:val="none"/>
          <w:u w:val="single"/>
        </w:rPr>
        <w:t xml:space="preserve">       </w:t>
      </w:r>
      <w:r>
        <w:rPr>
          <w:rFonts w:ascii="Times New Roman" w:hAnsi="Times New Roman"/>
          <w:color w:val="auto"/>
          <w:highlight w:val="none"/>
        </w:rPr>
        <w:t xml:space="preserve">       监标人：</w:t>
      </w:r>
      <w:r>
        <w:rPr>
          <w:rFonts w:ascii="Times New Roman" w:hAnsi="Times New Roman"/>
          <w:color w:val="auto"/>
          <w:highlight w:val="none"/>
          <w:u w:val="single"/>
        </w:rPr>
        <w:t xml:space="preserve">       </w:t>
      </w:r>
    </w:p>
    <w:p w14:paraId="58D8073E">
      <w:pPr>
        <w:spacing w:line="620" w:lineRule="exact"/>
        <w:jc w:val="right"/>
        <w:rPr>
          <w:rFonts w:ascii="Times New Roman" w:hAnsi="Times New Roman"/>
          <w:color w:val="auto"/>
          <w:sz w:val="20"/>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14:paraId="638C820E">
      <w:pPr>
        <w:spacing w:line="440" w:lineRule="exact"/>
        <w:rPr>
          <w:rFonts w:ascii="Times New Roman" w:hAnsi="Times New Roman"/>
          <w:color w:val="auto"/>
          <w:highlight w:val="none"/>
        </w:rPr>
      </w:pPr>
    </w:p>
    <w:p w14:paraId="56505510">
      <w:pPr>
        <w:spacing w:line="440" w:lineRule="exact"/>
        <w:rPr>
          <w:rFonts w:ascii="Times New Roman" w:hAnsi="Times New Roman"/>
          <w:color w:val="auto"/>
          <w:highlight w:val="none"/>
        </w:rPr>
      </w:pPr>
    </w:p>
    <w:p w14:paraId="127AAADE">
      <w:pPr>
        <w:pStyle w:val="5"/>
        <w:keepNext w:val="0"/>
        <w:keepLines w:val="0"/>
        <w:tabs>
          <w:tab w:val="left" w:pos="9240"/>
        </w:tabs>
        <w:rPr>
          <w:rFonts w:ascii="Times New Roman" w:hAnsi="Times New Roman"/>
          <w:color w:val="auto"/>
          <w:highlight w:val="none"/>
        </w:rPr>
      </w:pPr>
      <w:bookmarkStart w:id="843" w:name="_Toc527028504"/>
      <w:bookmarkStart w:id="844" w:name="_Toc31175"/>
      <w:bookmarkStart w:id="845" w:name="_Toc14382"/>
      <w:bookmarkStart w:id="846" w:name="_Toc2916"/>
      <w:bookmarkStart w:id="847" w:name="_Toc29985"/>
      <w:bookmarkStart w:id="848" w:name="_Toc19469"/>
      <w:r>
        <w:rPr>
          <w:rFonts w:ascii="Times New Roman" w:hAnsi="Times New Roman"/>
          <w:color w:val="auto"/>
          <w:highlight w:val="none"/>
        </w:rPr>
        <w:t>附件二：问题澄清通知</w:t>
      </w:r>
      <w:bookmarkEnd w:id="843"/>
      <w:r>
        <w:rPr>
          <w:rFonts w:hint="eastAsia" w:hAnsi="黑体" w:cs="黑体"/>
          <w:color w:val="auto"/>
          <w:szCs w:val="28"/>
          <w:highlight w:val="none"/>
        </w:rPr>
        <w:t>（按</w:t>
      </w:r>
      <w:r>
        <w:rPr>
          <w:rFonts w:hint="eastAsia" w:hAnsi="黑体" w:cs="黑体"/>
          <w:color w:val="auto"/>
          <w:szCs w:val="28"/>
          <w:highlight w:val="none"/>
          <w:lang w:eastAsia="zh-CN"/>
        </w:rPr>
        <w:t>广州交易集团有限公司（广州公共资源交易中心）</w:t>
      </w:r>
      <w:r>
        <w:rPr>
          <w:rFonts w:hint="eastAsia" w:hAnsi="黑体" w:cs="黑体"/>
          <w:color w:val="auto"/>
          <w:szCs w:val="28"/>
          <w:highlight w:val="none"/>
        </w:rPr>
        <w:t>问题澄清通知格式）</w:t>
      </w:r>
      <w:bookmarkEnd w:id="844"/>
      <w:bookmarkEnd w:id="845"/>
      <w:bookmarkEnd w:id="846"/>
      <w:bookmarkEnd w:id="847"/>
      <w:bookmarkEnd w:id="848"/>
    </w:p>
    <w:p w14:paraId="79769509">
      <w:pPr>
        <w:spacing w:line="440" w:lineRule="exact"/>
        <w:jc w:val="center"/>
        <w:rPr>
          <w:rFonts w:ascii="Times New Roman" w:hAnsi="Times New Roman"/>
          <w:color w:val="auto"/>
          <w:highlight w:val="none"/>
        </w:rPr>
      </w:pPr>
    </w:p>
    <w:p w14:paraId="19583F2B">
      <w:pPr>
        <w:spacing w:line="440" w:lineRule="exact"/>
        <w:jc w:val="center"/>
        <w:rPr>
          <w:rFonts w:ascii="Times New Roman" w:hAnsi="Times New Roman" w:eastAsia="黑体"/>
          <w:color w:val="auto"/>
          <w:sz w:val="28"/>
          <w:highlight w:val="none"/>
        </w:rPr>
      </w:pPr>
      <w:r>
        <w:rPr>
          <w:rFonts w:ascii="Times New Roman" w:hAnsi="Times New Roman" w:eastAsia="黑体"/>
          <w:color w:val="auto"/>
          <w:sz w:val="28"/>
          <w:highlight w:val="none"/>
        </w:rPr>
        <w:t>问题澄清通知</w:t>
      </w:r>
    </w:p>
    <w:p w14:paraId="3F85B604">
      <w:pPr>
        <w:spacing w:line="440" w:lineRule="exact"/>
        <w:jc w:val="center"/>
        <w:rPr>
          <w:rFonts w:ascii="Times New Roman" w:hAnsi="Times New Roman"/>
          <w:color w:val="auto"/>
          <w:highlight w:val="none"/>
        </w:rPr>
      </w:pPr>
      <w:r>
        <w:rPr>
          <w:rFonts w:ascii="Times New Roman" w:hAnsi="Times New Roman"/>
          <w:color w:val="auto"/>
          <w:highlight w:val="none"/>
        </w:rPr>
        <w:t>（编号：</w:t>
      </w:r>
      <w:r>
        <w:rPr>
          <w:rFonts w:ascii="Times New Roman" w:hAnsi="Times New Roman" w:eastAsia="黑体"/>
          <w:color w:val="auto"/>
          <w:sz w:val="28"/>
          <w:highlight w:val="none"/>
          <w:u w:val="single"/>
        </w:rPr>
        <w:t xml:space="preserve">               </w:t>
      </w:r>
      <w:r>
        <w:rPr>
          <w:rFonts w:ascii="Times New Roman" w:hAnsi="Times New Roman"/>
          <w:color w:val="auto"/>
          <w:highlight w:val="none"/>
        </w:rPr>
        <w:t>）</w:t>
      </w:r>
    </w:p>
    <w:p w14:paraId="2B1892E4">
      <w:pPr>
        <w:spacing w:line="440" w:lineRule="exact"/>
        <w:rPr>
          <w:rFonts w:ascii="Times New Roman" w:hAnsi="Times New Roman"/>
          <w:color w:val="auto"/>
          <w:highlight w:val="none"/>
        </w:rPr>
      </w:pPr>
    </w:p>
    <w:p w14:paraId="29FE2D2A">
      <w:pPr>
        <w:spacing w:line="440" w:lineRule="exac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（投标人名称）：</w:t>
      </w:r>
    </w:p>
    <w:p w14:paraId="7945BCCC">
      <w:pPr>
        <w:spacing w:line="440" w:lineRule="exact"/>
        <w:rPr>
          <w:rFonts w:ascii="Times New Roman" w:hAnsi="Times New Roman"/>
          <w:color w:val="auto"/>
          <w:highlight w:val="none"/>
        </w:rPr>
      </w:pPr>
    </w:p>
    <w:p w14:paraId="1A8E58A8">
      <w:pPr>
        <w:spacing w:line="440" w:lineRule="exact"/>
        <w:rPr>
          <w:rFonts w:ascii="Times New Roman" w:hAnsi="Times New Roman"/>
          <w:color w:val="auto"/>
          <w:highlight w:val="none"/>
        </w:rPr>
      </w:pPr>
      <w:r>
        <w:rPr>
          <w:rFonts w:ascii="Times New Roman" w:hAnsi="Times New Roman"/>
          <w:color w:val="auto"/>
          <w:highlight w:val="none"/>
        </w:rPr>
        <w:t>　　评标委员会对你方的投标文件进行了仔细的审查，现需你方对下列问题以书</w:t>
      </w:r>
      <w:bookmarkStart w:id="849" w:name="_Toc369531565"/>
      <w:bookmarkStart w:id="850" w:name="_Toc352691521"/>
      <w:bookmarkStart w:id="851" w:name="_Toc300834996"/>
      <w:bookmarkStart w:id="852" w:name="_Toc247514000"/>
      <w:bookmarkStart w:id="853" w:name="_Toc23050"/>
      <w:bookmarkStart w:id="854" w:name="_Toc361508634"/>
      <w:bookmarkStart w:id="855" w:name="_Toc247527601"/>
      <w:bookmarkStart w:id="856" w:name="_Toc144974544"/>
      <w:bookmarkStart w:id="857" w:name="_Toc384308260"/>
      <w:bookmarkStart w:id="858" w:name="_Toc152042352"/>
      <w:bookmarkStart w:id="859" w:name="_Toc152045576"/>
      <w:r>
        <w:rPr>
          <w:rFonts w:ascii="Times New Roman" w:hAnsi="Times New Roman"/>
          <w:color w:val="auto"/>
          <w:highlight w:val="none"/>
        </w:rPr>
        <w:t>面形式予以澄清、说明或补正：</w:t>
      </w:r>
    </w:p>
    <w:p w14:paraId="75A6997C">
      <w:pPr>
        <w:spacing w:line="440" w:lineRule="exact"/>
        <w:rPr>
          <w:rFonts w:ascii="Times New Roman" w:hAnsi="Times New Roman"/>
          <w:color w:val="auto"/>
          <w:highlight w:val="none"/>
        </w:rPr>
      </w:pPr>
      <w:r>
        <w:rPr>
          <w:rFonts w:ascii="Times New Roman" w:hAnsi="Times New Roman"/>
          <w:color w:val="auto"/>
          <w:highlight w:val="none"/>
        </w:rPr>
        <w:t>　　</w:t>
      </w:r>
    </w:p>
    <w:bookmarkEnd w:id="849"/>
    <w:bookmarkEnd w:id="850"/>
    <w:bookmarkEnd w:id="851"/>
    <w:bookmarkEnd w:id="852"/>
    <w:bookmarkEnd w:id="853"/>
    <w:bookmarkEnd w:id="854"/>
    <w:bookmarkEnd w:id="855"/>
    <w:bookmarkEnd w:id="856"/>
    <w:bookmarkEnd w:id="857"/>
    <w:bookmarkEnd w:id="858"/>
    <w:bookmarkEnd w:id="859"/>
    <w:p w14:paraId="6DBFEA8A">
      <w:pPr>
        <w:spacing w:line="440" w:lineRule="exact"/>
        <w:rPr>
          <w:rFonts w:ascii="Times New Roman" w:hAnsi="Times New Roman"/>
          <w:color w:val="auto"/>
          <w:highlight w:val="none"/>
        </w:rPr>
      </w:pPr>
      <w:r>
        <w:rPr>
          <w:rFonts w:ascii="Times New Roman" w:hAnsi="Times New Roman"/>
          <w:color w:val="auto"/>
          <w:highlight w:val="none"/>
        </w:rPr>
        <w:t xml:space="preserve">    1.</w:t>
      </w:r>
    </w:p>
    <w:p w14:paraId="6BEA19E3">
      <w:pPr>
        <w:spacing w:line="440" w:lineRule="exact"/>
        <w:rPr>
          <w:rFonts w:ascii="Times New Roman" w:hAnsi="Times New Roman"/>
          <w:color w:val="auto"/>
          <w:highlight w:val="none"/>
        </w:rPr>
      </w:pPr>
      <w:r>
        <w:rPr>
          <w:rFonts w:ascii="Times New Roman" w:hAnsi="Times New Roman"/>
          <w:color w:val="auto"/>
          <w:highlight w:val="none"/>
        </w:rPr>
        <w:t xml:space="preserve">    2.</w:t>
      </w:r>
    </w:p>
    <w:p w14:paraId="42D54342">
      <w:pPr>
        <w:spacing w:line="440" w:lineRule="exact"/>
        <w:rPr>
          <w:rFonts w:ascii="Times New Roman" w:hAnsi="Times New Roman"/>
          <w:color w:val="auto"/>
          <w:highlight w:val="none"/>
        </w:rPr>
      </w:pPr>
      <w:r>
        <w:rPr>
          <w:rFonts w:ascii="Times New Roman" w:hAnsi="Times New Roman"/>
          <w:color w:val="auto"/>
          <w:highlight w:val="none"/>
        </w:rPr>
        <w:t xml:space="preserve">     ......   </w:t>
      </w:r>
    </w:p>
    <w:p w14:paraId="26B446D1">
      <w:pPr>
        <w:spacing w:line="440" w:lineRule="exact"/>
        <w:rPr>
          <w:rFonts w:ascii="Times New Roman" w:hAnsi="Times New Roman"/>
          <w:color w:val="auto"/>
          <w:highlight w:val="none"/>
        </w:rPr>
      </w:pPr>
      <w:r>
        <w:rPr>
          <w:rFonts w:ascii="Times New Roman" w:hAnsi="Times New Roman"/>
          <w:color w:val="auto"/>
          <w:highlight w:val="none"/>
        </w:rPr>
        <w:t>　　　</w:t>
      </w:r>
    </w:p>
    <w:p w14:paraId="4CF0B857">
      <w:pPr>
        <w:spacing w:line="440" w:lineRule="exact"/>
        <w:ind w:firstLine="405"/>
        <w:rPr>
          <w:rFonts w:ascii="Times New Roman" w:hAnsi="Times New Roman"/>
          <w:color w:val="auto"/>
          <w:highlight w:val="none"/>
        </w:rPr>
      </w:pPr>
      <w:r>
        <w:rPr>
          <w:rFonts w:ascii="Times New Roman" w:hAnsi="Times New Roman"/>
          <w:color w:val="auto"/>
          <w:highlight w:val="none"/>
        </w:rPr>
        <w:t>请将上述问题的澄清、说明或补正于</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r>
        <w:rPr>
          <w:rFonts w:ascii="Times New Roman" w:hAnsi="Times New Roman"/>
          <w:color w:val="auto"/>
          <w:highlight w:val="none"/>
          <w:u w:val="single"/>
        </w:rPr>
        <w:t xml:space="preserve">       </w:t>
      </w:r>
      <w:r>
        <w:rPr>
          <w:rFonts w:ascii="Times New Roman" w:hAnsi="Times New Roman"/>
          <w:color w:val="auto"/>
          <w:highlight w:val="none"/>
        </w:rPr>
        <w:t>时前递交至</w:t>
      </w:r>
      <w:bookmarkStart w:id="860" w:name="_Toc28385"/>
      <w:bookmarkStart w:id="861" w:name="_Toc352691522"/>
      <w:bookmarkStart w:id="862" w:name="_Toc300834997"/>
      <w:bookmarkStart w:id="863" w:name="_Toc384308261"/>
      <w:bookmarkStart w:id="864" w:name="_Toc144974545"/>
      <w:bookmarkStart w:id="865" w:name="_Toc247527602"/>
      <w:bookmarkStart w:id="866" w:name="_Toc361508635"/>
      <w:bookmarkStart w:id="867" w:name="_Toc247514001"/>
      <w:bookmarkStart w:id="868" w:name="_Toc152045577"/>
      <w:bookmarkStart w:id="869" w:name="_Toc369531566"/>
      <w:bookmarkStart w:id="870" w:name="_Toc152042353"/>
    </w:p>
    <w:p w14:paraId="5B49820A">
      <w:pPr>
        <w:spacing w:line="440" w:lineRule="exac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（详细地址）或传真至</w:t>
      </w:r>
      <w:bookmarkEnd w:id="860"/>
      <w:bookmarkEnd w:id="861"/>
      <w:bookmarkEnd w:id="862"/>
      <w:bookmarkEnd w:id="863"/>
      <w:bookmarkEnd w:id="864"/>
      <w:bookmarkEnd w:id="865"/>
      <w:bookmarkEnd w:id="866"/>
      <w:bookmarkEnd w:id="867"/>
      <w:bookmarkEnd w:id="868"/>
      <w:bookmarkEnd w:id="869"/>
      <w:bookmarkEnd w:id="870"/>
      <w:r>
        <w:rPr>
          <w:rFonts w:ascii="Times New Roman" w:hAnsi="Times New Roman"/>
          <w:color w:val="auto"/>
          <w:highlight w:val="none"/>
          <w:u w:val="single"/>
        </w:rPr>
        <w:t xml:space="preserve">                     </w:t>
      </w:r>
      <w:r>
        <w:rPr>
          <w:rFonts w:ascii="Times New Roman" w:hAnsi="Times New Roman"/>
          <w:color w:val="auto"/>
          <w:highlight w:val="none"/>
        </w:rPr>
        <w:t>（传真号码）或通过下载招标文件的电子招标交易平台上传。采用传真方式的，应在</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p>
    <w:p w14:paraId="4A7FA618">
      <w:pPr>
        <w:spacing w:line="440" w:lineRule="exac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日</w:t>
      </w:r>
      <w:r>
        <w:rPr>
          <w:rFonts w:ascii="Times New Roman" w:hAnsi="Times New Roman"/>
          <w:color w:val="auto"/>
          <w:highlight w:val="none"/>
          <w:u w:val="single"/>
        </w:rPr>
        <w:t xml:space="preserve">       </w:t>
      </w:r>
      <w:r>
        <w:rPr>
          <w:rFonts w:ascii="Times New Roman" w:hAnsi="Times New Roman"/>
          <w:color w:val="auto"/>
          <w:highlight w:val="none"/>
        </w:rPr>
        <w:t>时前将原件递交至</w:t>
      </w:r>
      <w:r>
        <w:rPr>
          <w:rFonts w:ascii="Times New Roman" w:hAnsi="Times New Roman"/>
          <w:color w:val="auto"/>
          <w:highlight w:val="none"/>
          <w:u w:val="single"/>
        </w:rPr>
        <w:t xml:space="preserve">                     </w:t>
      </w:r>
      <w:r>
        <w:rPr>
          <w:rFonts w:ascii="Times New Roman" w:hAnsi="Times New Roman"/>
          <w:color w:val="auto"/>
          <w:highlight w:val="none"/>
        </w:rPr>
        <w:t>（详细地址）。</w:t>
      </w:r>
    </w:p>
    <w:p w14:paraId="403E083F">
      <w:pPr>
        <w:spacing w:line="440" w:lineRule="exact"/>
        <w:rPr>
          <w:rFonts w:ascii="Times New Roman" w:hAnsi="Times New Roman"/>
          <w:color w:val="auto"/>
          <w:highlight w:val="none"/>
        </w:rPr>
      </w:pPr>
    </w:p>
    <w:p w14:paraId="7CFCC63D">
      <w:pPr>
        <w:spacing w:line="440" w:lineRule="exact"/>
        <w:rPr>
          <w:rFonts w:ascii="Times New Roman" w:hAnsi="Times New Roman"/>
          <w:color w:val="auto"/>
          <w:highlight w:val="none"/>
        </w:rPr>
      </w:pPr>
    </w:p>
    <w:p w14:paraId="267FACBF">
      <w:pPr>
        <w:spacing w:line="440" w:lineRule="exact"/>
        <w:ind w:firstLine="2100" w:firstLineChars="1000"/>
        <w:rPr>
          <w:rFonts w:ascii="Times New Roman" w:hAnsi="Times New Roman"/>
          <w:color w:val="auto"/>
          <w:highlight w:val="none"/>
        </w:rPr>
      </w:pPr>
      <w:r>
        <w:rPr>
          <w:rFonts w:ascii="Times New Roman" w:hAnsi="Times New Roman"/>
          <w:color w:val="auto"/>
          <w:highlight w:val="none"/>
        </w:rPr>
        <w:t>评标委员会授权的招标人或招标代理机构：</w:t>
      </w:r>
      <w:r>
        <w:rPr>
          <w:rFonts w:ascii="Times New Roman" w:hAnsi="Times New Roman" w:eastAsia="黑体"/>
          <w:color w:val="auto"/>
          <w:sz w:val="28"/>
          <w:highlight w:val="none"/>
          <w:u w:val="single"/>
        </w:rPr>
        <w:t xml:space="preserve">      </w:t>
      </w:r>
      <w:r>
        <w:rPr>
          <w:rFonts w:ascii="Times New Roman" w:hAnsi="Times New Roman"/>
          <w:color w:val="auto"/>
          <w:highlight w:val="none"/>
        </w:rPr>
        <w:t>（签字或盖章）</w:t>
      </w:r>
      <w:bookmarkStart w:id="871" w:name="_Toc361508636"/>
      <w:bookmarkStart w:id="872" w:name="_Toc6580"/>
      <w:bookmarkStart w:id="873" w:name="_Toc300834998"/>
      <w:bookmarkStart w:id="874" w:name="_Toc369531567"/>
      <w:bookmarkStart w:id="875" w:name="_Toc384308262"/>
      <w:bookmarkStart w:id="876" w:name="_Toc152042354"/>
      <w:bookmarkStart w:id="877" w:name="_Toc247527603"/>
      <w:bookmarkStart w:id="878" w:name="_Toc352691523"/>
      <w:bookmarkStart w:id="879" w:name="_Toc152045578"/>
      <w:bookmarkStart w:id="880" w:name="_Toc247514002"/>
      <w:bookmarkStart w:id="881" w:name="_Toc144974546"/>
    </w:p>
    <w:bookmarkEnd w:id="871"/>
    <w:bookmarkEnd w:id="872"/>
    <w:bookmarkEnd w:id="873"/>
    <w:bookmarkEnd w:id="874"/>
    <w:bookmarkEnd w:id="875"/>
    <w:bookmarkEnd w:id="876"/>
    <w:bookmarkEnd w:id="877"/>
    <w:bookmarkEnd w:id="878"/>
    <w:bookmarkEnd w:id="879"/>
    <w:bookmarkEnd w:id="880"/>
    <w:p w14:paraId="531FE2DA">
      <w:pPr>
        <w:spacing w:line="440" w:lineRule="exact"/>
        <w:rPr>
          <w:rFonts w:ascii="Times New Roman" w:hAnsi="Times New Roman"/>
          <w:color w:val="auto"/>
          <w:highlight w:val="none"/>
        </w:rPr>
      </w:pPr>
      <w:bookmarkStart w:id="882" w:name="_Toc152042355"/>
    </w:p>
    <w:p w14:paraId="351BB3FD">
      <w:pPr>
        <w:spacing w:line="440" w:lineRule="exact"/>
        <w:ind w:right="840"/>
        <w:jc w:val="righ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14:paraId="1D449A0A">
      <w:pPr>
        <w:pStyle w:val="5"/>
        <w:keepNext w:val="0"/>
        <w:keepLines w:val="0"/>
        <w:ind w:firstLine="0" w:firstLineChars="0"/>
        <w:rPr>
          <w:rFonts w:ascii="Times New Roman" w:hAnsi="Times New Roman"/>
          <w:color w:val="auto"/>
          <w:highlight w:val="none"/>
        </w:rPr>
      </w:pPr>
    </w:p>
    <w:p w14:paraId="78153518">
      <w:pPr>
        <w:rPr>
          <w:color w:val="auto"/>
          <w:highlight w:val="none"/>
        </w:rPr>
      </w:pPr>
    </w:p>
    <w:p w14:paraId="067DD50E">
      <w:pPr>
        <w:pStyle w:val="5"/>
        <w:keepNext w:val="0"/>
        <w:keepLines w:val="0"/>
        <w:ind w:firstLine="0" w:firstLineChars="0"/>
        <w:rPr>
          <w:rFonts w:ascii="Times New Roman" w:hAnsi="Times New Roman"/>
          <w:color w:val="auto"/>
          <w:highlight w:val="none"/>
        </w:rPr>
      </w:pPr>
      <w:bookmarkStart w:id="883" w:name="_Toc527028505"/>
      <w:bookmarkStart w:id="884" w:name="_Toc13746"/>
      <w:bookmarkStart w:id="885" w:name="_Toc28028"/>
      <w:bookmarkStart w:id="886" w:name="_Toc31467"/>
      <w:bookmarkStart w:id="887" w:name="_Toc28661"/>
      <w:bookmarkStart w:id="888" w:name="_Toc2491"/>
      <w:r>
        <w:rPr>
          <w:rFonts w:ascii="Times New Roman" w:hAnsi="Times New Roman"/>
          <w:color w:val="auto"/>
          <w:highlight w:val="none"/>
        </w:rPr>
        <w:t>附件三：问题的澄清</w:t>
      </w:r>
      <w:bookmarkEnd w:id="883"/>
      <w:r>
        <w:rPr>
          <w:rFonts w:hint="eastAsia" w:hAnsi="黑体" w:cs="黑体"/>
          <w:color w:val="auto"/>
          <w:szCs w:val="28"/>
          <w:highlight w:val="none"/>
        </w:rPr>
        <w:t>（按</w:t>
      </w:r>
      <w:r>
        <w:rPr>
          <w:rFonts w:hint="eastAsia" w:hAnsi="黑体" w:cs="黑体"/>
          <w:color w:val="auto"/>
          <w:szCs w:val="28"/>
          <w:highlight w:val="none"/>
          <w:lang w:eastAsia="zh-CN"/>
        </w:rPr>
        <w:t>广州交易集团有限公司（广州公共资源交易中心）</w:t>
      </w:r>
      <w:r>
        <w:rPr>
          <w:rFonts w:hint="eastAsia" w:hAnsi="黑体" w:cs="黑体"/>
          <w:color w:val="auto"/>
          <w:szCs w:val="28"/>
          <w:highlight w:val="none"/>
        </w:rPr>
        <w:t>问题澄清格式）</w:t>
      </w:r>
      <w:bookmarkEnd w:id="884"/>
      <w:bookmarkEnd w:id="885"/>
      <w:bookmarkEnd w:id="886"/>
      <w:bookmarkEnd w:id="887"/>
      <w:bookmarkEnd w:id="888"/>
    </w:p>
    <w:p w14:paraId="4A3F9E34">
      <w:pPr>
        <w:spacing w:line="400" w:lineRule="exact"/>
        <w:jc w:val="center"/>
        <w:rPr>
          <w:rFonts w:ascii="Times New Roman" w:hAnsi="Times New Roman" w:eastAsia="黑体"/>
          <w:color w:val="auto"/>
          <w:sz w:val="28"/>
          <w:highlight w:val="none"/>
        </w:rPr>
      </w:pPr>
    </w:p>
    <w:p w14:paraId="09F735B2">
      <w:pPr>
        <w:spacing w:line="400" w:lineRule="exact"/>
        <w:jc w:val="center"/>
        <w:rPr>
          <w:rFonts w:ascii="Times New Roman" w:hAnsi="Times New Roman" w:eastAsia="黑体"/>
          <w:color w:val="auto"/>
          <w:sz w:val="28"/>
          <w:highlight w:val="none"/>
        </w:rPr>
      </w:pPr>
      <w:r>
        <w:rPr>
          <w:rFonts w:ascii="Times New Roman" w:hAnsi="Times New Roman" w:eastAsia="黑体"/>
          <w:color w:val="auto"/>
          <w:sz w:val="28"/>
          <w:highlight w:val="none"/>
        </w:rPr>
        <w:t>问</w:t>
      </w:r>
      <w:bookmarkEnd w:id="882"/>
      <w:r>
        <w:rPr>
          <w:rFonts w:ascii="Times New Roman" w:hAnsi="Times New Roman" w:eastAsia="黑体"/>
          <w:color w:val="auto"/>
          <w:sz w:val="28"/>
          <w:highlight w:val="none"/>
        </w:rPr>
        <w:t>题</w:t>
      </w:r>
      <w:bookmarkStart w:id="889" w:name="_Toc300834999"/>
      <w:bookmarkStart w:id="890" w:name="_Toc352691524"/>
      <w:bookmarkStart w:id="891" w:name="_Toc361508637"/>
      <w:bookmarkStart w:id="892" w:name="_Toc384308263"/>
      <w:bookmarkStart w:id="893" w:name="_Toc247514003"/>
      <w:bookmarkStart w:id="894" w:name="_Toc369531568"/>
      <w:bookmarkStart w:id="895" w:name="_Toc152045579"/>
      <w:bookmarkStart w:id="896" w:name="_Toc247527604"/>
      <w:bookmarkStart w:id="897" w:name="_Toc152042356"/>
      <w:bookmarkStart w:id="898" w:name="_Toc3622"/>
      <w:r>
        <w:rPr>
          <w:rFonts w:ascii="Times New Roman" w:hAnsi="Times New Roman" w:eastAsia="黑体"/>
          <w:color w:val="auto"/>
          <w:sz w:val="28"/>
          <w:highlight w:val="none"/>
        </w:rPr>
        <w:t>的澄清</w:t>
      </w:r>
    </w:p>
    <w:p w14:paraId="7A41B86E">
      <w:pPr>
        <w:spacing w:line="400" w:lineRule="exact"/>
        <w:ind w:firstLine="3465" w:firstLineChars="1650"/>
        <w:rPr>
          <w:rFonts w:ascii="Times New Roman" w:hAnsi="Times New Roman"/>
          <w:color w:val="auto"/>
          <w:highlight w:val="none"/>
        </w:rPr>
      </w:pPr>
      <w:r>
        <w:rPr>
          <w:rFonts w:ascii="Times New Roman" w:hAnsi="Times New Roman"/>
          <w:color w:val="auto"/>
          <w:highlight w:val="none"/>
        </w:rPr>
        <w:t>（编号</w:t>
      </w:r>
      <w:bookmarkEnd w:id="881"/>
      <w:bookmarkEnd w:id="889"/>
      <w:bookmarkEnd w:id="890"/>
      <w:bookmarkEnd w:id="891"/>
      <w:bookmarkEnd w:id="892"/>
      <w:bookmarkEnd w:id="893"/>
      <w:bookmarkEnd w:id="894"/>
      <w:bookmarkEnd w:id="895"/>
      <w:bookmarkEnd w:id="896"/>
      <w:bookmarkEnd w:id="897"/>
      <w:bookmarkEnd w:id="898"/>
      <w:r>
        <w:rPr>
          <w:rFonts w:ascii="Times New Roman" w:hAnsi="Times New Roman"/>
          <w:color w:val="auto"/>
          <w:highlight w:val="none"/>
        </w:rPr>
        <w:t>：</w:t>
      </w:r>
      <w:r>
        <w:rPr>
          <w:rFonts w:ascii="Times New Roman" w:hAnsi="Times New Roman" w:eastAsia="黑体"/>
          <w:color w:val="auto"/>
          <w:sz w:val="28"/>
          <w:highlight w:val="none"/>
          <w:u w:val="single"/>
        </w:rPr>
        <w:t xml:space="preserve">           </w:t>
      </w:r>
      <w:r>
        <w:rPr>
          <w:rFonts w:ascii="Times New Roman" w:hAnsi="Times New Roman"/>
          <w:color w:val="auto"/>
          <w:highlight w:val="none"/>
        </w:rPr>
        <w:t>）</w:t>
      </w:r>
    </w:p>
    <w:p w14:paraId="62312BBE">
      <w:pPr>
        <w:spacing w:line="400" w:lineRule="exact"/>
        <w:rPr>
          <w:rFonts w:ascii="Times New Roman" w:hAnsi="Times New Roman"/>
          <w:color w:val="auto"/>
          <w:highlight w:val="none"/>
        </w:rPr>
      </w:pPr>
    </w:p>
    <w:p w14:paraId="583006BA">
      <w:pPr>
        <w:spacing w:line="440" w:lineRule="exact"/>
        <w:rPr>
          <w:rFonts w:ascii="Times New Roman" w:hAnsi="Times New Roman"/>
          <w:color w:val="auto"/>
          <w:highlight w:val="none"/>
        </w:rPr>
      </w:pPr>
      <w:r>
        <w:rPr>
          <w:rFonts w:ascii="Times New Roman" w:hAnsi="Times New Roman"/>
          <w:color w:val="auto"/>
          <w:highlight w:val="none"/>
        </w:rPr>
        <w:t>评标委员会：</w:t>
      </w:r>
    </w:p>
    <w:p w14:paraId="3CAAC907">
      <w:pPr>
        <w:spacing w:line="440" w:lineRule="exact"/>
        <w:rPr>
          <w:rFonts w:ascii="Times New Roman" w:hAnsi="Times New Roman"/>
          <w:color w:val="auto"/>
          <w:highlight w:val="none"/>
        </w:rPr>
      </w:pPr>
    </w:p>
    <w:p w14:paraId="36A0E515">
      <w:pPr>
        <w:spacing w:line="440" w:lineRule="exact"/>
        <w:rPr>
          <w:rFonts w:ascii="Times New Roman" w:hAnsi="Times New Roman"/>
          <w:color w:val="auto"/>
          <w:highlight w:val="none"/>
        </w:rPr>
      </w:pPr>
      <w:r>
        <w:rPr>
          <w:rFonts w:ascii="Times New Roman" w:hAnsi="Times New Roman"/>
          <w:color w:val="auto"/>
          <w:highlight w:val="none"/>
        </w:rPr>
        <w:t>　　问题澄清通知（编号：</w:t>
      </w:r>
      <w:r>
        <w:rPr>
          <w:rFonts w:ascii="Times New Roman" w:hAnsi="Times New Roman" w:eastAsia="黑体"/>
          <w:color w:val="auto"/>
          <w:sz w:val="28"/>
          <w:highlight w:val="none"/>
          <w:u w:val="single"/>
        </w:rPr>
        <w:t xml:space="preserve">      </w:t>
      </w:r>
      <w:r>
        <w:rPr>
          <w:rFonts w:ascii="Times New Roman" w:hAnsi="Times New Roman"/>
          <w:color w:val="auto"/>
          <w:highlight w:val="none"/>
        </w:rPr>
        <w:t>）已收悉，现澄清、说明或补正如下：</w:t>
      </w:r>
    </w:p>
    <w:p w14:paraId="45AD9FA2">
      <w:pPr>
        <w:spacing w:line="440" w:lineRule="exact"/>
        <w:rPr>
          <w:rFonts w:ascii="Times New Roman" w:hAnsi="Times New Roman"/>
          <w:color w:val="auto"/>
          <w:highlight w:val="none"/>
        </w:rPr>
      </w:pPr>
      <w:r>
        <w:rPr>
          <w:rFonts w:ascii="Times New Roman" w:hAnsi="Times New Roman"/>
          <w:color w:val="auto"/>
          <w:highlight w:val="none"/>
        </w:rPr>
        <w:t>　     1.</w:t>
      </w:r>
    </w:p>
    <w:p w14:paraId="369B49A0">
      <w:pPr>
        <w:spacing w:line="440" w:lineRule="exact"/>
        <w:rPr>
          <w:rFonts w:ascii="Times New Roman" w:hAnsi="Times New Roman"/>
          <w:color w:val="auto"/>
          <w:highlight w:val="none"/>
        </w:rPr>
      </w:pPr>
      <w:r>
        <w:rPr>
          <w:rFonts w:ascii="Times New Roman" w:hAnsi="Times New Roman"/>
          <w:color w:val="auto"/>
          <w:highlight w:val="none"/>
        </w:rPr>
        <w:t>　     2.</w:t>
      </w:r>
    </w:p>
    <w:p w14:paraId="765E784C">
      <w:pPr>
        <w:spacing w:line="440" w:lineRule="exact"/>
        <w:rPr>
          <w:rFonts w:ascii="Times New Roman" w:hAnsi="Times New Roman"/>
          <w:color w:val="auto"/>
          <w:highlight w:val="none"/>
        </w:rPr>
      </w:pPr>
      <w:r>
        <w:rPr>
          <w:rFonts w:ascii="Times New Roman" w:hAnsi="Times New Roman"/>
          <w:color w:val="auto"/>
          <w:highlight w:val="none"/>
        </w:rPr>
        <w:t>　    .....</w:t>
      </w:r>
    </w:p>
    <w:p w14:paraId="081555E7">
      <w:pPr>
        <w:spacing w:line="440" w:lineRule="exact"/>
        <w:rPr>
          <w:rFonts w:ascii="Times New Roman" w:hAnsi="Times New Roman"/>
          <w:color w:val="auto"/>
          <w:highlight w:val="none"/>
        </w:rPr>
      </w:pPr>
    </w:p>
    <w:p w14:paraId="27DDB3F6">
      <w:pPr>
        <w:spacing w:line="440" w:lineRule="exact"/>
        <w:rPr>
          <w:rFonts w:ascii="Times New Roman" w:hAnsi="Times New Roman"/>
          <w:color w:val="auto"/>
          <w:highlight w:val="none"/>
        </w:rPr>
      </w:pPr>
      <w:r>
        <w:rPr>
          <w:rFonts w:ascii="Times New Roman" w:hAnsi="Times New Roman"/>
          <w:color w:val="auto"/>
          <w:highlight w:val="none"/>
        </w:rPr>
        <w:t>　</w:t>
      </w:r>
    </w:p>
    <w:p w14:paraId="007E3A5F">
      <w:pPr>
        <w:spacing w:line="440" w:lineRule="exact"/>
        <w:rPr>
          <w:rFonts w:ascii="Times New Roman" w:hAnsi="Times New Roman"/>
          <w:color w:val="auto"/>
          <w:highlight w:val="none"/>
        </w:rPr>
      </w:pPr>
    </w:p>
    <w:p w14:paraId="7B6CCA8E">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上述问题澄清、说明或补正，不改变我方投标文件的实质性内容，构成我方投标文件的组成部分。</w:t>
      </w:r>
    </w:p>
    <w:p w14:paraId="6D3C7568">
      <w:pPr>
        <w:spacing w:line="440" w:lineRule="exact"/>
        <w:rPr>
          <w:rFonts w:ascii="Times New Roman" w:hAnsi="Times New Roman"/>
          <w:color w:val="auto"/>
          <w:highlight w:val="none"/>
        </w:rPr>
      </w:pPr>
    </w:p>
    <w:p w14:paraId="03EC65E3">
      <w:pPr>
        <w:spacing w:line="440" w:lineRule="exact"/>
        <w:rPr>
          <w:rFonts w:ascii="Times New Roman" w:hAnsi="Times New Roman"/>
          <w:color w:val="auto"/>
          <w:highlight w:val="none"/>
        </w:rPr>
      </w:pPr>
    </w:p>
    <w:p w14:paraId="7EF6FE2D">
      <w:pPr>
        <w:spacing w:line="480" w:lineRule="auto"/>
        <w:rPr>
          <w:rFonts w:ascii="Times New Roman" w:hAnsi="Times New Roman"/>
          <w:color w:val="auto"/>
          <w:highlight w:val="none"/>
        </w:rPr>
      </w:pPr>
      <w:r>
        <w:rPr>
          <w:rFonts w:ascii="Times New Roman" w:hAnsi="Times New Roman"/>
          <w:color w:val="auto"/>
          <w:highlight w:val="none"/>
        </w:rPr>
        <w:t>　　　　　　　　　　　　　　投标人：</w:t>
      </w:r>
      <w:r>
        <w:rPr>
          <w:rFonts w:ascii="Times New Roman" w:hAnsi="Times New Roman" w:eastAsia="黑体"/>
          <w:color w:val="auto"/>
          <w:sz w:val="28"/>
          <w:highlight w:val="none"/>
          <w:u w:val="single"/>
        </w:rPr>
        <w:t xml:space="preserve">                         </w:t>
      </w:r>
      <w:r>
        <w:rPr>
          <w:rFonts w:ascii="Times New Roman" w:hAnsi="Times New Roman"/>
          <w:color w:val="auto"/>
          <w:highlight w:val="none"/>
        </w:rPr>
        <w:t>（盖单位章）</w:t>
      </w:r>
    </w:p>
    <w:p w14:paraId="5D950C34">
      <w:pPr>
        <w:spacing w:line="480" w:lineRule="auto"/>
        <w:ind w:firstLine="2835" w:firstLineChars="1350"/>
        <w:rPr>
          <w:rFonts w:ascii="Times New Roman" w:hAnsi="Times New Roman"/>
          <w:color w:val="auto"/>
          <w:highlight w:val="none"/>
        </w:rPr>
      </w:pPr>
      <w:r>
        <w:rPr>
          <w:rFonts w:hint="eastAsia" w:ascii="Times New Roman" w:hAnsi="Times New Roman"/>
          <w:color w:val="auto"/>
          <w:highlight w:val="none"/>
        </w:rPr>
        <w:t xml:space="preserve"> </w:t>
      </w:r>
      <w:r>
        <w:rPr>
          <w:rFonts w:ascii="Times New Roman" w:hAnsi="Times New Roman"/>
          <w:color w:val="auto"/>
          <w:highlight w:val="none"/>
        </w:rPr>
        <w:t>法定代表人或其委托代理人：</w:t>
      </w:r>
      <w:r>
        <w:rPr>
          <w:rFonts w:ascii="Times New Roman" w:hAnsi="Times New Roman"/>
          <w:color w:val="auto"/>
          <w:highlight w:val="none"/>
          <w:u w:val="single"/>
        </w:rPr>
        <w:t xml:space="preserve">        </w:t>
      </w:r>
      <w:r>
        <w:rPr>
          <w:rFonts w:ascii="Times New Roman" w:hAnsi="Times New Roman"/>
          <w:color w:val="auto"/>
          <w:highlight w:val="none"/>
        </w:rPr>
        <w:t>（签字）</w:t>
      </w:r>
    </w:p>
    <w:p w14:paraId="11CA9430">
      <w:pPr>
        <w:spacing w:line="440" w:lineRule="exact"/>
        <w:rPr>
          <w:rFonts w:ascii="Times New Roman" w:hAnsi="Times New Roman"/>
          <w:color w:val="auto"/>
          <w:highlight w:val="none"/>
        </w:rPr>
      </w:pPr>
      <w:r>
        <w:rPr>
          <w:rFonts w:ascii="Times New Roman" w:hAnsi="Times New Roman"/>
          <w:color w:val="auto"/>
          <w:highlight w:val="none"/>
        </w:rPr>
        <w:t>　　　　　　　　　　　　　　　</w:t>
      </w:r>
    </w:p>
    <w:p w14:paraId="029F4766">
      <w:pPr>
        <w:spacing w:line="440" w:lineRule="exact"/>
        <w:jc w:val="right"/>
        <w:rPr>
          <w:rFonts w:ascii="Times New Roman" w:hAnsi="Times New Roman"/>
          <w:color w:val="auto"/>
          <w:highlight w:val="none"/>
        </w:rPr>
      </w:pPr>
      <w:r>
        <w:rPr>
          <w:rFonts w:ascii="Times New Roman" w:hAnsi="Times New Roman"/>
          <w:color w:val="auto"/>
          <w:highlight w:val="none"/>
        </w:rPr>
        <w:t>　　　　　　　　　　　　　　　</w:t>
      </w:r>
      <w:r>
        <w:rPr>
          <w:rFonts w:ascii="Times New Roman" w:hAnsi="Times New Roman"/>
          <w:color w:val="auto"/>
          <w:highlight w:val="none"/>
          <w:u w:val="single"/>
        </w:rPr>
        <w:t xml:space="preserve">        </w:t>
      </w:r>
      <w:r>
        <w:rPr>
          <w:rFonts w:ascii="Times New Roman" w:hAnsi="Times New Roman"/>
          <w:color w:val="auto"/>
          <w:highlight w:val="none"/>
        </w:rPr>
        <w:t>年</w:t>
      </w:r>
      <w:bookmarkStart w:id="899" w:name="_Toc352691527"/>
      <w:bookmarkStart w:id="900" w:name="_Toc152042358"/>
      <w:bookmarkStart w:id="901" w:name="_Toc152045581"/>
      <w:bookmarkStart w:id="902" w:name="_Toc369531571"/>
      <w:bookmarkStart w:id="903" w:name="_Toc361508640"/>
      <w:bookmarkStart w:id="904" w:name="_Toc15139"/>
      <w:bookmarkStart w:id="905" w:name="_Toc247514005"/>
      <w:bookmarkStart w:id="906" w:name="_Toc247527606"/>
      <w:bookmarkStart w:id="907" w:name="_Toc384308266"/>
      <w:bookmarkStart w:id="908" w:name="_Toc144974548"/>
      <w:bookmarkStart w:id="909" w:name="_Toc300835002"/>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bookmarkEnd w:id="899"/>
    <w:bookmarkEnd w:id="900"/>
    <w:bookmarkEnd w:id="901"/>
    <w:bookmarkEnd w:id="902"/>
    <w:bookmarkEnd w:id="903"/>
    <w:bookmarkEnd w:id="904"/>
    <w:bookmarkEnd w:id="905"/>
    <w:bookmarkEnd w:id="906"/>
    <w:bookmarkEnd w:id="907"/>
    <w:bookmarkEnd w:id="908"/>
    <w:bookmarkEnd w:id="909"/>
    <w:p w14:paraId="38DB6487">
      <w:pPr>
        <w:spacing w:line="400" w:lineRule="exact"/>
        <w:rPr>
          <w:rFonts w:ascii="Times New Roman" w:hAnsi="Times New Roman"/>
          <w:color w:val="auto"/>
          <w:highlight w:val="none"/>
        </w:rPr>
      </w:pPr>
    </w:p>
    <w:p w14:paraId="2C22919B">
      <w:pPr>
        <w:pStyle w:val="5"/>
        <w:keepNext w:val="0"/>
        <w:keepLines w:val="0"/>
        <w:ind w:firstLine="137"/>
        <w:rPr>
          <w:rFonts w:ascii="Times New Roman" w:hAnsi="Times New Roman"/>
          <w:color w:val="auto"/>
          <w:highlight w:val="none"/>
        </w:rPr>
      </w:pPr>
      <w:r>
        <w:rPr>
          <w:rFonts w:ascii="Times New Roman" w:hAnsi="Times New Roman"/>
          <w:color w:val="auto"/>
          <w:highlight w:val="none"/>
        </w:rPr>
        <w:br w:type="page"/>
      </w:r>
      <w:bookmarkStart w:id="910" w:name="_Toc13944"/>
      <w:bookmarkStart w:id="911" w:name="_Toc28784"/>
      <w:bookmarkStart w:id="912" w:name="_Toc17658"/>
      <w:bookmarkStart w:id="913" w:name="_Toc527028506"/>
      <w:bookmarkStart w:id="914" w:name="_Toc11668"/>
      <w:bookmarkStart w:id="915" w:name="_Toc17609"/>
      <w:r>
        <w:rPr>
          <w:rFonts w:ascii="Times New Roman" w:hAnsi="Times New Roman"/>
          <w:color w:val="auto"/>
          <w:highlight w:val="none"/>
        </w:rPr>
        <w:t>附件</w:t>
      </w:r>
      <w:r>
        <w:rPr>
          <w:rFonts w:hint="eastAsia" w:ascii="Times New Roman" w:hAnsi="Times New Roman"/>
          <w:color w:val="auto"/>
          <w:highlight w:val="none"/>
        </w:rPr>
        <w:t>四</w:t>
      </w:r>
      <w:r>
        <w:rPr>
          <w:rFonts w:ascii="Times New Roman" w:hAnsi="Times New Roman"/>
          <w:color w:val="auto"/>
          <w:highlight w:val="none"/>
        </w:rPr>
        <w:t>：确认通知</w:t>
      </w:r>
      <w:bookmarkEnd w:id="910"/>
      <w:bookmarkEnd w:id="911"/>
      <w:bookmarkEnd w:id="912"/>
      <w:bookmarkEnd w:id="913"/>
      <w:bookmarkEnd w:id="914"/>
      <w:bookmarkEnd w:id="915"/>
    </w:p>
    <w:p w14:paraId="58329E9A">
      <w:pPr>
        <w:spacing w:line="400" w:lineRule="exact"/>
        <w:rPr>
          <w:rFonts w:ascii="Times New Roman" w:hAnsi="Times New Roman"/>
          <w:color w:val="auto"/>
          <w:highlight w:val="none"/>
        </w:rPr>
      </w:pPr>
    </w:p>
    <w:p w14:paraId="38506ACC">
      <w:pPr>
        <w:spacing w:line="400" w:lineRule="exact"/>
        <w:jc w:val="center"/>
        <w:rPr>
          <w:rFonts w:ascii="Times New Roman" w:hAnsi="Times New Roman" w:eastAsia="黑体"/>
          <w:color w:val="auto"/>
          <w:sz w:val="28"/>
          <w:highlight w:val="none"/>
        </w:rPr>
      </w:pPr>
      <w:r>
        <w:rPr>
          <w:rFonts w:ascii="Times New Roman" w:hAnsi="Times New Roman" w:eastAsia="黑体"/>
          <w:color w:val="auto"/>
          <w:sz w:val="28"/>
          <w:highlight w:val="none"/>
        </w:rPr>
        <w:t>确认通知</w:t>
      </w:r>
    </w:p>
    <w:p w14:paraId="04976373">
      <w:pPr>
        <w:spacing w:line="400" w:lineRule="exact"/>
        <w:rPr>
          <w:rFonts w:ascii="Times New Roman" w:hAnsi="Times New Roman"/>
          <w:color w:val="auto"/>
          <w:highlight w:val="none"/>
        </w:rPr>
      </w:pPr>
    </w:p>
    <w:p w14:paraId="7A46C7A7">
      <w:pPr>
        <w:spacing w:line="440" w:lineRule="exac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（招标人名称）：</w:t>
      </w:r>
    </w:p>
    <w:p w14:paraId="1DAA9364">
      <w:pPr>
        <w:spacing w:line="440" w:lineRule="exact"/>
        <w:rPr>
          <w:rFonts w:ascii="Times New Roman" w:hAnsi="Times New Roman"/>
          <w:color w:val="auto"/>
          <w:highlight w:val="none"/>
        </w:rPr>
      </w:pPr>
      <w:r>
        <w:rPr>
          <w:rFonts w:ascii="Times New Roman" w:hAnsi="Times New Roman"/>
          <w:color w:val="auto"/>
          <w:highlight w:val="none"/>
        </w:rPr>
        <w:t>　　</w:t>
      </w:r>
    </w:p>
    <w:p w14:paraId="31A2DEB3">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你方于</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日发出的</w:t>
      </w:r>
      <w:r>
        <w:rPr>
          <w:rFonts w:ascii="Times New Roman" w:hAnsi="Times New Roman"/>
          <w:color w:val="auto"/>
          <w:highlight w:val="none"/>
          <w:u w:val="single"/>
        </w:rPr>
        <w:t xml:space="preserve">         </w:t>
      </w:r>
      <w:r>
        <w:rPr>
          <w:rFonts w:hint="eastAsia" w:ascii="Times New Roman" w:hAnsi="Times New Roman"/>
          <w:color w:val="auto"/>
          <w:highlight w:val="none"/>
        </w:rPr>
        <w:t>（项目名称）</w:t>
      </w:r>
      <w:r>
        <w:rPr>
          <w:rFonts w:ascii="Times New Roman" w:hAnsi="Times New Roman"/>
          <w:color w:val="auto"/>
          <w:highlight w:val="none"/>
        </w:rPr>
        <w:t>招标关于</w:t>
      </w:r>
      <w:r>
        <w:rPr>
          <w:rFonts w:ascii="Times New Roman" w:hAnsi="Times New Roman"/>
          <w:color w:val="auto"/>
          <w:highlight w:val="none"/>
          <w:u w:val="single"/>
        </w:rPr>
        <w:t>招标文件的澄清/修改</w:t>
      </w:r>
      <w:r>
        <w:rPr>
          <w:rFonts w:ascii="Times New Roman" w:hAnsi="Times New Roman"/>
          <w:color w:val="auto"/>
          <w:highlight w:val="none"/>
        </w:rPr>
        <w:t>的通知，我方已于</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日收到。</w:t>
      </w:r>
    </w:p>
    <w:p w14:paraId="6ACFE59A">
      <w:pPr>
        <w:spacing w:line="440" w:lineRule="exact"/>
        <w:rPr>
          <w:rFonts w:ascii="Times New Roman" w:hAnsi="Times New Roman"/>
          <w:color w:val="auto"/>
          <w:highlight w:val="none"/>
        </w:rPr>
      </w:pPr>
      <w:r>
        <w:rPr>
          <w:rFonts w:ascii="Times New Roman" w:hAnsi="Times New Roman"/>
          <w:color w:val="auto"/>
          <w:highlight w:val="none"/>
        </w:rPr>
        <w:t>　　特此确认。</w:t>
      </w:r>
    </w:p>
    <w:p w14:paraId="2A747C6D">
      <w:pPr>
        <w:spacing w:line="440" w:lineRule="exact"/>
        <w:rPr>
          <w:rFonts w:ascii="Times New Roman" w:hAnsi="Times New Roman"/>
          <w:color w:val="auto"/>
          <w:highlight w:val="none"/>
        </w:rPr>
      </w:pPr>
    </w:p>
    <w:p w14:paraId="0134EDE5">
      <w:pPr>
        <w:spacing w:line="440" w:lineRule="exact"/>
        <w:rPr>
          <w:rFonts w:ascii="Times New Roman" w:hAnsi="Times New Roman"/>
          <w:color w:val="auto"/>
          <w:highlight w:val="none"/>
        </w:rPr>
      </w:pPr>
    </w:p>
    <w:p w14:paraId="4DD10FB2">
      <w:pPr>
        <w:spacing w:line="480" w:lineRule="auto"/>
        <w:ind w:firstLine="2415" w:firstLineChars="1150"/>
        <w:jc w:val="left"/>
        <w:rPr>
          <w:rFonts w:ascii="Times New Roman" w:hAnsi="Times New Roman"/>
          <w:color w:val="auto"/>
          <w:highlight w:val="none"/>
        </w:rPr>
      </w:pPr>
      <w:r>
        <w:rPr>
          <w:rFonts w:ascii="Times New Roman" w:hAnsi="Times New Roman"/>
          <w:color w:val="auto"/>
          <w:highlight w:val="none"/>
        </w:rPr>
        <w:t>投标人：</w:t>
      </w:r>
      <w:r>
        <w:rPr>
          <w:rFonts w:ascii="Times New Roman" w:hAnsi="Times New Roman" w:eastAsia="黑体"/>
          <w:color w:val="auto"/>
          <w:sz w:val="28"/>
          <w:highlight w:val="none"/>
          <w:u w:val="single"/>
        </w:rPr>
        <w:t xml:space="preserve">                           </w:t>
      </w:r>
      <w:r>
        <w:rPr>
          <w:rFonts w:ascii="Times New Roman" w:hAnsi="Times New Roman"/>
          <w:color w:val="auto"/>
          <w:highlight w:val="none"/>
        </w:rPr>
        <w:t>（盖单位章）</w:t>
      </w:r>
    </w:p>
    <w:p w14:paraId="6AB7F59A">
      <w:pPr>
        <w:spacing w:line="480" w:lineRule="auto"/>
        <w:ind w:firstLine="2415" w:firstLineChars="1150"/>
        <w:jc w:val="left"/>
        <w:rPr>
          <w:rFonts w:ascii="Times New Roman" w:hAnsi="Times New Roman"/>
          <w:color w:val="auto"/>
          <w:highlight w:val="none"/>
        </w:rPr>
      </w:pPr>
      <w:r>
        <w:rPr>
          <w:rFonts w:ascii="Times New Roman" w:hAnsi="Times New Roman"/>
          <w:color w:val="auto"/>
          <w:highlight w:val="none"/>
        </w:rPr>
        <w:t>法定代表人或委托代理人：</w:t>
      </w:r>
      <w:r>
        <w:rPr>
          <w:rFonts w:ascii="Times New Roman" w:hAnsi="Times New Roman" w:eastAsia="黑体"/>
          <w:color w:val="auto"/>
          <w:sz w:val="28"/>
          <w:highlight w:val="none"/>
          <w:u w:val="single"/>
        </w:rPr>
        <w:t xml:space="preserve">      </w:t>
      </w:r>
      <w:r>
        <w:rPr>
          <w:rFonts w:ascii="Times New Roman" w:hAnsi="Times New Roman"/>
          <w:color w:val="auto"/>
          <w:highlight w:val="none"/>
        </w:rPr>
        <w:t>（签字）</w:t>
      </w:r>
    </w:p>
    <w:p w14:paraId="6B2F5D0D">
      <w:pPr>
        <w:spacing w:line="440" w:lineRule="exact"/>
        <w:rPr>
          <w:rFonts w:ascii="Times New Roman" w:hAnsi="Times New Roman"/>
          <w:color w:val="auto"/>
          <w:highlight w:val="none"/>
        </w:rPr>
      </w:pPr>
    </w:p>
    <w:p w14:paraId="2B6C9CA8">
      <w:pPr>
        <w:spacing w:line="440" w:lineRule="exact"/>
        <w:ind w:firstLine="105" w:firstLineChars="50"/>
        <w:jc w:val="righ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14:paraId="5D529D76">
      <w:pPr>
        <w:rPr>
          <w:rFonts w:ascii="Times New Roman" w:hAnsi="Times New Roman"/>
          <w:color w:val="auto"/>
          <w:highlight w:val="none"/>
        </w:rPr>
      </w:pPr>
    </w:p>
    <w:p w14:paraId="4CDA69F1">
      <w:pPr>
        <w:rPr>
          <w:color w:val="auto"/>
          <w:highlight w:val="none"/>
        </w:rPr>
      </w:pPr>
    </w:p>
    <w:p w14:paraId="0E3F618A">
      <w:pPr>
        <w:rPr>
          <w:color w:val="auto"/>
          <w:highlight w:val="none"/>
        </w:rPr>
      </w:pPr>
    </w:p>
    <w:p w14:paraId="62E57DAC">
      <w:pPr>
        <w:pStyle w:val="3"/>
        <w:keepNext w:val="0"/>
        <w:keepLines w:val="0"/>
        <w:spacing w:line="460" w:lineRule="exact"/>
        <w:jc w:val="center"/>
        <w:rPr>
          <w:color w:val="auto"/>
          <w:highlight w:val="none"/>
        </w:rPr>
      </w:pPr>
      <w:r>
        <w:rPr>
          <w:color w:val="auto"/>
          <w:highlight w:val="none"/>
        </w:rPr>
        <w:br w:type="page"/>
      </w:r>
      <w:bookmarkStart w:id="916" w:name="_Toc12459"/>
      <w:r>
        <w:rPr>
          <w:color w:val="auto"/>
          <w:highlight w:val="none"/>
        </w:rPr>
        <w:t>第三章评标办法（综合评估法）</w:t>
      </w:r>
      <w:bookmarkEnd w:id="916"/>
    </w:p>
    <w:p w14:paraId="7C698B81">
      <w:pPr>
        <w:pStyle w:val="3"/>
        <w:keepNext w:val="0"/>
        <w:keepLines w:val="0"/>
        <w:spacing w:before="0" w:after="0" w:line="240" w:lineRule="auto"/>
        <w:jc w:val="center"/>
        <w:rPr>
          <w:color w:val="auto"/>
          <w:highlight w:val="none"/>
        </w:rPr>
      </w:pPr>
      <w:bookmarkStart w:id="917" w:name="_Toc15960"/>
      <w:bookmarkStart w:id="918" w:name="_Toc20958"/>
      <w:bookmarkStart w:id="919" w:name="_Toc10954"/>
      <w:r>
        <w:rPr>
          <w:color w:val="auto"/>
          <w:highlight w:val="none"/>
        </w:rPr>
        <w:t>评标办法前附表</w:t>
      </w:r>
      <w:bookmarkEnd w:id="917"/>
      <w:bookmarkEnd w:id="918"/>
      <w:bookmarkEnd w:id="919"/>
    </w:p>
    <w:tbl>
      <w:tblPr>
        <w:tblStyle w:val="17"/>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89"/>
        <w:gridCol w:w="1098"/>
        <w:gridCol w:w="2132"/>
        <w:gridCol w:w="5252"/>
      </w:tblGrid>
      <w:tr w14:paraId="7487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gridSpan w:val="3"/>
            <w:vAlign w:val="center"/>
          </w:tcPr>
          <w:p w14:paraId="108F3A5C">
            <w:pPr>
              <w:snapToGrid w:val="0"/>
              <w:spacing w:line="360" w:lineRule="auto"/>
              <w:jc w:val="center"/>
              <w:rPr>
                <w:rFonts w:ascii="宋体" w:hAnsi="宋体"/>
                <w:b/>
                <w:color w:val="auto"/>
                <w:szCs w:val="21"/>
                <w:highlight w:val="none"/>
              </w:rPr>
            </w:pPr>
            <w:r>
              <w:rPr>
                <w:rFonts w:ascii="宋体" w:hAnsi="宋体"/>
                <w:b/>
                <w:color w:val="auto"/>
                <w:szCs w:val="21"/>
                <w:highlight w:val="none"/>
              </w:rPr>
              <w:t>条款号</w:t>
            </w:r>
          </w:p>
        </w:tc>
        <w:tc>
          <w:tcPr>
            <w:tcW w:w="2132" w:type="dxa"/>
            <w:vAlign w:val="center"/>
          </w:tcPr>
          <w:p w14:paraId="288FF679">
            <w:pPr>
              <w:snapToGrid w:val="0"/>
              <w:spacing w:line="360" w:lineRule="auto"/>
              <w:jc w:val="center"/>
              <w:rPr>
                <w:rFonts w:ascii="宋体" w:hAnsi="宋体"/>
                <w:b/>
                <w:color w:val="auto"/>
                <w:szCs w:val="21"/>
                <w:highlight w:val="none"/>
              </w:rPr>
            </w:pPr>
            <w:r>
              <w:rPr>
                <w:rFonts w:ascii="宋体" w:hAnsi="宋体"/>
                <w:b/>
                <w:color w:val="auto"/>
                <w:szCs w:val="21"/>
                <w:highlight w:val="none"/>
              </w:rPr>
              <w:t>评审因素</w:t>
            </w:r>
          </w:p>
        </w:tc>
        <w:tc>
          <w:tcPr>
            <w:tcW w:w="5252" w:type="dxa"/>
            <w:vAlign w:val="center"/>
          </w:tcPr>
          <w:p w14:paraId="66F4FB12">
            <w:pPr>
              <w:snapToGrid w:val="0"/>
              <w:spacing w:line="360" w:lineRule="auto"/>
              <w:jc w:val="center"/>
              <w:rPr>
                <w:rFonts w:ascii="宋体" w:hAnsi="宋体"/>
                <w:b/>
                <w:color w:val="auto"/>
                <w:szCs w:val="21"/>
                <w:highlight w:val="none"/>
              </w:rPr>
            </w:pPr>
            <w:r>
              <w:rPr>
                <w:rFonts w:ascii="宋体" w:hAnsi="宋体"/>
                <w:b/>
                <w:color w:val="auto"/>
                <w:szCs w:val="21"/>
                <w:highlight w:val="none"/>
              </w:rPr>
              <w:t>评审标准</w:t>
            </w:r>
          </w:p>
        </w:tc>
      </w:tr>
      <w:tr w14:paraId="4A9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0" w:type="dxa"/>
            <w:gridSpan w:val="2"/>
            <w:vAlign w:val="center"/>
          </w:tcPr>
          <w:p w14:paraId="1F4EC9DA">
            <w:pPr>
              <w:spacing w:line="360" w:lineRule="auto"/>
              <w:jc w:val="center"/>
              <w:rPr>
                <w:rFonts w:ascii="Times New Roman" w:hAnsi="Times New Roman"/>
                <w:color w:val="auto"/>
                <w:highlight w:val="none"/>
              </w:rPr>
            </w:pPr>
            <w:r>
              <w:rPr>
                <w:rFonts w:ascii="Times New Roman" w:hAnsi="Times New Roman"/>
                <w:color w:val="auto"/>
                <w:highlight w:val="none"/>
              </w:rPr>
              <w:t>1</w:t>
            </w:r>
          </w:p>
        </w:tc>
        <w:tc>
          <w:tcPr>
            <w:tcW w:w="1098" w:type="dxa"/>
            <w:vAlign w:val="center"/>
          </w:tcPr>
          <w:p w14:paraId="39072C0A">
            <w:pPr>
              <w:snapToGrid w:val="0"/>
              <w:spacing w:line="360" w:lineRule="auto"/>
              <w:rPr>
                <w:rFonts w:ascii="宋体" w:hAnsi="宋体"/>
                <w:color w:val="auto"/>
                <w:szCs w:val="21"/>
                <w:highlight w:val="none"/>
              </w:rPr>
            </w:pPr>
            <w:r>
              <w:rPr>
                <w:rFonts w:ascii="宋体" w:hAnsi="宋体"/>
                <w:color w:val="auto"/>
                <w:szCs w:val="21"/>
                <w:highlight w:val="none"/>
              </w:rPr>
              <w:t>评标方法</w:t>
            </w:r>
          </w:p>
        </w:tc>
        <w:tc>
          <w:tcPr>
            <w:tcW w:w="2132" w:type="dxa"/>
            <w:vAlign w:val="center"/>
          </w:tcPr>
          <w:p w14:paraId="69C66BA6">
            <w:pPr>
              <w:snapToGrid w:val="0"/>
              <w:spacing w:line="360" w:lineRule="auto"/>
              <w:rPr>
                <w:rFonts w:ascii="宋体" w:hAnsi="宋体"/>
                <w:color w:val="auto"/>
                <w:szCs w:val="21"/>
                <w:highlight w:val="none"/>
              </w:rPr>
            </w:pPr>
            <w:r>
              <w:rPr>
                <w:rFonts w:ascii="宋体" w:hAnsi="宋体"/>
                <w:color w:val="auto"/>
                <w:szCs w:val="21"/>
                <w:highlight w:val="none"/>
              </w:rPr>
              <w:t>中标候选人排序方法</w:t>
            </w:r>
          </w:p>
        </w:tc>
        <w:tc>
          <w:tcPr>
            <w:tcW w:w="5252" w:type="dxa"/>
          </w:tcPr>
          <w:p w14:paraId="033E09BC">
            <w:pPr>
              <w:snapToGrid w:val="0"/>
              <w:spacing w:line="360" w:lineRule="auto"/>
              <w:rPr>
                <w:rFonts w:ascii="宋体" w:hAnsi="宋体"/>
                <w:color w:val="auto"/>
                <w:szCs w:val="21"/>
                <w:highlight w:val="none"/>
              </w:rPr>
            </w:pPr>
            <w:r>
              <w:rPr>
                <w:rFonts w:hint="eastAsia" w:ascii="宋体" w:hAnsi="宋体"/>
                <w:color w:val="auto"/>
                <w:szCs w:val="21"/>
                <w:highlight w:val="none"/>
              </w:rPr>
              <w:t>按总得分由高到低顺序推荐中标候选人，若两家或以上的投标人总得分相同时，则投标报价</w:t>
            </w:r>
            <w:r>
              <w:rPr>
                <w:rFonts w:hint="eastAsia" w:ascii="宋体" w:hAnsi="宋体"/>
                <w:color w:val="auto"/>
                <w:szCs w:val="21"/>
                <w:highlight w:val="none"/>
                <w:lang w:val="en-US" w:eastAsia="zh-CN"/>
              </w:rPr>
              <w:t>低</w:t>
            </w:r>
            <w:r>
              <w:rPr>
                <w:rFonts w:hint="eastAsia" w:ascii="宋体" w:hAnsi="宋体"/>
                <w:color w:val="auto"/>
                <w:szCs w:val="21"/>
                <w:highlight w:val="none"/>
              </w:rPr>
              <w:t>的排前；若投标人总得分和投标报价均相同，则</w:t>
            </w:r>
            <w:r>
              <w:rPr>
                <w:rFonts w:hint="eastAsia" w:ascii="宋体" w:hAnsi="宋体"/>
                <w:color w:val="auto"/>
                <w:szCs w:val="21"/>
                <w:highlight w:val="none"/>
                <w:lang w:eastAsia="zh-CN"/>
              </w:rPr>
              <w:t>技术服务方案</w:t>
            </w:r>
            <w:r>
              <w:rPr>
                <w:rFonts w:hint="eastAsia" w:ascii="宋体" w:hAnsi="宋体"/>
                <w:color w:val="auto"/>
                <w:szCs w:val="21"/>
                <w:highlight w:val="none"/>
              </w:rPr>
              <w:t>得分高的排前；若投标人总得分、投标报价和</w:t>
            </w:r>
            <w:r>
              <w:rPr>
                <w:rFonts w:hint="eastAsia" w:ascii="宋体" w:hAnsi="宋体"/>
                <w:color w:val="auto"/>
                <w:szCs w:val="21"/>
                <w:highlight w:val="none"/>
                <w:lang w:eastAsia="zh-CN"/>
              </w:rPr>
              <w:t>技术服务方案</w:t>
            </w:r>
            <w:r>
              <w:rPr>
                <w:rFonts w:hint="eastAsia" w:ascii="宋体" w:hAnsi="宋体"/>
                <w:color w:val="auto"/>
                <w:szCs w:val="21"/>
                <w:highlight w:val="none"/>
              </w:rPr>
              <w:t>得分均相同，则由评标委员会投票表决推荐排名优先的投标人。</w:t>
            </w:r>
          </w:p>
        </w:tc>
      </w:tr>
      <w:tr w14:paraId="325B7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restart"/>
            <w:vAlign w:val="center"/>
          </w:tcPr>
          <w:p w14:paraId="74CBD108">
            <w:pPr>
              <w:spacing w:line="360" w:lineRule="auto"/>
              <w:jc w:val="center"/>
              <w:rPr>
                <w:rFonts w:ascii="Times New Roman" w:hAnsi="Times New Roman"/>
                <w:color w:val="auto"/>
                <w:highlight w:val="none"/>
              </w:rPr>
            </w:pPr>
            <w:r>
              <w:rPr>
                <w:rFonts w:ascii="Times New Roman" w:hAnsi="Times New Roman"/>
                <w:color w:val="auto"/>
                <w:highlight w:val="none"/>
              </w:rPr>
              <w:t>2.1.1</w:t>
            </w:r>
          </w:p>
        </w:tc>
        <w:tc>
          <w:tcPr>
            <w:tcW w:w="1098" w:type="dxa"/>
            <w:vMerge w:val="restart"/>
            <w:vAlign w:val="center"/>
          </w:tcPr>
          <w:p w14:paraId="329B2226">
            <w:pPr>
              <w:snapToGrid w:val="0"/>
              <w:spacing w:line="360" w:lineRule="auto"/>
              <w:rPr>
                <w:rFonts w:ascii="宋体" w:hAnsi="宋体"/>
                <w:color w:val="auto"/>
                <w:szCs w:val="21"/>
                <w:highlight w:val="none"/>
              </w:rPr>
            </w:pPr>
            <w:r>
              <w:rPr>
                <w:rFonts w:ascii="宋体" w:hAnsi="宋体"/>
                <w:color w:val="auto"/>
                <w:szCs w:val="21"/>
                <w:highlight w:val="none"/>
              </w:rPr>
              <w:t>形式评审标准</w:t>
            </w:r>
          </w:p>
        </w:tc>
        <w:tc>
          <w:tcPr>
            <w:tcW w:w="2132" w:type="dxa"/>
            <w:vAlign w:val="center"/>
          </w:tcPr>
          <w:p w14:paraId="696CA3F9">
            <w:pPr>
              <w:snapToGrid w:val="0"/>
              <w:spacing w:line="360" w:lineRule="auto"/>
              <w:jc w:val="center"/>
              <w:rPr>
                <w:rFonts w:ascii="宋体" w:hAnsi="宋体"/>
                <w:color w:val="auto"/>
                <w:szCs w:val="21"/>
                <w:highlight w:val="none"/>
              </w:rPr>
            </w:pPr>
            <w:r>
              <w:rPr>
                <w:rFonts w:ascii="宋体" w:hAnsi="宋体"/>
                <w:color w:val="auto"/>
                <w:szCs w:val="21"/>
                <w:highlight w:val="none"/>
              </w:rPr>
              <w:t>投标人名称</w:t>
            </w:r>
          </w:p>
        </w:tc>
        <w:tc>
          <w:tcPr>
            <w:tcW w:w="5252" w:type="dxa"/>
            <w:vAlign w:val="center"/>
          </w:tcPr>
          <w:p w14:paraId="5D723D9A">
            <w:pPr>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与营业执照</w:t>
            </w:r>
            <w:r>
              <w:rPr>
                <w:rFonts w:hint="eastAsia" w:ascii="宋体" w:hAnsi="宋体" w:cs="Calibri"/>
                <w:color w:val="auto"/>
                <w:szCs w:val="21"/>
                <w:highlight w:val="none"/>
              </w:rPr>
              <w:t>（或事业单位法人证书）</w:t>
            </w:r>
            <w:r>
              <w:rPr>
                <w:rFonts w:hint="eastAsia" w:ascii="宋体" w:hAnsi="宋体"/>
                <w:color w:val="auto"/>
                <w:szCs w:val="21"/>
                <w:highlight w:val="none"/>
              </w:rPr>
              <w:t>、资质证书一致</w:t>
            </w:r>
            <w:r>
              <w:rPr>
                <w:rFonts w:hint="eastAsia" w:ascii="宋体" w:hAnsi="宋体"/>
                <w:color w:val="auto"/>
                <w:szCs w:val="21"/>
                <w:highlight w:val="none"/>
                <w:lang w:eastAsia="zh-CN"/>
              </w:rPr>
              <w:t>。</w:t>
            </w:r>
          </w:p>
        </w:tc>
      </w:tr>
      <w:tr w14:paraId="3A23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2E556F06">
            <w:pPr>
              <w:spacing w:line="360" w:lineRule="auto"/>
              <w:rPr>
                <w:rFonts w:ascii="Times New Roman" w:hAnsi="Times New Roman"/>
                <w:color w:val="auto"/>
                <w:highlight w:val="none"/>
              </w:rPr>
            </w:pPr>
          </w:p>
        </w:tc>
        <w:tc>
          <w:tcPr>
            <w:tcW w:w="1098" w:type="dxa"/>
            <w:vMerge w:val="continue"/>
            <w:vAlign w:val="center"/>
          </w:tcPr>
          <w:p w14:paraId="098DF0CD">
            <w:pPr>
              <w:snapToGrid w:val="0"/>
              <w:spacing w:line="360" w:lineRule="auto"/>
              <w:rPr>
                <w:rFonts w:ascii="宋体" w:hAnsi="宋体"/>
                <w:color w:val="auto"/>
                <w:szCs w:val="21"/>
                <w:highlight w:val="none"/>
              </w:rPr>
            </w:pPr>
          </w:p>
        </w:tc>
        <w:tc>
          <w:tcPr>
            <w:tcW w:w="2132" w:type="dxa"/>
            <w:vAlign w:val="center"/>
          </w:tcPr>
          <w:p w14:paraId="2D147258">
            <w:pPr>
              <w:snapToGrid w:val="0"/>
              <w:spacing w:line="360" w:lineRule="auto"/>
              <w:jc w:val="center"/>
              <w:rPr>
                <w:rFonts w:ascii="宋体" w:hAnsi="宋体"/>
                <w:color w:val="auto"/>
                <w:szCs w:val="21"/>
                <w:highlight w:val="none"/>
              </w:rPr>
            </w:pPr>
            <w:r>
              <w:rPr>
                <w:rFonts w:ascii="宋体" w:hAnsi="宋体"/>
                <w:color w:val="auto"/>
                <w:szCs w:val="21"/>
                <w:highlight w:val="none"/>
              </w:rPr>
              <w:t>投标函</w:t>
            </w:r>
            <w:r>
              <w:rPr>
                <w:rFonts w:hint="eastAsia" w:ascii="宋体" w:hAnsi="宋体"/>
                <w:color w:val="auto"/>
                <w:szCs w:val="21"/>
                <w:highlight w:val="none"/>
              </w:rPr>
              <w:t>及投标函附录</w:t>
            </w:r>
            <w:r>
              <w:rPr>
                <w:rFonts w:ascii="宋体" w:hAnsi="宋体"/>
                <w:color w:val="auto"/>
                <w:szCs w:val="21"/>
                <w:highlight w:val="none"/>
              </w:rPr>
              <w:t>签字盖章</w:t>
            </w:r>
          </w:p>
        </w:tc>
        <w:tc>
          <w:tcPr>
            <w:tcW w:w="5252" w:type="dxa"/>
            <w:vAlign w:val="center"/>
          </w:tcPr>
          <w:p w14:paraId="52F514D5">
            <w:pPr>
              <w:snapToGrid w:val="0"/>
              <w:spacing w:line="360" w:lineRule="auto"/>
              <w:rPr>
                <w:rFonts w:ascii="宋体" w:hAnsi="宋体"/>
                <w:color w:val="auto"/>
                <w:szCs w:val="21"/>
                <w:highlight w:val="none"/>
              </w:rPr>
            </w:pPr>
            <w:r>
              <w:rPr>
                <w:rFonts w:hint="default" w:ascii="宋体" w:hAnsi="宋体"/>
                <w:color w:val="auto"/>
                <w:szCs w:val="21"/>
                <w:highlight w:val="none"/>
              </w:rPr>
              <w:t>有法定代表人或其委托代理人签字或加盖单位章。由法定代表人签字的，应附法定代表人身份证明，由代理人签字的，应附法定代表人身份证明</w:t>
            </w:r>
            <w:r>
              <w:rPr>
                <w:rFonts w:hint="eastAsia" w:ascii="宋体" w:hAnsi="宋体"/>
                <w:color w:val="auto"/>
                <w:szCs w:val="21"/>
                <w:highlight w:val="none"/>
                <w:lang w:val="en-US" w:eastAsia="zh-CN"/>
              </w:rPr>
              <w:t>及</w:t>
            </w:r>
            <w:r>
              <w:rPr>
                <w:rFonts w:hint="default" w:ascii="宋体" w:hAnsi="宋体"/>
                <w:color w:val="auto"/>
                <w:szCs w:val="21"/>
                <w:highlight w:val="none"/>
              </w:rPr>
              <w:t>授权委托书</w:t>
            </w:r>
            <w:r>
              <w:rPr>
                <w:rFonts w:hint="eastAsia" w:ascii="宋体" w:hAnsi="宋体"/>
                <w:color w:val="auto"/>
                <w:szCs w:val="21"/>
                <w:highlight w:val="none"/>
              </w:rPr>
              <w:t>。</w:t>
            </w:r>
          </w:p>
        </w:tc>
      </w:tr>
      <w:tr w14:paraId="634D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0" w:type="dxa"/>
            <w:gridSpan w:val="2"/>
            <w:vMerge w:val="continue"/>
            <w:vAlign w:val="center"/>
          </w:tcPr>
          <w:p w14:paraId="2177DD8B">
            <w:pPr>
              <w:spacing w:line="360" w:lineRule="auto"/>
              <w:rPr>
                <w:rFonts w:ascii="Times New Roman" w:hAnsi="Times New Roman"/>
                <w:color w:val="auto"/>
                <w:highlight w:val="none"/>
              </w:rPr>
            </w:pPr>
          </w:p>
        </w:tc>
        <w:tc>
          <w:tcPr>
            <w:tcW w:w="1098" w:type="dxa"/>
            <w:vMerge w:val="continue"/>
            <w:vAlign w:val="center"/>
          </w:tcPr>
          <w:p w14:paraId="7B02444F">
            <w:pPr>
              <w:snapToGrid w:val="0"/>
              <w:spacing w:line="360" w:lineRule="auto"/>
              <w:rPr>
                <w:rFonts w:ascii="宋体" w:hAnsi="宋体"/>
                <w:color w:val="auto"/>
                <w:szCs w:val="21"/>
                <w:highlight w:val="none"/>
              </w:rPr>
            </w:pPr>
          </w:p>
        </w:tc>
        <w:tc>
          <w:tcPr>
            <w:tcW w:w="2132" w:type="dxa"/>
            <w:vAlign w:val="center"/>
          </w:tcPr>
          <w:p w14:paraId="4214F30E">
            <w:pPr>
              <w:snapToGrid w:val="0"/>
              <w:spacing w:line="360" w:lineRule="auto"/>
              <w:jc w:val="center"/>
              <w:rPr>
                <w:rFonts w:ascii="宋体" w:hAnsi="宋体"/>
                <w:color w:val="auto"/>
                <w:szCs w:val="21"/>
                <w:highlight w:val="none"/>
              </w:rPr>
            </w:pPr>
            <w:r>
              <w:rPr>
                <w:rFonts w:ascii="宋体" w:hAnsi="宋体"/>
                <w:color w:val="auto"/>
                <w:szCs w:val="21"/>
                <w:highlight w:val="none"/>
              </w:rPr>
              <w:t>投标文件格式</w:t>
            </w:r>
          </w:p>
        </w:tc>
        <w:tc>
          <w:tcPr>
            <w:tcW w:w="5252" w:type="dxa"/>
            <w:vAlign w:val="center"/>
          </w:tcPr>
          <w:p w14:paraId="1B178830">
            <w:pPr>
              <w:keepNext w:val="0"/>
              <w:keepLines w:val="0"/>
              <w:suppressLineNumbers w:val="0"/>
              <w:snapToGrid w:val="0"/>
              <w:spacing w:before="0" w:beforeAutospacing="0" w:after="0" w:afterAutospacing="0"/>
              <w:ind w:left="0" w:leftChars="0" w:right="0" w:rightChars="0"/>
              <w:rPr>
                <w:rFonts w:hint="eastAsia" w:ascii="宋体" w:hAnsi="宋体" w:eastAsia="宋体"/>
                <w:color w:val="auto"/>
                <w:szCs w:val="21"/>
                <w:highlight w:val="none"/>
                <w:lang w:eastAsia="zh-CN"/>
              </w:rPr>
            </w:pPr>
            <w:r>
              <w:rPr>
                <w:rFonts w:hint="default" w:ascii="宋体" w:hAnsi="宋体"/>
                <w:color w:val="auto"/>
                <w:szCs w:val="21"/>
                <w:highlight w:val="none"/>
              </w:rPr>
              <w:t>《投标人声明》、《投标函及其附录》符合第六章“投标文件格式”的规定</w:t>
            </w:r>
            <w:r>
              <w:rPr>
                <w:rFonts w:hint="eastAsia" w:ascii="宋体" w:hAnsi="宋体"/>
                <w:color w:val="auto"/>
                <w:szCs w:val="21"/>
                <w:highlight w:val="none"/>
                <w:lang w:eastAsia="zh-CN"/>
              </w:rPr>
              <w:t>。</w:t>
            </w:r>
          </w:p>
        </w:tc>
      </w:tr>
      <w:tr w14:paraId="1DA1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586BBC00">
            <w:pPr>
              <w:spacing w:line="360" w:lineRule="auto"/>
              <w:rPr>
                <w:rFonts w:ascii="Times New Roman" w:hAnsi="Times New Roman"/>
                <w:color w:val="auto"/>
                <w:highlight w:val="none"/>
              </w:rPr>
            </w:pPr>
          </w:p>
        </w:tc>
        <w:tc>
          <w:tcPr>
            <w:tcW w:w="1098" w:type="dxa"/>
            <w:vMerge w:val="continue"/>
            <w:vAlign w:val="center"/>
          </w:tcPr>
          <w:p w14:paraId="1FD0D6B9">
            <w:pPr>
              <w:snapToGrid w:val="0"/>
              <w:spacing w:line="360" w:lineRule="auto"/>
              <w:rPr>
                <w:rFonts w:ascii="宋体" w:hAnsi="宋体"/>
                <w:color w:val="auto"/>
                <w:szCs w:val="21"/>
                <w:highlight w:val="none"/>
              </w:rPr>
            </w:pPr>
          </w:p>
        </w:tc>
        <w:tc>
          <w:tcPr>
            <w:tcW w:w="2132" w:type="dxa"/>
            <w:vAlign w:val="center"/>
          </w:tcPr>
          <w:p w14:paraId="1E7F1144">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投标人机器码</w:t>
            </w:r>
          </w:p>
        </w:tc>
        <w:tc>
          <w:tcPr>
            <w:tcW w:w="5252" w:type="dxa"/>
            <w:vAlign w:val="center"/>
          </w:tcPr>
          <w:p w14:paraId="1C92178B">
            <w:pPr>
              <w:keepNext w:val="0"/>
              <w:keepLines w:val="0"/>
              <w:suppressLineNumbers w:val="0"/>
              <w:snapToGrid w:val="0"/>
              <w:spacing w:before="0" w:beforeAutospacing="0" w:after="0" w:afterAutospacing="0"/>
              <w:ind w:left="0" w:leftChars="0" w:right="0" w:rightChars="0"/>
              <w:rPr>
                <w:rFonts w:ascii="宋体" w:hAnsi="宋体" w:cs="宋体"/>
                <w:color w:val="auto"/>
                <w:szCs w:val="21"/>
                <w:highlight w:val="none"/>
              </w:rPr>
            </w:pPr>
            <w:r>
              <w:rPr>
                <w:rFonts w:hint="eastAsia" w:ascii="宋体" w:hAnsi="宋体" w:cs="宋体"/>
                <w:color w:val="auto"/>
                <w:szCs w:val="21"/>
                <w:highlight w:val="none"/>
              </w:rPr>
              <w:t>投标人与</w:t>
            </w:r>
            <w:r>
              <w:rPr>
                <w:rFonts w:hint="eastAsia" w:ascii="宋体" w:hAnsi="宋体" w:cs="宋体"/>
                <w:color w:val="auto"/>
                <w:szCs w:val="21"/>
                <w:highlight w:val="none"/>
                <w:lang w:val="en-US" w:eastAsia="zh-CN"/>
              </w:rPr>
              <w:t>本项目</w:t>
            </w:r>
            <w:r>
              <w:rPr>
                <w:rFonts w:hint="eastAsia" w:ascii="宋体" w:hAnsi="宋体" w:cs="宋体"/>
                <w:color w:val="auto"/>
                <w:szCs w:val="21"/>
                <w:highlight w:val="none"/>
              </w:rPr>
              <w:t>其他投标人加密打包投标文件电脑机器特征码一致的(以</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评标系统的检索信息为准)将被否决。</w:t>
            </w:r>
          </w:p>
        </w:tc>
      </w:tr>
      <w:tr w14:paraId="2B91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557CDC9A">
            <w:pPr>
              <w:spacing w:line="360" w:lineRule="auto"/>
              <w:rPr>
                <w:rFonts w:ascii="Times New Roman" w:hAnsi="Times New Roman"/>
                <w:color w:val="auto"/>
                <w:highlight w:val="none"/>
              </w:rPr>
            </w:pPr>
          </w:p>
        </w:tc>
        <w:tc>
          <w:tcPr>
            <w:tcW w:w="1098" w:type="dxa"/>
            <w:vMerge w:val="continue"/>
            <w:vAlign w:val="center"/>
          </w:tcPr>
          <w:p w14:paraId="5CE97B31">
            <w:pPr>
              <w:snapToGrid w:val="0"/>
              <w:spacing w:line="360" w:lineRule="auto"/>
              <w:rPr>
                <w:rFonts w:ascii="宋体" w:hAnsi="宋体"/>
                <w:color w:val="auto"/>
                <w:szCs w:val="21"/>
                <w:highlight w:val="none"/>
              </w:rPr>
            </w:pPr>
          </w:p>
        </w:tc>
        <w:tc>
          <w:tcPr>
            <w:tcW w:w="2132" w:type="dxa"/>
            <w:vAlign w:val="center"/>
          </w:tcPr>
          <w:p w14:paraId="074C9E0C">
            <w:pPr>
              <w:snapToGrid w:val="0"/>
              <w:spacing w:line="360" w:lineRule="auto"/>
              <w:jc w:val="center"/>
              <w:rPr>
                <w:rFonts w:ascii="宋体" w:hAnsi="宋体"/>
                <w:color w:val="auto"/>
                <w:szCs w:val="21"/>
                <w:highlight w:val="none"/>
              </w:rPr>
            </w:pPr>
            <w:r>
              <w:rPr>
                <w:rFonts w:ascii="宋体" w:hAnsi="宋体"/>
                <w:color w:val="auto"/>
                <w:szCs w:val="21"/>
                <w:highlight w:val="none"/>
              </w:rPr>
              <w:t>备选投标方案</w:t>
            </w:r>
          </w:p>
        </w:tc>
        <w:tc>
          <w:tcPr>
            <w:tcW w:w="5252" w:type="dxa"/>
            <w:vAlign w:val="center"/>
          </w:tcPr>
          <w:p w14:paraId="0201EBE0">
            <w:pPr>
              <w:keepNext w:val="0"/>
              <w:keepLines w:val="0"/>
              <w:suppressLineNumbers w:val="0"/>
              <w:snapToGrid w:val="0"/>
              <w:spacing w:before="0" w:beforeAutospacing="0" w:after="0" w:afterAutospacing="0"/>
              <w:ind w:left="0" w:leftChars="0" w:right="0" w:rightChars="0"/>
              <w:rPr>
                <w:rFonts w:ascii="宋体" w:hAnsi="宋体"/>
                <w:color w:val="auto"/>
                <w:szCs w:val="21"/>
                <w:highlight w:val="none"/>
              </w:rPr>
            </w:pPr>
            <w:r>
              <w:rPr>
                <w:rFonts w:hint="eastAsia" w:ascii="宋体" w:hAnsi="宋体"/>
                <w:color w:val="auto"/>
                <w:szCs w:val="21"/>
                <w:highlight w:val="none"/>
              </w:rPr>
              <w:t>不允许。</w:t>
            </w:r>
          </w:p>
        </w:tc>
      </w:tr>
      <w:tr w14:paraId="6A67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restart"/>
            <w:vAlign w:val="center"/>
          </w:tcPr>
          <w:p w14:paraId="0503FECC">
            <w:pPr>
              <w:spacing w:line="360" w:lineRule="auto"/>
              <w:jc w:val="center"/>
              <w:rPr>
                <w:rFonts w:ascii="Times New Roman" w:hAnsi="Times New Roman"/>
                <w:color w:val="auto"/>
                <w:highlight w:val="none"/>
              </w:rPr>
            </w:pPr>
            <w:r>
              <w:rPr>
                <w:rFonts w:ascii="Times New Roman" w:hAnsi="Times New Roman"/>
                <w:color w:val="auto"/>
                <w:highlight w:val="none"/>
              </w:rPr>
              <w:t>2.1.2</w:t>
            </w:r>
          </w:p>
        </w:tc>
        <w:tc>
          <w:tcPr>
            <w:tcW w:w="1098" w:type="dxa"/>
            <w:vMerge w:val="restart"/>
            <w:vAlign w:val="center"/>
          </w:tcPr>
          <w:p w14:paraId="3271108B">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资格评审标准  </w:t>
            </w:r>
          </w:p>
        </w:tc>
        <w:tc>
          <w:tcPr>
            <w:tcW w:w="2132" w:type="dxa"/>
            <w:vAlign w:val="center"/>
          </w:tcPr>
          <w:p w14:paraId="72C4C6CB">
            <w:pPr>
              <w:keepNext w:val="0"/>
              <w:keepLines w:val="0"/>
              <w:suppressLineNumbers w:val="0"/>
              <w:snapToGrid w:val="0"/>
              <w:spacing w:before="0" w:beforeAutospacing="0" w:after="0" w:afterAutospacing="0"/>
              <w:ind w:left="0" w:leftChars="0" w:right="0" w:rightChars="0"/>
              <w:jc w:val="center"/>
              <w:rPr>
                <w:rFonts w:ascii="宋体" w:hAnsi="宋体"/>
                <w:color w:val="auto"/>
                <w:szCs w:val="21"/>
                <w:highlight w:val="none"/>
              </w:rPr>
            </w:pPr>
            <w:r>
              <w:rPr>
                <w:rFonts w:hint="eastAsia" w:ascii="宋体" w:hAnsi="宋体" w:eastAsia="宋体" w:cs="Times New Roman"/>
                <w:color w:val="auto"/>
                <w:szCs w:val="21"/>
                <w:highlight w:val="none"/>
              </w:rPr>
              <w:t>营业执照（或事业单位法人证书）</w:t>
            </w:r>
          </w:p>
        </w:tc>
        <w:tc>
          <w:tcPr>
            <w:tcW w:w="5252" w:type="dxa"/>
            <w:vAlign w:val="center"/>
          </w:tcPr>
          <w:p w14:paraId="08C6F098">
            <w:pPr>
              <w:keepNext w:val="0"/>
              <w:keepLines w:val="0"/>
              <w:suppressLineNumbers w:val="0"/>
              <w:snapToGrid w:val="0"/>
              <w:spacing w:before="0" w:beforeAutospacing="0" w:after="0" w:afterAutospacing="0"/>
              <w:ind w:left="0" w:leftChars="0" w:right="0" w:rightChars="0"/>
              <w:jc w:val="left"/>
              <w:rPr>
                <w:rFonts w:ascii="宋体" w:hAnsi="宋体"/>
                <w:color w:val="auto"/>
                <w:szCs w:val="21"/>
                <w:highlight w:val="none"/>
              </w:rPr>
            </w:pPr>
            <w:r>
              <w:rPr>
                <w:rFonts w:hint="eastAsia" w:ascii="宋体" w:hAnsi="宋体"/>
                <w:color w:val="auto"/>
                <w:szCs w:val="21"/>
                <w:highlight w:val="none"/>
              </w:rPr>
              <w:t>持有事业单位登记管理部门核发的事业单位法人证书或工商行政</w:t>
            </w:r>
            <w:r>
              <w:rPr>
                <w:rFonts w:hint="eastAsia" w:ascii="宋体" w:hAnsi="宋体"/>
                <w:color w:val="auto"/>
                <w:szCs w:val="21"/>
                <w:highlight w:val="none"/>
                <w:lang w:eastAsia="zh-CN"/>
              </w:rPr>
              <w:t>（</w:t>
            </w:r>
            <w:r>
              <w:rPr>
                <w:rFonts w:hint="eastAsia" w:ascii="宋体" w:hAnsi="宋体"/>
                <w:color w:val="auto"/>
                <w:szCs w:val="21"/>
                <w:highlight w:val="none"/>
              </w:rPr>
              <w:t>市场监督</w:t>
            </w:r>
            <w:r>
              <w:rPr>
                <w:rFonts w:hint="eastAsia" w:ascii="宋体" w:hAnsi="宋体"/>
                <w:color w:val="auto"/>
                <w:szCs w:val="21"/>
                <w:highlight w:val="none"/>
                <w:lang w:eastAsia="zh-CN"/>
              </w:rPr>
              <w:t>）</w:t>
            </w:r>
            <w:r>
              <w:rPr>
                <w:rFonts w:hint="eastAsia" w:ascii="宋体" w:hAnsi="宋体"/>
                <w:color w:val="auto"/>
                <w:szCs w:val="21"/>
                <w:highlight w:val="none"/>
              </w:rPr>
              <w:t>管理部门核发的企业法人营业执照，按国家法律经营。</w:t>
            </w:r>
          </w:p>
        </w:tc>
      </w:tr>
      <w:tr w14:paraId="239C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5ACF01E4">
            <w:pPr>
              <w:spacing w:line="360" w:lineRule="auto"/>
              <w:rPr>
                <w:rFonts w:ascii="Times New Roman" w:hAnsi="Times New Roman"/>
                <w:color w:val="auto"/>
                <w:highlight w:val="none"/>
              </w:rPr>
            </w:pPr>
          </w:p>
        </w:tc>
        <w:tc>
          <w:tcPr>
            <w:tcW w:w="1098" w:type="dxa"/>
            <w:vMerge w:val="continue"/>
            <w:vAlign w:val="center"/>
          </w:tcPr>
          <w:p w14:paraId="0F15898F">
            <w:pPr>
              <w:snapToGrid w:val="0"/>
              <w:spacing w:line="360" w:lineRule="auto"/>
              <w:rPr>
                <w:rFonts w:ascii="宋体" w:hAnsi="宋体"/>
                <w:color w:val="auto"/>
                <w:szCs w:val="21"/>
                <w:highlight w:val="none"/>
              </w:rPr>
            </w:pPr>
          </w:p>
        </w:tc>
        <w:tc>
          <w:tcPr>
            <w:tcW w:w="2132" w:type="dxa"/>
            <w:vAlign w:val="center"/>
          </w:tcPr>
          <w:p w14:paraId="5B5D6754">
            <w:pPr>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企业资质</w:t>
            </w:r>
          </w:p>
        </w:tc>
        <w:tc>
          <w:tcPr>
            <w:tcW w:w="5252" w:type="dxa"/>
            <w:vAlign w:val="center"/>
          </w:tcPr>
          <w:p w14:paraId="1A5DF176">
            <w:pPr>
              <w:snapToGrid w:val="0"/>
              <w:spacing w:line="360" w:lineRule="auto"/>
              <w:rPr>
                <w:rFonts w:ascii="宋体" w:hAnsi="宋体"/>
                <w:color w:val="auto"/>
                <w:szCs w:val="21"/>
                <w:highlight w:val="none"/>
              </w:rPr>
            </w:pPr>
            <w:r>
              <w:rPr>
                <w:rFonts w:hint="default" w:ascii="宋体" w:hAnsi="宋体"/>
                <w:color w:val="auto"/>
                <w:szCs w:val="21"/>
                <w:highlight w:val="none"/>
              </w:rPr>
              <w:t>符合</w:t>
            </w:r>
            <w:r>
              <w:rPr>
                <w:rFonts w:hint="eastAsia" w:ascii="宋体" w:hAnsi="宋体"/>
                <w:color w:val="auto"/>
                <w:szCs w:val="21"/>
                <w:highlight w:val="none"/>
                <w:lang w:val="en-US" w:eastAsia="zh-CN"/>
              </w:rPr>
              <w:t>招标公告第3.3的要求</w:t>
            </w:r>
            <w:r>
              <w:rPr>
                <w:rFonts w:hint="eastAsia" w:ascii="宋体" w:hAnsi="宋体"/>
                <w:color w:val="auto"/>
                <w:szCs w:val="21"/>
                <w:highlight w:val="none"/>
              </w:rPr>
              <w:t>。</w:t>
            </w:r>
          </w:p>
        </w:tc>
      </w:tr>
      <w:tr w14:paraId="47F0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5E2563D4">
            <w:pPr>
              <w:spacing w:line="360" w:lineRule="auto"/>
              <w:rPr>
                <w:rFonts w:ascii="Times New Roman" w:hAnsi="Times New Roman"/>
                <w:color w:val="auto"/>
                <w:highlight w:val="none"/>
              </w:rPr>
            </w:pPr>
          </w:p>
        </w:tc>
        <w:tc>
          <w:tcPr>
            <w:tcW w:w="1098" w:type="dxa"/>
            <w:vMerge w:val="continue"/>
            <w:vAlign w:val="center"/>
          </w:tcPr>
          <w:p w14:paraId="15C028B0">
            <w:pPr>
              <w:snapToGrid w:val="0"/>
              <w:spacing w:line="360" w:lineRule="auto"/>
              <w:rPr>
                <w:rFonts w:ascii="宋体" w:hAnsi="宋体"/>
                <w:color w:val="auto"/>
                <w:szCs w:val="21"/>
                <w:highlight w:val="none"/>
              </w:rPr>
            </w:pPr>
          </w:p>
        </w:tc>
        <w:tc>
          <w:tcPr>
            <w:tcW w:w="2132" w:type="dxa"/>
            <w:vAlign w:val="center"/>
          </w:tcPr>
          <w:p w14:paraId="10E90E29">
            <w:pPr>
              <w:snapToGrid w:val="0"/>
              <w:spacing w:line="360" w:lineRule="auto"/>
              <w:jc w:val="center"/>
              <w:rPr>
                <w:rFonts w:ascii="宋体" w:hAnsi="宋体"/>
                <w:color w:val="auto"/>
                <w:szCs w:val="21"/>
                <w:highlight w:val="none"/>
              </w:rPr>
            </w:pPr>
            <w:r>
              <w:rPr>
                <w:rFonts w:ascii="宋体" w:hAnsi="宋体"/>
                <w:color w:val="auto"/>
                <w:szCs w:val="21"/>
                <w:highlight w:val="none"/>
              </w:rPr>
              <w:t>其他要求</w:t>
            </w:r>
          </w:p>
        </w:tc>
        <w:tc>
          <w:tcPr>
            <w:tcW w:w="5252" w:type="dxa"/>
            <w:vAlign w:val="center"/>
          </w:tcPr>
          <w:p w14:paraId="1F29620B">
            <w:pPr>
              <w:pStyle w:val="11"/>
              <w:spacing w:line="360" w:lineRule="auto"/>
              <w:rPr>
                <w:color w:val="auto"/>
                <w:highlight w:val="none"/>
              </w:rPr>
            </w:pPr>
            <w:r>
              <w:rPr>
                <w:rFonts w:hint="default" w:ascii="宋体" w:hAnsi="宋体"/>
                <w:color w:val="auto"/>
                <w:szCs w:val="21"/>
                <w:highlight w:val="none"/>
              </w:rPr>
              <w:t>符合</w:t>
            </w:r>
            <w:r>
              <w:rPr>
                <w:rFonts w:hint="eastAsia" w:ascii="宋体" w:hAnsi="宋体"/>
                <w:color w:val="auto"/>
                <w:szCs w:val="21"/>
                <w:highlight w:val="none"/>
                <w:lang w:val="en-US" w:eastAsia="zh-CN"/>
              </w:rPr>
              <w:t>招标公告第3.</w:t>
            </w:r>
            <w:r>
              <w:rPr>
                <w:rFonts w:hint="eastAsia" w:hAnsi="宋体"/>
                <w:color w:val="auto"/>
                <w:szCs w:val="21"/>
                <w:highlight w:val="none"/>
                <w:lang w:val="en-US" w:eastAsia="zh-CN"/>
              </w:rPr>
              <w:t>4</w:t>
            </w:r>
            <w:r>
              <w:rPr>
                <w:rFonts w:hint="eastAsia" w:ascii="宋体" w:hAnsi="宋体"/>
                <w:color w:val="auto"/>
                <w:szCs w:val="21"/>
                <w:highlight w:val="none"/>
                <w:lang w:val="en-US" w:eastAsia="zh-CN"/>
              </w:rPr>
              <w:t>、3.</w:t>
            </w:r>
            <w:r>
              <w:rPr>
                <w:rFonts w:hint="eastAsia" w:hAnsi="宋体"/>
                <w:color w:val="auto"/>
                <w:szCs w:val="21"/>
                <w:highlight w:val="none"/>
                <w:lang w:val="en-US" w:eastAsia="zh-CN"/>
              </w:rPr>
              <w:t>5</w:t>
            </w:r>
            <w:r>
              <w:rPr>
                <w:rFonts w:hint="eastAsia" w:ascii="宋体" w:hAnsi="宋体"/>
                <w:color w:val="auto"/>
                <w:szCs w:val="21"/>
                <w:highlight w:val="none"/>
                <w:lang w:val="en-US" w:eastAsia="zh-CN"/>
              </w:rPr>
              <w:t>的要求</w:t>
            </w:r>
            <w:r>
              <w:rPr>
                <w:rFonts w:hint="eastAsia" w:ascii="宋体" w:hAnsi="宋体"/>
                <w:color w:val="auto"/>
                <w:szCs w:val="21"/>
                <w:highlight w:val="none"/>
              </w:rPr>
              <w:t>。</w:t>
            </w:r>
          </w:p>
        </w:tc>
      </w:tr>
      <w:tr w14:paraId="6460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1390A8AD">
            <w:pPr>
              <w:spacing w:line="360" w:lineRule="auto"/>
              <w:rPr>
                <w:rFonts w:ascii="Times New Roman" w:hAnsi="Times New Roman"/>
                <w:color w:val="auto"/>
                <w:highlight w:val="none"/>
              </w:rPr>
            </w:pPr>
          </w:p>
        </w:tc>
        <w:tc>
          <w:tcPr>
            <w:tcW w:w="1098" w:type="dxa"/>
            <w:vMerge w:val="continue"/>
            <w:vAlign w:val="center"/>
          </w:tcPr>
          <w:p w14:paraId="63478BCE">
            <w:pPr>
              <w:snapToGrid w:val="0"/>
              <w:spacing w:line="360" w:lineRule="auto"/>
              <w:rPr>
                <w:rFonts w:ascii="宋体" w:hAnsi="宋体"/>
                <w:color w:val="auto"/>
                <w:szCs w:val="21"/>
                <w:highlight w:val="none"/>
              </w:rPr>
            </w:pPr>
          </w:p>
        </w:tc>
        <w:tc>
          <w:tcPr>
            <w:tcW w:w="2132" w:type="dxa"/>
            <w:vAlign w:val="center"/>
          </w:tcPr>
          <w:p w14:paraId="71364FE3">
            <w:pPr>
              <w:snapToGrid w:val="0"/>
              <w:spacing w:line="360" w:lineRule="auto"/>
              <w:jc w:val="center"/>
              <w:rPr>
                <w:rFonts w:ascii="宋体" w:hAnsi="宋体"/>
                <w:color w:val="auto"/>
                <w:szCs w:val="21"/>
                <w:highlight w:val="none"/>
              </w:rPr>
            </w:pPr>
            <w:r>
              <w:rPr>
                <w:rFonts w:ascii="宋体" w:hAnsi="宋体"/>
                <w:color w:val="auto"/>
                <w:szCs w:val="21"/>
                <w:highlight w:val="none"/>
              </w:rPr>
              <w:t>联合体投标人</w:t>
            </w:r>
          </w:p>
        </w:tc>
        <w:tc>
          <w:tcPr>
            <w:tcW w:w="5252" w:type="dxa"/>
            <w:vAlign w:val="center"/>
          </w:tcPr>
          <w:p w14:paraId="250FD1CA">
            <w:pPr>
              <w:snapToGrid w:val="0"/>
              <w:spacing w:line="360" w:lineRule="auto"/>
              <w:rPr>
                <w:rFonts w:hint="default" w:hAnsi="Courier New" w:eastAsia="宋体" w:cs="Arial"/>
                <w:color w:val="auto"/>
                <w:szCs w:val="21"/>
                <w:highlight w:val="none"/>
                <w:lang w:val="en-US" w:eastAsia="zh-CN"/>
              </w:rPr>
            </w:pPr>
            <w:r>
              <w:rPr>
                <w:rFonts w:hint="eastAsia"/>
                <w:color w:val="auto"/>
                <w:szCs w:val="21"/>
                <w:highlight w:val="none"/>
                <w:lang w:val="en-US" w:eastAsia="zh-CN"/>
              </w:rPr>
              <w:t>符合招标公告第3.6的要求。</w:t>
            </w:r>
          </w:p>
        </w:tc>
      </w:tr>
      <w:tr w14:paraId="48BB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77B10D91">
            <w:pPr>
              <w:spacing w:line="360" w:lineRule="auto"/>
              <w:rPr>
                <w:rFonts w:ascii="Times New Roman" w:hAnsi="Times New Roman"/>
                <w:color w:val="auto"/>
                <w:highlight w:val="none"/>
              </w:rPr>
            </w:pPr>
          </w:p>
        </w:tc>
        <w:tc>
          <w:tcPr>
            <w:tcW w:w="1098" w:type="dxa"/>
            <w:vMerge w:val="continue"/>
            <w:vAlign w:val="center"/>
          </w:tcPr>
          <w:p w14:paraId="463493B8">
            <w:pPr>
              <w:spacing w:line="360" w:lineRule="auto"/>
              <w:rPr>
                <w:rFonts w:ascii="Times New Roman" w:hAnsi="Times New Roman"/>
                <w:color w:val="auto"/>
                <w:highlight w:val="none"/>
              </w:rPr>
            </w:pPr>
          </w:p>
        </w:tc>
        <w:tc>
          <w:tcPr>
            <w:tcW w:w="2132" w:type="dxa"/>
            <w:vAlign w:val="center"/>
          </w:tcPr>
          <w:p w14:paraId="5D7B7F3E">
            <w:pPr>
              <w:snapToGrid w:val="0"/>
              <w:spacing w:line="360" w:lineRule="auto"/>
              <w:jc w:val="center"/>
              <w:rPr>
                <w:rFonts w:ascii="宋体" w:hAnsi="宋体"/>
                <w:color w:val="auto"/>
                <w:szCs w:val="21"/>
                <w:highlight w:val="none"/>
              </w:rPr>
            </w:pPr>
            <w:r>
              <w:rPr>
                <w:rFonts w:ascii="宋体" w:hAnsi="宋体"/>
                <w:color w:val="auto"/>
                <w:szCs w:val="21"/>
                <w:highlight w:val="none"/>
              </w:rPr>
              <w:t>不存在禁止投标的情形</w:t>
            </w:r>
          </w:p>
        </w:tc>
        <w:tc>
          <w:tcPr>
            <w:tcW w:w="5252" w:type="dxa"/>
            <w:vAlign w:val="center"/>
          </w:tcPr>
          <w:p w14:paraId="6A6115EB">
            <w:pPr>
              <w:snapToGrid w:val="0"/>
              <w:spacing w:line="360" w:lineRule="auto"/>
              <w:rPr>
                <w:rFonts w:ascii="宋体" w:hAnsi="宋体"/>
                <w:color w:val="auto"/>
                <w:szCs w:val="21"/>
                <w:highlight w:val="none"/>
              </w:rPr>
            </w:pPr>
            <w:r>
              <w:rPr>
                <w:rFonts w:ascii="宋体" w:hAnsi="宋体"/>
                <w:color w:val="auto"/>
                <w:szCs w:val="21"/>
                <w:highlight w:val="none"/>
              </w:rPr>
              <w:t>不存在第二章“投标人须知”第1.4.3项规定的任何一种情形</w:t>
            </w:r>
            <w:r>
              <w:rPr>
                <w:rFonts w:hint="eastAsia" w:ascii="宋体" w:hAnsi="宋体" w:cs="宋体"/>
                <w:color w:val="auto"/>
                <w:highlight w:val="none"/>
              </w:rPr>
              <w:t>（以《投标人声明》为准）</w:t>
            </w:r>
            <w:r>
              <w:rPr>
                <w:rFonts w:hint="eastAsia" w:ascii="宋体" w:hAnsi="宋体"/>
                <w:color w:val="auto"/>
                <w:szCs w:val="21"/>
                <w:highlight w:val="none"/>
              </w:rPr>
              <w:t>。</w:t>
            </w:r>
          </w:p>
        </w:tc>
      </w:tr>
      <w:tr w14:paraId="5733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restart"/>
            <w:vAlign w:val="center"/>
          </w:tcPr>
          <w:p w14:paraId="4EF74C36">
            <w:pPr>
              <w:spacing w:line="360" w:lineRule="auto"/>
              <w:jc w:val="center"/>
              <w:rPr>
                <w:rFonts w:ascii="Times New Roman" w:hAnsi="Times New Roman"/>
                <w:color w:val="auto"/>
                <w:highlight w:val="none"/>
              </w:rPr>
            </w:pPr>
            <w:r>
              <w:rPr>
                <w:rFonts w:ascii="Times New Roman" w:hAnsi="Times New Roman"/>
                <w:color w:val="auto"/>
                <w:highlight w:val="none"/>
              </w:rPr>
              <w:t>2.1.3</w:t>
            </w:r>
          </w:p>
        </w:tc>
        <w:tc>
          <w:tcPr>
            <w:tcW w:w="1098" w:type="dxa"/>
            <w:vMerge w:val="restart"/>
            <w:vAlign w:val="center"/>
          </w:tcPr>
          <w:p w14:paraId="7214E36E">
            <w:pPr>
              <w:spacing w:line="360" w:lineRule="auto"/>
              <w:jc w:val="center"/>
              <w:rPr>
                <w:rFonts w:ascii="Times New Roman" w:hAnsi="Times New Roman"/>
                <w:color w:val="auto"/>
                <w:highlight w:val="none"/>
              </w:rPr>
            </w:pPr>
            <w:r>
              <w:rPr>
                <w:rFonts w:ascii="Times New Roman" w:hAnsi="Times New Roman"/>
                <w:color w:val="auto"/>
                <w:highlight w:val="none"/>
              </w:rPr>
              <w:t>响应性评审标准</w:t>
            </w:r>
          </w:p>
        </w:tc>
        <w:tc>
          <w:tcPr>
            <w:tcW w:w="2132" w:type="dxa"/>
            <w:vAlign w:val="center"/>
          </w:tcPr>
          <w:p w14:paraId="68FCF5E2">
            <w:pPr>
              <w:snapToGrid w:val="0"/>
              <w:spacing w:line="360" w:lineRule="auto"/>
              <w:jc w:val="center"/>
              <w:rPr>
                <w:rFonts w:ascii="宋体" w:hAnsi="宋体"/>
                <w:color w:val="auto"/>
                <w:szCs w:val="21"/>
                <w:highlight w:val="none"/>
              </w:rPr>
            </w:pPr>
            <w:r>
              <w:rPr>
                <w:rFonts w:ascii="宋体" w:hAnsi="宋体"/>
                <w:color w:val="auto"/>
                <w:szCs w:val="21"/>
                <w:highlight w:val="none"/>
              </w:rPr>
              <w:t>投标报价</w:t>
            </w:r>
          </w:p>
        </w:tc>
        <w:tc>
          <w:tcPr>
            <w:tcW w:w="5252" w:type="dxa"/>
            <w:vAlign w:val="center"/>
          </w:tcPr>
          <w:p w14:paraId="521C35AE">
            <w:pPr>
              <w:snapToGrid w:val="0"/>
              <w:spacing w:line="360" w:lineRule="auto"/>
              <w:rPr>
                <w:rFonts w:ascii="宋体" w:hAnsi="宋体"/>
                <w:color w:val="auto"/>
                <w:szCs w:val="21"/>
                <w:highlight w:val="none"/>
              </w:rPr>
            </w:pPr>
            <w:r>
              <w:rPr>
                <w:rFonts w:ascii="宋体" w:hAnsi="宋体"/>
                <w:color w:val="auto"/>
                <w:szCs w:val="21"/>
                <w:highlight w:val="none"/>
              </w:rPr>
              <w:t>符合第二章“投标人须知”第3.2款规定</w:t>
            </w:r>
            <w:r>
              <w:rPr>
                <w:rFonts w:hint="eastAsia" w:ascii="宋体" w:hAnsi="宋体"/>
                <w:color w:val="auto"/>
                <w:szCs w:val="21"/>
                <w:highlight w:val="none"/>
              </w:rPr>
              <w:t>进行投标报价的；对同一招标项目没有出现两个或以上的投标报价，且修正无依据。</w:t>
            </w:r>
          </w:p>
        </w:tc>
      </w:tr>
      <w:tr w14:paraId="4CCF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0E6057AA">
            <w:pPr>
              <w:spacing w:line="360" w:lineRule="auto"/>
              <w:jc w:val="center"/>
              <w:rPr>
                <w:rFonts w:ascii="Times New Roman" w:hAnsi="Times New Roman"/>
                <w:color w:val="auto"/>
                <w:highlight w:val="none"/>
              </w:rPr>
            </w:pPr>
          </w:p>
        </w:tc>
        <w:tc>
          <w:tcPr>
            <w:tcW w:w="1098" w:type="dxa"/>
            <w:vMerge w:val="continue"/>
            <w:vAlign w:val="center"/>
          </w:tcPr>
          <w:p w14:paraId="48D86C2F">
            <w:pPr>
              <w:spacing w:line="360" w:lineRule="auto"/>
              <w:jc w:val="center"/>
              <w:rPr>
                <w:rFonts w:ascii="Times New Roman" w:hAnsi="Times New Roman"/>
                <w:color w:val="auto"/>
                <w:highlight w:val="none"/>
              </w:rPr>
            </w:pPr>
          </w:p>
        </w:tc>
        <w:tc>
          <w:tcPr>
            <w:tcW w:w="2132" w:type="dxa"/>
            <w:vAlign w:val="center"/>
          </w:tcPr>
          <w:p w14:paraId="1FADC604">
            <w:pPr>
              <w:snapToGrid w:val="0"/>
              <w:spacing w:line="360" w:lineRule="auto"/>
              <w:jc w:val="center"/>
              <w:rPr>
                <w:rFonts w:ascii="宋体" w:hAnsi="宋体"/>
                <w:color w:val="auto"/>
                <w:szCs w:val="21"/>
                <w:highlight w:val="none"/>
              </w:rPr>
            </w:pPr>
            <w:r>
              <w:rPr>
                <w:rFonts w:ascii="宋体" w:hAnsi="宋体"/>
                <w:color w:val="auto"/>
                <w:szCs w:val="21"/>
                <w:highlight w:val="none"/>
              </w:rPr>
              <w:t>投标内容</w:t>
            </w:r>
          </w:p>
        </w:tc>
        <w:tc>
          <w:tcPr>
            <w:tcW w:w="5252" w:type="dxa"/>
            <w:vAlign w:val="center"/>
          </w:tcPr>
          <w:p w14:paraId="22413130">
            <w:pPr>
              <w:snapToGrid w:val="0"/>
              <w:spacing w:line="360" w:lineRule="auto"/>
              <w:jc w:val="left"/>
              <w:rPr>
                <w:rFonts w:ascii="宋体" w:hAnsi="宋体"/>
                <w:color w:val="auto"/>
                <w:szCs w:val="21"/>
                <w:highlight w:val="none"/>
              </w:rPr>
            </w:pPr>
            <w:r>
              <w:rPr>
                <w:rFonts w:hint="eastAsia" w:ascii="宋体" w:hAnsi="宋体"/>
                <w:color w:val="auto"/>
                <w:szCs w:val="21"/>
                <w:highlight w:val="none"/>
              </w:rPr>
              <w:t>符合第二章“投标人须知”第1.3.1项规定。</w:t>
            </w:r>
          </w:p>
        </w:tc>
      </w:tr>
      <w:tr w14:paraId="508B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68B68851">
            <w:pPr>
              <w:spacing w:line="360" w:lineRule="auto"/>
              <w:jc w:val="center"/>
              <w:rPr>
                <w:rFonts w:ascii="Times New Roman" w:hAnsi="Times New Roman"/>
                <w:color w:val="auto"/>
                <w:highlight w:val="none"/>
              </w:rPr>
            </w:pPr>
          </w:p>
        </w:tc>
        <w:tc>
          <w:tcPr>
            <w:tcW w:w="1098" w:type="dxa"/>
            <w:vMerge w:val="continue"/>
            <w:vAlign w:val="center"/>
          </w:tcPr>
          <w:p w14:paraId="248CA66C">
            <w:pPr>
              <w:spacing w:line="360" w:lineRule="auto"/>
              <w:jc w:val="center"/>
              <w:rPr>
                <w:rFonts w:ascii="Times New Roman" w:hAnsi="Times New Roman"/>
                <w:color w:val="auto"/>
                <w:highlight w:val="none"/>
              </w:rPr>
            </w:pPr>
          </w:p>
        </w:tc>
        <w:tc>
          <w:tcPr>
            <w:tcW w:w="2132" w:type="dxa"/>
            <w:vAlign w:val="center"/>
          </w:tcPr>
          <w:p w14:paraId="4F9E1E4F">
            <w:pPr>
              <w:snapToGrid w:val="0"/>
              <w:spacing w:line="360" w:lineRule="auto"/>
              <w:jc w:val="center"/>
              <w:rPr>
                <w:rFonts w:ascii="宋体" w:hAnsi="宋体"/>
                <w:color w:val="auto"/>
                <w:szCs w:val="21"/>
                <w:highlight w:val="none"/>
              </w:rPr>
            </w:pPr>
            <w:r>
              <w:rPr>
                <w:rFonts w:ascii="宋体" w:hAnsi="宋体"/>
                <w:color w:val="auto"/>
                <w:szCs w:val="21"/>
                <w:highlight w:val="none"/>
              </w:rPr>
              <w:t>服务期限</w:t>
            </w:r>
          </w:p>
        </w:tc>
        <w:tc>
          <w:tcPr>
            <w:tcW w:w="5252" w:type="dxa"/>
            <w:vAlign w:val="center"/>
          </w:tcPr>
          <w:p w14:paraId="1E4DEC2E">
            <w:pPr>
              <w:snapToGrid w:val="0"/>
              <w:spacing w:line="360" w:lineRule="auto"/>
              <w:jc w:val="left"/>
              <w:rPr>
                <w:rFonts w:ascii="宋体" w:hAnsi="宋体"/>
                <w:color w:val="auto"/>
                <w:szCs w:val="21"/>
                <w:highlight w:val="none"/>
              </w:rPr>
            </w:pPr>
            <w:r>
              <w:rPr>
                <w:rFonts w:ascii="宋体" w:hAnsi="宋体"/>
                <w:color w:val="auto"/>
                <w:szCs w:val="21"/>
                <w:highlight w:val="none"/>
              </w:rPr>
              <w:t>符合第二章“投标人须知”第1.3.2项规定</w:t>
            </w:r>
            <w:r>
              <w:rPr>
                <w:rFonts w:hint="eastAsia" w:ascii="宋体" w:hAnsi="宋体"/>
                <w:color w:val="auto"/>
                <w:szCs w:val="21"/>
                <w:highlight w:val="none"/>
              </w:rPr>
              <w:t>。</w:t>
            </w:r>
          </w:p>
        </w:tc>
      </w:tr>
      <w:tr w14:paraId="38AB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793C3823">
            <w:pPr>
              <w:spacing w:line="360" w:lineRule="auto"/>
              <w:jc w:val="center"/>
              <w:rPr>
                <w:rFonts w:ascii="Times New Roman" w:hAnsi="Times New Roman"/>
                <w:color w:val="auto"/>
                <w:highlight w:val="none"/>
              </w:rPr>
            </w:pPr>
          </w:p>
        </w:tc>
        <w:tc>
          <w:tcPr>
            <w:tcW w:w="1098" w:type="dxa"/>
            <w:vMerge w:val="continue"/>
            <w:vAlign w:val="center"/>
          </w:tcPr>
          <w:p w14:paraId="4A620862">
            <w:pPr>
              <w:spacing w:line="360" w:lineRule="auto"/>
              <w:jc w:val="center"/>
              <w:rPr>
                <w:rFonts w:ascii="Times New Roman" w:hAnsi="Times New Roman"/>
                <w:color w:val="auto"/>
                <w:highlight w:val="none"/>
              </w:rPr>
            </w:pPr>
          </w:p>
        </w:tc>
        <w:tc>
          <w:tcPr>
            <w:tcW w:w="2132" w:type="dxa"/>
            <w:vAlign w:val="center"/>
          </w:tcPr>
          <w:p w14:paraId="6D1D99EA">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质量标准</w:t>
            </w:r>
          </w:p>
        </w:tc>
        <w:tc>
          <w:tcPr>
            <w:tcW w:w="5252" w:type="dxa"/>
            <w:vAlign w:val="center"/>
          </w:tcPr>
          <w:p w14:paraId="52F9DA97">
            <w:pPr>
              <w:snapToGrid w:val="0"/>
              <w:spacing w:line="360" w:lineRule="auto"/>
              <w:jc w:val="left"/>
              <w:rPr>
                <w:rFonts w:ascii="宋体" w:hAnsi="宋体"/>
                <w:color w:val="auto"/>
                <w:szCs w:val="21"/>
                <w:highlight w:val="none"/>
              </w:rPr>
            </w:pPr>
            <w:r>
              <w:rPr>
                <w:rFonts w:hint="eastAsia" w:ascii="宋体" w:hAnsi="宋体"/>
                <w:color w:val="auto"/>
                <w:szCs w:val="21"/>
                <w:highlight w:val="none"/>
              </w:rPr>
              <w:t>符合第二章“投标人须知”第1.3.3项规定。</w:t>
            </w:r>
          </w:p>
        </w:tc>
      </w:tr>
      <w:tr w14:paraId="6CD7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75AD3F52">
            <w:pPr>
              <w:spacing w:line="360" w:lineRule="auto"/>
              <w:jc w:val="center"/>
              <w:rPr>
                <w:rFonts w:ascii="Times New Roman" w:hAnsi="Times New Roman"/>
                <w:color w:val="auto"/>
                <w:highlight w:val="none"/>
              </w:rPr>
            </w:pPr>
          </w:p>
        </w:tc>
        <w:tc>
          <w:tcPr>
            <w:tcW w:w="1098" w:type="dxa"/>
            <w:vMerge w:val="continue"/>
            <w:vAlign w:val="center"/>
          </w:tcPr>
          <w:p w14:paraId="1BBEF764">
            <w:pPr>
              <w:spacing w:line="360" w:lineRule="auto"/>
              <w:jc w:val="center"/>
              <w:rPr>
                <w:rFonts w:ascii="Times New Roman" w:hAnsi="Times New Roman"/>
                <w:color w:val="auto"/>
                <w:highlight w:val="none"/>
              </w:rPr>
            </w:pPr>
          </w:p>
        </w:tc>
        <w:tc>
          <w:tcPr>
            <w:tcW w:w="2132" w:type="dxa"/>
          </w:tcPr>
          <w:p w14:paraId="15D9278A">
            <w:pPr>
              <w:snapToGrid w:val="0"/>
              <w:spacing w:line="360" w:lineRule="auto"/>
              <w:jc w:val="center"/>
              <w:rPr>
                <w:rFonts w:ascii="宋体" w:hAnsi="宋体"/>
                <w:color w:val="auto"/>
                <w:szCs w:val="21"/>
                <w:highlight w:val="none"/>
              </w:rPr>
            </w:pPr>
            <w:r>
              <w:rPr>
                <w:rFonts w:ascii="宋体" w:hAnsi="宋体"/>
                <w:color w:val="auto"/>
                <w:szCs w:val="21"/>
                <w:highlight w:val="none"/>
              </w:rPr>
              <w:t>投标有效期</w:t>
            </w:r>
          </w:p>
        </w:tc>
        <w:tc>
          <w:tcPr>
            <w:tcW w:w="5252" w:type="dxa"/>
          </w:tcPr>
          <w:p w14:paraId="67E96337">
            <w:pPr>
              <w:snapToGrid w:val="0"/>
              <w:spacing w:line="360" w:lineRule="auto"/>
              <w:rPr>
                <w:rFonts w:ascii="宋体" w:hAnsi="宋体"/>
                <w:color w:val="auto"/>
                <w:szCs w:val="21"/>
                <w:highlight w:val="none"/>
              </w:rPr>
            </w:pPr>
            <w:r>
              <w:rPr>
                <w:rFonts w:hint="eastAsia" w:ascii="宋体" w:hAnsi="宋体"/>
                <w:color w:val="auto"/>
                <w:szCs w:val="21"/>
                <w:highlight w:val="none"/>
              </w:rPr>
              <w:t>符合第二章“投标人须知”第3.3.1项规定。</w:t>
            </w:r>
          </w:p>
        </w:tc>
      </w:tr>
      <w:tr w14:paraId="20A8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08CA5B44">
            <w:pPr>
              <w:spacing w:line="360" w:lineRule="auto"/>
              <w:rPr>
                <w:rFonts w:ascii="Times New Roman" w:hAnsi="Times New Roman"/>
                <w:color w:val="auto"/>
                <w:highlight w:val="none"/>
              </w:rPr>
            </w:pPr>
          </w:p>
        </w:tc>
        <w:tc>
          <w:tcPr>
            <w:tcW w:w="1098" w:type="dxa"/>
            <w:vMerge w:val="continue"/>
            <w:vAlign w:val="center"/>
          </w:tcPr>
          <w:p w14:paraId="03052998">
            <w:pPr>
              <w:spacing w:line="360" w:lineRule="auto"/>
              <w:rPr>
                <w:rFonts w:ascii="Times New Roman" w:hAnsi="Times New Roman"/>
                <w:color w:val="auto"/>
                <w:highlight w:val="none"/>
              </w:rPr>
            </w:pPr>
          </w:p>
        </w:tc>
        <w:tc>
          <w:tcPr>
            <w:tcW w:w="2132" w:type="dxa"/>
          </w:tcPr>
          <w:p w14:paraId="5C25D23B">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串通投标情形</w:t>
            </w:r>
          </w:p>
        </w:tc>
        <w:tc>
          <w:tcPr>
            <w:tcW w:w="5252" w:type="dxa"/>
          </w:tcPr>
          <w:p w14:paraId="601656CC">
            <w:pPr>
              <w:snapToGrid w:val="0"/>
              <w:spacing w:line="360" w:lineRule="auto"/>
              <w:jc w:val="left"/>
              <w:rPr>
                <w:rFonts w:ascii="宋体" w:hAnsi="宋体"/>
                <w:color w:val="auto"/>
                <w:szCs w:val="21"/>
                <w:highlight w:val="none"/>
              </w:rPr>
            </w:pPr>
            <w:r>
              <w:rPr>
                <w:rFonts w:hint="default" w:ascii="宋体" w:hAnsi="宋体"/>
                <w:color w:val="auto"/>
                <w:szCs w:val="21"/>
                <w:highlight w:val="none"/>
              </w:rPr>
              <w:t>不存在串通投标情形（串通投标情形以《广东省实施&lt;中华人民共和国招标投标法&gt;办法》第十六条的规定为准）。</w:t>
            </w:r>
          </w:p>
        </w:tc>
      </w:tr>
      <w:tr w14:paraId="02A7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gridSpan w:val="3"/>
            <w:vAlign w:val="center"/>
          </w:tcPr>
          <w:p w14:paraId="3C236212">
            <w:pPr>
              <w:snapToGrid w:val="0"/>
              <w:spacing w:line="360" w:lineRule="auto"/>
              <w:jc w:val="center"/>
              <w:rPr>
                <w:rFonts w:ascii="宋体" w:hAnsi="宋体"/>
                <w:b/>
                <w:color w:val="auto"/>
                <w:szCs w:val="21"/>
                <w:highlight w:val="none"/>
              </w:rPr>
            </w:pPr>
            <w:r>
              <w:rPr>
                <w:rFonts w:ascii="宋体" w:hAnsi="宋体"/>
                <w:b/>
                <w:color w:val="auto"/>
                <w:szCs w:val="21"/>
                <w:highlight w:val="none"/>
              </w:rPr>
              <w:t>条款号</w:t>
            </w:r>
          </w:p>
        </w:tc>
        <w:tc>
          <w:tcPr>
            <w:tcW w:w="2132" w:type="dxa"/>
            <w:vAlign w:val="center"/>
          </w:tcPr>
          <w:p w14:paraId="3BE49214">
            <w:pPr>
              <w:snapToGrid w:val="0"/>
              <w:spacing w:line="360" w:lineRule="auto"/>
              <w:jc w:val="center"/>
              <w:rPr>
                <w:rFonts w:ascii="宋体" w:hAnsi="宋体"/>
                <w:b/>
                <w:color w:val="auto"/>
                <w:szCs w:val="21"/>
                <w:highlight w:val="none"/>
              </w:rPr>
            </w:pPr>
            <w:r>
              <w:rPr>
                <w:rFonts w:ascii="宋体" w:hAnsi="宋体"/>
                <w:b/>
                <w:color w:val="auto"/>
                <w:szCs w:val="21"/>
                <w:highlight w:val="none"/>
              </w:rPr>
              <w:t>条款内容</w:t>
            </w:r>
          </w:p>
        </w:tc>
        <w:tc>
          <w:tcPr>
            <w:tcW w:w="5252" w:type="dxa"/>
            <w:vAlign w:val="center"/>
          </w:tcPr>
          <w:p w14:paraId="20346C3C">
            <w:pPr>
              <w:snapToGrid w:val="0"/>
              <w:spacing w:line="360" w:lineRule="auto"/>
              <w:jc w:val="center"/>
              <w:rPr>
                <w:rFonts w:ascii="宋体" w:hAnsi="宋体"/>
                <w:b/>
                <w:color w:val="auto"/>
                <w:szCs w:val="21"/>
                <w:highlight w:val="none"/>
              </w:rPr>
            </w:pPr>
            <w:r>
              <w:rPr>
                <w:rFonts w:ascii="宋体" w:hAnsi="宋体"/>
                <w:b/>
                <w:color w:val="auto"/>
                <w:szCs w:val="21"/>
                <w:highlight w:val="none"/>
              </w:rPr>
              <w:t>编列内容</w:t>
            </w:r>
          </w:p>
        </w:tc>
      </w:tr>
      <w:tr w14:paraId="3EC7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gridSpan w:val="3"/>
            <w:vAlign w:val="center"/>
          </w:tcPr>
          <w:p w14:paraId="28F65970">
            <w:pPr>
              <w:spacing w:line="360" w:lineRule="auto"/>
              <w:jc w:val="center"/>
              <w:rPr>
                <w:rFonts w:ascii="Times New Roman" w:hAnsi="Times New Roman"/>
                <w:color w:val="auto"/>
                <w:highlight w:val="none"/>
              </w:rPr>
            </w:pPr>
            <w:bookmarkStart w:id="920" w:name="_Hlk136184014"/>
            <w:r>
              <w:rPr>
                <w:rFonts w:ascii="Times New Roman" w:hAnsi="Times New Roman"/>
                <w:color w:val="auto"/>
                <w:highlight w:val="none"/>
              </w:rPr>
              <w:t>2.2.1</w:t>
            </w:r>
          </w:p>
        </w:tc>
        <w:tc>
          <w:tcPr>
            <w:tcW w:w="2132" w:type="dxa"/>
            <w:vAlign w:val="center"/>
          </w:tcPr>
          <w:p w14:paraId="68F0D18A">
            <w:pPr>
              <w:snapToGrid w:val="0"/>
              <w:spacing w:line="360" w:lineRule="auto"/>
              <w:jc w:val="center"/>
              <w:rPr>
                <w:rFonts w:ascii="宋体" w:hAnsi="宋体"/>
                <w:color w:val="auto"/>
                <w:szCs w:val="21"/>
                <w:highlight w:val="none"/>
              </w:rPr>
            </w:pPr>
            <w:r>
              <w:rPr>
                <w:rFonts w:ascii="宋体" w:hAnsi="宋体"/>
                <w:color w:val="auto"/>
                <w:szCs w:val="21"/>
                <w:highlight w:val="none"/>
              </w:rPr>
              <w:t>分值构成</w:t>
            </w:r>
          </w:p>
          <w:p w14:paraId="23A8095F">
            <w:pPr>
              <w:snapToGrid w:val="0"/>
              <w:spacing w:line="360" w:lineRule="auto"/>
              <w:jc w:val="center"/>
              <w:rPr>
                <w:rFonts w:ascii="宋体" w:hAnsi="宋体"/>
                <w:color w:val="auto"/>
                <w:szCs w:val="21"/>
                <w:highlight w:val="none"/>
              </w:rPr>
            </w:pPr>
            <w:r>
              <w:rPr>
                <w:rFonts w:ascii="宋体" w:hAnsi="宋体"/>
                <w:color w:val="auto"/>
                <w:szCs w:val="21"/>
                <w:highlight w:val="none"/>
              </w:rPr>
              <w:t>(总分100分)</w:t>
            </w:r>
          </w:p>
        </w:tc>
        <w:tc>
          <w:tcPr>
            <w:tcW w:w="5252" w:type="dxa"/>
            <w:vAlign w:val="center"/>
          </w:tcPr>
          <w:p w14:paraId="572665C1">
            <w:pPr>
              <w:spacing w:line="360" w:lineRule="auto"/>
              <w:jc w:val="left"/>
              <w:rPr>
                <w:color w:val="auto"/>
                <w:highlight w:val="none"/>
              </w:rPr>
            </w:pPr>
            <w:r>
              <w:rPr>
                <w:color w:val="auto"/>
                <w:highlight w:val="none"/>
              </w:rPr>
              <w:t>资信业绩部分：</w:t>
            </w:r>
            <w:r>
              <w:rPr>
                <w:rFonts w:hint="eastAsia"/>
                <w:color w:val="auto"/>
                <w:highlight w:val="none"/>
                <w:lang w:val="en-US" w:eastAsia="zh-CN"/>
              </w:rPr>
              <w:t>45</w:t>
            </w:r>
            <w:r>
              <w:rPr>
                <w:color w:val="auto"/>
                <w:highlight w:val="none"/>
              </w:rPr>
              <w:t>分</w:t>
            </w:r>
          </w:p>
          <w:p w14:paraId="69CFBE6E">
            <w:pPr>
              <w:spacing w:line="360" w:lineRule="auto"/>
              <w:jc w:val="left"/>
              <w:rPr>
                <w:color w:val="auto"/>
                <w:highlight w:val="none"/>
              </w:rPr>
            </w:pPr>
            <w:r>
              <w:rPr>
                <w:rFonts w:hint="eastAsia"/>
                <w:color w:val="auto"/>
                <w:highlight w:val="none"/>
                <w:lang w:eastAsia="zh-CN"/>
              </w:rPr>
              <w:t>技术服务方案</w:t>
            </w:r>
            <w:r>
              <w:rPr>
                <w:rFonts w:hint="eastAsia"/>
                <w:color w:val="auto"/>
                <w:highlight w:val="none"/>
              </w:rPr>
              <w:t>部分</w:t>
            </w:r>
            <w:r>
              <w:rPr>
                <w:color w:val="auto"/>
                <w:highlight w:val="none"/>
              </w:rPr>
              <w:t>：</w:t>
            </w:r>
            <w:r>
              <w:rPr>
                <w:rFonts w:hint="eastAsia"/>
                <w:color w:val="auto"/>
                <w:highlight w:val="none"/>
                <w:lang w:val="en-US" w:eastAsia="zh-CN"/>
              </w:rPr>
              <w:t>45</w:t>
            </w:r>
            <w:r>
              <w:rPr>
                <w:color w:val="auto"/>
                <w:highlight w:val="none"/>
              </w:rPr>
              <w:t>分</w:t>
            </w:r>
          </w:p>
          <w:p w14:paraId="469B1572">
            <w:pPr>
              <w:spacing w:line="360" w:lineRule="auto"/>
              <w:jc w:val="left"/>
              <w:rPr>
                <w:color w:val="auto"/>
                <w:highlight w:val="none"/>
              </w:rPr>
            </w:pPr>
            <w:r>
              <w:rPr>
                <w:color w:val="auto"/>
                <w:highlight w:val="none"/>
              </w:rPr>
              <w:t>投标报价：</w:t>
            </w:r>
            <w:r>
              <w:rPr>
                <w:rFonts w:hint="eastAsia"/>
                <w:color w:val="auto"/>
                <w:highlight w:val="none"/>
                <w:lang w:val="en-US" w:eastAsia="zh-CN"/>
              </w:rPr>
              <w:t>10</w:t>
            </w:r>
            <w:r>
              <w:rPr>
                <w:color w:val="auto"/>
                <w:highlight w:val="none"/>
              </w:rPr>
              <w:t>分</w:t>
            </w:r>
          </w:p>
          <w:p w14:paraId="7F1E7D02">
            <w:pPr>
              <w:spacing w:line="360" w:lineRule="auto"/>
              <w:jc w:val="left"/>
              <w:rPr>
                <w:color w:val="auto"/>
                <w:highlight w:val="none"/>
              </w:rPr>
            </w:pPr>
            <w:r>
              <w:rPr>
                <w:rFonts w:hint="eastAsia"/>
                <w:color w:val="auto"/>
                <w:highlight w:val="none"/>
              </w:rPr>
              <w:t>投标人得分＝资信业绩部分+</w:t>
            </w:r>
            <w:r>
              <w:rPr>
                <w:rFonts w:hint="eastAsia"/>
                <w:color w:val="auto"/>
                <w:highlight w:val="none"/>
                <w:lang w:eastAsia="zh-CN"/>
              </w:rPr>
              <w:t>技术服务方案</w:t>
            </w:r>
            <w:r>
              <w:rPr>
                <w:rFonts w:hint="eastAsia"/>
                <w:color w:val="auto"/>
                <w:highlight w:val="none"/>
              </w:rPr>
              <w:t>部分+投标报价</w:t>
            </w:r>
          </w:p>
          <w:p w14:paraId="134706EE">
            <w:pPr>
              <w:spacing w:line="360" w:lineRule="auto"/>
              <w:jc w:val="left"/>
              <w:rPr>
                <w:color w:val="auto"/>
                <w:highlight w:val="none"/>
              </w:rPr>
            </w:pPr>
            <w:r>
              <w:rPr>
                <w:rFonts w:hint="eastAsia"/>
                <w:color w:val="auto"/>
                <w:highlight w:val="none"/>
              </w:rPr>
              <w:t>资信业绩、</w:t>
            </w:r>
            <w:r>
              <w:rPr>
                <w:rFonts w:hint="eastAsia"/>
                <w:color w:val="auto"/>
                <w:highlight w:val="none"/>
                <w:lang w:eastAsia="zh-CN"/>
              </w:rPr>
              <w:t>技术服务方案</w:t>
            </w:r>
            <w:r>
              <w:rPr>
                <w:rFonts w:hint="eastAsia"/>
                <w:color w:val="auto"/>
                <w:highlight w:val="none"/>
              </w:rPr>
              <w:t>部分得分为</w:t>
            </w:r>
            <w:r>
              <w:rPr>
                <w:rFonts w:hint="eastAsia" w:ascii="宋体" w:hAnsi="宋体" w:cs="宋体"/>
                <w:color w:val="auto"/>
                <w:szCs w:val="21"/>
                <w:highlight w:val="none"/>
              </w:rPr>
              <w:t>各评委的评分</w:t>
            </w:r>
            <w:r>
              <w:rPr>
                <w:rFonts w:hint="eastAsia"/>
                <w:color w:val="auto"/>
                <w:highlight w:val="none"/>
              </w:rPr>
              <w:t>的算术平均分（分数出现小数点时，保留小数点后二位，第三位小数四舍五入）。</w:t>
            </w:r>
          </w:p>
        </w:tc>
      </w:tr>
      <w:tr w14:paraId="7180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gridSpan w:val="3"/>
            <w:vAlign w:val="center"/>
          </w:tcPr>
          <w:p w14:paraId="7B4A0D82">
            <w:pPr>
              <w:spacing w:line="360" w:lineRule="auto"/>
              <w:jc w:val="center"/>
              <w:rPr>
                <w:rFonts w:ascii="Times New Roman" w:hAnsi="Times New Roman"/>
                <w:color w:val="auto"/>
                <w:highlight w:val="none"/>
              </w:rPr>
            </w:pPr>
            <w:r>
              <w:rPr>
                <w:rFonts w:ascii="Times New Roman" w:hAnsi="Times New Roman"/>
                <w:color w:val="auto"/>
                <w:highlight w:val="none"/>
              </w:rPr>
              <w:t>2.2.2</w:t>
            </w:r>
          </w:p>
        </w:tc>
        <w:tc>
          <w:tcPr>
            <w:tcW w:w="2132" w:type="dxa"/>
            <w:vAlign w:val="center"/>
          </w:tcPr>
          <w:p w14:paraId="37E19898">
            <w:pPr>
              <w:snapToGrid w:val="0"/>
              <w:spacing w:line="360" w:lineRule="auto"/>
              <w:jc w:val="left"/>
              <w:rPr>
                <w:rFonts w:ascii="宋体" w:hAnsi="宋体"/>
                <w:color w:val="auto"/>
                <w:szCs w:val="21"/>
                <w:highlight w:val="none"/>
              </w:rPr>
            </w:pPr>
            <w:r>
              <w:rPr>
                <w:rFonts w:ascii="宋体" w:hAnsi="宋体"/>
                <w:color w:val="auto"/>
                <w:szCs w:val="21"/>
                <w:highlight w:val="none"/>
              </w:rPr>
              <w:t>评标基准价计算方法</w:t>
            </w:r>
          </w:p>
        </w:tc>
        <w:tc>
          <w:tcPr>
            <w:tcW w:w="5252" w:type="dxa"/>
            <w:vAlign w:val="center"/>
          </w:tcPr>
          <w:p w14:paraId="47A1D12D">
            <w:pPr>
              <w:snapToGrid w:val="0"/>
              <w:spacing w:line="360" w:lineRule="auto"/>
              <w:jc w:val="left"/>
              <w:rPr>
                <w:rFonts w:ascii="宋体" w:hAnsi="宋体"/>
                <w:color w:val="auto"/>
                <w:spacing w:val="-3"/>
                <w:highlight w:val="none"/>
              </w:rPr>
            </w:pPr>
            <w:r>
              <w:rPr>
                <w:rFonts w:hint="eastAsia" w:ascii="宋体" w:hAnsi="宋体"/>
                <w:color w:val="auto"/>
                <w:spacing w:val="-3"/>
                <w:highlight w:val="none"/>
              </w:rPr>
              <w:t>当通过初步评审且投标总报价位于[投标最高限价×90%，投标最高限价]的有效投标人大于5名时，去掉一个最高价和一个最低价，取余下有效投标人的投标总报价的算术平均值的作为评标基准价；当通过初步评审且投标总报价位于[投标最高限价×90%，投标最高限价]的有效投标人小于或等于5名时，取所有入围的有效投标人的投标总报价的算术平均值的作为评标基准价；当通过初步评审且投标总报价</w:t>
            </w:r>
            <w:r>
              <w:rPr>
                <w:rFonts w:hint="eastAsia" w:ascii="宋体" w:hAnsi="宋体"/>
                <w:color w:val="auto"/>
                <w:spacing w:val="-3"/>
                <w:highlight w:val="none"/>
                <w:lang w:val="en-US" w:eastAsia="zh-CN"/>
              </w:rPr>
              <w:t>没有</w:t>
            </w:r>
            <w:r>
              <w:rPr>
                <w:rFonts w:hint="eastAsia" w:ascii="宋体" w:hAnsi="宋体"/>
                <w:color w:val="auto"/>
                <w:spacing w:val="-3"/>
                <w:highlight w:val="none"/>
              </w:rPr>
              <w:t>位于[投标最高限价×90%，投标最高限价]的有效投标人，取投标最高限价×90%作为评标基准价。投标总报价不在[投标最高限价×90%，投标最高限价]区间的不参与评标基准价的计算。</w:t>
            </w:r>
          </w:p>
        </w:tc>
      </w:tr>
      <w:tr w14:paraId="01B0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gridSpan w:val="3"/>
            <w:vAlign w:val="center"/>
          </w:tcPr>
          <w:p w14:paraId="7B264A65">
            <w:pPr>
              <w:spacing w:line="360" w:lineRule="auto"/>
              <w:jc w:val="center"/>
              <w:rPr>
                <w:rFonts w:ascii="Times New Roman" w:hAnsi="Times New Roman"/>
                <w:color w:val="auto"/>
                <w:highlight w:val="none"/>
              </w:rPr>
            </w:pPr>
            <w:r>
              <w:rPr>
                <w:rFonts w:ascii="Times New Roman" w:hAnsi="Times New Roman"/>
                <w:color w:val="auto"/>
                <w:highlight w:val="none"/>
              </w:rPr>
              <w:t>2.2.3</w:t>
            </w:r>
          </w:p>
        </w:tc>
        <w:tc>
          <w:tcPr>
            <w:tcW w:w="2132" w:type="dxa"/>
            <w:vAlign w:val="center"/>
          </w:tcPr>
          <w:p w14:paraId="0145E61D">
            <w:pPr>
              <w:snapToGrid w:val="0"/>
              <w:spacing w:line="360" w:lineRule="auto"/>
              <w:jc w:val="center"/>
              <w:rPr>
                <w:rFonts w:ascii="Times New Roman" w:hAnsi="Times New Roman"/>
                <w:color w:val="auto"/>
                <w:highlight w:val="none"/>
              </w:rPr>
            </w:pPr>
            <w:r>
              <w:rPr>
                <w:rFonts w:ascii="宋体" w:hAnsi="宋体"/>
                <w:color w:val="auto"/>
                <w:szCs w:val="21"/>
                <w:highlight w:val="none"/>
              </w:rPr>
              <w:t>投标报价的偏差率计算公式</w:t>
            </w:r>
          </w:p>
        </w:tc>
        <w:tc>
          <w:tcPr>
            <w:tcW w:w="5252" w:type="dxa"/>
            <w:vAlign w:val="center"/>
          </w:tcPr>
          <w:p w14:paraId="628DFB59">
            <w:pPr>
              <w:snapToGrid w:val="0"/>
              <w:spacing w:line="360" w:lineRule="auto"/>
              <w:jc w:val="left"/>
              <w:rPr>
                <w:rFonts w:ascii="宋体" w:hAnsi="宋体"/>
                <w:color w:val="auto"/>
                <w:spacing w:val="-3"/>
                <w:highlight w:val="none"/>
              </w:rPr>
            </w:pPr>
            <w:r>
              <w:rPr>
                <w:rFonts w:ascii="宋体" w:hAnsi="宋体"/>
                <w:color w:val="auto"/>
                <w:spacing w:val="-3"/>
                <w:highlight w:val="none"/>
              </w:rPr>
              <w:t>偏差率=100% ×|（投标人报价-评标基准价）|/评标基准价（偏差率出现小数点时，保留小数点后2位，第三位小数四舍五入。</w:t>
            </w:r>
            <w:r>
              <w:rPr>
                <w:rFonts w:hint="eastAsia" w:ascii="宋体" w:hAnsi="宋体"/>
                <w:color w:val="auto"/>
                <w:spacing w:val="-3"/>
                <w:highlight w:val="none"/>
              </w:rPr>
              <w:t>）</w:t>
            </w:r>
          </w:p>
        </w:tc>
      </w:tr>
      <w:tr w14:paraId="7DCD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978" w:type="dxa"/>
            <w:gridSpan w:val="3"/>
          </w:tcPr>
          <w:p w14:paraId="29F2EB46">
            <w:pPr>
              <w:pStyle w:val="23"/>
              <w:kinsoku w:val="0"/>
              <w:overflowPunct w:val="0"/>
              <w:spacing w:before="71" w:line="360" w:lineRule="auto"/>
              <w:ind w:right="309"/>
              <w:jc w:val="center"/>
              <w:rPr>
                <w:rFonts w:hint="default"/>
                <w:color w:val="auto"/>
                <w:highlight w:val="none"/>
              </w:rPr>
            </w:pPr>
            <w:r>
              <w:rPr>
                <w:rFonts w:ascii="宋体" w:hAnsi="宋体"/>
                <w:color w:val="auto"/>
                <w:highlight w:val="none"/>
              </w:rPr>
              <w:t>条款号</w:t>
            </w:r>
          </w:p>
        </w:tc>
        <w:tc>
          <w:tcPr>
            <w:tcW w:w="2132" w:type="dxa"/>
          </w:tcPr>
          <w:p w14:paraId="58051188">
            <w:pPr>
              <w:pStyle w:val="23"/>
              <w:kinsoku w:val="0"/>
              <w:overflowPunct w:val="0"/>
              <w:spacing w:before="71" w:line="360" w:lineRule="auto"/>
              <w:rPr>
                <w:rFonts w:hint="default"/>
                <w:color w:val="auto"/>
                <w:highlight w:val="none"/>
              </w:rPr>
            </w:pPr>
            <w:r>
              <w:rPr>
                <w:rFonts w:ascii="宋体" w:hAnsi="宋体"/>
                <w:color w:val="auto"/>
                <w:highlight w:val="none"/>
              </w:rPr>
              <w:t>评分因素（偏差率）</w:t>
            </w:r>
          </w:p>
        </w:tc>
        <w:tc>
          <w:tcPr>
            <w:tcW w:w="5252" w:type="dxa"/>
          </w:tcPr>
          <w:p w14:paraId="2B702B95">
            <w:pPr>
              <w:pStyle w:val="23"/>
              <w:kinsoku w:val="0"/>
              <w:overflowPunct w:val="0"/>
              <w:spacing w:before="71" w:line="360" w:lineRule="auto"/>
              <w:ind w:left="1895" w:right="1655"/>
              <w:jc w:val="center"/>
              <w:rPr>
                <w:rFonts w:hint="default"/>
                <w:color w:val="auto"/>
                <w:highlight w:val="none"/>
              </w:rPr>
            </w:pPr>
            <w:r>
              <w:rPr>
                <w:rFonts w:ascii="宋体" w:hAnsi="宋体"/>
                <w:color w:val="auto"/>
                <w:highlight w:val="none"/>
              </w:rPr>
              <w:t xml:space="preserve">评分标准   </w:t>
            </w:r>
          </w:p>
        </w:tc>
      </w:tr>
      <w:tr w14:paraId="4228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691" w:type="dxa"/>
            <w:vMerge w:val="restart"/>
            <w:vAlign w:val="center"/>
          </w:tcPr>
          <w:p w14:paraId="1FBBD98C">
            <w:pPr>
              <w:pStyle w:val="23"/>
              <w:kinsoku w:val="0"/>
              <w:overflowPunct w:val="0"/>
              <w:spacing w:line="360" w:lineRule="auto"/>
              <w:ind w:left="-63" w:leftChars="-30" w:right="-111" w:rightChars="-53" w:firstLine="63" w:firstLineChars="30"/>
              <w:jc w:val="center"/>
              <w:rPr>
                <w:rFonts w:hint="default" w:eastAsia="Times New Roman"/>
                <w:color w:val="auto"/>
                <w:highlight w:val="none"/>
              </w:rPr>
            </w:pPr>
            <w:r>
              <w:rPr>
                <w:rFonts w:eastAsia="Times New Roman"/>
                <w:color w:val="auto"/>
                <w:highlight w:val="none"/>
              </w:rPr>
              <w:t>2.2.4</w:t>
            </w:r>
          </w:p>
          <w:p w14:paraId="62BD4D93">
            <w:pPr>
              <w:pStyle w:val="23"/>
              <w:kinsoku w:val="0"/>
              <w:overflowPunct w:val="0"/>
              <w:spacing w:before="6" w:line="360" w:lineRule="auto"/>
              <w:ind w:left="-63" w:leftChars="-30" w:right="-111" w:rightChars="-53" w:firstLine="33" w:firstLineChars="30"/>
              <w:jc w:val="center"/>
              <w:rPr>
                <w:rFonts w:hint="default"/>
                <w:color w:val="auto"/>
                <w:sz w:val="11"/>
                <w:highlight w:val="none"/>
              </w:rPr>
            </w:pPr>
          </w:p>
          <w:p w14:paraId="3E7BC22C">
            <w:pPr>
              <w:pStyle w:val="23"/>
              <w:kinsoku w:val="0"/>
              <w:overflowPunct w:val="0"/>
              <w:spacing w:line="360" w:lineRule="auto"/>
              <w:ind w:left="-63" w:leftChars="-30" w:right="-111" w:rightChars="-53" w:firstLine="62" w:firstLineChars="30"/>
              <w:jc w:val="center"/>
              <w:rPr>
                <w:rFonts w:hint="default"/>
                <w:color w:val="auto"/>
                <w:highlight w:val="none"/>
              </w:rPr>
            </w:pPr>
            <w:r>
              <w:rPr>
                <w:rFonts w:ascii="宋体" w:hAnsi="宋体"/>
                <w:color w:val="auto"/>
                <w:spacing w:val="-1"/>
                <w:highlight w:val="none"/>
              </w:rPr>
              <w:t>（</w:t>
            </w:r>
            <w:r>
              <w:rPr>
                <w:rFonts w:eastAsia="Times New Roman"/>
                <w:color w:val="auto"/>
                <w:highlight w:val="none"/>
              </w:rPr>
              <w:t>1</w:t>
            </w:r>
            <w:r>
              <w:rPr>
                <w:rFonts w:ascii="宋体" w:hAnsi="宋体"/>
                <w:color w:val="auto"/>
                <w:highlight w:val="none"/>
              </w:rPr>
              <w:t>）</w:t>
            </w:r>
          </w:p>
        </w:tc>
        <w:tc>
          <w:tcPr>
            <w:tcW w:w="1287" w:type="dxa"/>
            <w:gridSpan w:val="2"/>
            <w:vMerge w:val="restart"/>
            <w:vAlign w:val="center"/>
          </w:tcPr>
          <w:p w14:paraId="1A05D64E">
            <w:pPr>
              <w:spacing w:line="360" w:lineRule="auto"/>
              <w:ind w:left="315" w:hanging="315" w:hangingChars="150"/>
              <w:jc w:val="center"/>
              <w:rPr>
                <w:rFonts w:ascii="宋体" w:hAnsi="宋体"/>
                <w:color w:val="auto"/>
                <w:highlight w:val="none"/>
              </w:rPr>
            </w:pPr>
            <w:r>
              <w:rPr>
                <w:rFonts w:hint="eastAsia" w:ascii="宋体" w:hAnsi="宋体"/>
                <w:color w:val="auto"/>
                <w:highlight w:val="none"/>
              </w:rPr>
              <w:t>资信</w:t>
            </w:r>
            <w:r>
              <w:rPr>
                <w:rFonts w:hint="eastAsia" w:ascii="宋体" w:hAnsi="宋体"/>
                <w:color w:val="auto"/>
                <w:spacing w:val="-3"/>
                <w:highlight w:val="none"/>
              </w:rPr>
              <w:t>业</w:t>
            </w:r>
            <w:r>
              <w:rPr>
                <w:rFonts w:hint="eastAsia" w:ascii="宋体" w:hAnsi="宋体"/>
                <w:color w:val="auto"/>
                <w:highlight w:val="none"/>
              </w:rPr>
              <w:t>绩</w:t>
            </w:r>
          </w:p>
          <w:p w14:paraId="61A70837">
            <w:pPr>
              <w:spacing w:line="360" w:lineRule="auto"/>
              <w:ind w:left="315" w:hanging="315" w:hangingChars="150"/>
              <w:jc w:val="center"/>
              <w:rPr>
                <w:rFonts w:ascii="宋体" w:hAnsi="宋体"/>
                <w:color w:val="auto"/>
                <w:highlight w:val="none"/>
              </w:rPr>
            </w:pPr>
            <w:r>
              <w:rPr>
                <w:rFonts w:hint="eastAsia" w:ascii="宋体" w:hAnsi="宋体"/>
                <w:color w:val="auto"/>
                <w:highlight w:val="none"/>
              </w:rPr>
              <w:t>评分</w:t>
            </w:r>
            <w:r>
              <w:rPr>
                <w:rFonts w:hint="eastAsia" w:ascii="宋体" w:hAnsi="宋体"/>
                <w:color w:val="auto"/>
                <w:spacing w:val="-3"/>
                <w:highlight w:val="none"/>
              </w:rPr>
              <w:t>标</w:t>
            </w:r>
            <w:r>
              <w:rPr>
                <w:rFonts w:hint="eastAsia" w:ascii="宋体" w:hAnsi="宋体"/>
                <w:color w:val="auto"/>
                <w:highlight w:val="none"/>
              </w:rPr>
              <w:t>准</w:t>
            </w:r>
          </w:p>
          <w:p w14:paraId="4C2698F8">
            <w:pPr>
              <w:pStyle w:val="23"/>
              <w:kinsoku w:val="0"/>
              <w:overflowPunct w:val="0"/>
              <w:spacing w:line="360" w:lineRule="auto"/>
              <w:ind w:left="-115" w:leftChars="-55" w:right="-122" w:rightChars="-58"/>
              <w:jc w:val="center"/>
              <w:rPr>
                <w:rFonts w:hint="default"/>
                <w:color w:val="auto"/>
                <w:highlight w:val="none"/>
              </w:rPr>
            </w:pPr>
            <w:r>
              <w:rPr>
                <w:rFonts w:ascii="宋体" w:hAnsi="宋体"/>
                <w:color w:val="auto"/>
                <w:highlight w:val="none"/>
              </w:rPr>
              <w:t>（</w:t>
            </w:r>
            <w:r>
              <w:rPr>
                <w:rFonts w:hint="eastAsia" w:ascii="宋体" w:hAnsi="宋体"/>
                <w:color w:val="auto"/>
                <w:highlight w:val="none"/>
                <w:lang w:val="en-US" w:eastAsia="zh-CN"/>
              </w:rPr>
              <w:t>45</w:t>
            </w:r>
            <w:r>
              <w:rPr>
                <w:rFonts w:ascii="宋体" w:hAnsi="宋体"/>
                <w:color w:val="auto"/>
                <w:highlight w:val="none"/>
              </w:rPr>
              <w:t>分）</w:t>
            </w:r>
          </w:p>
        </w:tc>
        <w:tc>
          <w:tcPr>
            <w:tcW w:w="2132" w:type="dxa"/>
            <w:shd w:val="clear" w:color="auto" w:fill="FFFFFF" w:themeFill="background1"/>
            <w:vAlign w:val="center"/>
          </w:tcPr>
          <w:p w14:paraId="6C2FC91C">
            <w:pPr>
              <w:topLinePunct/>
              <w:spacing w:line="360" w:lineRule="auto"/>
              <w:jc w:val="center"/>
              <w:rPr>
                <w:rFonts w:ascii="宋体" w:hAnsi="宋体" w:cs="宋体"/>
                <w:color w:val="auto"/>
                <w:szCs w:val="21"/>
                <w:highlight w:val="none"/>
              </w:rPr>
            </w:pPr>
            <w:r>
              <w:rPr>
                <w:rFonts w:hint="eastAsia" w:ascii="Calibri" w:hAnsi="Calibri"/>
                <w:color w:val="auto"/>
                <w:highlight w:val="none"/>
              </w:rPr>
              <w:t>同类项目经验（</w:t>
            </w:r>
            <w:r>
              <w:rPr>
                <w:rFonts w:hint="eastAsia"/>
                <w:color w:val="auto"/>
                <w:highlight w:val="none"/>
                <w:lang w:val="en-US" w:eastAsia="zh-CN"/>
              </w:rPr>
              <w:t>20</w:t>
            </w:r>
            <w:r>
              <w:rPr>
                <w:rFonts w:hint="eastAsia" w:ascii="Calibri" w:hAnsi="Calibri"/>
                <w:color w:val="auto"/>
                <w:highlight w:val="none"/>
              </w:rPr>
              <w:t>分）</w:t>
            </w:r>
          </w:p>
        </w:tc>
        <w:tc>
          <w:tcPr>
            <w:tcW w:w="5252" w:type="dxa"/>
            <w:shd w:val="clear" w:color="auto" w:fill="FFFFFF" w:themeFill="background1"/>
            <w:vAlign w:val="center"/>
          </w:tcPr>
          <w:p w14:paraId="466D8081">
            <w:pPr>
              <w:numPr>
                <w:ilvl w:val="0"/>
                <w:numId w:val="0"/>
              </w:numPr>
              <w:snapToGrid w:val="0"/>
              <w:spacing w:line="360" w:lineRule="auto"/>
              <w:rPr>
                <w:rFonts w:hint="eastAsia"/>
                <w:color w:val="auto"/>
                <w:highlight w:val="none"/>
              </w:rPr>
            </w:pPr>
            <w:r>
              <w:rPr>
                <w:rFonts w:hint="eastAsia"/>
                <w:color w:val="auto"/>
                <w:highlight w:val="none"/>
                <w:lang w:val="en-US" w:eastAsia="zh-CN"/>
              </w:rPr>
              <w:t>1.</w:t>
            </w:r>
            <w:r>
              <w:rPr>
                <w:rFonts w:hint="eastAsia"/>
                <w:color w:val="auto"/>
                <w:highlight w:val="none"/>
              </w:rPr>
              <w:t>20</w:t>
            </w:r>
            <w:r>
              <w:rPr>
                <w:rFonts w:hint="eastAsia"/>
                <w:color w:val="auto"/>
                <w:highlight w:val="none"/>
                <w:lang w:val="en-US" w:eastAsia="zh-CN"/>
              </w:rPr>
              <w:t>22</w:t>
            </w:r>
            <w:r>
              <w:rPr>
                <w:rFonts w:hint="eastAsia"/>
                <w:color w:val="auto"/>
                <w:highlight w:val="none"/>
              </w:rPr>
              <w:t>年1月1日至今</w:t>
            </w:r>
            <w:r>
              <w:rPr>
                <w:rFonts w:hint="eastAsia"/>
                <w:color w:val="auto"/>
                <w:highlight w:val="none"/>
                <w:lang w:val="en-US" w:eastAsia="zh-CN"/>
              </w:rPr>
              <w:t>承接</w:t>
            </w:r>
            <w:r>
              <w:rPr>
                <w:rFonts w:hint="eastAsia"/>
                <w:color w:val="auto"/>
                <w:highlight w:val="none"/>
              </w:rPr>
              <w:t>过类似项目的，每</w:t>
            </w:r>
            <w:r>
              <w:rPr>
                <w:rFonts w:hint="eastAsia"/>
                <w:color w:val="auto"/>
                <w:highlight w:val="none"/>
                <w:lang w:val="en-US" w:eastAsia="zh-CN"/>
              </w:rPr>
              <w:t>个项目</w:t>
            </w:r>
            <w:r>
              <w:rPr>
                <w:rFonts w:hint="eastAsia"/>
                <w:color w:val="auto"/>
                <w:highlight w:val="none"/>
              </w:rPr>
              <w:t>得</w:t>
            </w:r>
            <w:r>
              <w:rPr>
                <w:rFonts w:hint="eastAsia"/>
                <w:color w:val="auto"/>
                <w:highlight w:val="none"/>
                <w:lang w:val="en-US" w:eastAsia="zh-CN"/>
              </w:rPr>
              <w:t>2</w:t>
            </w:r>
            <w:r>
              <w:rPr>
                <w:rFonts w:hint="eastAsia"/>
                <w:color w:val="auto"/>
                <w:highlight w:val="none"/>
              </w:rPr>
              <w:t>分，本项最高得</w:t>
            </w:r>
            <w:r>
              <w:rPr>
                <w:rFonts w:hint="eastAsia"/>
                <w:color w:val="auto"/>
                <w:highlight w:val="none"/>
                <w:lang w:val="en-US" w:eastAsia="zh-CN"/>
              </w:rPr>
              <w:t>20</w:t>
            </w:r>
            <w:r>
              <w:rPr>
                <w:rFonts w:hint="eastAsia"/>
                <w:color w:val="auto"/>
                <w:highlight w:val="none"/>
              </w:rPr>
              <w:t>分。</w:t>
            </w:r>
          </w:p>
          <w:p w14:paraId="13913409">
            <w:pPr>
              <w:numPr>
                <w:ilvl w:val="0"/>
                <w:numId w:val="0"/>
              </w:numPr>
              <w:snapToGrid w:val="0"/>
              <w:spacing w:line="360" w:lineRule="auto"/>
              <w:rPr>
                <w:rFonts w:hint="eastAsia"/>
                <w:color w:val="auto"/>
                <w:highlight w:val="none"/>
              </w:rPr>
            </w:pPr>
            <w:r>
              <w:rPr>
                <w:rFonts w:hint="eastAsia"/>
                <w:color w:val="auto"/>
                <w:highlight w:val="none"/>
              </w:rPr>
              <w:t>注：（1）类似项目是指土壤修复效果评估或土壤污染修复验收评估或土壤</w:t>
            </w:r>
            <w:r>
              <w:rPr>
                <w:rFonts w:hint="eastAsia"/>
                <w:color w:val="auto"/>
                <w:highlight w:val="none"/>
                <w:lang w:val="en-US" w:eastAsia="zh-CN"/>
              </w:rPr>
              <w:t>污染状况调查或土壤污染风险评估或土壤污染状况调查</w:t>
            </w:r>
            <w:r>
              <w:rPr>
                <w:rFonts w:hint="eastAsia"/>
                <w:color w:val="auto"/>
                <w:highlight w:val="none"/>
              </w:rPr>
              <w:t>项目。</w:t>
            </w:r>
          </w:p>
          <w:p w14:paraId="01944B3D">
            <w:pPr>
              <w:numPr>
                <w:ilvl w:val="0"/>
                <w:numId w:val="0"/>
              </w:numPr>
              <w:snapToGrid w:val="0"/>
              <w:spacing w:line="360" w:lineRule="auto"/>
              <w:rPr>
                <w:color w:val="auto"/>
                <w:highlight w:val="none"/>
              </w:rPr>
            </w:pPr>
            <w:r>
              <w:rPr>
                <w:rFonts w:hint="eastAsia"/>
                <w:color w:val="auto"/>
                <w:highlight w:val="none"/>
              </w:rPr>
              <w:t>（2）</w:t>
            </w:r>
            <w:r>
              <w:rPr>
                <w:rFonts w:hint="eastAsia" w:eastAsia="宋体" w:cs="Times New Roman"/>
                <w:color w:val="auto"/>
                <w:highlight w:val="none"/>
                <w:lang w:eastAsia="zh-CN"/>
              </w:rPr>
              <w:t>需</w:t>
            </w:r>
            <w:r>
              <w:rPr>
                <w:rFonts w:hint="eastAsia" w:eastAsia="宋体" w:cs="Times New Roman"/>
                <w:color w:val="auto"/>
                <w:highlight w:val="none"/>
                <w:lang w:val="en-US" w:eastAsia="zh-CN"/>
              </w:rPr>
              <w:t>提供</w:t>
            </w:r>
            <w:r>
              <w:rPr>
                <w:rFonts w:hint="eastAsia" w:eastAsia="宋体" w:cs="Times New Roman"/>
                <w:color w:val="auto"/>
                <w:highlight w:val="none"/>
                <w:lang w:eastAsia="zh-CN"/>
              </w:rPr>
              <w:t>合同关键页（含合同项目名称、合同服务内容、与含签订合同双方的落款盖章、签订日期）</w:t>
            </w:r>
            <w:r>
              <w:rPr>
                <w:rFonts w:hint="eastAsia" w:cs="Times New Roman"/>
                <w:color w:val="auto"/>
                <w:highlight w:val="none"/>
                <w:lang w:val="en-US" w:eastAsia="zh-CN"/>
              </w:rPr>
              <w:t>扫描件</w:t>
            </w:r>
            <w:r>
              <w:rPr>
                <w:rFonts w:hint="eastAsia" w:cs="Times New Roman"/>
                <w:color w:val="auto"/>
                <w:highlight w:val="none"/>
                <w:lang w:eastAsia="zh-CN"/>
              </w:rPr>
              <w:t>，</w:t>
            </w:r>
            <w:r>
              <w:rPr>
                <w:rFonts w:hint="eastAsia" w:cs="Times New Roman"/>
                <w:color w:val="auto"/>
                <w:highlight w:val="none"/>
                <w:lang w:val="en-US" w:eastAsia="zh-CN"/>
              </w:rPr>
              <w:t>时间以合同签订日期为准</w:t>
            </w:r>
            <w:r>
              <w:rPr>
                <w:rFonts w:hint="eastAsia" w:eastAsia="宋体" w:cs="Times New Roman"/>
                <w:color w:val="auto"/>
                <w:highlight w:val="none"/>
                <w:lang w:eastAsia="zh-CN"/>
              </w:rPr>
              <w:t>。</w:t>
            </w:r>
          </w:p>
        </w:tc>
      </w:tr>
      <w:tr w14:paraId="233C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91" w:type="dxa"/>
            <w:vMerge w:val="continue"/>
          </w:tcPr>
          <w:p w14:paraId="38862613">
            <w:pPr>
              <w:pStyle w:val="23"/>
              <w:kinsoku w:val="0"/>
              <w:overflowPunct w:val="0"/>
              <w:spacing w:line="360" w:lineRule="auto"/>
              <w:ind w:left="-63" w:leftChars="-30" w:right="-111" w:rightChars="-53" w:firstLine="63" w:firstLineChars="30"/>
              <w:jc w:val="center"/>
              <w:rPr>
                <w:rFonts w:hint="default"/>
                <w:color w:val="auto"/>
                <w:highlight w:val="none"/>
              </w:rPr>
            </w:pPr>
          </w:p>
        </w:tc>
        <w:tc>
          <w:tcPr>
            <w:tcW w:w="1287" w:type="dxa"/>
            <w:gridSpan w:val="2"/>
            <w:vMerge w:val="continue"/>
          </w:tcPr>
          <w:p w14:paraId="7F095E70">
            <w:pPr>
              <w:pStyle w:val="23"/>
              <w:kinsoku w:val="0"/>
              <w:overflowPunct w:val="0"/>
              <w:spacing w:line="360" w:lineRule="auto"/>
              <w:ind w:left="-115" w:leftChars="-55" w:right="-122" w:rightChars="-58"/>
              <w:jc w:val="center"/>
              <w:rPr>
                <w:rFonts w:hint="default"/>
                <w:color w:val="auto"/>
                <w:highlight w:val="none"/>
              </w:rPr>
            </w:pPr>
          </w:p>
        </w:tc>
        <w:tc>
          <w:tcPr>
            <w:tcW w:w="2132" w:type="dxa"/>
            <w:vMerge w:val="restart"/>
            <w:vAlign w:val="center"/>
          </w:tcPr>
          <w:p w14:paraId="1D4423AE">
            <w:pPr>
              <w:topLinePunct/>
              <w:spacing w:line="360" w:lineRule="auto"/>
              <w:jc w:val="center"/>
              <w:rPr>
                <w:rFonts w:ascii="宋体" w:hAnsi="宋体"/>
                <w:color w:val="auto"/>
                <w:highlight w:val="none"/>
              </w:rPr>
            </w:pPr>
            <w:r>
              <w:rPr>
                <w:rFonts w:hint="eastAsia" w:ascii="Calibri" w:hAnsi="Calibri"/>
                <w:color w:val="auto"/>
                <w:highlight w:val="none"/>
              </w:rPr>
              <w:t>拟投入人员情况（</w:t>
            </w:r>
            <w:r>
              <w:rPr>
                <w:rFonts w:hint="eastAsia"/>
                <w:color w:val="auto"/>
                <w:highlight w:val="none"/>
                <w:lang w:val="en-US" w:eastAsia="zh-CN"/>
              </w:rPr>
              <w:t>18</w:t>
            </w:r>
            <w:r>
              <w:rPr>
                <w:rFonts w:hint="eastAsia" w:ascii="Calibri" w:hAnsi="Calibri"/>
                <w:color w:val="auto"/>
                <w:highlight w:val="none"/>
              </w:rPr>
              <w:t>分）</w:t>
            </w:r>
          </w:p>
        </w:tc>
        <w:tc>
          <w:tcPr>
            <w:tcW w:w="5252" w:type="dxa"/>
            <w:vAlign w:val="center"/>
          </w:tcPr>
          <w:p w14:paraId="7A27A492">
            <w:pPr>
              <w:snapToGrid w:val="0"/>
              <w:spacing w:line="360" w:lineRule="auto"/>
              <w:jc w:val="left"/>
              <w:rPr>
                <w:rFonts w:hint="eastAsia"/>
                <w:color w:val="auto"/>
                <w:highlight w:val="none"/>
              </w:rPr>
            </w:pPr>
            <w:r>
              <w:rPr>
                <w:rFonts w:hint="eastAsia"/>
                <w:color w:val="auto"/>
                <w:highlight w:val="none"/>
              </w:rPr>
              <w:t>1.项目负责人（</w:t>
            </w:r>
            <w:r>
              <w:rPr>
                <w:rFonts w:hint="eastAsia"/>
                <w:color w:val="auto"/>
                <w:highlight w:val="none"/>
                <w:lang w:val="en-US" w:eastAsia="zh-CN"/>
              </w:rPr>
              <w:t>8</w:t>
            </w:r>
            <w:r>
              <w:rPr>
                <w:rFonts w:hint="eastAsia"/>
                <w:color w:val="auto"/>
                <w:highlight w:val="none"/>
              </w:rPr>
              <w:t>分）：</w:t>
            </w:r>
          </w:p>
          <w:p w14:paraId="0F993293">
            <w:pPr>
              <w:snapToGrid w:val="0"/>
              <w:spacing w:line="360" w:lineRule="auto"/>
              <w:jc w:val="left"/>
              <w:rPr>
                <w:rFonts w:hint="eastAsia"/>
                <w:color w:val="auto"/>
                <w:highlight w:val="none"/>
              </w:rPr>
            </w:pPr>
            <w:r>
              <w:rPr>
                <w:rFonts w:hint="eastAsia"/>
                <w:color w:val="auto"/>
                <w:highlight w:val="none"/>
              </w:rPr>
              <w:t>①具备环境或环保类</w:t>
            </w:r>
            <w:r>
              <w:rPr>
                <w:rFonts w:hint="eastAsia"/>
                <w:color w:val="auto"/>
                <w:highlight w:val="none"/>
                <w:lang w:val="en-US" w:eastAsia="zh-CN"/>
              </w:rPr>
              <w:t>正</w:t>
            </w:r>
            <w:r>
              <w:rPr>
                <w:rFonts w:hint="eastAsia"/>
                <w:color w:val="auto"/>
                <w:highlight w:val="none"/>
              </w:rPr>
              <w:t>高级工程师职称的，得</w:t>
            </w:r>
            <w:r>
              <w:rPr>
                <w:rFonts w:hint="eastAsia"/>
                <w:color w:val="auto"/>
                <w:highlight w:val="none"/>
                <w:lang w:val="en-US" w:eastAsia="zh-CN"/>
              </w:rPr>
              <w:t>4</w:t>
            </w:r>
            <w:r>
              <w:rPr>
                <w:rFonts w:hint="eastAsia"/>
                <w:color w:val="auto"/>
                <w:highlight w:val="none"/>
              </w:rPr>
              <w:t>分</w:t>
            </w:r>
            <w:r>
              <w:rPr>
                <w:rFonts w:hint="eastAsia"/>
                <w:color w:val="auto"/>
                <w:highlight w:val="none"/>
                <w:lang w:eastAsia="zh-CN"/>
              </w:rPr>
              <w:t>；具备环境或环保类高级工程师职称的，</w:t>
            </w:r>
            <w:r>
              <w:rPr>
                <w:rFonts w:hint="eastAsia"/>
                <w:color w:val="auto"/>
                <w:highlight w:val="none"/>
              </w:rPr>
              <w:t>得</w:t>
            </w:r>
            <w:r>
              <w:rPr>
                <w:rFonts w:hint="eastAsia"/>
                <w:color w:val="auto"/>
                <w:highlight w:val="none"/>
                <w:lang w:val="en-US" w:eastAsia="zh-CN"/>
              </w:rPr>
              <w:t>2</w:t>
            </w:r>
            <w:r>
              <w:rPr>
                <w:rFonts w:hint="eastAsia"/>
                <w:color w:val="auto"/>
                <w:highlight w:val="none"/>
              </w:rPr>
              <w:t>分</w:t>
            </w:r>
            <w:r>
              <w:rPr>
                <w:rFonts w:hint="eastAsia"/>
                <w:color w:val="auto"/>
                <w:highlight w:val="none"/>
                <w:lang w:eastAsia="zh-CN"/>
              </w:rPr>
              <w:t>。</w:t>
            </w:r>
            <w:r>
              <w:rPr>
                <w:rFonts w:hint="eastAsia"/>
                <w:color w:val="auto"/>
                <w:highlight w:val="none"/>
                <w:lang w:val="en-US" w:eastAsia="zh-CN"/>
              </w:rPr>
              <w:t>本小项最高得4分。</w:t>
            </w:r>
          </w:p>
          <w:p w14:paraId="09D54A5D">
            <w:pPr>
              <w:snapToGrid w:val="0"/>
              <w:spacing w:line="360" w:lineRule="auto"/>
              <w:jc w:val="left"/>
              <w:rPr>
                <w:rFonts w:hint="default" w:eastAsia="宋体" w:cs="Times New Roman"/>
                <w:color w:val="auto"/>
                <w:highlight w:val="none"/>
              </w:rPr>
            </w:pPr>
            <w:r>
              <w:rPr>
                <w:rFonts w:hint="eastAsia"/>
                <w:color w:val="auto"/>
                <w:highlight w:val="none"/>
              </w:rPr>
              <w:t>②</w:t>
            </w:r>
            <w:r>
              <w:rPr>
                <w:rFonts w:hint="default"/>
                <w:color w:val="auto"/>
                <w:highlight w:val="none"/>
              </w:rPr>
              <w:t>获得</w:t>
            </w:r>
            <w:r>
              <w:rPr>
                <w:rFonts w:hint="eastAsia"/>
                <w:color w:val="auto"/>
                <w:highlight w:val="none"/>
                <w:lang w:val="en-US" w:eastAsia="zh-CN"/>
              </w:rPr>
              <w:t>过人民政府或行政主管部门</w:t>
            </w:r>
            <w:r>
              <w:rPr>
                <w:rFonts w:hint="default"/>
                <w:color w:val="auto"/>
                <w:highlight w:val="none"/>
              </w:rPr>
              <w:t>颁发</w:t>
            </w:r>
            <w:r>
              <w:rPr>
                <w:rFonts w:hint="eastAsia"/>
                <w:color w:val="auto"/>
                <w:highlight w:val="none"/>
                <w:lang w:val="en-US" w:eastAsia="zh-CN"/>
              </w:rPr>
              <w:t>的</w:t>
            </w:r>
            <w:r>
              <w:rPr>
                <w:rFonts w:hint="default"/>
                <w:color w:val="auto"/>
                <w:highlight w:val="none"/>
              </w:rPr>
              <w:t>环保类奖项，</w:t>
            </w:r>
            <w:r>
              <w:rPr>
                <w:rFonts w:hint="eastAsia"/>
                <w:color w:val="auto"/>
                <w:highlight w:val="none"/>
                <w:lang w:val="en-US" w:eastAsia="zh-CN"/>
              </w:rPr>
              <w:t>国家级每个</w:t>
            </w:r>
            <w:r>
              <w:rPr>
                <w:rFonts w:hint="default"/>
                <w:color w:val="auto"/>
                <w:highlight w:val="none"/>
              </w:rPr>
              <w:t>得</w:t>
            </w:r>
            <w:r>
              <w:rPr>
                <w:rFonts w:hint="default"/>
                <w:color w:val="auto"/>
                <w:highlight w:val="none"/>
                <w:lang w:val="en-US" w:eastAsia="zh-CN"/>
              </w:rPr>
              <w:t>2</w:t>
            </w:r>
            <w:r>
              <w:rPr>
                <w:rFonts w:hint="default"/>
                <w:color w:val="auto"/>
                <w:highlight w:val="none"/>
              </w:rPr>
              <w:t>分</w:t>
            </w:r>
            <w:r>
              <w:rPr>
                <w:rFonts w:hint="eastAsia"/>
                <w:color w:val="auto"/>
                <w:highlight w:val="none"/>
                <w:lang w:eastAsia="zh-CN"/>
              </w:rPr>
              <w:t>，</w:t>
            </w:r>
            <w:r>
              <w:rPr>
                <w:rFonts w:hint="eastAsia"/>
                <w:color w:val="auto"/>
                <w:highlight w:val="none"/>
                <w:lang w:val="en-US" w:eastAsia="zh-CN"/>
              </w:rPr>
              <w:t>省级每个得1分</w:t>
            </w:r>
            <w:r>
              <w:rPr>
                <w:rFonts w:hint="eastAsia"/>
                <w:color w:val="auto"/>
                <w:highlight w:val="none"/>
                <w:lang w:eastAsia="zh-CN"/>
              </w:rPr>
              <w:t>。</w:t>
            </w:r>
            <w:r>
              <w:rPr>
                <w:rFonts w:hint="default"/>
                <w:color w:val="auto"/>
                <w:highlight w:val="none"/>
              </w:rPr>
              <w:t>本</w:t>
            </w:r>
            <w:r>
              <w:rPr>
                <w:rFonts w:hint="eastAsia"/>
                <w:color w:val="auto"/>
                <w:highlight w:val="none"/>
                <w:lang w:val="en-US" w:eastAsia="zh-CN"/>
              </w:rPr>
              <w:t>小项</w:t>
            </w:r>
            <w:r>
              <w:rPr>
                <w:rFonts w:hint="default"/>
                <w:color w:val="auto"/>
                <w:highlight w:val="none"/>
              </w:rPr>
              <w:t>最高得</w:t>
            </w:r>
            <w:r>
              <w:rPr>
                <w:rFonts w:hint="eastAsia"/>
                <w:color w:val="auto"/>
                <w:highlight w:val="none"/>
                <w:lang w:val="en-US" w:eastAsia="zh-CN"/>
              </w:rPr>
              <w:t>4</w:t>
            </w:r>
            <w:r>
              <w:rPr>
                <w:rFonts w:hint="default"/>
                <w:color w:val="auto"/>
                <w:highlight w:val="none"/>
              </w:rPr>
              <w:t>分</w:t>
            </w:r>
            <w:r>
              <w:rPr>
                <w:rFonts w:hint="default" w:eastAsia="宋体" w:cs="Times New Roman"/>
                <w:color w:val="auto"/>
                <w:highlight w:val="none"/>
                <w:lang w:val="en-US" w:eastAsia="zh-CN"/>
              </w:rPr>
              <w:t>。</w:t>
            </w:r>
          </w:p>
          <w:p w14:paraId="327C9DCB">
            <w:pPr>
              <w:snapToGrid w:val="0"/>
              <w:spacing w:line="360" w:lineRule="auto"/>
              <w:jc w:val="left"/>
              <w:rPr>
                <w:rFonts w:hint="eastAsia" w:eastAsia="宋体" w:cs="Times New Roman"/>
                <w:color w:val="auto"/>
                <w:highlight w:val="none"/>
              </w:rPr>
            </w:pPr>
            <w:r>
              <w:rPr>
                <w:rFonts w:hint="eastAsia"/>
                <w:color w:val="auto"/>
                <w:highlight w:val="none"/>
                <w:lang w:val="en-US" w:eastAsia="zh-CN"/>
              </w:rPr>
              <w:t>注：提供项目负责人职称证、获奖证书及投标截止日前三个月内任意1个月的社保缴纳证明材料扫描件</w:t>
            </w:r>
            <w:r>
              <w:rPr>
                <w:rFonts w:hint="eastAsia" w:cs="Times New Roman"/>
                <w:bCs w:val="0"/>
                <w:color w:val="auto"/>
                <w:szCs w:val="22"/>
                <w:highlight w:val="none"/>
                <w:lang w:val="en-US" w:eastAsia="zh-CN"/>
              </w:rPr>
              <w:t>。</w:t>
            </w:r>
            <w:r>
              <w:rPr>
                <w:rFonts w:hint="eastAsia"/>
                <w:color w:val="auto"/>
                <w:highlight w:val="none"/>
                <w:lang w:val="en-US" w:eastAsia="zh-CN"/>
              </w:rPr>
              <w:t>同一项目获得多个奖项的，该项目获奖只按其中一个奖项所在最高级别计算一次分数，不得重复计算。</w:t>
            </w:r>
          </w:p>
        </w:tc>
      </w:tr>
      <w:tr w14:paraId="0462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91" w:type="dxa"/>
            <w:vMerge w:val="continue"/>
          </w:tcPr>
          <w:p w14:paraId="6CAFA458">
            <w:pPr>
              <w:snapToGrid w:val="0"/>
              <w:spacing w:line="360" w:lineRule="auto"/>
              <w:jc w:val="left"/>
              <w:rPr>
                <w:color w:val="auto"/>
                <w:highlight w:val="none"/>
              </w:rPr>
            </w:pPr>
          </w:p>
        </w:tc>
        <w:tc>
          <w:tcPr>
            <w:tcW w:w="1287" w:type="dxa"/>
            <w:gridSpan w:val="2"/>
            <w:vMerge w:val="continue"/>
          </w:tcPr>
          <w:p w14:paraId="09E293B0">
            <w:pPr>
              <w:snapToGrid w:val="0"/>
              <w:spacing w:line="360" w:lineRule="auto"/>
              <w:jc w:val="left"/>
              <w:rPr>
                <w:color w:val="auto"/>
                <w:highlight w:val="none"/>
              </w:rPr>
            </w:pPr>
          </w:p>
        </w:tc>
        <w:tc>
          <w:tcPr>
            <w:tcW w:w="2132" w:type="dxa"/>
            <w:vMerge w:val="continue"/>
            <w:vAlign w:val="center"/>
          </w:tcPr>
          <w:p w14:paraId="13E798B2">
            <w:pPr>
              <w:snapToGrid w:val="0"/>
              <w:spacing w:line="360" w:lineRule="auto"/>
              <w:jc w:val="left"/>
              <w:rPr>
                <w:color w:val="auto"/>
                <w:highlight w:val="none"/>
              </w:rPr>
            </w:pPr>
          </w:p>
        </w:tc>
        <w:tc>
          <w:tcPr>
            <w:tcW w:w="5252" w:type="dxa"/>
            <w:vAlign w:val="center"/>
          </w:tcPr>
          <w:p w14:paraId="51E0D3DE">
            <w:pPr>
              <w:snapToGrid w:val="0"/>
              <w:spacing w:line="360" w:lineRule="auto"/>
              <w:jc w:val="left"/>
              <w:rPr>
                <w:rFonts w:hint="eastAsia"/>
                <w:color w:val="auto"/>
                <w:highlight w:val="none"/>
              </w:rPr>
            </w:pPr>
            <w:r>
              <w:rPr>
                <w:rFonts w:hint="eastAsia"/>
                <w:color w:val="auto"/>
                <w:highlight w:val="none"/>
              </w:rPr>
              <w:t>2.技术负责人（</w:t>
            </w:r>
            <w:r>
              <w:rPr>
                <w:rFonts w:hint="eastAsia"/>
                <w:color w:val="auto"/>
                <w:highlight w:val="none"/>
                <w:lang w:val="en-US" w:eastAsia="zh-CN"/>
              </w:rPr>
              <w:t>4</w:t>
            </w:r>
            <w:r>
              <w:rPr>
                <w:rFonts w:hint="eastAsia"/>
                <w:color w:val="auto"/>
                <w:highlight w:val="none"/>
              </w:rPr>
              <w:t>分）：</w:t>
            </w:r>
          </w:p>
          <w:p w14:paraId="123349DF">
            <w:pPr>
              <w:snapToGrid w:val="0"/>
              <w:spacing w:line="360" w:lineRule="auto"/>
              <w:jc w:val="left"/>
              <w:rPr>
                <w:rFonts w:hint="eastAsia"/>
                <w:color w:val="auto"/>
                <w:highlight w:val="none"/>
              </w:rPr>
            </w:pPr>
            <w:r>
              <w:rPr>
                <w:rFonts w:hint="eastAsia"/>
                <w:color w:val="auto"/>
                <w:highlight w:val="none"/>
              </w:rPr>
              <w:t>①具备环境或环保类</w:t>
            </w:r>
            <w:r>
              <w:rPr>
                <w:rFonts w:hint="eastAsia"/>
                <w:color w:val="auto"/>
                <w:highlight w:val="none"/>
                <w:lang w:val="en-US" w:eastAsia="zh-CN"/>
              </w:rPr>
              <w:t>正</w:t>
            </w:r>
            <w:r>
              <w:rPr>
                <w:rFonts w:hint="eastAsia"/>
                <w:color w:val="auto"/>
                <w:highlight w:val="none"/>
              </w:rPr>
              <w:t>高级工程师职称的，得</w:t>
            </w:r>
            <w:r>
              <w:rPr>
                <w:rFonts w:hint="eastAsia"/>
                <w:color w:val="auto"/>
                <w:highlight w:val="none"/>
                <w:lang w:val="en-US" w:eastAsia="zh-CN"/>
              </w:rPr>
              <w:t>2</w:t>
            </w:r>
            <w:r>
              <w:rPr>
                <w:rFonts w:hint="eastAsia"/>
                <w:color w:val="auto"/>
                <w:highlight w:val="none"/>
              </w:rPr>
              <w:t>分</w:t>
            </w:r>
            <w:r>
              <w:rPr>
                <w:rFonts w:hint="eastAsia"/>
                <w:color w:val="auto"/>
                <w:highlight w:val="none"/>
                <w:lang w:eastAsia="zh-CN"/>
              </w:rPr>
              <w:t>；具备环境或环保类高级工程师职称的，</w:t>
            </w:r>
            <w:r>
              <w:rPr>
                <w:rFonts w:hint="eastAsia"/>
                <w:color w:val="auto"/>
                <w:highlight w:val="none"/>
              </w:rPr>
              <w:t>得</w:t>
            </w:r>
            <w:r>
              <w:rPr>
                <w:rFonts w:hint="eastAsia"/>
                <w:color w:val="auto"/>
                <w:highlight w:val="none"/>
                <w:lang w:val="en-US" w:eastAsia="zh-CN"/>
              </w:rPr>
              <w:t>1</w:t>
            </w:r>
            <w:r>
              <w:rPr>
                <w:rFonts w:hint="eastAsia"/>
                <w:color w:val="auto"/>
                <w:highlight w:val="none"/>
              </w:rPr>
              <w:t>分</w:t>
            </w:r>
            <w:r>
              <w:rPr>
                <w:rFonts w:hint="eastAsia"/>
                <w:color w:val="auto"/>
                <w:highlight w:val="none"/>
                <w:lang w:eastAsia="zh-CN"/>
              </w:rPr>
              <w:t>。</w:t>
            </w:r>
            <w:r>
              <w:rPr>
                <w:rFonts w:hint="eastAsia"/>
                <w:color w:val="auto"/>
                <w:highlight w:val="none"/>
                <w:lang w:val="en-US" w:eastAsia="zh-CN"/>
              </w:rPr>
              <w:t>本小项最高得2分。</w:t>
            </w:r>
          </w:p>
          <w:p w14:paraId="0BECF5F7">
            <w:pPr>
              <w:snapToGrid w:val="0"/>
              <w:spacing w:line="360" w:lineRule="auto"/>
              <w:jc w:val="left"/>
              <w:rPr>
                <w:rFonts w:hint="default"/>
                <w:color w:val="auto"/>
                <w:highlight w:val="none"/>
                <w:lang w:val="en-US" w:eastAsia="zh-CN"/>
              </w:rPr>
            </w:pPr>
            <w:r>
              <w:rPr>
                <w:rFonts w:hint="eastAsia" w:ascii="宋体" w:hAnsi="宋体" w:eastAsia="宋体" w:cs="宋体"/>
                <w:color w:val="auto"/>
                <w:highlight w:val="none"/>
              </w:rPr>
              <w:t>②</w:t>
            </w:r>
            <w:r>
              <w:rPr>
                <w:rFonts w:hint="default"/>
                <w:color w:val="auto"/>
                <w:highlight w:val="none"/>
              </w:rPr>
              <w:t>获得</w:t>
            </w:r>
            <w:r>
              <w:rPr>
                <w:rFonts w:hint="eastAsia"/>
                <w:color w:val="auto"/>
                <w:highlight w:val="none"/>
                <w:lang w:val="en-US" w:eastAsia="zh-CN"/>
              </w:rPr>
              <w:t>过</w:t>
            </w:r>
            <w:r>
              <w:rPr>
                <w:rFonts w:hint="default"/>
                <w:color w:val="auto"/>
                <w:highlight w:val="none"/>
              </w:rPr>
              <w:t>省级或以上</w:t>
            </w:r>
            <w:r>
              <w:rPr>
                <w:rFonts w:hint="eastAsia"/>
                <w:color w:val="auto"/>
                <w:highlight w:val="none"/>
                <w:lang w:val="en-US" w:eastAsia="zh-CN"/>
              </w:rPr>
              <w:t>人民政府或行政主管部门</w:t>
            </w:r>
            <w:r>
              <w:rPr>
                <w:rFonts w:hint="default"/>
                <w:color w:val="auto"/>
                <w:highlight w:val="none"/>
              </w:rPr>
              <w:t>颁发</w:t>
            </w:r>
            <w:r>
              <w:rPr>
                <w:rFonts w:hint="eastAsia"/>
                <w:color w:val="auto"/>
                <w:highlight w:val="none"/>
                <w:lang w:val="en-US" w:eastAsia="zh-CN"/>
              </w:rPr>
              <w:t>的</w:t>
            </w:r>
            <w:r>
              <w:rPr>
                <w:rFonts w:hint="default"/>
                <w:color w:val="auto"/>
                <w:highlight w:val="none"/>
              </w:rPr>
              <w:t>环保类奖项，得</w:t>
            </w:r>
            <w:r>
              <w:rPr>
                <w:rFonts w:hint="default"/>
                <w:color w:val="auto"/>
                <w:highlight w:val="none"/>
                <w:lang w:val="en-US" w:eastAsia="zh-CN"/>
              </w:rPr>
              <w:t>2</w:t>
            </w:r>
            <w:r>
              <w:rPr>
                <w:rFonts w:hint="default"/>
                <w:color w:val="auto"/>
                <w:highlight w:val="none"/>
              </w:rPr>
              <w:t>分</w:t>
            </w:r>
            <w:r>
              <w:rPr>
                <w:rFonts w:hint="eastAsia"/>
                <w:color w:val="auto"/>
                <w:highlight w:val="none"/>
                <w:lang w:eastAsia="zh-CN"/>
              </w:rPr>
              <w:t>。</w:t>
            </w:r>
            <w:r>
              <w:rPr>
                <w:rFonts w:hint="default"/>
                <w:color w:val="auto"/>
                <w:highlight w:val="none"/>
              </w:rPr>
              <w:t>本</w:t>
            </w:r>
            <w:r>
              <w:rPr>
                <w:rFonts w:hint="eastAsia"/>
                <w:color w:val="auto"/>
                <w:highlight w:val="none"/>
                <w:lang w:val="en-US" w:eastAsia="zh-CN"/>
              </w:rPr>
              <w:t>小项</w:t>
            </w:r>
            <w:r>
              <w:rPr>
                <w:rFonts w:hint="default"/>
                <w:color w:val="auto"/>
                <w:highlight w:val="none"/>
              </w:rPr>
              <w:t>最高得</w:t>
            </w:r>
            <w:r>
              <w:rPr>
                <w:rFonts w:hint="default"/>
                <w:color w:val="auto"/>
                <w:highlight w:val="none"/>
                <w:lang w:eastAsia="zh-CN"/>
              </w:rPr>
              <w:t>2</w:t>
            </w:r>
            <w:r>
              <w:rPr>
                <w:rFonts w:hint="default"/>
                <w:color w:val="auto"/>
                <w:highlight w:val="none"/>
              </w:rPr>
              <w:t>分</w:t>
            </w:r>
            <w:r>
              <w:rPr>
                <w:rFonts w:hint="default"/>
                <w:color w:val="auto"/>
                <w:highlight w:val="none"/>
                <w:lang w:val="en-US" w:eastAsia="zh-CN"/>
              </w:rPr>
              <w:t>。</w:t>
            </w:r>
          </w:p>
          <w:p w14:paraId="68406F1F">
            <w:pPr>
              <w:snapToGrid w:val="0"/>
              <w:spacing w:line="360" w:lineRule="auto"/>
              <w:jc w:val="left"/>
              <w:rPr>
                <w:rFonts w:hint="eastAsia" w:eastAsia="宋体" w:cs="Times New Roman"/>
                <w:color w:val="auto"/>
                <w:highlight w:val="none"/>
              </w:rPr>
            </w:pPr>
            <w:r>
              <w:rPr>
                <w:rFonts w:hint="eastAsia"/>
                <w:color w:val="auto"/>
                <w:highlight w:val="none"/>
                <w:lang w:val="en-US" w:eastAsia="zh-CN"/>
              </w:rPr>
              <w:t>注：提供技术负责人职称证、获奖证书及投标截止日前三个月内任意1个月的社保缴纳证明材料扫描件。同一项目获得多个奖项的，该项目获奖只按其中一个奖项所在最高级别计算一次分数，不得重复计算。</w:t>
            </w:r>
          </w:p>
        </w:tc>
      </w:tr>
      <w:tr w14:paraId="4BAE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91" w:type="dxa"/>
            <w:vMerge w:val="continue"/>
          </w:tcPr>
          <w:p w14:paraId="27956840">
            <w:pPr>
              <w:snapToGrid w:val="0"/>
              <w:spacing w:line="360" w:lineRule="auto"/>
              <w:jc w:val="left"/>
              <w:rPr>
                <w:rFonts w:hint="eastAsia" w:eastAsia="宋体" w:cs="Times New Roman"/>
                <w:color w:val="auto"/>
                <w:highlight w:val="none"/>
              </w:rPr>
            </w:pPr>
          </w:p>
        </w:tc>
        <w:tc>
          <w:tcPr>
            <w:tcW w:w="1287" w:type="dxa"/>
            <w:gridSpan w:val="2"/>
            <w:vMerge w:val="continue"/>
          </w:tcPr>
          <w:p w14:paraId="414C1DC1">
            <w:pPr>
              <w:snapToGrid w:val="0"/>
              <w:spacing w:line="360" w:lineRule="auto"/>
              <w:jc w:val="left"/>
              <w:rPr>
                <w:rFonts w:hint="eastAsia" w:eastAsia="宋体" w:cs="Times New Roman"/>
                <w:color w:val="auto"/>
                <w:highlight w:val="none"/>
              </w:rPr>
            </w:pPr>
          </w:p>
        </w:tc>
        <w:tc>
          <w:tcPr>
            <w:tcW w:w="2132" w:type="dxa"/>
            <w:vMerge w:val="continue"/>
            <w:vAlign w:val="center"/>
          </w:tcPr>
          <w:p w14:paraId="02C7F9FE">
            <w:pPr>
              <w:snapToGrid w:val="0"/>
              <w:spacing w:line="360" w:lineRule="auto"/>
              <w:jc w:val="left"/>
              <w:rPr>
                <w:rFonts w:hint="eastAsia" w:eastAsia="宋体" w:cs="Times New Roman"/>
                <w:color w:val="auto"/>
                <w:highlight w:val="none"/>
              </w:rPr>
            </w:pPr>
          </w:p>
        </w:tc>
        <w:tc>
          <w:tcPr>
            <w:tcW w:w="5252" w:type="dxa"/>
            <w:vAlign w:val="center"/>
          </w:tcPr>
          <w:p w14:paraId="6695FF89">
            <w:pPr>
              <w:snapToGrid w:val="0"/>
              <w:spacing w:line="360" w:lineRule="auto"/>
              <w:jc w:val="left"/>
              <w:rPr>
                <w:rFonts w:hint="eastAsia"/>
                <w:color w:val="auto"/>
                <w:highlight w:val="none"/>
              </w:rPr>
            </w:pPr>
            <w:r>
              <w:rPr>
                <w:rFonts w:hint="eastAsia"/>
                <w:color w:val="auto"/>
                <w:highlight w:val="none"/>
              </w:rPr>
              <w:t>3.拟投入的其他</w:t>
            </w:r>
            <w:r>
              <w:rPr>
                <w:rFonts w:hint="eastAsia"/>
                <w:color w:val="auto"/>
                <w:highlight w:val="none"/>
                <w:lang w:val="en-US" w:eastAsia="zh-CN"/>
              </w:rPr>
              <w:t>专业负责人</w:t>
            </w:r>
            <w:r>
              <w:rPr>
                <w:rFonts w:hint="eastAsia"/>
                <w:color w:val="auto"/>
                <w:highlight w:val="none"/>
              </w:rPr>
              <w:t xml:space="preserve"> </w:t>
            </w:r>
            <w:r>
              <w:rPr>
                <w:rFonts w:hint="eastAsia"/>
                <w:color w:val="auto"/>
                <w:highlight w:val="none"/>
                <w:lang w:eastAsia="zh-CN"/>
              </w:rPr>
              <w:t>（</w:t>
            </w:r>
            <w:r>
              <w:rPr>
                <w:rFonts w:hint="eastAsia"/>
                <w:color w:val="auto"/>
                <w:highlight w:val="none"/>
              </w:rPr>
              <w:t>除项目负责人、技术负责人外</w:t>
            </w:r>
            <w:r>
              <w:rPr>
                <w:rFonts w:hint="eastAsia"/>
                <w:color w:val="auto"/>
                <w:highlight w:val="none"/>
                <w:lang w:eastAsia="zh-CN"/>
              </w:rPr>
              <w:t>）</w:t>
            </w:r>
            <w:r>
              <w:rPr>
                <w:rFonts w:hint="eastAsia"/>
                <w:color w:val="auto"/>
                <w:highlight w:val="none"/>
              </w:rPr>
              <w:t>（</w:t>
            </w:r>
            <w:r>
              <w:rPr>
                <w:rFonts w:hint="eastAsia"/>
                <w:color w:val="auto"/>
                <w:highlight w:val="none"/>
                <w:lang w:val="en-US" w:eastAsia="zh-CN"/>
              </w:rPr>
              <w:t>6</w:t>
            </w:r>
            <w:r>
              <w:rPr>
                <w:rFonts w:hint="eastAsia"/>
                <w:color w:val="auto"/>
                <w:highlight w:val="none"/>
              </w:rPr>
              <w:t>分）：</w:t>
            </w:r>
          </w:p>
          <w:p w14:paraId="023138EF">
            <w:pPr>
              <w:snapToGrid w:val="0"/>
              <w:spacing w:line="360" w:lineRule="auto"/>
              <w:jc w:val="left"/>
              <w:rPr>
                <w:rFonts w:hint="eastAsia"/>
                <w:color w:val="auto"/>
                <w:highlight w:val="none"/>
                <w:lang w:val="en-US" w:eastAsia="zh-CN"/>
              </w:rPr>
            </w:pPr>
            <w:r>
              <w:rPr>
                <w:rFonts w:hint="eastAsia"/>
                <w:color w:val="auto"/>
                <w:highlight w:val="none"/>
              </w:rPr>
              <w:t>①</w:t>
            </w:r>
            <w:r>
              <w:rPr>
                <w:rFonts w:hint="eastAsia"/>
                <w:color w:val="auto"/>
                <w:highlight w:val="none"/>
                <w:lang w:val="en-US" w:eastAsia="zh-CN"/>
              </w:rPr>
              <w:t>具备环境或环保类高级工程师或以上职称的，每人得0.5分；具备环境或环保类工程师职称的，得0.2分。本小项最高得3分。不提供或者没有不得分。</w:t>
            </w:r>
          </w:p>
          <w:p w14:paraId="4312ABD3">
            <w:pPr>
              <w:snapToGrid w:val="0"/>
              <w:spacing w:line="360" w:lineRule="auto"/>
              <w:jc w:val="left"/>
              <w:rPr>
                <w:rFonts w:hint="eastAsia"/>
                <w:color w:val="auto"/>
                <w:highlight w:val="none"/>
                <w:lang w:val="en-US" w:eastAsia="zh-CN"/>
              </w:rPr>
            </w:pPr>
            <w:r>
              <w:rPr>
                <w:rFonts w:hint="eastAsia" w:ascii="宋体" w:hAnsi="宋体" w:eastAsia="宋体" w:cs="宋体"/>
                <w:color w:val="auto"/>
                <w:highlight w:val="none"/>
                <w:lang w:val="en-US" w:eastAsia="zh-CN"/>
              </w:rPr>
              <w:t>②</w:t>
            </w:r>
            <w:r>
              <w:rPr>
                <w:rFonts w:hint="eastAsia"/>
                <w:color w:val="auto"/>
                <w:highlight w:val="none"/>
                <w:lang w:val="en-US" w:eastAsia="zh-CN"/>
              </w:rPr>
              <w:t>具有环境影响评价工程师证书的，每人得0.5分，本小项最高得3分。</w:t>
            </w:r>
          </w:p>
          <w:p w14:paraId="29D03E8A">
            <w:pPr>
              <w:snapToGrid w:val="0"/>
              <w:spacing w:line="360" w:lineRule="auto"/>
              <w:jc w:val="left"/>
              <w:rPr>
                <w:rFonts w:hint="default" w:eastAsia="宋体" w:cs="Times New Roman"/>
                <w:color w:val="auto"/>
                <w:highlight w:val="none"/>
                <w:lang w:val="en-US"/>
              </w:rPr>
            </w:pPr>
            <w:r>
              <w:rPr>
                <w:rFonts w:hint="eastAsia" w:cs="Times New Roman"/>
                <w:color w:val="auto"/>
                <w:highlight w:val="none"/>
                <w:lang w:val="en-US" w:eastAsia="zh-CN"/>
              </w:rPr>
              <w:t>注：</w:t>
            </w:r>
            <w:r>
              <w:rPr>
                <w:rFonts w:hint="eastAsia" w:eastAsia="宋体" w:cs="Times New Roman"/>
                <w:color w:val="auto"/>
                <w:highlight w:val="none"/>
              </w:rPr>
              <w:t>须提供人员职称证书、资格证书</w:t>
            </w:r>
            <w:r>
              <w:rPr>
                <w:rFonts w:hint="eastAsia"/>
                <w:color w:val="auto"/>
                <w:highlight w:val="none"/>
                <w:lang w:val="en-US" w:eastAsia="zh-CN"/>
              </w:rPr>
              <w:t>及投标截止日前三个月内任意1个月的社保缴纳证明材料扫描件</w:t>
            </w:r>
            <w:r>
              <w:rPr>
                <w:rFonts w:hint="eastAsia" w:cs="Times New Roman"/>
                <w:bCs w:val="0"/>
                <w:color w:val="auto"/>
                <w:szCs w:val="22"/>
                <w:highlight w:val="none"/>
                <w:lang w:val="en-US" w:eastAsia="zh-CN"/>
              </w:rPr>
              <w:t>。</w:t>
            </w:r>
            <w:r>
              <w:rPr>
                <w:rFonts w:hint="eastAsia"/>
                <w:color w:val="auto"/>
                <w:highlight w:val="none"/>
                <w:lang w:val="en-US" w:eastAsia="zh-CN"/>
              </w:rPr>
              <w:t>同一人具备多个职称，按最高级别计取一次。</w:t>
            </w:r>
          </w:p>
        </w:tc>
      </w:tr>
      <w:tr w14:paraId="3304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Merge w:val="continue"/>
          </w:tcPr>
          <w:p w14:paraId="665E4109">
            <w:pPr>
              <w:pStyle w:val="23"/>
              <w:kinsoku w:val="0"/>
              <w:overflowPunct w:val="0"/>
              <w:spacing w:line="360" w:lineRule="auto"/>
              <w:ind w:left="-63" w:leftChars="-30" w:right="-111" w:rightChars="-53" w:firstLine="63" w:firstLineChars="30"/>
              <w:jc w:val="center"/>
              <w:rPr>
                <w:rFonts w:hint="default"/>
                <w:color w:val="auto"/>
                <w:highlight w:val="none"/>
              </w:rPr>
            </w:pPr>
          </w:p>
        </w:tc>
        <w:tc>
          <w:tcPr>
            <w:tcW w:w="1287" w:type="dxa"/>
            <w:gridSpan w:val="2"/>
            <w:vMerge w:val="continue"/>
          </w:tcPr>
          <w:p w14:paraId="36B0DB9A">
            <w:pPr>
              <w:pStyle w:val="23"/>
              <w:kinsoku w:val="0"/>
              <w:overflowPunct w:val="0"/>
              <w:spacing w:line="360" w:lineRule="auto"/>
              <w:ind w:left="-115" w:leftChars="-55" w:right="-122" w:rightChars="-58"/>
              <w:jc w:val="center"/>
              <w:rPr>
                <w:rFonts w:hint="default"/>
                <w:color w:val="auto"/>
                <w:highlight w:val="none"/>
              </w:rPr>
            </w:pPr>
          </w:p>
        </w:tc>
        <w:tc>
          <w:tcPr>
            <w:tcW w:w="2132" w:type="dxa"/>
            <w:vAlign w:val="center"/>
          </w:tcPr>
          <w:p w14:paraId="04293DA9">
            <w:pPr>
              <w:topLinePunct/>
              <w:spacing w:line="360" w:lineRule="auto"/>
              <w:jc w:val="center"/>
              <w:rPr>
                <w:rFonts w:ascii="宋体" w:hAnsi="宋体"/>
                <w:color w:val="auto"/>
                <w:highlight w:val="none"/>
              </w:rPr>
            </w:pPr>
            <w:r>
              <w:rPr>
                <w:rFonts w:hint="eastAsia"/>
                <w:color w:val="auto"/>
                <w:highlight w:val="none"/>
                <w:lang w:val="en-US" w:eastAsia="zh-CN"/>
              </w:rPr>
              <w:t>获奖情况</w:t>
            </w:r>
            <w:r>
              <w:rPr>
                <w:rFonts w:hint="eastAsia" w:ascii="Calibri" w:hAnsi="Calibri"/>
                <w:color w:val="auto"/>
                <w:highlight w:val="none"/>
              </w:rPr>
              <w:t>（</w:t>
            </w:r>
            <w:r>
              <w:rPr>
                <w:rFonts w:hint="eastAsia"/>
                <w:color w:val="auto"/>
                <w:highlight w:val="none"/>
                <w:lang w:val="en-US" w:eastAsia="zh-CN"/>
              </w:rPr>
              <w:t>4</w:t>
            </w:r>
            <w:r>
              <w:rPr>
                <w:rFonts w:hint="eastAsia" w:ascii="Calibri" w:hAnsi="Calibri"/>
                <w:color w:val="auto"/>
                <w:highlight w:val="none"/>
              </w:rPr>
              <w:t>分）</w:t>
            </w:r>
          </w:p>
        </w:tc>
        <w:tc>
          <w:tcPr>
            <w:tcW w:w="5252" w:type="dxa"/>
            <w:vAlign w:val="center"/>
          </w:tcPr>
          <w:p w14:paraId="038126B0">
            <w:pPr>
              <w:widowControl/>
              <w:snapToGrid w:val="0"/>
              <w:spacing w:line="360" w:lineRule="auto"/>
              <w:jc w:val="left"/>
              <w:rPr>
                <w:rFonts w:hint="eastAsia" w:ascii="Calibri" w:hAnsi="Calibri" w:cs="Times New Roman"/>
                <w:bCs w:val="0"/>
                <w:color w:val="auto"/>
                <w:szCs w:val="22"/>
                <w:highlight w:val="none"/>
                <w:lang w:val="en-US" w:eastAsia="zh-CN"/>
              </w:rPr>
            </w:pPr>
            <w:r>
              <w:rPr>
                <w:rFonts w:hint="eastAsia"/>
                <w:color w:val="auto"/>
                <w:sz w:val="21"/>
                <w:szCs w:val="22"/>
                <w:highlight w:val="none"/>
              </w:rPr>
              <w:t>投标人</w:t>
            </w:r>
            <w:r>
              <w:rPr>
                <w:rFonts w:hint="eastAsia" w:ascii="Calibri" w:hAnsi="Calibri" w:cs="Times New Roman"/>
                <w:bCs w:val="0"/>
                <w:color w:val="auto"/>
                <w:szCs w:val="22"/>
                <w:highlight w:val="none"/>
                <w:lang w:val="en-US" w:eastAsia="zh-CN"/>
              </w:rPr>
              <w:t>20</w:t>
            </w:r>
            <w:r>
              <w:rPr>
                <w:rFonts w:hint="eastAsia" w:cs="Times New Roman"/>
                <w:bCs w:val="0"/>
                <w:color w:val="auto"/>
                <w:szCs w:val="22"/>
                <w:highlight w:val="none"/>
                <w:lang w:val="en-US" w:eastAsia="zh-CN"/>
              </w:rPr>
              <w:t>22</w:t>
            </w:r>
            <w:r>
              <w:rPr>
                <w:rFonts w:hint="eastAsia" w:ascii="Calibri" w:hAnsi="Calibri" w:cs="Times New Roman"/>
                <w:bCs w:val="0"/>
                <w:color w:val="auto"/>
                <w:szCs w:val="22"/>
                <w:highlight w:val="none"/>
                <w:lang w:val="en-US" w:eastAsia="zh-CN"/>
              </w:rPr>
              <w:t>年1月1日至今获得省级或以上</w:t>
            </w:r>
            <w:r>
              <w:rPr>
                <w:rFonts w:hint="eastAsia" w:cs="Times New Roman"/>
                <w:bCs w:val="0"/>
                <w:color w:val="auto"/>
                <w:szCs w:val="22"/>
                <w:highlight w:val="none"/>
                <w:lang w:val="en-US" w:eastAsia="zh-CN"/>
              </w:rPr>
              <w:t>人民政府或行政主管部门</w:t>
            </w:r>
            <w:r>
              <w:rPr>
                <w:rFonts w:hint="eastAsia" w:ascii="Calibri" w:hAnsi="Calibri" w:cs="Times New Roman"/>
                <w:bCs w:val="0"/>
                <w:color w:val="auto"/>
                <w:szCs w:val="22"/>
                <w:highlight w:val="none"/>
                <w:lang w:val="en-US" w:eastAsia="zh-CN"/>
              </w:rPr>
              <w:t>颁发</w:t>
            </w:r>
            <w:r>
              <w:rPr>
                <w:rFonts w:hint="eastAsia" w:cs="Times New Roman"/>
                <w:bCs w:val="0"/>
                <w:color w:val="auto"/>
                <w:szCs w:val="22"/>
                <w:highlight w:val="none"/>
                <w:lang w:val="en-US" w:eastAsia="zh-CN"/>
              </w:rPr>
              <w:t>的</w:t>
            </w:r>
            <w:r>
              <w:rPr>
                <w:rFonts w:hint="eastAsia" w:ascii="Calibri" w:hAnsi="Calibri" w:cs="Times New Roman"/>
                <w:bCs w:val="0"/>
                <w:color w:val="auto"/>
                <w:szCs w:val="22"/>
                <w:highlight w:val="none"/>
                <w:lang w:val="en-US" w:eastAsia="zh-CN"/>
              </w:rPr>
              <w:t>环保类奖</w:t>
            </w:r>
            <w:r>
              <w:rPr>
                <w:rFonts w:hint="eastAsia" w:cs="Times New Roman"/>
                <w:bCs w:val="0"/>
                <w:color w:val="auto"/>
                <w:szCs w:val="22"/>
                <w:highlight w:val="none"/>
                <w:lang w:val="en-US" w:eastAsia="zh-CN"/>
              </w:rPr>
              <w:t>项，每</w:t>
            </w:r>
            <w:r>
              <w:rPr>
                <w:rFonts w:hint="eastAsia" w:ascii="Calibri" w:hAnsi="Calibri" w:cs="Times New Roman"/>
                <w:bCs w:val="0"/>
                <w:color w:val="auto"/>
                <w:szCs w:val="22"/>
                <w:highlight w:val="none"/>
                <w:lang w:val="en-US" w:eastAsia="zh-CN"/>
              </w:rPr>
              <w:t>项得</w:t>
            </w:r>
            <w:r>
              <w:rPr>
                <w:rFonts w:hint="eastAsia" w:cs="Times New Roman"/>
                <w:bCs w:val="0"/>
                <w:color w:val="auto"/>
                <w:szCs w:val="22"/>
                <w:highlight w:val="none"/>
                <w:lang w:val="en-US" w:eastAsia="zh-CN"/>
              </w:rPr>
              <w:t>0.5</w:t>
            </w:r>
            <w:r>
              <w:rPr>
                <w:rFonts w:hint="eastAsia" w:ascii="Calibri" w:hAnsi="Calibri" w:cs="Times New Roman"/>
                <w:bCs w:val="0"/>
                <w:color w:val="auto"/>
                <w:szCs w:val="22"/>
                <w:highlight w:val="none"/>
                <w:lang w:val="en-US" w:eastAsia="zh-CN"/>
              </w:rPr>
              <w:t>分，本项最高得</w:t>
            </w:r>
            <w:r>
              <w:rPr>
                <w:rFonts w:hint="eastAsia" w:cs="Times New Roman"/>
                <w:bCs w:val="0"/>
                <w:color w:val="auto"/>
                <w:szCs w:val="22"/>
                <w:highlight w:val="none"/>
                <w:lang w:val="en-US" w:eastAsia="zh-CN"/>
              </w:rPr>
              <w:t>4</w:t>
            </w:r>
            <w:r>
              <w:rPr>
                <w:rFonts w:hint="eastAsia" w:ascii="Calibri" w:hAnsi="Calibri" w:cs="Times New Roman"/>
                <w:bCs w:val="0"/>
                <w:color w:val="auto"/>
                <w:szCs w:val="22"/>
                <w:highlight w:val="none"/>
                <w:lang w:val="en-US" w:eastAsia="zh-CN"/>
              </w:rPr>
              <w:t>分。</w:t>
            </w:r>
          </w:p>
          <w:p w14:paraId="6A16B1D5">
            <w:pPr>
              <w:rPr>
                <w:rFonts w:hint="default" w:ascii="Calibri" w:hAnsi="Calibri" w:cs="Times New Roman"/>
                <w:color w:val="auto"/>
                <w:szCs w:val="22"/>
                <w:highlight w:val="none"/>
                <w:lang w:val="en-US"/>
              </w:rPr>
            </w:pPr>
            <w:r>
              <w:rPr>
                <w:rFonts w:hint="eastAsia" w:ascii="Calibri" w:hAnsi="Calibri" w:cs="Times New Roman"/>
                <w:bCs w:val="0"/>
                <w:color w:val="auto"/>
                <w:szCs w:val="22"/>
                <w:highlight w:val="none"/>
                <w:lang w:val="en-US" w:eastAsia="zh-CN"/>
              </w:rPr>
              <w:t>注：以证书发放时间为准，须提供</w:t>
            </w:r>
            <w:r>
              <w:rPr>
                <w:rFonts w:hint="eastAsia" w:cs="Times New Roman"/>
                <w:bCs w:val="0"/>
                <w:color w:val="auto"/>
                <w:szCs w:val="22"/>
                <w:highlight w:val="none"/>
                <w:lang w:val="en-US" w:eastAsia="zh-CN"/>
              </w:rPr>
              <w:t>获奖证书</w:t>
            </w:r>
            <w:r>
              <w:rPr>
                <w:rFonts w:hint="eastAsia"/>
                <w:color w:val="auto"/>
                <w:highlight w:val="none"/>
                <w:lang w:val="en-US" w:eastAsia="zh-CN"/>
              </w:rPr>
              <w:t>扫描件</w:t>
            </w:r>
            <w:r>
              <w:rPr>
                <w:rFonts w:hint="eastAsia" w:cs="Times New Roman"/>
                <w:bCs w:val="0"/>
                <w:color w:val="auto"/>
                <w:szCs w:val="22"/>
                <w:highlight w:val="none"/>
                <w:lang w:val="en-US" w:eastAsia="zh-CN"/>
              </w:rPr>
              <w:t>。同一项目获得多个奖项的，该项目获奖只按其中一个奖项所在最高级别计算一次分数，不得重复计算。</w:t>
            </w:r>
          </w:p>
        </w:tc>
      </w:tr>
      <w:tr w14:paraId="251E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691" w:type="dxa"/>
            <w:vMerge w:val="continue"/>
          </w:tcPr>
          <w:p w14:paraId="2F483962">
            <w:pPr>
              <w:pStyle w:val="23"/>
              <w:kinsoku w:val="0"/>
              <w:overflowPunct w:val="0"/>
              <w:spacing w:line="360" w:lineRule="auto"/>
              <w:ind w:left="-63" w:leftChars="-30" w:right="-111" w:rightChars="-53" w:firstLine="63" w:firstLineChars="30"/>
              <w:jc w:val="center"/>
              <w:rPr>
                <w:rFonts w:hint="default"/>
                <w:color w:val="auto"/>
                <w:highlight w:val="none"/>
              </w:rPr>
            </w:pPr>
          </w:p>
        </w:tc>
        <w:tc>
          <w:tcPr>
            <w:tcW w:w="1287" w:type="dxa"/>
            <w:gridSpan w:val="2"/>
            <w:vMerge w:val="continue"/>
          </w:tcPr>
          <w:p w14:paraId="6F0977E8">
            <w:pPr>
              <w:pStyle w:val="23"/>
              <w:kinsoku w:val="0"/>
              <w:overflowPunct w:val="0"/>
              <w:spacing w:line="360" w:lineRule="auto"/>
              <w:ind w:left="-115" w:leftChars="-55" w:right="-122" w:rightChars="-58"/>
              <w:jc w:val="center"/>
              <w:rPr>
                <w:rFonts w:hint="default"/>
                <w:color w:val="auto"/>
                <w:highlight w:val="none"/>
              </w:rPr>
            </w:pPr>
          </w:p>
        </w:tc>
        <w:tc>
          <w:tcPr>
            <w:tcW w:w="2132" w:type="dxa"/>
            <w:vAlign w:val="center"/>
          </w:tcPr>
          <w:p w14:paraId="5B7BD6C1">
            <w:pPr>
              <w:topLinePunct/>
              <w:spacing w:line="360" w:lineRule="auto"/>
              <w:jc w:val="center"/>
              <w:rPr>
                <w:rFonts w:ascii="宋体" w:hAnsi="宋体"/>
                <w:color w:val="auto"/>
                <w:highlight w:val="none"/>
              </w:rPr>
            </w:pPr>
            <w:r>
              <w:rPr>
                <w:rFonts w:hint="eastAsia"/>
                <w:color w:val="auto"/>
                <w:highlight w:val="none"/>
                <w:lang w:val="en-US" w:eastAsia="zh-CN"/>
              </w:rPr>
              <w:t>企业实力</w:t>
            </w:r>
            <w:r>
              <w:rPr>
                <w:rFonts w:hint="eastAsia" w:ascii="Calibri" w:hAnsi="Calibri"/>
                <w:color w:val="auto"/>
                <w:highlight w:val="none"/>
              </w:rPr>
              <w:t>（</w:t>
            </w:r>
            <w:r>
              <w:rPr>
                <w:rFonts w:hint="eastAsia"/>
                <w:color w:val="auto"/>
                <w:highlight w:val="none"/>
                <w:lang w:val="en-US" w:eastAsia="zh-CN"/>
              </w:rPr>
              <w:t>3</w:t>
            </w:r>
            <w:r>
              <w:rPr>
                <w:rFonts w:hint="eastAsia" w:ascii="Calibri" w:hAnsi="Calibri"/>
                <w:color w:val="auto"/>
                <w:highlight w:val="none"/>
              </w:rPr>
              <w:t>分）</w:t>
            </w:r>
          </w:p>
        </w:tc>
        <w:tc>
          <w:tcPr>
            <w:tcW w:w="5252" w:type="dxa"/>
            <w:vAlign w:val="center"/>
          </w:tcPr>
          <w:p w14:paraId="4A1F6C58">
            <w:pPr>
              <w:pStyle w:val="7"/>
              <w:numPr>
                <w:ilvl w:val="-1"/>
                <w:numId w:val="0"/>
              </w:numPr>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参与编制土壤污染或土壤修复等相关</w:t>
            </w:r>
            <w:r>
              <w:rPr>
                <w:rFonts w:hint="eastAsia" w:ascii="宋体" w:hAnsi="宋体" w:cs="宋体"/>
                <w:b w:val="0"/>
                <w:bCs w:val="0"/>
                <w:color w:val="auto"/>
                <w:sz w:val="21"/>
                <w:szCs w:val="21"/>
                <w:highlight w:val="none"/>
                <w:lang w:val="en-US" w:eastAsia="zh-CN"/>
              </w:rPr>
              <w:t>的国家标准或</w:t>
            </w:r>
            <w:r>
              <w:rPr>
                <w:rFonts w:hint="eastAsia" w:ascii="宋体" w:hAnsi="宋体" w:eastAsia="宋体" w:cs="宋体"/>
                <w:b w:val="0"/>
                <w:bCs w:val="0"/>
                <w:color w:val="auto"/>
                <w:sz w:val="21"/>
                <w:szCs w:val="21"/>
                <w:highlight w:val="none"/>
                <w:lang w:val="en-US" w:eastAsia="zh-CN"/>
              </w:rPr>
              <w:t>地方标准的，</w:t>
            </w:r>
            <w:r>
              <w:rPr>
                <w:rFonts w:hint="eastAsia" w:ascii="宋体" w:hAnsi="宋体" w:cs="宋体"/>
                <w:b w:val="0"/>
                <w:bCs w:val="0"/>
                <w:color w:val="auto"/>
                <w:sz w:val="21"/>
                <w:szCs w:val="21"/>
                <w:highlight w:val="none"/>
                <w:lang w:val="en-US" w:eastAsia="zh-CN"/>
              </w:rPr>
              <w:t>每项得1分，本项最高</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14:paraId="66A649C3">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注：</w:t>
            </w:r>
            <w:r>
              <w:rPr>
                <w:rFonts w:hint="eastAsia" w:ascii="宋体" w:hAnsi="宋体" w:eastAsia="宋体" w:cs="宋体"/>
                <w:color w:val="auto"/>
                <w:szCs w:val="21"/>
                <w:highlight w:val="none"/>
              </w:rPr>
              <w:t>提供已发布的标准文本</w:t>
            </w:r>
            <w:r>
              <w:rPr>
                <w:rFonts w:hint="eastAsia" w:ascii="宋体" w:hAnsi="宋体" w:cs="宋体"/>
                <w:color w:val="auto"/>
                <w:szCs w:val="21"/>
                <w:highlight w:val="none"/>
                <w:lang w:val="en-US" w:eastAsia="zh-CN"/>
              </w:rPr>
              <w:t>关键页</w:t>
            </w:r>
            <w:r>
              <w:rPr>
                <w:rFonts w:hint="eastAsia" w:ascii="宋体" w:hAnsi="宋体" w:eastAsia="宋体" w:cs="宋体"/>
                <w:color w:val="auto"/>
                <w:szCs w:val="21"/>
                <w:highlight w:val="none"/>
              </w:rPr>
              <w:t>（含编制单位页）</w:t>
            </w:r>
            <w:r>
              <w:rPr>
                <w:rFonts w:hint="eastAsia" w:ascii="宋体" w:hAnsi="宋体" w:cs="宋体"/>
                <w:color w:val="auto"/>
                <w:szCs w:val="21"/>
                <w:highlight w:val="none"/>
                <w:lang w:val="en-US" w:eastAsia="zh-CN"/>
              </w:rPr>
              <w:t>扫描件，</w:t>
            </w:r>
            <w:r>
              <w:rPr>
                <w:rFonts w:hint="eastAsia" w:ascii="Calibri" w:hAnsi="Calibri" w:cs="Times New Roman"/>
                <w:bCs w:val="0"/>
                <w:color w:val="auto"/>
                <w:szCs w:val="22"/>
                <w:highlight w:val="none"/>
                <w:lang w:val="en-US" w:eastAsia="zh-CN"/>
              </w:rPr>
              <w:t>没有或未按要求提供相关证明材料的不得分</w:t>
            </w:r>
            <w:r>
              <w:rPr>
                <w:rFonts w:hint="eastAsia" w:cs="Times New Roman"/>
                <w:bCs w:val="0"/>
                <w:color w:val="auto"/>
                <w:szCs w:val="22"/>
                <w:highlight w:val="none"/>
                <w:lang w:val="en-US" w:eastAsia="zh-CN"/>
              </w:rPr>
              <w:t>。</w:t>
            </w:r>
          </w:p>
        </w:tc>
      </w:tr>
      <w:tr w14:paraId="43AE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Merge w:val="restart"/>
            <w:vAlign w:val="center"/>
          </w:tcPr>
          <w:p w14:paraId="253E4955">
            <w:pPr>
              <w:pStyle w:val="23"/>
              <w:kinsoku w:val="0"/>
              <w:overflowPunct w:val="0"/>
              <w:spacing w:line="360" w:lineRule="auto"/>
              <w:ind w:left="-63" w:leftChars="-30" w:right="-111" w:rightChars="-53" w:firstLine="63" w:firstLineChars="30"/>
              <w:jc w:val="center"/>
              <w:rPr>
                <w:rFonts w:hint="default" w:eastAsia="Times New Roman"/>
                <w:color w:val="auto"/>
                <w:highlight w:val="none"/>
              </w:rPr>
            </w:pPr>
            <w:r>
              <w:rPr>
                <w:rFonts w:eastAsia="Times New Roman"/>
                <w:color w:val="auto"/>
                <w:highlight w:val="none"/>
              </w:rPr>
              <w:t>2.2.4（2）</w:t>
            </w:r>
          </w:p>
        </w:tc>
        <w:tc>
          <w:tcPr>
            <w:tcW w:w="1287" w:type="dxa"/>
            <w:gridSpan w:val="2"/>
            <w:vMerge w:val="restart"/>
            <w:vAlign w:val="center"/>
          </w:tcPr>
          <w:p w14:paraId="39DCE336">
            <w:pPr>
              <w:spacing w:line="360" w:lineRule="auto"/>
              <w:jc w:val="both"/>
              <w:rPr>
                <w:rFonts w:ascii="宋体" w:hAnsi="宋体"/>
                <w:color w:val="auto"/>
                <w:highlight w:val="none"/>
              </w:rPr>
            </w:pPr>
            <w:r>
              <w:rPr>
                <w:rFonts w:hint="eastAsia" w:ascii="宋体" w:hAnsi="宋体"/>
                <w:color w:val="auto"/>
                <w:highlight w:val="none"/>
                <w:lang w:eastAsia="zh-CN"/>
              </w:rPr>
              <w:t>技术服务方案</w:t>
            </w:r>
            <w:r>
              <w:rPr>
                <w:rFonts w:hint="eastAsia" w:ascii="宋体" w:hAnsi="宋体"/>
                <w:color w:val="auto"/>
                <w:highlight w:val="none"/>
              </w:rPr>
              <w:t>评分标准</w:t>
            </w:r>
          </w:p>
          <w:p w14:paraId="3BAB4511">
            <w:pPr>
              <w:spacing w:line="360" w:lineRule="auto"/>
              <w:ind w:left="315" w:hanging="315" w:hangingChars="150"/>
              <w:jc w:val="center"/>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45</w:t>
            </w:r>
            <w:r>
              <w:rPr>
                <w:rFonts w:hint="eastAsia" w:ascii="宋体" w:hAnsi="宋体"/>
                <w:color w:val="auto"/>
                <w:highlight w:val="none"/>
              </w:rPr>
              <w:t>分）</w:t>
            </w:r>
          </w:p>
        </w:tc>
        <w:tc>
          <w:tcPr>
            <w:tcW w:w="2132" w:type="dxa"/>
            <w:vAlign w:val="center"/>
          </w:tcPr>
          <w:p w14:paraId="5284D24F">
            <w:pPr>
              <w:keepNext w:val="0"/>
              <w:keepLines w:val="0"/>
              <w:pageBreakBefore w:val="0"/>
              <w:widowControl/>
              <w:kinsoku/>
              <w:wordWrap/>
              <w:overflowPunct/>
              <w:topLinePunct w:val="0"/>
              <w:bidi w:val="0"/>
              <w:snapToGrid/>
              <w:spacing w:line="360" w:lineRule="auto"/>
              <w:jc w:val="center"/>
              <w:textAlignment w:val="auto"/>
              <w:rPr>
                <w:rFonts w:ascii="宋体" w:hAnsi="宋体"/>
                <w:color w:val="auto"/>
                <w:sz w:val="21"/>
                <w:szCs w:val="21"/>
                <w:highlight w:val="none"/>
              </w:rPr>
            </w:pPr>
            <w:r>
              <w:rPr>
                <w:rFonts w:hint="eastAsia" w:ascii="宋体" w:hAnsi="宋体" w:eastAsia="宋体" w:cs="宋体"/>
                <w:color w:val="auto"/>
                <w:sz w:val="21"/>
                <w:szCs w:val="21"/>
                <w:highlight w:val="none"/>
                <w:lang w:val="en-US"/>
              </w:rPr>
              <w:t>对项目的熟悉程度</w:t>
            </w:r>
            <w:r>
              <w:rPr>
                <w:rFonts w:hint="eastAsia" w:ascii="宋体" w:hAnsi="宋体" w:eastAsia="宋体" w:cs="宋体"/>
                <w:color w:val="auto"/>
                <w:sz w:val="21"/>
                <w:szCs w:val="21"/>
                <w:highlight w:val="none"/>
                <w:lang w:val="en-US" w:eastAsia="zh-CN"/>
              </w:rPr>
              <w:t>和工程重点难点分析（</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5252" w:type="dxa"/>
            <w:vAlign w:val="center"/>
          </w:tcPr>
          <w:p w14:paraId="71935991">
            <w:pPr>
              <w:pStyle w:val="7"/>
              <w:keepNext w:val="0"/>
              <w:keepLines w:val="0"/>
              <w:pageBreakBefore w:val="0"/>
              <w:numPr>
                <w:ilvl w:val="-1"/>
                <w:numId w:val="0"/>
              </w:numP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对本项目背景的解读清晰、明确，研究内容和要求的理解深度和准确性高的，</w:t>
            </w: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工程特点、重点与难点分析全面，把握准确，针对性强得</w:t>
            </w:r>
            <w:r>
              <w:rPr>
                <w:rFonts w:hint="eastAsia" w:ascii="宋体" w:hAnsi="宋体" w:cs="宋体"/>
                <w:color w:val="auto"/>
                <w:sz w:val="21"/>
                <w:szCs w:val="21"/>
                <w:highlight w:val="none"/>
                <w:lang w:val="en-US" w:eastAsia="zh-CN"/>
              </w:rPr>
              <w:t>（7,10]</w:t>
            </w:r>
            <w:r>
              <w:rPr>
                <w:rFonts w:hint="eastAsia" w:ascii="宋体" w:hAnsi="宋体" w:eastAsia="宋体" w:cs="宋体"/>
                <w:color w:val="auto"/>
                <w:sz w:val="21"/>
                <w:szCs w:val="21"/>
                <w:highlight w:val="none"/>
              </w:rPr>
              <w:t>分；</w:t>
            </w:r>
          </w:p>
          <w:p w14:paraId="55E60A1A">
            <w:pPr>
              <w:pStyle w:val="7"/>
              <w:keepNext w:val="0"/>
              <w:keepLines w:val="0"/>
              <w:pageBreakBefore w:val="0"/>
              <w:numPr>
                <w:ilvl w:val="-1"/>
                <w:numId w:val="0"/>
              </w:numP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对本项目背景的解读较清晰、明确，研究内容和要求的理解深度和准确性基本具体，</w:t>
            </w: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工程特点、重点与难点分析较为全面，把握一般，有一定针对性得</w:t>
            </w:r>
            <w:r>
              <w:rPr>
                <w:rFonts w:hint="eastAsia" w:ascii="宋体" w:hAnsi="宋体" w:cs="宋体"/>
                <w:color w:val="auto"/>
                <w:sz w:val="21"/>
                <w:szCs w:val="21"/>
                <w:highlight w:val="none"/>
                <w:lang w:val="en-US" w:eastAsia="zh-CN"/>
              </w:rPr>
              <w:t>（4,7]</w:t>
            </w:r>
            <w:r>
              <w:rPr>
                <w:rFonts w:hint="eastAsia" w:ascii="宋体" w:hAnsi="宋体" w:eastAsia="宋体" w:cs="宋体"/>
                <w:color w:val="auto"/>
                <w:sz w:val="21"/>
                <w:szCs w:val="21"/>
                <w:highlight w:val="none"/>
              </w:rPr>
              <w:t>分；</w:t>
            </w:r>
          </w:p>
          <w:p w14:paraId="5526A2F4">
            <w:pPr>
              <w:pStyle w:val="7"/>
              <w:keepNext w:val="0"/>
              <w:keepLines w:val="0"/>
              <w:pageBreakBefore w:val="0"/>
              <w:numPr>
                <w:ilvl w:val="-1"/>
                <w:numId w:val="0"/>
              </w:numP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对本项目背景的解读基本准确，对研究内容和要求的理解具有一定的深度和准确性，工程特点、重点与难点分析片面，把握不够准确，针对性差得</w:t>
            </w:r>
            <w:r>
              <w:rPr>
                <w:rFonts w:hint="eastAsia" w:ascii="宋体" w:hAnsi="宋体" w:cs="宋体"/>
                <w:color w:val="auto"/>
                <w:sz w:val="21"/>
                <w:szCs w:val="21"/>
                <w:highlight w:val="none"/>
                <w:lang w:val="en-US" w:eastAsia="zh-CN"/>
              </w:rPr>
              <w:t>（0,4]</w:t>
            </w:r>
            <w:r>
              <w:rPr>
                <w:rFonts w:hint="eastAsia" w:ascii="宋体" w:hAnsi="宋体" w:eastAsia="宋体" w:cs="宋体"/>
                <w:color w:val="auto"/>
                <w:sz w:val="21"/>
                <w:szCs w:val="21"/>
                <w:highlight w:val="none"/>
              </w:rPr>
              <w:t>分；</w:t>
            </w:r>
          </w:p>
          <w:p w14:paraId="1AD15542">
            <w:pPr>
              <w:pStyle w:val="7"/>
              <w:keepNext w:val="0"/>
              <w:keepLines w:val="0"/>
              <w:pageBreakBefore w:val="0"/>
              <w:numPr>
                <w:ilvl w:val="-1"/>
                <w:numId w:val="0"/>
              </w:numPr>
              <w:kinsoku/>
              <w:wordWrap/>
              <w:overflowPunct/>
              <w:topLinePunct w:val="0"/>
              <w:bidi w:val="0"/>
              <w:snapToGrid/>
              <w:spacing w:line="36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不提供或者没有方案得0分</w:t>
            </w:r>
            <w:r>
              <w:rPr>
                <w:rFonts w:hint="eastAsia" w:ascii="宋体" w:hAnsi="宋体" w:eastAsia="宋体" w:cs="宋体"/>
                <w:color w:val="auto"/>
                <w:sz w:val="21"/>
                <w:szCs w:val="21"/>
                <w:highlight w:val="none"/>
              </w:rPr>
              <w:t>。</w:t>
            </w:r>
          </w:p>
        </w:tc>
      </w:tr>
      <w:tr w14:paraId="330C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Merge w:val="continue"/>
          </w:tcPr>
          <w:p w14:paraId="4111991E">
            <w:pPr>
              <w:spacing w:line="360" w:lineRule="auto"/>
              <w:jc w:val="center"/>
              <w:rPr>
                <w:rFonts w:eastAsia="Times New Roman"/>
                <w:color w:val="auto"/>
                <w:highlight w:val="none"/>
              </w:rPr>
            </w:pPr>
          </w:p>
        </w:tc>
        <w:tc>
          <w:tcPr>
            <w:tcW w:w="1287" w:type="dxa"/>
            <w:gridSpan w:val="2"/>
            <w:vMerge w:val="continue"/>
          </w:tcPr>
          <w:p w14:paraId="33CA23FA">
            <w:pPr>
              <w:spacing w:line="360" w:lineRule="auto"/>
              <w:jc w:val="center"/>
              <w:rPr>
                <w:color w:val="auto"/>
                <w:highlight w:val="none"/>
              </w:rPr>
            </w:pPr>
          </w:p>
        </w:tc>
        <w:tc>
          <w:tcPr>
            <w:tcW w:w="2132" w:type="dxa"/>
            <w:vAlign w:val="center"/>
          </w:tcPr>
          <w:p w14:paraId="1DA6B445">
            <w:pPr>
              <w:keepNext w:val="0"/>
              <w:keepLines w:val="0"/>
              <w:pageBreakBefore w:val="0"/>
              <w:widowControl/>
              <w:kinsoku/>
              <w:wordWrap/>
              <w:overflowPunct/>
              <w:topLinePunct w:val="0"/>
              <w:bidi w:val="0"/>
              <w:snapToGrid/>
              <w:spacing w:line="360" w:lineRule="auto"/>
              <w:jc w:val="center"/>
              <w:textAlignment w:val="auto"/>
              <w:rPr>
                <w:rFonts w:ascii="宋体" w:hAnsi="宋体"/>
                <w:color w:val="auto"/>
                <w:sz w:val="21"/>
                <w:szCs w:val="21"/>
                <w:highlight w:val="none"/>
              </w:rPr>
            </w:pPr>
            <w:r>
              <w:rPr>
                <w:rFonts w:hint="eastAsia" w:ascii="宋体" w:hAnsi="宋体" w:eastAsia="宋体" w:cs="宋体"/>
                <w:color w:val="auto"/>
                <w:sz w:val="21"/>
                <w:szCs w:val="21"/>
                <w:highlight w:val="none"/>
                <w:lang w:val="en-US" w:eastAsia="zh-CN"/>
              </w:rPr>
              <w:t>效果评估</w:t>
            </w:r>
            <w:r>
              <w:rPr>
                <w:rFonts w:hint="eastAsia" w:ascii="宋体" w:hAnsi="宋体" w:eastAsia="宋体" w:cs="宋体"/>
                <w:color w:val="auto"/>
                <w:sz w:val="21"/>
                <w:szCs w:val="21"/>
                <w:highlight w:val="none"/>
              </w:rPr>
              <w:t>技术方案（</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5252" w:type="dxa"/>
            <w:vAlign w:val="center"/>
          </w:tcPr>
          <w:p w14:paraId="78758B72">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根据投标人提供的</w:t>
            </w:r>
            <w:r>
              <w:rPr>
                <w:rFonts w:hint="eastAsia" w:ascii="宋体" w:hAnsi="宋体" w:eastAsia="宋体" w:cs="宋体"/>
                <w:bCs/>
                <w:color w:val="auto"/>
                <w:sz w:val="21"/>
                <w:szCs w:val="21"/>
                <w:highlight w:val="none"/>
                <w:lang w:val="en-US" w:eastAsia="zh-CN"/>
              </w:rPr>
              <w:t>效果评估</w:t>
            </w:r>
            <w:r>
              <w:rPr>
                <w:rFonts w:hint="eastAsia" w:ascii="宋体" w:hAnsi="宋体" w:eastAsia="宋体" w:cs="宋体"/>
                <w:bCs/>
                <w:color w:val="auto"/>
                <w:sz w:val="21"/>
                <w:szCs w:val="21"/>
                <w:highlight w:val="none"/>
              </w:rPr>
              <w:t>工作总体计划、工作内容、采样方案进行综合评审：</w:t>
            </w:r>
          </w:p>
          <w:p w14:paraId="53058C22">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调查工作总体计划阐述科学合理，现状调研深入了解，工作内容详细全面，采样方案具体可行的，得</w:t>
            </w:r>
            <w:r>
              <w:rPr>
                <w:rFonts w:hint="eastAsia" w:ascii="宋体" w:hAnsi="宋体" w:cs="宋体"/>
                <w:color w:val="auto"/>
                <w:sz w:val="21"/>
                <w:szCs w:val="21"/>
                <w:highlight w:val="none"/>
                <w:lang w:val="en-US" w:eastAsia="zh-CN"/>
              </w:rPr>
              <w:t>（11,15]</w:t>
            </w:r>
            <w:r>
              <w:rPr>
                <w:rFonts w:hint="eastAsia" w:ascii="宋体" w:hAnsi="宋体" w:eastAsia="宋体" w:cs="宋体"/>
                <w:bCs/>
                <w:color w:val="auto"/>
                <w:sz w:val="21"/>
                <w:szCs w:val="21"/>
                <w:highlight w:val="none"/>
              </w:rPr>
              <w:t>分；</w:t>
            </w:r>
          </w:p>
          <w:p w14:paraId="73A4CCA7">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调查工作总体计划阐述较为科学合理，现状调研较了解，工作内容比较全面，采样方案较为可行的，得</w:t>
            </w:r>
            <w:r>
              <w:rPr>
                <w:rFonts w:hint="eastAsia" w:ascii="宋体" w:hAnsi="宋体" w:cs="宋体"/>
                <w:color w:val="auto"/>
                <w:sz w:val="21"/>
                <w:szCs w:val="21"/>
                <w:highlight w:val="none"/>
                <w:lang w:val="en-US" w:eastAsia="zh-CN"/>
              </w:rPr>
              <w:t>（7,11]</w:t>
            </w:r>
            <w:r>
              <w:rPr>
                <w:rFonts w:hint="eastAsia" w:ascii="宋体" w:hAnsi="宋体" w:eastAsia="宋体" w:cs="宋体"/>
                <w:bCs/>
                <w:color w:val="auto"/>
                <w:sz w:val="21"/>
                <w:szCs w:val="21"/>
                <w:highlight w:val="none"/>
              </w:rPr>
              <w:t>分；</w:t>
            </w:r>
          </w:p>
          <w:p w14:paraId="778F99CD">
            <w:pPr>
              <w:keepNext w:val="0"/>
              <w:keepLines w:val="0"/>
              <w:pageBreakBefore w:val="0"/>
              <w:widowControl/>
              <w:numPr>
                <w:ilvl w:val="0"/>
                <w:numId w:val="0"/>
              </w:numPr>
              <w:kinsoku/>
              <w:wordWrap/>
              <w:overflowPunct/>
              <w:topLinePunct w:val="0"/>
              <w:bidi w:val="0"/>
              <w:snapToGrid/>
              <w:spacing w:line="360" w:lineRule="auto"/>
              <w:jc w:val="left"/>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调查工作总体计划的阐述基本合理，现状调研基本了解，工作内容描述欠妥，采样方案部分可行的，得</w:t>
            </w:r>
            <w:r>
              <w:rPr>
                <w:rFonts w:hint="eastAsia" w:ascii="宋体" w:hAnsi="宋体" w:cs="宋体"/>
                <w:color w:val="auto"/>
                <w:sz w:val="21"/>
                <w:szCs w:val="21"/>
                <w:highlight w:val="none"/>
                <w:lang w:val="en-US" w:eastAsia="zh-CN"/>
              </w:rPr>
              <w:t>（0,7]</w:t>
            </w:r>
            <w:r>
              <w:rPr>
                <w:rFonts w:hint="eastAsia" w:ascii="宋体" w:hAnsi="宋体" w:eastAsia="宋体" w:cs="宋体"/>
                <w:bCs/>
                <w:color w:val="auto"/>
                <w:sz w:val="21"/>
                <w:szCs w:val="21"/>
                <w:highlight w:val="none"/>
              </w:rPr>
              <w:t>分；</w:t>
            </w:r>
          </w:p>
          <w:p w14:paraId="2844D4B4">
            <w:pPr>
              <w:keepNext w:val="0"/>
              <w:keepLines w:val="0"/>
              <w:pageBreakBefore w:val="0"/>
              <w:widowControl/>
              <w:numPr>
                <w:ilvl w:val="0"/>
                <w:numId w:val="0"/>
              </w:numPr>
              <w:kinsoku/>
              <w:wordWrap/>
              <w:overflowPunct/>
              <w:topLinePunct w:val="0"/>
              <w:bidi w:val="0"/>
              <w:snapToGrid/>
              <w:spacing w:line="360" w:lineRule="auto"/>
              <w:ind w:left="0" w:leftChars="0" w:firstLine="0" w:firstLineChars="0"/>
              <w:jc w:val="left"/>
              <w:textAlignment w:val="auto"/>
              <w:rPr>
                <w:rFonts w:ascii="宋体" w:hAnsi="宋体"/>
                <w:color w:val="auto"/>
                <w:sz w:val="21"/>
                <w:szCs w:val="21"/>
                <w:highlight w:val="none"/>
              </w:rPr>
            </w:pPr>
            <w:r>
              <w:rPr>
                <w:rFonts w:hint="eastAsia" w:ascii="宋体" w:hAnsi="宋体" w:cs="宋体"/>
                <w:bCs/>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不提供或者没有方案得0分</w:t>
            </w:r>
            <w:r>
              <w:rPr>
                <w:rFonts w:hint="eastAsia" w:ascii="宋体" w:hAnsi="宋体" w:eastAsia="宋体" w:cs="宋体"/>
                <w:color w:val="auto"/>
                <w:sz w:val="21"/>
                <w:szCs w:val="21"/>
                <w:highlight w:val="none"/>
              </w:rPr>
              <w:t>。</w:t>
            </w:r>
          </w:p>
        </w:tc>
      </w:tr>
      <w:tr w14:paraId="0B29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91" w:type="dxa"/>
            <w:vMerge w:val="continue"/>
          </w:tcPr>
          <w:p w14:paraId="5D6C51A6">
            <w:pPr>
              <w:spacing w:line="360" w:lineRule="auto"/>
              <w:jc w:val="center"/>
              <w:rPr>
                <w:rFonts w:ascii="宋体" w:hAnsi="宋体"/>
                <w:color w:val="auto"/>
                <w:spacing w:val="-1"/>
                <w:highlight w:val="none"/>
              </w:rPr>
            </w:pPr>
          </w:p>
        </w:tc>
        <w:tc>
          <w:tcPr>
            <w:tcW w:w="1287" w:type="dxa"/>
            <w:gridSpan w:val="2"/>
            <w:vMerge w:val="continue"/>
          </w:tcPr>
          <w:p w14:paraId="25435EFA">
            <w:pPr>
              <w:spacing w:line="360" w:lineRule="auto"/>
              <w:jc w:val="center"/>
              <w:rPr>
                <w:rFonts w:ascii="宋体" w:hAnsi="宋体"/>
                <w:color w:val="auto"/>
                <w:highlight w:val="none"/>
              </w:rPr>
            </w:pPr>
          </w:p>
        </w:tc>
        <w:tc>
          <w:tcPr>
            <w:tcW w:w="2132" w:type="dxa"/>
            <w:vAlign w:val="center"/>
          </w:tcPr>
          <w:p w14:paraId="76B3347B">
            <w:pPr>
              <w:spacing w:line="360" w:lineRule="auto"/>
              <w:jc w:val="center"/>
              <w:rPr>
                <w:rFonts w:ascii="宋体" w:hAnsi="宋体"/>
                <w:color w:val="auto"/>
                <w:sz w:val="21"/>
                <w:szCs w:val="21"/>
                <w:highlight w:val="none"/>
              </w:rPr>
            </w:pPr>
            <w:r>
              <w:rPr>
                <w:rFonts w:hint="eastAsia" w:ascii="宋体" w:hAnsi="宋体" w:eastAsia="宋体" w:cs="宋体"/>
                <w:bCs/>
                <w:color w:val="auto"/>
                <w:sz w:val="21"/>
                <w:szCs w:val="21"/>
                <w:highlight w:val="none"/>
              </w:rPr>
              <w:t>质量控制方案（</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tc>
        <w:tc>
          <w:tcPr>
            <w:tcW w:w="5252" w:type="dxa"/>
            <w:vAlign w:val="center"/>
          </w:tcPr>
          <w:p w14:paraId="4333F919">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质量控制方案针对性强，技术措施先进、科学合理、切实可行，满足项目实际需求，得</w:t>
            </w:r>
            <w:r>
              <w:rPr>
                <w:rFonts w:hint="eastAsia" w:ascii="宋体" w:hAnsi="宋体" w:cs="宋体"/>
                <w:color w:val="auto"/>
                <w:sz w:val="21"/>
                <w:szCs w:val="21"/>
                <w:highlight w:val="none"/>
                <w:lang w:val="en-US" w:eastAsia="zh-CN"/>
              </w:rPr>
              <w:t>（4,5]</w:t>
            </w:r>
            <w:r>
              <w:rPr>
                <w:rFonts w:hint="eastAsia" w:ascii="宋体" w:hAnsi="宋体" w:eastAsia="宋体" w:cs="宋体"/>
                <w:bCs/>
                <w:color w:val="auto"/>
                <w:sz w:val="21"/>
                <w:szCs w:val="21"/>
                <w:highlight w:val="none"/>
              </w:rPr>
              <w:t>分；</w:t>
            </w:r>
          </w:p>
          <w:p w14:paraId="3C819667">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质量控制方案针对性</w:t>
            </w:r>
            <w:r>
              <w:rPr>
                <w:rFonts w:hint="eastAsia" w:ascii="宋体" w:hAnsi="宋体" w:eastAsia="宋体" w:cs="宋体"/>
                <w:bCs/>
                <w:color w:val="auto"/>
                <w:sz w:val="21"/>
                <w:szCs w:val="21"/>
                <w:highlight w:val="none"/>
                <w:lang w:val="en-US" w:eastAsia="zh-CN"/>
              </w:rPr>
              <w:t>较</w:t>
            </w:r>
            <w:r>
              <w:rPr>
                <w:rFonts w:hint="eastAsia" w:ascii="宋体" w:hAnsi="宋体" w:eastAsia="宋体" w:cs="宋体"/>
                <w:bCs/>
                <w:color w:val="auto"/>
                <w:sz w:val="21"/>
                <w:szCs w:val="21"/>
                <w:highlight w:val="none"/>
              </w:rPr>
              <w:t>强，技术措施</w:t>
            </w:r>
            <w:r>
              <w:rPr>
                <w:rFonts w:hint="eastAsia" w:ascii="宋体" w:hAnsi="宋体" w:eastAsia="宋体" w:cs="宋体"/>
                <w:bCs/>
                <w:color w:val="auto"/>
                <w:sz w:val="21"/>
                <w:szCs w:val="21"/>
                <w:highlight w:val="none"/>
                <w:lang w:val="en-US" w:eastAsia="zh-CN"/>
              </w:rPr>
              <w:t>较</w:t>
            </w:r>
            <w:r>
              <w:rPr>
                <w:rFonts w:hint="eastAsia" w:ascii="宋体" w:hAnsi="宋体" w:eastAsia="宋体" w:cs="宋体"/>
                <w:bCs/>
                <w:color w:val="auto"/>
                <w:sz w:val="21"/>
                <w:szCs w:val="21"/>
                <w:highlight w:val="none"/>
              </w:rPr>
              <w:t>先进</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基本合理，较为可行，基本满足项目实际需求，得</w:t>
            </w:r>
            <w:r>
              <w:rPr>
                <w:rFonts w:hint="eastAsia" w:ascii="宋体" w:hAnsi="宋体" w:cs="宋体"/>
                <w:color w:val="auto"/>
                <w:sz w:val="21"/>
                <w:szCs w:val="21"/>
                <w:highlight w:val="none"/>
                <w:lang w:val="en-US" w:eastAsia="zh-CN"/>
              </w:rPr>
              <w:t>（2,4]</w:t>
            </w:r>
            <w:r>
              <w:rPr>
                <w:rFonts w:hint="eastAsia" w:ascii="宋体" w:hAnsi="宋体" w:eastAsia="宋体" w:cs="宋体"/>
                <w:bCs/>
                <w:color w:val="auto"/>
                <w:sz w:val="21"/>
                <w:szCs w:val="21"/>
                <w:highlight w:val="none"/>
              </w:rPr>
              <w:t>分；</w:t>
            </w:r>
          </w:p>
          <w:p w14:paraId="11988920">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质量控制方案针对性</w:t>
            </w:r>
            <w:r>
              <w:rPr>
                <w:rFonts w:hint="eastAsia" w:ascii="宋体" w:hAnsi="宋体" w:eastAsia="宋体" w:cs="宋体"/>
                <w:bCs/>
                <w:color w:val="auto"/>
                <w:sz w:val="21"/>
                <w:szCs w:val="21"/>
                <w:highlight w:val="none"/>
                <w:lang w:val="en-US" w:eastAsia="zh-CN"/>
              </w:rPr>
              <w:t>一般</w:t>
            </w:r>
            <w:r>
              <w:rPr>
                <w:rFonts w:hint="eastAsia" w:ascii="宋体" w:hAnsi="宋体" w:eastAsia="宋体" w:cs="宋体"/>
                <w:bCs/>
                <w:color w:val="auto"/>
                <w:sz w:val="21"/>
                <w:szCs w:val="21"/>
                <w:highlight w:val="none"/>
              </w:rPr>
              <w:t>，技术措施</w:t>
            </w:r>
            <w:r>
              <w:rPr>
                <w:rFonts w:hint="eastAsia" w:ascii="宋体" w:hAnsi="宋体" w:eastAsia="宋体" w:cs="宋体"/>
                <w:bCs/>
                <w:color w:val="auto"/>
                <w:sz w:val="21"/>
                <w:szCs w:val="21"/>
                <w:highlight w:val="none"/>
                <w:lang w:val="en-US" w:eastAsia="zh-CN"/>
              </w:rPr>
              <w:t>基本可行，</w:t>
            </w:r>
            <w:r>
              <w:rPr>
                <w:rFonts w:hint="eastAsia" w:ascii="宋体" w:hAnsi="宋体" w:eastAsia="宋体" w:cs="宋体"/>
                <w:bCs/>
                <w:color w:val="auto"/>
                <w:sz w:val="21"/>
                <w:szCs w:val="21"/>
                <w:highlight w:val="none"/>
              </w:rPr>
              <w:t>不够科学合理，不可行，不满足项目实际需求，得</w:t>
            </w:r>
            <w:r>
              <w:rPr>
                <w:rFonts w:hint="eastAsia" w:ascii="宋体" w:hAnsi="宋体" w:cs="宋体"/>
                <w:color w:val="auto"/>
                <w:sz w:val="21"/>
                <w:szCs w:val="21"/>
                <w:highlight w:val="none"/>
                <w:lang w:val="en-US" w:eastAsia="zh-CN"/>
              </w:rPr>
              <w:t>（0,2]</w:t>
            </w:r>
            <w:r>
              <w:rPr>
                <w:rFonts w:hint="eastAsia" w:ascii="宋体" w:hAnsi="宋体" w:eastAsia="宋体" w:cs="宋体"/>
                <w:bCs/>
                <w:color w:val="auto"/>
                <w:sz w:val="21"/>
                <w:szCs w:val="21"/>
                <w:highlight w:val="none"/>
              </w:rPr>
              <w:t>分。</w:t>
            </w:r>
          </w:p>
          <w:p w14:paraId="4CE5361E">
            <w:pPr>
              <w:spacing w:line="360" w:lineRule="auto"/>
              <w:jc w:val="left"/>
              <w:rPr>
                <w:rFonts w:ascii="宋体" w:hAnsi="宋体"/>
                <w:color w:val="auto"/>
                <w:sz w:val="21"/>
                <w:szCs w:val="21"/>
                <w:highlight w:val="none"/>
              </w:rPr>
            </w:pPr>
            <w:r>
              <w:rPr>
                <w:rFonts w:hint="eastAsia" w:ascii="宋体" w:hAnsi="宋体" w:eastAsia="宋体" w:cs="宋体"/>
                <w:bCs/>
                <w:color w:val="auto"/>
                <w:sz w:val="21"/>
                <w:szCs w:val="21"/>
                <w:highlight w:val="none"/>
                <w:lang w:val="en-US" w:eastAsia="zh-CN"/>
              </w:rPr>
              <w:t>4、不提供或者没有方案得0分。</w:t>
            </w:r>
          </w:p>
        </w:tc>
      </w:tr>
      <w:tr w14:paraId="2F40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91" w:type="dxa"/>
            <w:vMerge w:val="continue"/>
          </w:tcPr>
          <w:p w14:paraId="26F450B0">
            <w:pPr>
              <w:spacing w:line="360" w:lineRule="auto"/>
              <w:jc w:val="center"/>
              <w:rPr>
                <w:rFonts w:ascii="宋体" w:hAnsi="宋体"/>
                <w:color w:val="auto"/>
                <w:spacing w:val="-1"/>
                <w:highlight w:val="none"/>
              </w:rPr>
            </w:pPr>
          </w:p>
        </w:tc>
        <w:tc>
          <w:tcPr>
            <w:tcW w:w="1287" w:type="dxa"/>
            <w:gridSpan w:val="2"/>
            <w:vMerge w:val="continue"/>
          </w:tcPr>
          <w:p w14:paraId="7D4F3814">
            <w:pPr>
              <w:spacing w:line="360" w:lineRule="auto"/>
              <w:jc w:val="center"/>
              <w:rPr>
                <w:rFonts w:ascii="宋体" w:hAnsi="宋体"/>
                <w:color w:val="auto"/>
                <w:highlight w:val="none"/>
              </w:rPr>
            </w:pPr>
          </w:p>
        </w:tc>
        <w:tc>
          <w:tcPr>
            <w:tcW w:w="2132" w:type="dxa"/>
            <w:vAlign w:val="center"/>
          </w:tcPr>
          <w:p w14:paraId="632BC576">
            <w:pPr>
              <w:spacing w:line="360" w:lineRule="auto"/>
              <w:jc w:val="center"/>
              <w:rPr>
                <w:rFonts w:ascii="宋体" w:hAnsi="宋体"/>
                <w:color w:val="auto"/>
                <w:sz w:val="21"/>
                <w:szCs w:val="21"/>
                <w:highlight w:val="none"/>
              </w:rPr>
            </w:pPr>
            <w:r>
              <w:rPr>
                <w:rFonts w:hint="eastAsia" w:ascii="宋体" w:hAnsi="宋体" w:eastAsia="宋体" w:cs="宋体"/>
                <w:color w:val="auto"/>
                <w:spacing w:val="-3"/>
                <w:sz w:val="21"/>
                <w:szCs w:val="21"/>
                <w:highlight w:val="none"/>
              </w:rPr>
              <w:t>进度控制措施（</w:t>
            </w:r>
            <w:r>
              <w:rPr>
                <w:rFonts w:hint="eastAsia" w:ascii="宋体" w:hAnsi="宋体" w:cs="宋体"/>
                <w:color w:val="auto"/>
                <w:spacing w:val="-3"/>
                <w:sz w:val="21"/>
                <w:szCs w:val="21"/>
                <w:highlight w:val="none"/>
                <w:lang w:val="en-US" w:eastAsia="zh-CN"/>
              </w:rPr>
              <w:t>10</w:t>
            </w:r>
            <w:r>
              <w:rPr>
                <w:rFonts w:hint="eastAsia" w:ascii="宋体" w:hAnsi="宋体" w:eastAsia="宋体" w:cs="宋体"/>
                <w:color w:val="auto"/>
                <w:spacing w:val="-3"/>
                <w:sz w:val="21"/>
                <w:szCs w:val="21"/>
                <w:highlight w:val="none"/>
              </w:rPr>
              <w:t>分）</w:t>
            </w:r>
          </w:p>
        </w:tc>
        <w:tc>
          <w:tcPr>
            <w:tcW w:w="5252" w:type="dxa"/>
            <w:vAlign w:val="center"/>
          </w:tcPr>
          <w:p w14:paraId="21723C10">
            <w:pPr>
              <w:pStyle w:val="15"/>
              <w:spacing w:line="360" w:lineRule="auto"/>
              <w:ind w:firstLine="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针对投标人的组织实施计划、进度计划、各指标的检测周期、对工期要求的保障措施、与地块修复相关的单位配合协调措施进行评审</w:t>
            </w:r>
            <w:r>
              <w:rPr>
                <w:rFonts w:hint="eastAsia" w:ascii="宋体" w:hAnsi="宋体" w:cs="宋体"/>
                <w:bCs/>
                <w:color w:val="auto"/>
                <w:sz w:val="21"/>
                <w:szCs w:val="21"/>
                <w:highlight w:val="none"/>
                <w:lang w:val="en-US" w:eastAsia="zh-CN"/>
              </w:rPr>
              <w:t>，并提供相关承诺</w:t>
            </w:r>
            <w:r>
              <w:rPr>
                <w:rFonts w:hint="eastAsia" w:ascii="宋体" w:hAnsi="宋体" w:eastAsia="宋体" w:cs="宋体"/>
                <w:bCs/>
                <w:color w:val="auto"/>
                <w:sz w:val="21"/>
                <w:szCs w:val="21"/>
                <w:highlight w:val="none"/>
                <w:lang w:val="en-US" w:eastAsia="zh-CN"/>
              </w:rPr>
              <w:t>：</w:t>
            </w:r>
          </w:p>
          <w:p w14:paraId="24ED2239">
            <w:pPr>
              <w:pStyle w:val="15"/>
              <w:spacing w:line="360" w:lineRule="auto"/>
              <w:ind w:firstLine="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方案措施先进合理、针对性强，能与土壤修复单位配合协调，得</w:t>
            </w:r>
            <w:r>
              <w:rPr>
                <w:rFonts w:hint="eastAsia" w:ascii="宋体" w:hAnsi="宋体" w:cs="宋体"/>
                <w:color w:val="auto"/>
                <w:sz w:val="21"/>
                <w:szCs w:val="21"/>
                <w:highlight w:val="none"/>
                <w:lang w:val="en-US" w:eastAsia="zh-CN"/>
              </w:rPr>
              <w:t>（4,6]</w:t>
            </w:r>
            <w:r>
              <w:rPr>
                <w:rFonts w:hint="eastAsia" w:ascii="宋体" w:hAnsi="宋体" w:eastAsia="宋体" w:cs="宋体"/>
                <w:bCs/>
                <w:color w:val="auto"/>
                <w:sz w:val="21"/>
                <w:szCs w:val="21"/>
                <w:highlight w:val="none"/>
                <w:lang w:val="en-US" w:eastAsia="zh-CN"/>
              </w:rPr>
              <w:t>分；方案措施较合理、针对性较好，与土壤修复单位配合协调一般，得</w:t>
            </w:r>
            <w:r>
              <w:rPr>
                <w:rFonts w:hint="eastAsia" w:ascii="宋体" w:hAnsi="宋体" w:cs="宋体"/>
                <w:color w:val="auto"/>
                <w:sz w:val="21"/>
                <w:szCs w:val="21"/>
                <w:highlight w:val="none"/>
                <w:lang w:val="en-US" w:eastAsia="zh-CN"/>
              </w:rPr>
              <w:t>（2,4]</w:t>
            </w:r>
            <w:r>
              <w:rPr>
                <w:rFonts w:hint="eastAsia" w:ascii="宋体" w:hAnsi="宋体" w:eastAsia="宋体" w:cs="宋体"/>
                <w:bCs/>
                <w:color w:val="auto"/>
                <w:sz w:val="21"/>
                <w:szCs w:val="21"/>
                <w:highlight w:val="none"/>
                <w:lang w:val="en-US" w:eastAsia="zh-CN"/>
              </w:rPr>
              <w:t>分；方案措施一般，措施部分可行，与土壤修复单位配合协调</w:t>
            </w:r>
            <w:r>
              <w:rPr>
                <w:rFonts w:hint="eastAsia" w:ascii="宋体" w:hAnsi="宋体" w:cs="宋体"/>
                <w:bCs/>
                <w:color w:val="auto"/>
                <w:sz w:val="21"/>
                <w:szCs w:val="21"/>
                <w:highlight w:val="none"/>
                <w:lang w:val="en-US" w:eastAsia="zh-CN"/>
              </w:rPr>
              <w:t>差</w:t>
            </w:r>
            <w:r>
              <w:rPr>
                <w:rFonts w:hint="eastAsia" w:ascii="宋体" w:hAnsi="宋体" w:eastAsia="宋体" w:cs="宋体"/>
                <w:bCs/>
                <w:color w:val="auto"/>
                <w:sz w:val="21"/>
                <w:szCs w:val="21"/>
                <w:highlight w:val="none"/>
                <w:lang w:val="en-US" w:eastAsia="zh-CN"/>
              </w:rPr>
              <w:t>，得</w:t>
            </w:r>
            <w:r>
              <w:rPr>
                <w:rFonts w:hint="eastAsia" w:ascii="宋体" w:hAnsi="宋体" w:cs="宋体"/>
                <w:color w:val="auto"/>
                <w:sz w:val="21"/>
                <w:szCs w:val="21"/>
                <w:highlight w:val="none"/>
                <w:lang w:val="en-US" w:eastAsia="zh-CN"/>
              </w:rPr>
              <w:t>（0,2]</w:t>
            </w:r>
            <w:r>
              <w:rPr>
                <w:rFonts w:hint="eastAsia" w:ascii="宋体" w:hAnsi="宋体" w:eastAsia="宋体" w:cs="宋体"/>
                <w:bCs/>
                <w:color w:val="auto"/>
                <w:sz w:val="21"/>
                <w:szCs w:val="21"/>
                <w:highlight w:val="none"/>
                <w:lang w:val="en-US" w:eastAsia="zh-CN"/>
              </w:rPr>
              <w:t>分。</w:t>
            </w:r>
            <w:r>
              <w:rPr>
                <w:rFonts w:hint="eastAsia"/>
                <w:color w:val="auto"/>
                <w:highlight w:val="none"/>
                <w:lang w:val="en-US" w:eastAsia="zh-CN"/>
              </w:rPr>
              <w:t>不提供或者没有方案得0分。</w:t>
            </w:r>
          </w:p>
          <w:p w14:paraId="0C18A65C">
            <w:pPr>
              <w:pStyle w:val="15"/>
              <w:spacing w:line="360" w:lineRule="auto"/>
              <w:ind w:firstLine="0"/>
              <w:jc w:val="lef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2.承诺地块土壤污染修复完成后60个日历天内提供效果评估报告的，得4分，90个日历天内提供效果评估报告的，得2分。</w:t>
            </w:r>
          </w:p>
          <w:p w14:paraId="6AB9502B">
            <w:pPr>
              <w:rPr>
                <w:rFonts w:ascii="宋体" w:hAnsi="宋体"/>
                <w:color w:val="auto"/>
                <w:sz w:val="21"/>
                <w:szCs w:val="21"/>
                <w:highlight w:val="none"/>
              </w:rPr>
            </w:pPr>
            <w:r>
              <w:rPr>
                <w:rFonts w:hint="eastAsia" w:ascii="宋体" w:hAnsi="宋体" w:cs="宋体"/>
                <w:bCs/>
                <w:color w:val="auto"/>
                <w:sz w:val="21"/>
                <w:szCs w:val="21"/>
                <w:highlight w:val="none"/>
                <w:lang w:val="en-US" w:eastAsia="zh-CN"/>
              </w:rPr>
              <w:t>本项最高得10分。</w:t>
            </w:r>
          </w:p>
        </w:tc>
      </w:tr>
      <w:tr w14:paraId="00E9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Merge w:val="continue"/>
          </w:tcPr>
          <w:p w14:paraId="5AF7013C">
            <w:pPr>
              <w:spacing w:line="360" w:lineRule="auto"/>
              <w:jc w:val="center"/>
              <w:rPr>
                <w:rFonts w:ascii="宋体" w:hAnsi="宋体"/>
                <w:color w:val="auto"/>
                <w:spacing w:val="-1"/>
                <w:highlight w:val="none"/>
              </w:rPr>
            </w:pPr>
          </w:p>
        </w:tc>
        <w:tc>
          <w:tcPr>
            <w:tcW w:w="1287" w:type="dxa"/>
            <w:gridSpan w:val="2"/>
            <w:vMerge w:val="continue"/>
          </w:tcPr>
          <w:p w14:paraId="27DD231A">
            <w:pPr>
              <w:spacing w:line="360" w:lineRule="auto"/>
              <w:jc w:val="center"/>
              <w:rPr>
                <w:rFonts w:ascii="宋体" w:hAnsi="宋体"/>
                <w:color w:val="auto"/>
                <w:highlight w:val="none"/>
              </w:rPr>
            </w:pPr>
          </w:p>
        </w:tc>
        <w:tc>
          <w:tcPr>
            <w:tcW w:w="2132" w:type="dxa"/>
            <w:vAlign w:val="center"/>
          </w:tcPr>
          <w:p w14:paraId="211368E8">
            <w:pPr>
              <w:spacing w:line="360" w:lineRule="auto"/>
              <w:jc w:val="center"/>
              <w:rPr>
                <w:rFonts w:ascii="宋体" w:hAnsi="宋体"/>
                <w:color w:val="auto"/>
                <w:sz w:val="21"/>
                <w:szCs w:val="21"/>
                <w:highlight w:val="none"/>
              </w:rPr>
            </w:pPr>
            <w:r>
              <w:rPr>
                <w:rFonts w:hint="eastAsia" w:ascii="宋体" w:hAnsi="宋体" w:eastAsia="宋体" w:cs="宋体"/>
                <w:bCs/>
                <w:color w:val="auto"/>
                <w:sz w:val="21"/>
                <w:szCs w:val="21"/>
                <w:highlight w:val="none"/>
              </w:rPr>
              <w:t>安全控制措施（</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tc>
        <w:tc>
          <w:tcPr>
            <w:tcW w:w="5252" w:type="dxa"/>
            <w:vAlign w:val="center"/>
          </w:tcPr>
          <w:p w14:paraId="321B5C8F">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安全控制措施全面具体、合理有效、可操作性强，得</w:t>
            </w:r>
            <w:r>
              <w:rPr>
                <w:rFonts w:hint="eastAsia" w:ascii="宋体" w:hAnsi="宋体" w:cs="宋体"/>
                <w:color w:val="auto"/>
                <w:sz w:val="21"/>
                <w:szCs w:val="21"/>
                <w:highlight w:val="none"/>
                <w:lang w:val="en-US" w:eastAsia="zh-CN"/>
              </w:rPr>
              <w:t>（4,5]</w:t>
            </w:r>
            <w:r>
              <w:rPr>
                <w:rFonts w:hint="eastAsia" w:ascii="宋体" w:hAnsi="宋体" w:eastAsia="宋体" w:cs="宋体"/>
                <w:bCs/>
                <w:color w:val="auto"/>
                <w:sz w:val="21"/>
                <w:szCs w:val="21"/>
                <w:highlight w:val="none"/>
              </w:rPr>
              <w:t>分；</w:t>
            </w:r>
          </w:p>
          <w:p w14:paraId="57AFAEB1">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安全控制措施较为全面具体、较为合理有效、可操作性一般，得</w:t>
            </w:r>
            <w:r>
              <w:rPr>
                <w:rFonts w:hint="eastAsia" w:ascii="宋体" w:hAnsi="宋体" w:cs="宋体"/>
                <w:color w:val="auto"/>
                <w:sz w:val="21"/>
                <w:szCs w:val="21"/>
                <w:highlight w:val="none"/>
                <w:lang w:val="en-US" w:eastAsia="zh-CN"/>
              </w:rPr>
              <w:t>（2,4]</w:t>
            </w:r>
            <w:r>
              <w:rPr>
                <w:rFonts w:hint="eastAsia" w:ascii="宋体" w:hAnsi="宋体" w:eastAsia="宋体" w:cs="宋体"/>
                <w:bCs/>
                <w:color w:val="auto"/>
                <w:sz w:val="21"/>
                <w:szCs w:val="21"/>
                <w:highlight w:val="none"/>
              </w:rPr>
              <w:t>分；</w:t>
            </w:r>
          </w:p>
          <w:p w14:paraId="0C94CC0B">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安全控制措施不够全面具体、不够合理有效、可操作性差，得</w:t>
            </w:r>
            <w:r>
              <w:rPr>
                <w:rFonts w:hint="eastAsia" w:ascii="宋体" w:hAnsi="宋体" w:cs="宋体"/>
                <w:color w:val="auto"/>
                <w:sz w:val="21"/>
                <w:szCs w:val="21"/>
                <w:highlight w:val="none"/>
                <w:lang w:val="en-US" w:eastAsia="zh-CN"/>
              </w:rPr>
              <w:t>（0,2]</w:t>
            </w:r>
            <w:r>
              <w:rPr>
                <w:rFonts w:hint="eastAsia" w:ascii="宋体" w:hAnsi="宋体" w:eastAsia="宋体" w:cs="宋体"/>
                <w:bCs/>
                <w:color w:val="auto"/>
                <w:sz w:val="21"/>
                <w:szCs w:val="21"/>
                <w:highlight w:val="none"/>
              </w:rPr>
              <w:t>分；</w:t>
            </w:r>
          </w:p>
          <w:p w14:paraId="479C2448">
            <w:pPr>
              <w:spacing w:line="360" w:lineRule="auto"/>
              <w:jc w:val="left"/>
              <w:rPr>
                <w:rFonts w:ascii="宋体" w:hAnsi="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不提供或者没有方案得0分</w:t>
            </w:r>
            <w:r>
              <w:rPr>
                <w:rFonts w:hint="eastAsia" w:ascii="宋体" w:hAnsi="宋体" w:eastAsia="宋体" w:cs="宋体"/>
                <w:color w:val="auto"/>
                <w:sz w:val="21"/>
                <w:szCs w:val="21"/>
                <w:highlight w:val="none"/>
              </w:rPr>
              <w:t>。</w:t>
            </w:r>
          </w:p>
        </w:tc>
      </w:tr>
      <w:tr w14:paraId="381D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Align w:val="center"/>
          </w:tcPr>
          <w:p w14:paraId="4CBB5835">
            <w:pPr>
              <w:pStyle w:val="23"/>
              <w:kinsoku w:val="0"/>
              <w:overflowPunct w:val="0"/>
              <w:spacing w:before="1" w:line="360" w:lineRule="auto"/>
              <w:ind w:left="-63" w:leftChars="-30" w:right="-111" w:rightChars="-53" w:firstLine="48" w:firstLineChars="30"/>
              <w:jc w:val="center"/>
              <w:rPr>
                <w:rFonts w:hint="default"/>
                <w:color w:val="auto"/>
                <w:sz w:val="16"/>
                <w:highlight w:val="none"/>
              </w:rPr>
            </w:pPr>
          </w:p>
          <w:p w14:paraId="7B79E3BE">
            <w:pPr>
              <w:pStyle w:val="23"/>
              <w:kinsoku w:val="0"/>
              <w:overflowPunct w:val="0"/>
              <w:spacing w:line="360" w:lineRule="auto"/>
              <w:ind w:left="-63" w:leftChars="-30" w:right="-111" w:rightChars="-53" w:firstLine="63" w:firstLineChars="30"/>
              <w:jc w:val="center"/>
              <w:rPr>
                <w:rFonts w:hint="default" w:eastAsia="Times New Roman"/>
                <w:color w:val="auto"/>
                <w:highlight w:val="none"/>
              </w:rPr>
            </w:pPr>
            <w:r>
              <w:rPr>
                <w:rFonts w:eastAsia="Times New Roman"/>
                <w:color w:val="auto"/>
                <w:highlight w:val="none"/>
              </w:rPr>
              <w:t>2.2.4</w:t>
            </w:r>
          </w:p>
          <w:p w14:paraId="4C6C5532">
            <w:pPr>
              <w:pStyle w:val="23"/>
              <w:kinsoku w:val="0"/>
              <w:overflowPunct w:val="0"/>
              <w:spacing w:before="6" w:line="360" w:lineRule="auto"/>
              <w:ind w:left="-63" w:leftChars="-30" w:right="-111" w:rightChars="-53" w:firstLine="33" w:firstLineChars="30"/>
              <w:jc w:val="center"/>
              <w:rPr>
                <w:rFonts w:hint="default"/>
                <w:color w:val="auto"/>
                <w:sz w:val="11"/>
                <w:highlight w:val="none"/>
              </w:rPr>
            </w:pPr>
          </w:p>
          <w:p w14:paraId="0C7C2B45">
            <w:pPr>
              <w:pStyle w:val="23"/>
              <w:kinsoku w:val="0"/>
              <w:overflowPunct w:val="0"/>
              <w:spacing w:line="360" w:lineRule="auto"/>
              <w:ind w:left="-63" w:leftChars="-30" w:right="-111" w:rightChars="-53" w:firstLine="62" w:firstLineChars="30"/>
              <w:jc w:val="center"/>
              <w:rPr>
                <w:rFonts w:hint="default"/>
                <w:color w:val="auto"/>
                <w:highlight w:val="none"/>
              </w:rPr>
            </w:pPr>
            <w:r>
              <w:rPr>
                <w:rFonts w:ascii="宋体" w:hAnsi="宋体"/>
                <w:color w:val="auto"/>
                <w:spacing w:val="-1"/>
                <w:highlight w:val="none"/>
              </w:rPr>
              <w:t>（</w:t>
            </w:r>
            <w:r>
              <w:rPr>
                <w:rFonts w:eastAsia="Times New Roman"/>
                <w:color w:val="auto"/>
                <w:highlight w:val="none"/>
              </w:rPr>
              <w:t>3</w:t>
            </w:r>
            <w:r>
              <w:rPr>
                <w:rFonts w:ascii="宋体" w:hAnsi="宋体"/>
                <w:color w:val="auto"/>
                <w:highlight w:val="none"/>
              </w:rPr>
              <w:t>）</w:t>
            </w:r>
          </w:p>
        </w:tc>
        <w:tc>
          <w:tcPr>
            <w:tcW w:w="1287" w:type="dxa"/>
            <w:gridSpan w:val="2"/>
            <w:vAlign w:val="center"/>
          </w:tcPr>
          <w:p w14:paraId="1DF361BA">
            <w:pPr>
              <w:spacing w:line="360" w:lineRule="auto"/>
              <w:ind w:left="315" w:hanging="315" w:hangingChars="150"/>
              <w:jc w:val="center"/>
              <w:rPr>
                <w:rFonts w:ascii="宋体" w:hAnsi="Courier New"/>
                <w:color w:val="auto"/>
                <w:szCs w:val="21"/>
                <w:highlight w:val="none"/>
              </w:rPr>
            </w:pPr>
            <w:r>
              <w:rPr>
                <w:rFonts w:hint="eastAsia" w:ascii="宋体" w:hAnsi="宋体"/>
                <w:color w:val="auto"/>
                <w:highlight w:val="none"/>
              </w:rPr>
              <w:t>投标</w:t>
            </w:r>
            <w:r>
              <w:rPr>
                <w:rFonts w:hint="eastAsia" w:ascii="宋体" w:hAnsi="Courier New"/>
                <w:color w:val="auto"/>
                <w:szCs w:val="21"/>
                <w:highlight w:val="none"/>
              </w:rPr>
              <w:t>报价</w:t>
            </w:r>
          </w:p>
          <w:p w14:paraId="68B74A7C">
            <w:pPr>
              <w:spacing w:line="360" w:lineRule="auto"/>
              <w:ind w:left="315" w:hanging="315" w:hangingChars="150"/>
              <w:jc w:val="center"/>
              <w:rPr>
                <w:rFonts w:ascii="宋体" w:hAnsi="宋体"/>
                <w:color w:val="auto"/>
                <w:highlight w:val="none"/>
              </w:rPr>
            </w:pPr>
            <w:r>
              <w:rPr>
                <w:rFonts w:hint="eastAsia" w:ascii="宋体" w:hAnsi="宋体"/>
                <w:color w:val="auto"/>
                <w:highlight w:val="none"/>
              </w:rPr>
              <w:t>评分</w:t>
            </w:r>
            <w:r>
              <w:rPr>
                <w:rFonts w:hint="eastAsia" w:ascii="宋体" w:hAnsi="宋体"/>
                <w:color w:val="auto"/>
                <w:spacing w:val="-3"/>
                <w:highlight w:val="none"/>
              </w:rPr>
              <w:t>标</w:t>
            </w:r>
            <w:r>
              <w:rPr>
                <w:rFonts w:hint="eastAsia" w:ascii="宋体" w:hAnsi="宋体"/>
                <w:color w:val="auto"/>
                <w:highlight w:val="none"/>
              </w:rPr>
              <w:t>准</w:t>
            </w:r>
          </w:p>
          <w:p w14:paraId="746C6767">
            <w:pPr>
              <w:spacing w:line="360" w:lineRule="auto"/>
              <w:ind w:left="315" w:hanging="315" w:hangingChars="150"/>
              <w:jc w:val="center"/>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10</w:t>
            </w:r>
            <w:r>
              <w:rPr>
                <w:rFonts w:hint="eastAsia" w:ascii="宋体" w:hAnsi="宋体"/>
                <w:color w:val="auto"/>
                <w:highlight w:val="none"/>
              </w:rPr>
              <w:t>分）</w:t>
            </w:r>
          </w:p>
        </w:tc>
        <w:tc>
          <w:tcPr>
            <w:tcW w:w="2132" w:type="dxa"/>
            <w:vAlign w:val="center"/>
          </w:tcPr>
          <w:p w14:paraId="0DDA6A08">
            <w:pPr>
              <w:pStyle w:val="23"/>
              <w:kinsoku w:val="0"/>
              <w:overflowPunct w:val="0"/>
              <w:spacing w:before="14" w:line="360" w:lineRule="auto"/>
              <w:ind w:left="-102" w:leftChars="-49" w:hanging="1"/>
              <w:jc w:val="center"/>
              <w:rPr>
                <w:rFonts w:hint="default" w:ascii="宋体" w:hAnsi="宋体"/>
                <w:color w:val="auto"/>
                <w:highlight w:val="none"/>
              </w:rPr>
            </w:pPr>
            <w:r>
              <w:rPr>
                <w:rFonts w:ascii="宋体" w:hAnsi="宋体"/>
                <w:color w:val="auto"/>
                <w:highlight w:val="none"/>
              </w:rPr>
              <w:t>报价得分</w:t>
            </w:r>
            <w:r>
              <w:rPr>
                <w:rFonts w:ascii="宋体" w:hAnsi="宋体" w:cs="宋体"/>
                <w:color w:val="auto"/>
                <w:szCs w:val="21"/>
                <w:highlight w:val="none"/>
              </w:rPr>
              <w:t>(</w:t>
            </w:r>
            <w:r>
              <w:rPr>
                <w:rFonts w:hint="eastAsia" w:ascii="宋体" w:hAnsi="宋体" w:cs="宋体"/>
                <w:color w:val="auto"/>
                <w:szCs w:val="21"/>
                <w:highlight w:val="none"/>
                <w:lang w:val="en-US" w:eastAsia="zh-CN"/>
              </w:rPr>
              <w:t>10</w:t>
            </w:r>
            <w:r>
              <w:rPr>
                <w:rFonts w:ascii="宋体" w:hAnsi="宋体" w:cs="宋体"/>
                <w:color w:val="auto"/>
                <w:szCs w:val="21"/>
                <w:highlight w:val="none"/>
              </w:rPr>
              <w:t>分)</w:t>
            </w:r>
          </w:p>
        </w:tc>
        <w:tc>
          <w:tcPr>
            <w:tcW w:w="5252" w:type="dxa"/>
          </w:tcPr>
          <w:p w14:paraId="0D97ADD5">
            <w:pPr>
              <w:spacing w:line="360" w:lineRule="auto"/>
              <w:rPr>
                <w:rFonts w:ascii="宋体" w:hAnsi="宋体"/>
                <w:color w:val="auto"/>
                <w:highlight w:val="none"/>
              </w:rPr>
            </w:pPr>
            <w:r>
              <w:rPr>
                <w:rFonts w:hint="eastAsia" w:ascii="宋体" w:hAnsi="宋体"/>
                <w:color w:val="auto"/>
                <w:highlight w:val="none"/>
              </w:rPr>
              <w:t>以评标基准价作为计算各有效投标价得分的基础，当有效投标报价等于评标基准价时得</w:t>
            </w:r>
            <w:r>
              <w:rPr>
                <w:rFonts w:hint="eastAsia" w:ascii="宋体" w:hAnsi="宋体"/>
                <w:color w:val="auto"/>
                <w:highlight w:val="none"/>
                <w:lang w:val="en-US" w:eastAsia="zh-CN"/>
              </w:rPr>
              <w:t>10</w:t>
            </w:r>
            <w:r>
              <w:rPr>
                <w:rFonts w:hint="eastAsia" w:ascii="宋体" w:hAnsi="宋体"/>
                <w:color w:val="auto"/>
                <w:highlight w:val="none"/>
              </w:rPr>
              <w:t>分；投标有效报价与评标基准价之差，每上偏1%扣</w:t>
            </w:r>
            <w:r>
              <w:rPr>
                <w:rFonts w:hint="eastAsia" w:ascii="宋体" w:hAnsi="宋体"/>
                <w:color w:val="auto"/>
                <w:highlight w:val="none"/>
                <w:lang w:val="en-US" w:eastAsia="zh-CN"/>
              </w:rPr>
              <w:t>0.5</w:t>
            </w:r>
            <w:r>
              <w:rPr>
                <w:rFonts w:hint="eastAsia" w:ascii="宋体" w:hAnsi="宋体"/>
                <w:color w:val="auto"/>
                <w:highlight w:val="none"/>
              </w:rPr>
              <w:t>分，下偏1%扣</w:t>
            </w:r>
            <w:r>
              <w:rPr>
                <w:rFonts w:hint="eastAsia" w:ascii="宋体" w:hAnsi="宋体"/>
                <w:color w:val="auto"/>
                <w:highlight w:val="none"/>
                <w:lang w:val="en-US" w:eastAsia="zh-CN"/>
              </w:rPr>
              <w:t>0.3</w:t>
            </w:r>
            <w:r>
              <w:rPr>
                <w:rFonts w:hint="eastAsia" w:ascii="宋体" w:hAnsi="宋体"/>
                <w:color w:val="auto"/>
                <w:highlight w:val="none"/>
              </w:rPr>
              <w:t>分。（得分扣至0分止）</w:t>
            </w:r>
          </w:p>
        </w:tc>
      </w:tr>
      <w:bookmarkEnd w:id="920"/>
    </w:tbl>
    <w:p w14:paraId="79CD8687">
      <w:pPr>
        <w:topLinePunct/>
        <w:spacing w:line="300" w:lineRule="auto"/>
        <w:rPr>
          <w:color w:val="auto"/>
          <w:highlight w:val="none"/>
        </w:rPr>
      </w:pPr>
      <w:r>
        <w:rPr>
          <w:rFonts w:hint="eastAsia"/>
          <w:color w:val="auto"/>
          <w:highlight w:val="none"/>
        </w:rPr>
        <w:t>说明：（1）须提供评分标准中的相关证明</w:t>
      </w:r>
      <w:r>
        <w:rPr>
          <w:rFonts w:hint="eastAsia"/>
          <w:color w:val="auto"/>
          <w:highlight w:val="none"/>
          <w:lang w:val="en-US" w:eastAsia="zh-CN"/>
        </w:rPr>
        <w:t>材料</w:t>
      </w:r>
      <w:r>
        <w:rPr>
          <w:rFonts w:hint="eastAsia"/>
          <w:color w:val="auto"/>
          <w:highlight w:val="none"/>
        </w:rPr>
        <w:t>作为评审依据，</w:t>
      </w:r>
      <w:r>
        <w:rPr>
          <w:rFonts w:hint="eastAsia"/>
          <w:color w:val="auto"/>
          <w:highlight w:val="none"/>
          <w:lang w:val="en-US" w:eastAsia="zh-CN"/>
        </w:rPr>
        <w:t>否则</w:t>
      </w:r>
      <w:r>
        <w:rPr>
          <w:rFonts w:hint="eastAsia"/>
          <w:color w:val="auto"/>
          <w:highlight w:val="none"/>
        </w:rPr>
        <w:t>不得分。</w:t>
      </w:r>
    </w:p>
    <w:p w14:paraId="21840C2B">
      <w:pPr>
        <w:topLinePunct/>
        <w:spacing w:line="300" w:lineRule="auto"/>
        <w:ind w:firstLine="630" w:firstLineChars="300"/>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cs="宋体"/>
          <w:b/>
          <w:bCs/>
          <w:color w:val="auto"/>
          <w:sz w:val="21"/>
          <w:szCs w:val="21"/>
          <w:highlight w:val="none"/>
          <w:lang w:val="en-US" w:eastAsia="zh-CN"/>
        </w:rPr>
        <w:t>如联合体投标的，同类项目经验、项目负责人、技术负责人、获奖情况、企业实力得分均以联合体牵头方为准，其他成员单位不进行累计计分。拟投入的其他专业负责人（除项目负责人、技术负责人外）得分可按联合体各方投入合并计算。</w:t>
      </w:r>
    </w:p>
    <w:p w14:paraId="71AD33E7">
      <w:pPr>
        <w:topLinePunct/>
        <w:spacing w:line="300" w:lineRule="auto"/>
        <w:ind w:firstLine="630" w:firstLineChars="300"/>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）评分如出现小数点，则保留小数点后两位，第三位四舍五入。</w:t>
      </w:r>
    </w:p>
    <w:p w14:paraId="690E54D3">
      <w:pPr>
        <w:topLinePunct/>
        <w:spacing w:line="300" w:lineRule="auto"/>
        <w:ind w:firstLine="630" w:firstLineChars="300"/>
        <w:rPr>
          <w:rFonts w:ascii="Times New Roman" w:hAnsi="Times New Roman"/>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w:t>
      </w:r>
      <w:r>
        <w:rPr>
          <w:rFonts w:hint="eastAsia" w:ascii="宋体" w:hAnsi="宋体" w:cs="宋体"/>
          <w:color w:val="auto"/>
          <w:szCs w:val="21"/>
          <w:highlight w:val="none"/>
        </w:rPr>
        <w:t>投标人的综合得分为各评委的评分的算术平均分（分数出现小数点时，保留小数点后二位，第三位小数四舍五入）</w:t>
      </w:r>
      <w:r>
        <w:rPr>
          <w:rFonts w:hint="eastAsia"/>
          <w:color w:val="auto"/>
          <w:highlight w:val="none"/>
        </w:rPr>
        <w:t>。</w:t>
      </w:r>
    </w:p>
    <w:p w14:paraId="5A683D17">
      <w:pPr>
        <w:pStyle w:val="4"/>
        <w:keepNext w:val="0"/>
        <w:keepLines w:val="0"/>
        <w:spacing w:before="200" w:after="100" w:line="360" w:lineRule="auto"/>
        <w:rPr>
          <w:rFonts w:ascii="Times New Roman" w:hAnsi="Times New Roman"/>
          <w:color w:val="auto"/>
          <w:highlight w:val="none"/>
        </w:rPr>
      </w:pPr>
      <w:r>
        <w:rPr>
          <w:rFonts w:ascii="Times New Roman" w:hAnsi="Times New Roman"/>
          <w:color w:val="auto"/>
          <w:highlight w:val="none"/>
        </w:rPr>
        <w:br w:type="page"/>
      </w:r>
      <w:bookmarkStart w:id="921" w:name="_Toc4585"/>
      <w:bookmarkStart w:id="922" w:name="_Toc7846"/>
      <w:bookmarkStart w:id="923" w:name="_Toc10091"/>
      <w:r>
        <w:rPr>
          <w:rFonts w:ascii="Times New Roman" w:hAnsi="Times New Roman"/>
          <w:color w:val="auto"/>
          <w:highlight w:val="none"/>
        </w:rPr>
        <w:t>1. 评标方法</w:t>
      </w:r>
      <w:bookmarkEnd w:id="921"/>
      <w:bookmarkEnd w:id="922"/>
      <w:bookmarkEnd w:id="923"/>
    </w:p>
    <w:p w14:paraId="6F9EAF7A">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本次评标采用综合评估法。评标委员会对满足招标文件实质性要求的投标文件，按照本章第2.2款规定的评分标准进行打分，并</w:t>
      </w:r>
      <w:r>
        <w:rPr>
          <w:rFonts w:hint="eastAsia" w:ascii="Times New Roman" w:hAnsi="Times New Roman"/>
          <w:color w:val="auto"/>
          <w:sz w:val="24"/>
          <w:szCs w:val="24"/>
          <w:highlight w:val="none"/>
        </w:rPr>
        <w:t>按总得分由高到低顺序推荐中标候选人，若两家或以上的投标人总得分相同时，则投标报价</w:t>
      </w:r>
      <w:r>
        <w:rPr>
          <w:rFonts w:hint="eastAsia" w:ascii="Times New Roman" w:hAnsi="Times New Roman"/>
          <w:color w:val="auto"/>
          <w:sz w:val="24"/>
          <w:szCs w:val="24"/>
          <w:highlight w:val="none"/>
          <w:lang w:val="en-US" w:eastAsia="zh-CN"/>
        </w:rPr>
        <w:t>低</w:t>
      </w:r>
      <w:r>
        <w:rPr>
          <w:rFonts w:hint="eastAsia" w:ascii="Times New Roman" w:hAnsi="Times New Roman"/>
          <w:color w:val="auto"/>
          <w:sz w:val="24"/>
          <w:szCs w:val="24"/>
          <w:highlight w:val="none"/>
        </w:rPr>
        <w:t>的排前；若投标人总得分和投标报价均相同，则</w:t>
      </w:r>
      <w:r>
        <w:rPr>
          <w:rFonts w:hint="eastAsia" w:ascii="Times New Roman" w:hAnsi="Times New Roman"/>
          <w:color w:val="auto"/>
          <w:sz w:val="24"/>
          <w:szCs w:val="24"/>
          <w:highlight w:val="none"/>
          <w:lang w:eastAsia="zh-CN"/>
        </w:rPr>
        <w:t>技术服务方案</w:t>
      </w:r>
      <w:r>
        <w:rPr>
          <w:rFonts w:hint="eastAsia" w:ascii="Times New Roman" w:hAnsi="Times New Roman"/>
          <w:color w:val="auto"/>
          <w:sz w:val="24"/>
          <w:szCs w:val="24"/>
          <w:highlight w:val="none"/>
        </w:rPr>
        <w:t>得分高的排前；若投标人总得分、投标报价和</w:t>
      </w:r>
      <w:r>
        <w:rPr>
          <w:rFonts w:hint="eastAsia" w:ascii="Times New Roman" w:hAnsi="Times New Roman"/>
          <w:color w:val="auto"/>
          <w:sz w:val="24"/>
          <w:szCs w:val="24"/>
          <w:highlight w:val="none"/>
          <w:lang w:eastAsia="zh-CN"/>
        </w:rPr>
        <w:t>技术服务方案</w:t>
      </w:r>
      <w:r>
        <w:rPr>
          <w:rFonts w:hint="eastAsia" w:ascii="Times New Roman" w:hAnsi="Times New Roman"/>
          <w:color w:val="auto"/>
          <w:sz w:val="24"/>
          <w:szCs w:val="24"/>
          <w:highlight w:val="none"/>
        </w:rPr>
        <w:t>得分均相同，则由评标委员会投票表决推荐排名优先的投标人。</w:t>
      </w:r>
    </w:p>
    <w:p w14:paraId="12D357CE">
      <w:pPr>
        <w:pStyle w:val="4"/>
        <w:keepNext w:val="0"/>
        <w:keepLines w:val="0"/>
        <w:spacing w:line="260" w:lineRule="exact"/>
        <w:rPr>
          <w:rFonts w:ascii="Times New Roman" w:hAnsi="Times New Roman"/>
          <w:color w:val="auto"/>
          <w:highlight w:val="none"/>
        </w:rPr>
      </w:pPr>
      <w:bookmarkStart w:id="924" w:name="_Toc24121"/>
      <w:bookmarkStart w:id="925" w:name="_Toc10040"/>
      <w:bookmarkStart w:id="926" w:name="_Toc15812"/>
      <w:r>
        <w:rPr>
          <w:rFonts w:ascii="Times New Roman" w:hAnsi="Times New Roman"/>
          <w:color w:val="auto"/>
          <w:highlight w:val="none"/>
        </w:rPr>
        <w:t>2. 评审标准</w:t>
      </w:r>
      <w:bookmarkEnd w:id="924"/>
      <w:bookmarkEnd w:id="925"/>
      <w:bookmarkEnd w:id="926"/>
    </w:p>
    <w:p w14:paraId="55CB7D43">
      <w:pPr>
        <w:pStyle w:val="5"/>
        <w:keepNext w:val="0"/>
        <w:keepLines w:val="0"/>
        <w:spacing w:line="240" w:lineRule="auto"/>
        <w:ind w:firstLine="137"/>
        <w:rPr>
          <w:rFonts w:ascii="Times New Roman" w:hAnsi="Times New Roman"/>
          <w:color w:val="auto"/>
          <w:highlight w:val="none"/>
        </w:rPr>
      </w:pPr>
      <w:bookmarkStart w:id="927" w:name="_Toc30338"/>
      <w:bookmarkStart w:id="928" w:name="_Toc13429"/>
      <w:bookmarkStart w:id="929" w:name="_Toc10925"/>
      <w:r>
        <w:rPr>
          <w:rFonts w:ascii="Times New Roman" w:hAnsi="Times New Roman"/>
          <w:color w:val="auto"/>
          <w:highlight w:val="none"/>
        </w:rPr>
        <w:t>2.1 初步评审标准</w:t>
      </w:r>
      <w:bookmarkEnd w:id="927"/>
      <w:bookmarkEnd w:id="928"/>
      <w:bookmarkEnd w:id="929"/>
    </w:p>
    <w:p w14:paraId="49464DB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2.1.1 形式评审标准：见评标办法前附表。</w:t>
      </w:r>
    </w:p>
    <w:p w14:paraId="4117591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2.1.2 资格评审标准：见评标办法前附表。</w:t>
      </w:r>
    </w:p>
    <w:p w14:paraId="65498318">
      <w:pPr>
        <w:spacing w:line="400" w:lineRule="exact"/>
        <w:ind w:firstLine="480" w:firstLineChars="200"/>
        <w:rPr>
          <w:rFonts w:ascii="Times New Roman" w:hAnsi="Times New Roman"/>
          <w:color w:val="auto"/>
          <w:highlight w:val="none"/>
        </w:rPr>
      </w:pPr>
      <w:r>
        <w:rPr>
          <w:rFonts w:ascii="Times New Roman" w:hAnsi="Times New Roman"/>
          <w:color w:val="auto"/>
          <w:sz w:val="24"/>
          <w:szCs w:val="24"/>
          <w:highlight w:val="none"/>
        </w:rPr>
        <w:t>2.1.3 响应性评审标准：见评标办法前附表。</w:t>
      </w:r>
    </w:p>
    <w:p w14:paraId="0F54F2C3">
      <w:pPr>
        <w:pStyle w:val="5"/>
        <w:keepNext w:val="0"/>
        <w:keepLines w:val="0"/>
        <w:spacing w:line="240" w:lineRule="auto"/>
        <w:ind w:firstLine="137"/>
        <w:rPr>
          <w:rFonts w:ascii="Times New Roman" w:hAnsi="Times New Roman"/>
          <w:color w:val="auto"/>
          <w:highlight w:val="none"/>
        </w:rPr>
      </w:pPr>
      <w:bookmarkStart w:id="930" w:name="_Toc23891"/>
      <w:bookmarkStart w:id="931" w:name="_Toc26377"/>
      <w:bookmarkStart w:id="932" w:name="_Toc19945"/>
      <w:r>
        <w:rPr>
          <w:rFonts w:ascii="Times New Roman" w:hAnsi="Times New Roman"/>
          <w:color w:val="auto"/>
          <w:highlight w:val="none"/>
        </w:rPr>
        <w:t>2.2 分值构成与评分标准</w:t>
      </w:r>
      <w:bookmarkEnd w:id="930"/>
      <w:bookmarkEnd w:id="931"/>
      <w:bookmarkEnd w:id="932"/>
    </w:p>
    <w:p w14:paraId="4365BE97">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2.2.1 分值构成</w:t>
      </w:r>
    </w:p>
    <w:p w14:paraId="0E70E982">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（1）资信业绩部分：见评标办法前附表；</w:t>
      </w:r>
    </w:p>
    <w:p w14:paraId="43B79EEB">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w:t>
      </w:r>
      <w:r>
        <w:rPr>
          <w:rFonts w:hint="eastAsia" w:ascii="Times New Roman" w:hAnsi="Times New Roman"/>
          <w:color w:val="auto"/>
          <w:sz w:val="24"/>
          <w:szCs w:val="24"/>
          <w:highlight w:val="none"/>
          <w:lang w:eastAsia="zh-CN"/>
        </w:rPr>
        <w:t>技术服务方案</w:t>
      </w:r>
      <w:r>
        <w:rPr>
          <w:rFonts w:hint="eastAsia" w:ascii="Times New Roman" w:hAnsi="Times New Roman"/>
          <w:color w:val="auto"/>
          <w:sz w:val="24"/>
          <w:szCs w:val="24"/>
          <w:highlight w:val="none"/>
        </w:rPr>
        <w:t>部分</w:t>
      </w:r>
      <w:r>
        <w:rPr>
          <w:rFonts w:ascii="Times New Roman" w:hAnsi="Times New Roman"/>
          <w:color w:val="auto"/>
          <w:sz w:val="24"/>
          <w:szCs w:val="24"/>
          <w:highlight w:val="none"/>
        </w:rPr>
        <w:t>：见评标办法前附表；</w:t>
      </w:r>
    </w:p>
    <w:p w14:paraId="06481627">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（3）投标报价：见评标办法前附表；</w:t>
      </w:r>
    </w:p>
    <w:p w14:paraId="4955444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2.2.2 评标基准价计算</w:t>
      </w:r>
    </w:p>
    <w:p w14:paraId="5E3554EC">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评标基准价计算方法：见评标办法前附表。</w:t>
      </w:r>
    </w:p>
    <w:p w14:paraId="27EF16F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2.2.3 投标报价的偏差率计算</w:t>
      </w:r>
    </w:p>
    <w:p w14:paraId="755580F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投标报价的偏差率计算公式：见评标办法前附表。</w:t>
      </w:r>
    </w:p>
    <w:p w14:paraId="4AC508F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2.2.4 评分标准</w:t>
      </w:r>
    </w:p>
    <w:p w14:paraId="0148240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（1）资信业绩评分标准：见评标办法前附表；</w:t>
      </w:r>
    </w:p>
    <w:p w14:paraId="2C374BB6">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w:t>
      </w:r>
      <w:r>
        <w:rPr>
          <w:rFonts w:hint="eastAsia" w:ascii="Times New Roman" w:hAnsi="Times New Roman"/>
          <w:color w:val="auto"/>
          <w:sz w:val="24"/>
          <w:szCs w:val="24"/>
          <w:highlight w:val="none"/>
          <w:lang w:eastAsia="zh-CN"/>
        </w:rPr>
        <w:t>技术服务方案</w:t>
      </w:r>
      <w:r>
        <w:rPr>
          <w:rFonts w:ascii="Times New Roman" w:hAnsi="Times New Roman"/>
          <w:color w:val="auto"/>
          <w:sz w:val="24"/>
          <w:szCs w:val="24"/>
          <w:highlight w:val="none"/>
        </w:rPr>
        <w:t>评分标准：见评标办法前附表；</w:t>
      </w:r>
    </w:p>
    <w:p w14:paraId="1A231EF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（3）投标报价评分标准：见评标办法前附表；</w:t>
      </w:r>
    </w:p>
    <w:p w14:paraId="256DA9B8">
      <w:pPr>
        <w:pStyle w:val="4"/>
        <w:keepNext w:val="0"/>
        <w:keepLines w:val="0"/>
        <w:spacing w:line="260" w:lineRule="exact"/>
        <w:rPr>
          <w:rFonts w:ascii="Times New Roman" w:hAnsi="Times New Roman"/>
          <w:color w:val="auto"/>
          <w:highlight w:val="none"/>
        </w:rPr>
      </w:pPr>
      <w:bookmarkStart w:id="933" w:name="_Toc15297"/>
    </w:p>
    <w:p w14:paraId="33BBC304">
      <w:pPr>
        <w:pStyle w:val="4"/>
        <w:keepNext w:val="0"/>
        <w:keepLines w:val="0"/>
        <w:spacing w:line="260" w:lineRule="exact"/>
        <w:rPr>
          <w:rFonts w:ascii="Times New Roman" w:hAnsi="Times New Roman"/>
          <w:color w:val="auto"/>
          <w:highlight w:val="none"/>
        </w:rPr>
      </w:pPr>
    </w:p>
    <w:p w14:paraId="6A65D3DA">
      <w:pPr>
        <w:pStyle w:val="4"/>
        <w:keepNext w:val="0"/>
        <w:keepLines w:val="0"/>
        <w:spacing w:line="260" w:lineRule="exact"/>
        <w:rPr>
          <w:rFonts w:ascii="Times New Roman" w:hAnsi="Times New Roman"/>
          <w:color w:val="auto"/>
          <w:highlight w:val="none"/>
        </w:rPr>
      </w:pPr>
    </w:p>
    <w:p w14:paraId="7CBCEE51">
      <w:pPr>
        <w:pStyle w:val="4"/>
        <w:keepNext w:val="0"/>
        <w:keepLines w:val="0"/>
        <w:spacing w:line="360" w:lineRule="auto"/>
        <w:rPr>
          <w:rFonts w:ascii="Times New Roman" w:hAnsi="Times New Roman"/>
          <w:color w:val="auto"/>
          <w:highlight w:val="none"/>
        </w:rPr>
      </w:pPr>
      <w:bookmarkStart w:id="934" w:name="_Toc15108"/>
      <w:bookmarkStart w:id="935" w:name="_Toc30938"/>
      <w:r>
        <w:rPr>
          <w:rFonts w:ascii="Times New Roman" w:hAnsi="Times New Roman"/>
          <w:color w:val="auto"/>
          <w:highlight w:val="none"/>
        </w:rPr>
        <w:t>3. 评标程序</w:t>
      </w:r>
      <w:bookmarkEnd w:id="933"/>
      <w:bookmarkEnd w:id="934"/>
      <w:bookmarkEnd w:id="935"/>
    </w:p>
    <w:p w14:paraId="4D148674">
      <w:pPr>
        <w:pStyle w:val="5"/>
        <w:keepNext w:val="0"/>
        <w:keepLines w:val="0"/>
        <w:spacing w:line="240" w:lineRule="auto"/>
        <w:ind w:firstLine="0" w:firstLineChars="0"/>
        <w:rPr>
          <w:rFonts w:ascii="Times New Roman" w:hAnsi="Times New Roman"/>
          <w:color w:val="auto"/>
          <w:highlight w:val="none"/>
        </w:rPr>
      </w:pPr>
      <w:bookmarkStart w:id="936" w:name="_Toc25610"/>
      <w:bookmarkStart w:id="937" w:name="_Toc11485"/>
      <w:bookmarkStart w:id="938" w:name="_Toc28359"/>
      <w:r>
        <w:rPr>
          <w:rFonts w:ascii="Times New Roman" w:hAnsi="Times New Roman"/>
          <w:color w:val="auto"/>
          <w:highlight w:val="none"/>
        </w:rPr>
        <w:t>3.1 初步评审</w:t>
      </w:r>
      <w:bookmarkEnd w:id="936"/>
      <w:bookmarkEnd w:id="937"/>
      <w:bookmarkEnd w:id="938"/>
    </w:p>
    <w:p w14:paraId="1E88032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06474BC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3.1.2 投标人有以下情形之一的，评标委员会应当否决其投标：</w:t>
      </w:r>
    </w:p>
    <w:p w14:paraId="2838F34C">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（1）投标文件没有对招标文件的实质性要求和条件作出响应，或者对招标文件的偏差超出招标文件规定的偏差范围或最高项数；</w:t>
      </w:r>
    </w:p>
    <w:p w14:paraId="50EAC94B">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（2）有串通投标、弄虚作假、行贿等违法行为。</w:t>
      </w:r>
    </w:p>
    <w:p w14:paraId="7DB0FA8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3.1.3 投标报价有算术错误及其他错误的，评标委员会按以下原则要求投标人对投标报价进</w:t>
      </w:r>
      <w:bookmarkStart w:id="939" w:name="_Toc369531582"/>
      <w:bookmarkStart w:id="940" w:name="_Toc300835013"/>
      <w:bookmarkStart w:id="941" w:name="_Toc247527628"/>
      <w:bookmarkStart w:id="942" w:name="_Toc152045603"/>
      <w:bookmarkStart w:id="943" w:name="_Toc152042380"/>
      <w:bookmarkStart w:id="944" w:name="_Toc144974570"/>
      <w:bookmarkStart w:id="945" w:name="_Toc352691538"/>
      <w:bookmarkStart w:id="946" w:name="_Toc2907"/>
      <w:bookmarkStart w:id="947" w:name="_Toc361508651"/>
      <w:bookmarkStart w:id="948" w:name="_Toc384308277"/>
      <w:bookmarkStart w:id="949" w:name="_Toc247514027"/>
      <w:r>
        <w:rPr>
          <w:rFonts w:ascii="Times New Roman" w:hAnsi="Times New Roman"/>
          <w:color w:val="auto"/>
          <w:sz w:val="24"/>
          <w:szCs w:val="24"/>
          <w:highlight w:val="none"/>
        </w:rPr>
        <w:t>行修正，并要求投标人书面澄清确认。</w:t>
      </w:r>
      <w:bookmarkEnd w:id="939"/>
      <w:bookmarkEnd w:id="940"/>
      <w:bookmarkEnd w:id="941"/>
      <w:bookmarkEnd w:id="942"/>
      <w:bookmarkEnd w:id="943"/>
      <w:bookmarkEnd w:id="944"/>
      <w:bookmarkEnd w:id="945"/>
      <w:bookmarkEnd w:id="946"/>
      <w:bookmarkEnd w:id="947"/>
      <w:bookmarkEnd w:id="948"/>
      <w:bookmarkEnd w:id="949"/>
      <w:r>
        <w:rPr>
          <w:rFonts w:ascii="Times New Roman" w:hAnsi="Times New Roman"/>
          <w:color w:val="auto"/>
          <w:sz w:val="24"/>
          <w:szCs w:val="24"/>
          <w:highlight w:val="none"/>
        </w:rPr>
        <w:t>投标人拒不澄清确认的，评标委员会应当否决其投标：</w:t>
      </w:r>
    </w:p>
    <w:p w14:paraId="69B0839E">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（1）投标文件中的大写金额与小写金额不一致的，以大写金额为准；</w:t>
      </w:r>
    </w:p>
    <w:p w14:paraId="5F16941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（2）总价金额与单价金额不一致的，以单价金额为准，但单价金额小数点有明显错误的除外</w:t>
      </w:r>
      <w:r>
        <w:rPr>
          <w:rFonts w:hint="eastAsia" w:ascii="Times New Roman" w:hAnsi="Times New Roman"/>
          <w:color w:val="auto"/>
          <w:sz w:val="24"/>
          <w:szCs w:val="24"/>
          <w:highlight w:val="none"/>
        </w:rPr>
        <w:t>。</w:t>
      </w:r>
    </w:p>
    <w:p w14:paraId="64AAB546">
      <w:pPr>
        <w:pStyle w:val="5"/>
        <w:keepNext w:val="0"/>
        <w:keepLines w:val="0"/>
        <w:spacing w:line="260" w:lineRule="exact"/>
        <w:ind w:firstLine="137"/>
        <w:rPr>
          <w:rFonts w:ascii="Times New Roman" w:hAnsi="Times New Roman"/>
          <w:color w:val="auto"/>
          <w:highlight w:val="none"/>
        </w:rPr>
      </w:pPr>
      <w:bookmarkStart w:id="950" w:name="_Toc15678"/>
      <w:bookmarkStart w:id="951" w:name="_Toc15142"/>
      <w:bookmarkStart w:id="952" w:name="_Toc19120"/>
      <w:r>
        <w:rPr>
          <w:rFonts w:ascii="Times New Roman" w:hAnsi="Times New Roman"/>
          <w:color w:val="auto"/>
          <w:highlight w:val="none"/>
        </w:rPr>
        <w:t>3.2 详细评审</w:t>
      </w:r>
      <w:bookmarkEnd w:id="950"/>
      <w:bookmarkEnd w:id="951"/>
      <w:bookmarkEnd w:id="952"/>
    </w:p>
    <w:p w14:paraId="0898A1A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3.2.1 评标委员会按本章第2.2款规定的量化因素和分值进行打分，并计算出综合评估得分。</w:t>
      </w:r>
    </w:p>
    <w:p w14:paraId="23BD364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（1）按本章第2.2.4（1）目规定的评审因素和分值对资信业绩部分计算出得分A；</w:t>
      </w:r>
    </w:p>
    <w:p w14:paraId="67CF8FA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（2）按本章第2.2.4（2）目规定的评审因素和分值对</w:t>
      </w:r>
      <w:r>
        <w:rPr>
          <w:rFonts w:hint="eastAsia" w:ascii="Times New Roman" w:hAnsi="Times New Roman"/>
          <w:color w:val="auto"/>
          <w:sz w:val="24"/>
          <w:szCs w:val="24"/>
          <w:highlight w:val="none"/>
          <w:lang w:eastAsia="zh-CN"/>
        </w:rPr>
        <w:t>技术服务方案</w:t>
      </w:r>
      <w:r>
        <w:rPr>
          <w:rFonts w:hint="eastAsia" w:ascii="Times New Roman" w:hAnsi="Times New Roman"/>
          <w:color w:val="auto"/>
          <w:sz w:val="24"/>
          <w:szCs w:val="24"/>
          <w:highlight w:val="none"/>
        </w:rPr>
        <w:t>部分</w:t>
      </w:r>
      <w:r>
        <w:rPr>
          <w:rFonts w:ascii="Times New Roman" w:hAnsi="Times New Roman"/>
          <w:color w:val="auto"/>
          <w:sz w:val="24"/>
          <w:szCs w:val="24"/>
          <w:highlight w:val="none"/>
        </w:rPr>
        <w:t>计算出得分B；</w:t>
      </w:r>
    </w:p>
    <w:p w14:paraId="7132323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（3）按本章第2.2.4（3）目规定的评审因素和</w:t>
      </w:r>
      <w:bookmarkStart w:id="953" w:name="_Toc144974571"/>
      <w:bookmarkStart w:id="954" w:name="_Toc247514028"/>
      <w:bookmarkStart w:id="955" w:name="_Toc369531583"/>
      <w:bookmarkStart w:id="956" w:name="_Toc384308278"/>
      <w:bookmarkStart w:id="957" w:name="_Toc152042381"/>
      <w:bookmarkStart w:id="958" w:name="_Toc300835014"/>
      <w:bookmarkStart w:id="959" w:name="_Toc24330"/>
      <w:bookmarkStart w:id="960" w:name="_Toc352691539"/>
      <w:bookmarkStart w:id="961" w:name="_Toc152045604"/>
      <w:bookmarkStart w:id="962" w:name="_Toc247527629"/>
      <w:bookmarkStart w:id="963" w:name="_Toc361508652"/>
      <w:r>
        <w:rPr>
          <w:rFonts w:ascii="Times New Roman" w:hAnsi="Times New Roman"/>
          <w:color w:val="auto"/>
          <w:sz w:val="24"/>
          <w:szCs w:val="24"/>
          <w:highlight w:val="none"/>
        </w:rPr>
        <w:t>分值对投标报价</w:t>
      </w:r>
      <w:bookmarkEnd w:id="953"/>
      <w:bookmarkEnd w:id="954"/>
      <w:bookmarkEnd w:id="955"/>
      <w:bookmarkEnd w:id="956"/>
      <w:bookmarkEnd w:id="957"/>
      <w:bookmarkEnd w:id="958"/>
      <w:bookmarkEnd w:id="959"/>
      <w:bookmarkEnd w:id="960"/>
      <w:bookmarkEnd w:id="961"/>
      <w:bookmarkEnd w:id="962"/>
      <w:bookmarkEnd w:id="963"/>
      <w:r>
        <w:rPr>
          <w:rFonts w:ascii="Times New Roman" w:hAnsi="Times New Roman"/>
          <w:color w:val="auto"/>
          <w:sz w:val="24"/>
          <w:szCs w:val="24"/>
          <w:highlight w:val="none"/>
        </w:rPr>
        <w:t>计</w:t>
      </w:r>
      <w:bookmarkStart w:id="964" w:name="_Toc152042382"/>
      <w:bookmarkStart w:id="965" w:name="_Toc369531584"/>
      <w:bookmarkStart w:id="966" w:name="_Toc152045605"/>
      <w:bookmarkStart w:id="967" w:name="_Toc352691540"/>
      <w:bookmarkStart w:id="968" w:name="_Toc247514029"/>
      <w:bookmarkStart w:id="969" w:name="_Toc144974572"/>
      <w:bookmarkStart w:id="970" w:name="_Toc361508653"/>
      <w:bookmarkStart w:id="971" w:name="_Toc247527630"/>
      <w:bookmarkStart w:id="972" w:name="_Toc300835015"/>
      <w:bookmarkStart w:id="973" w:name="_Toc18141"/>
      <w:bookmarkStart w:id="974" w:name="_Toc384308279"/>
      <w:r>
        <w:rPr>
          <w:rFonts w:ascii="Times New Roman" w:hAnsi="Times New Roman"/>
          <w:color w:val="auto"/>
          <w:sz w:val="24"/>
          <w:szCs w:val="24"/>
          <w:highlight w:val="none"/>
        </w:rPr>
        <w:t>算出得分C；</w:t>
      </w:r>
    </w:p>
    <w:bookmarkEnd w:id="964"/>
    <w:bookmarkEnd w:id="965"/>
    <w:bookmarkEnd w:id="966"/>
    <w:bookmarkEnd w:id="967"/>
    <w:bookmarkEnd w:id="968"/>
    <w:bookmarkEnd w:id="969"/>
    <w:bookmarkEnd w:id="970"/>
    <w:bookmarkEnd w:id="971"/>
    <w:bookmarkEnd w:id="972"/>
    <w:bookmarkEnd w:id="973"/>
    <w:bookmarkEnd w:id="974"/>
    <w:p w14:paraId="5D1FE94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3.2.2 评分分值计算保留小数点后两位，小数点后第三位“四舍五入”。</w:t>
      </w:r>
    </w:p>
    <w:p w14:paraId="4EF2DF5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3.2.3 投标人得分=A+B+C。</w:t>
      </w:r>
    </w:p>
    <w:p w14:paraId="0FB3E35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5AFC3AAD">
      <w:pPr>
        <w:pStyle w:val="5"/>
        <w:keepNext w:val="0"/>
        <w:keepLines w:val="0"/>
        <w:spacing w:line="240" w:lineRule="auto"/>
        <w:ind w:firstLine="137"/>
        <w:rPr>
          <w:rFonts w:ascii="Times New Roman" w:hAnsi="Times New Roman"/>
          <w:color w:val="auto"/>
          <w:highlight w:val="none"/>
        </w:rPr>
      </w:pPr>
      <w:bookmarkStart w:id="975" w:name="_Toc6847"/>
      <w:bookmarkStart w:id="976" w:name="_Toc22547"/>
      <w:bookmarkStart w:id="977" w:name="_Toc7489"/>
      <w:r>
        <w:rPr>
          <w:rFonts w:ascii="Times New Roman" w:hAnsi="Times New Roman"/>
          <w:color w:val="auto"/>
          <w:highlight w:val="none"/>
        </w:rPr>
        <w:t>3.3 投标文件的澄清</w:t>
      </w:r>
      <w:bookmarkEnd w:id="975"/>
      <w:bookmarkEnd w:id="976"/>
      <w:bookmarkEnd w:id="977"/>
    </w:p>
    <w:p w14:paraId="2560BD5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6B84BF8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3.3.2 澄清、说明或补正不得超出投标文件的范围且不得改变投标文件的实质性内容，并构成投标文件的组成部分。</w:t>
      </w:r>
    </w:p>
    <w:p w14:paraId="5F4CFDBB">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3.3.3 评标委员会对投标人提交的澄清、说明或补正有疑问的，可以要求投标人进一步澄清、说明或补正，直至满足评标委员会的要求。</w:t>
      </w:r>
    </w:p>
    <w:p w14:paraId="2755E5F0">
      <w:pPr>
        <w:pStyle w:val="5"/>
        <w:keepNext w:val="0"/>
        <w:keepLines w:val="0"/>
        <w:spacing w:line="240" w:lineRule="auto"/>
        <w:ind w:firstLine="137"/>
        <w:rPr>
          <w:rFonts w:ascii="Times New Roman" w:hAnsi="Times New Roman"/>
          <w:color w:val="auto"/>
          <w:highlight w:val="none"/>
        </w:rPr>
      </w:pPr>
      <w:bookmarkStart w:id="978" w:name="_Toc26303"/>
      <w:bookmarkStart w:id="979" w:name="_Toc21242"/>
      <w:bookmarkStart w:id="980" w:name="_Toc32259"/>
      <w:r>
        <w:rPr>
          <w:rFonts w:ascii="Times New Roman" w:hAnsi="Times New Roman"/>
          <w:color w:val="auto"/>
          <w:highlight w:val="none"/>
        </w:rPr>
        <w:t>3.4 评标结果</w:t>
      </w:r>
      <w:bookmarkEnd w:id="978"/>
      <w:bookmarkEnd w:id="979"/>
      <w:bookmarkEnd w:id="980"/>
    </w:p>
    <w:p w14:paraId="4CDFE1FE">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3.4.1 除第二章“投标人须知”前附表授权直接确定中标人外，评标委员会按照得分由高到低的顺序推荐中标候选人，并标明排序。</w:t>
      </w:r>
    </w:p>
    <w:p w14:paraId="7EF17B4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3.4.2 评标委员会完成评标后，应当向招标人提交书面评标报告和中标候选人名单。</w:t>
      </w:r>
    </w:p>
    <w:p w14:paraId="704E9965">
      <w:pPr>
        <w:rPr>
          <w:rFonts w:ascii="Times New Roman" w:hAnsi="Times New Roman"/>
          <w:b/>
          <w:color w:val="auto"/>
          <w:kern w:val="44"/>
          <w:sz w:val="44"/>
          <w:szCs w:val="20"/>
          <w:highlight w:val="none"/>
        </w:rPr>
      </w:pPr>
    </w:p>
    <w:p w14:paraId="0FCD991D">
      <w:pPr>
        <w:rPr>
          <w:color w:val="auto"/>
          <w:highlight w:val="none"/>
        </w:rPr>
      </w:pPr>
    </w:p>
    <w:p w14:paraId="60BEBD57">
      <w:pPr>
        <w:rPr>
          <w:color w:val="auto"/>
          <w:highlight w:val="none"/>
        </w:rPr>
      </w:pPr>
    </w:p>
    <w:p w14:paraId="12AEA72C">
      <w:pPr>
        <w:rPr>
          <w:color w:val="auto"/>
          <w:highlight w:val="none"/>
        </w:rPr>
      </w:pPr>
    </w:p>
    <w:p w14:paraId="3AA83F6D">
      <w:pPr>
        <w:rPr>
          <w:color w:val="auto"/>
          <w:highlight w:val="none"/>
        </w:rPr>
      </w:pPr>
    </w:p>
    <w:p w14:paraId="4A1D5DA6">
      <w:pPr>
        <w:rPr>
          <w:color w:val="auto"/>
          <w:highlight w:val="none"/>
        </w:rPr>
      </w:pPr>
    </w:p>
    <w:p w14:paraId="09A65D7A">
      <w:pPr>
        <w:rPr>
          <w:color w:val="auto"/>
          <w:highlight w:val="none"/>
        </w:rPr>
      </w:pPr>
    </w:p>
    <w:p w14:paraId="049A9AEA">
      <w:pPr>
        <w:pStyle w:val="3"/>
        <w:keepNext w:val="0"/>
        <w:keepLines w:val="0"/>
        <w:jc w:val="center"/>
        <w:rPr>
          <w:color w:val="auto"/>
          <w:highlight w:val="none"/>
        </w:rPr>
      </w:pPr>
      <w:r>
        <w:rPr>
          <w:color w:val="auto"/>
          <w:highlight w:val="none"/>
        </w:rPr>
        <w:br w:type="page"/>
      </w:r>
      <w:bookmarkStart w:id="981" w:name="_Toc19869"/>
      <w:r>
        <w:rPr>
          <w:color w:val="auto"/>
          <w:highlight w:val="none"/>
        </w:rPr>
        <w:t>第四章合同条款及格式</w:t>
      </w:r>
      <w:bookmarkEnd w:id="981"/>
    </w:p>
    <w:p w14:paraId="5B73044B">
      <w:pPr>
        <w:pStyle w:val="2"/>
        <w:spacing w:line="640" w:lineRule="exact"/>
        <w:jc w:val="center"/>
        <w:rPr>
          <w:rFonts w:ascii="宋体"/>
          <w:color w:val="auto"/>
          <w:highlight w:val="none"/>
        </w:rPr>
      </w:pPr>
      <w:r>
        <w:rPr>
          <w:rFonts w:hint="eastAsia"/>
          <w:color w:val="auto"/>
          <w:highlight w:val="none"/>
        </w:rPr>
        <w:t>（</w:t>
      </w:r>
      <w:r>
        <w:rPr>
          <w:rFonts w:hint="eastAsia" w:ascii="宋体" w:hAnsi="宋体"/>
          <w:color w:val="auto"/>
          <w:highlight w:val="none"/>
        </w:rPr>
        <w:t>合同另册）。</w:t>
      </w:r>
    </w:p>
    <w:p w14:paraId="5A8A9DD9">
      <w:pPr>
        <w:pStyle w:val="10"/>
        <w:snapToGrid w:val="0"/>
        <w:spacing w:line="400" w:lineRule="atLeast"/>
        <w:ind w:left="0" w:leftChars="0" w:firstLine="420" w:firstLineChars="200"/>
        <w:rPr>
          <w:color w:val="auto"/>
          <w:szCs w:val="21"/>
          <w:highlight w:val="none"/>
        </w:rPr>
      </w:pPr>
    </w:p>
    <w:p w14:paraId="7405A0EE">
      <w:pPr>
        <w:rPr>
          <w:color w:val="auto"/>
          <w:highlight w:val="none"/>
        </w:rPr>
      </w:pPr>
    </w:p>
    <w:p w14:paraId="3EB0E532">
      <w:pPr>
        <w:rPr>
          <w:rFonts w:ascii="Times New Roman" w:hAnsi="Times New Roman"/>
          <w:b/>
          <w:color w:val="auto"/>
          <w:kern w:val="44"/>
          <w:sz w:val="44"/>
          <w:szCs w:val="20"/>
          <w:highlight w:val="none"/>
        </w:rPr>
      </w:pPr>
      <w:bookmarkStart w:id="982" w:name="_Toc246996338"/>
      <w:bookmarkStart w:id="983" w:name="_Toc247085853"/>
      <w:bookmarkStart w:id="984" w:name="_Toc179632787"/>
      <w:bookmarkStart w:id="985" w:name="_Toc246997081"/>
      <w:bookmarkStart w:id="986" w:name="_Toc144974578"/>
      <w:bookmarkStart w:id="987" w:name="_Toc152042549"/>
      <w:bookmarkStart w:id="988" w:name="_Toc300835199"/>
      <w:bookmarkStart w:id="989" w:name="_Toc247527798"/>
      <w:bookmarkStart w:id="990" w:name="_Toc247514197"/>
      <w:bookmarkStart w:id="991" w:name="_Toc152045610"/>
      <w:bookmarkStart w:id="992" w:name="_Toc184635122"/>
      <w:bookmarkStart w:id="993" w:name="_Toc152042388"/>
      <w:bookmarkStart w:id="994" w:name="_Toc144974829"/>
    </w:p>
    <w:p w14:paraId="23749663">
      <w:pPr>
        <w:rPr>
          <w:rFonts w:ascii="Times New Roman" w:hAnsi="Times New Roman"/>
          <w:b/>
          <w:color w:val="auto"/>
          <w:kern w:val="44"/>
          <w:sz w:val="44"/>
          <w:szCs w:val="20"/>
          <w:highlight w:val="none"/>
        </w:rPr>
      </w:pPr>
    </w:p>
    <w:p w14:paraId="0C523741">
      <w:pPr>
        <w:rPr>
          <w:rFonts w:ascii="Times New Roman" w:hAnsi="Times New Roman"/>
          <w:b/>
          <w:color w:val="auto"/>
          <w:kern w:val="44"/>
          <w:sz w:val="44"/>
          <w:szCs w:val="20"/>
          <w:highlight w:val="none"/>
        </w:rPr>
      </w:pPr>
    </w:p>
    <w:p w14:paraId="627641B8">
      <w:pPr>
        <w:rPr>
          <w:rFonts w:ascii="Times New Roman" w:hAnsi="Times New Roman"/>
          <w:b/>
          <w:color w:val="auto"/>
          <w:kern w:val="44"/>
          <w:sz w:val="44"/>
          <w:szCs w:val="20"/>
          <w:highlight w:val="none"/>
        </w:rPr>
      </w:pPr>
    </w:p>
    <w:p w14:paraId="01B6BDA9">
      <w:pPr>
        <w:rPr>
          <w:rFonts w:ascii="Times New Roman" w:hAnsi="Times New Roman"/>
          <w:b/>
          <w:color w:val="auto"/>
          <w:kern w:val="44"/>
          <w:sz w:val="44"/>
          <w:szCs w:val="20"/>
          <w:highlight w:val="none"/>
        </w:rPr>
      </w:pPr>
    </w:p>
    <w:p w14:paraId="45B3F9AD">
      <w:pPr>
        <w:rPr>
          <w:rFonts w:ascii="Times New Roman" w:hAnsi="Times New Roman"/>
          <w:b/>
          <w:color w:val="auto"/>
          <w:kern w:val="44"/>
          <w:sz w:val="44"/>
          <w:szCs w:val="20"/>
          <w:highlight w:val="none"/>
        </w:rPr>
      </w:pPr>
    </w:p>
    <w:p w14:paraId="21CB96D6">
      <w:pPr>
        <w:rPr>
          <w:rFonts w:ascii="Times New Roman" w:hAnsi="Times New Roman"/>
          <w:b/>
          <w:color w:val="auto"/>
          <w:kern w:val="44"/>
          <w:sz w:val="44"/>
          <w:szCs w:val="20"/>
          <w:highlight w:val="none"/>
        </w:rPr>
      </w:pPr>
    </w:p>
    <w:p w14:paraId="47501376">
      <w:pPr>
        <w:rPr>
          <w:rFonts w:ascii="Times New Roman" w:hAnsi="Times New Roman"/>
          <w:b/>
          <w:color w:val="auto"/>
          <w:kern w:val="44"/>
          <w:sz w:val="44"/>
          <w:szCs w:val="20"/>
          <w:highlight w:val="none"/>
        </w:rPr>
      </w:pPr>
    </w:p>
    <w:p w14:paraId="4E3379DC">
      <w:pPr>
        <w:rPr>
          <w:rFonts w:ascii="Times New Roman" w:hAnsi="Times New Roman"/>
          <w:b/>
          <w:color w:val="auto"/>
          <w:kern w:val="44"/>
          <w:sz w:val="44"/>
          <w:szCs w:val="20"/>
          <w:highlight w:val="none"/>
        </w:rPr>
      </w:pPr>
    </w:p>
    <w:p w14:paraId="06BA3960">
      <w:pPr>
        <w:rPr>
          <w:rFonts w:ascii="Times New Roman" w:hAnsi="Times New Roman"/>
          <w:b/>
          <w:color w:val="auto"/>
          <w:kern w:val="44"/>
          <w:sz w:val="44"/>
          <w:szCs w:val="20"/>
          <w:highlight w:val="none"/>
        </w:rPr>
      </w:pPr>
    </w:p>
    <w:p w14:paraId="7A6213D0">
      <w:pPr>
        <w:rPr>
          <w:rFonts w:ascii="Times New Roman" w:hAnsi="Times New Roman"/>
          <w:b/>
          <w:color w:val="auto"/>
          <w:kern w:val="44"/>
          <w:sz w:val="44"/>
          <w:szCs w:val="20"/>
          <w:highlight w:val="none"/>
        </w:rPr>
      </w:pPr>
    </w:p>
    <w:p w14:paraId="12E301E9">
      <w:pPr>
        <w:rPr>
          <w:rFonts w:ascii="Times New Roman" w:hAnsi="Times New Roman"/>
          <w:b/>
          <w:color w:val="auto"/>
          <w:kern w:val="44"/>
          <w:sz w:val="44"/>
          <w:szCs w:val="20"/>
          <w:highlight w:val="none"/>
        </w:rPr>
      </w:pPr>
    </w:p>
    <w:p w14:paraId="590013DD">
      <w:pPr>
        <w:rPr>
          <w:rFonts w:ascii="Times New Roman" w:hAnsi="Times New Roman"/>
          <w:b/>
          <w:color w:val="auto"/>
          <w:kern w:val="44"/>
          <w:sz w:val="44"/>
          <w:szCs w:val="20"/>
          <w:highlight w:val="none"/>
        </w:rPr>
      </w:pPr>
    </w:p>
    <w:p w14:paraId="79055BB4">
      <w:pPr>
        <w:rPr>
          <w:rFonts w:ascii="Times New Roman" w:hAnsi="Times New Roman"/>
          <w:b/>
          <w:color w:val="auto"/>
          <w:kern w:val="44"/>
          <w:sz w:val="44"/>
          <w:szCs w:val="20"/>
          <w:highlight w:val="none"/>
        </w:rPr>
      </w:pPr>
    </w:p>
    <w:p w14:paraId="2F9B35D1">
      <w:pPr>
        <w:rPr>
          <w:rFonts w:ascii="Times New Roman" w:hAnsi="Times New Roman"/>
          <w:b/>
          <w:color w:val="auto"/>
          <w:kern w:val="44"/>
          <w:sz w:val="44"/>
          <w:szCs w:val="20"/>
          <w:highlight w:val="none"/>
        </w:rPr>
      </w:pPr>
    </w:p>
    <w:p w14:paraId="3F9D29E1">
      <w:pPr>
        <w:rPr>
          <w:rFonts w:ascii="Times New Roman" w:hAnsi="Times New Roman"/>
          <w:b/>
          <w:color w:val="auto"/>
          <w:kern w:val="44"/>
          <w:sz w:val="44"/>
          <w:szCs w:val="20"/>
          <w:highlight w:val="none"/>
        </w:rPr>
      </w:pPr>
    </w:p>
    <w:p w14:paraId="19B36545">
      <w:pPr>
        <w:rPr>
          <w:rFonts w:ascii="Times New Roman" w:hAnsi="Times New Roman"/>
          <w:b/>
          <w:color w:val="auto"/>
          <w:kern w:val="44"/>
          <w:sz w:val="44"/>
          <w:szCs w:val="20"/>
          <w:highlight w:val="none"/>
        </w:rPr>
      </w:pPr>
    </w:p>
    <w:p w14:paraId="78A0AC0A">
      <w:pPr>
        <w:rPr>
          <w:rFonts w:ascii="Times New Roman" w:hAnsi="Times New Roman"/>
          <w:b/>
          <w:color w:val="auto"/>
          <w:kern w:val="44"/>
          <w:sz w:val="44"/>
          <w:szCs w:val="20"/>
          <w:highlight w:val="none"/>
        </w:rPr>
      </w:pPr>
    </w:p>
    <w:p w14:paraId="102322AF">
      <w:pPr>
        <w:rPr>
          <w:color w:val="auto"/>
          <w:highlight w:val="none"/>
        </w:rPr>
      </w:pPr>
    </w:p>
    <w:bookmarkEnd w:id="982"/>
    <w:bookmarkEnd w:id="983"/>
    <w:bookmarkEnd w:id="984"/>
    <w:bookmarkEnd w:id="985"/>
    <w:p w14:paraId="1FCEEFF4">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olor w:val="auto"/>
          <w:highlight w:val="none"/>
          <w:lang w:eastAsia="zh-CN"/>
        </w:rPr>
      </w:pPr>
      <w:bookmarkStart w:id="995" w:name="_Toc22777"/>
      <w:r>
        <w:rPr>
          <w:rFonts w:hint="eastAsia" w:ascii="方正小标宋简体" w:hAnsi="方正小标宋简体" w:eastAsia="方正小标宋简体" w:cs="方正小标宋简体"/>
          <w:b w:val="0"/>
          <w:bCs/>
          <w:color w:val="auto"/>
          <w:sz w:val="44"/>
          <w:szCs w:val="44"/>
          <w:highlight w:val="none"/>
          <w:lang w:val="en-US" w:eastAsia="zh-CN"/>
        </w:rPr>
        <w:t xml:space="preserve"> </w:t>
      </w:r>
      <w:r>
        <w:rPr>
          <w:color w:val="auto"/>
          <w:highlight w:val="none"/>
        </w:rPr>
        <w:t>第</w:t>
      </w:r>
      <w:r>
        <w:rPr>
          <w:rFonts w:hint="eastAsia"/>
          <w:color w:val="auto"/>
          <w:highlight w:val="none"/>
          <w:lang w:eastAsia="zh-CN"/>
        </w:rPr>
        <w:t>五</w:t>
      </w:r>
      <w:r>
        <w:rPr>
          <w:color w:val="auto"/>
          <w:highlight w:val="none"/>
        </w:rPr>
        <w:t>章</w:t>
      </w:r>
      <w:r>
        <w:rPr>
          <w:rFonts w:hint="eastAsia"/>
          <w:color w:val="auto"/>
          <w:highlight w:val="none"/>
          <w:lang w:eastAsia="zh-CN"/>
        </w:rPr>
        <w:t>委托人要求</w:t>
      </w:r>
      <w:bookmarkEnd w:id="995"/>
    </w:p>
    <w:p w14:paraId="0026D87D">
      <w:pPr>
        <w:keepNext w:val="0"/>
        <w:keepLines w:val="0"/>
        <w:pageBreakBefore w:val="0"/>
        <w:widowControl/>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Times New Roman"/>
          <w:b/>
          <w:bCs/>
          <w:color w:val="auto"/>
          <w:sz w:val="24"/>
          <w:highlight w:val="none"/>
        </w:rPr>
      </w:pPr>
      <w:bookmarkStart w:id="996" w:name="_Toc17177"/>
      <w:bookmarkStart w:id="997" w:name="_Toc7194"/>
      <w:r>
        <w:rPr>
          <w:rFonts w:hint="eastAsia" w:ascii="宋体" w:hAnsi="宋体" w:eastAsia="宋体" w:cs="Times New Roman"/>
          <w:b/>
          <w:bCs/>
          <w:color w:val="auto"/>
          <w:sz w:val="24"/>
          <w:highlight w:val="none"/>
        </w:rPr>
        <w:t>一、项目概况</w:t>
      </w:r>
    </w:p>
    <w:p w14:paraId="3F69EA9A">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Microsoft JhengHei"/>
          <w:color w:val="auto"/>
          <w:sz w:val="24"/>
          <w:szCs w:val="24"/>
          <w:highlight w:val="none"/>
          <w:lang w:val="en-US" w:eastAsia="zh-CN"/>
        </w:rPr>
      </w:pPr>
      <w:r>
        <w:rPr>
          <w:rFonts w:hint="eastAsia" w:ascii="Times New Roman" w:hAnsi="Times New Roman" w:eastAsia="宋体" w:cs="Microsoft JhengHei"/>
          <w:color w:val="auto"/>
          <w:sz w:val="24"/>
          <w:szCs w:val="24"/>
          <w:highlight w:val="none"/>
          <w:lang w:val="en-US" w:eastAsia="zh-CN"/>
        </w:rPr>
        <w:t>1.1项目名称：花果山产业小镇综合配套工程建设项目土壤污染修复效果评估咨询服务</w:t>
      </w:r>
    </w:p>
    <w:p w14:paraId="2D083B54">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Microsoft JhengHei"/>
          <w:color w:val="auto"/>
          <w:sz w:val="24"/>
          <w:szCs w:val="24"/>
          <w:highlight w:val="none"/>
          <w:lang w:val="en-US" w:eastAsia="zh-CN"/>
        </w:rPr>
      </w:pPr>
      <w:r>
        <w:rPr>
          <w:rFonts w:hint="eastAsia" w:ascii="Times New Roman" w:hAnsi="Times New Roman" w:eastAsia="宋体" w:cs="Microsoft JhengHei"/>
          <w:color w:val="auto"/>
          <w:sz w:val="24"/>
          <w:szCs w:val="24"/>
          <w:highlight w:val="none"/>
          <w:lang w:val="en-US" w:eastAsia="zh-CN"/>
        </w:rPr>
        <w:t>1.2招标人：广州市越秀区代建项目管理中心</w:t>
      </w:r>
    </w:p>
    <w:p w14:paraId="216978FD">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Microsoft JhengHei"/>
          <w:color w:val="auto"/>
          <w:sz w:val="24"/>
          <w:szCs w:val="24"/>
          <w:highlight w:val="none"/>
          <w:lang w:val="en-US" w:eastAsia="zh-CN"/>
        </w:rPr>
      </w:pPr>
      <w:r>
        <w:rPr>
          <w:rFonts w:hint="eastAsia" w:ascii="Times New Roman" w:hAnsi="Times New Roman" w:eastAsia="宋体" w:cs="Microsoft JhengHei"/>
          <w:color w:val="auto"/>
          <w:sz w:val="24"/>
          <w:szCs w:val="24"/>
          <w:highlight w:val="none"/>
          <w:lang w:val="en-US" w:eastAsia="zh-CN"/>
        </w:rPr>
        <w:t>1.3项目地点：广州市越秀区西胜街以北、广州市广播电视台以东、广州青少年科技馆以西地块。</w:t>
      </w:r>
    </w:p>
    <w:p w14:paraId="4F42672D">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Microsoft JhengHei"/>
          <w:color w:val="auto"/>
          <w:sz w:val="24"/>
          <w:szCs w:val="24"/>
          <w:highlight w:val="none"/>
          <w:lang w:val="en-US" w:eastAsia="zh-CN"/>
        </w:rPr>
      </w:pPr>
      <w:r>
        <w:rPr>
          <w:rFonts w:hint="eastAsia" w:ascii="Times New Roman" w:hAnsi="Times New Roman" w:eastAsia="宋体" w:cs="Microsoft JhengHei"/>
          <w:color w:val="auto"/>
          <w:sz w:val="24"/>
          <w:szCs w:val="24"/>
          <w:highlight w:val="none"/>
          <w:lang w:val="en-US" w:eastAsia="zh-CN"/>
        </w:rPr>
        <w:t>1.4项目基本情况：花果山产业小镇综合配套工程建设项目地块位于广州市越秀区西胜街北侧、广州青少年科技馆西侧、广州电视台东侧，调查地块（地块一行政办公用地与地块三文化设施用地）占地面积为11158.67平方米。本项目地块土壤污染风险评估是基于地块调查超筛的土壤砷作为关注污染物以及第二类用地的情景下相应污染物的健康风险进行了相应分析与评估，调查地块内风险管控/修复最大深度：阶梯一为0~19米、阶梯二为0~22米，风险管控/修复的最大投影面积为9461.26平方米，风险管控/修复的土方量约为69326.59立方米，疑似污染土方量约为6528.07立方米。其中计划风险管控土方量约10139.80立方米，修复土方量59186.79立方米，支护措施产生土方暂估6919.30立方米（最终以修复实施方案备案为准）。</w:t>
      </w:r>
    </w:p>
    <w:p w14:paraId="557412E8">
      <w:pPr>
        <w:keepNext w:val="0"/>
        <w:keepLines w:val="0"/>
        <w:pageBreakBefore w:val="0"/>
        <w:widowControl/>
        <w:kinsoku/>
        <w:wordWrap/>
        <w:overflowPunct/>
        <w:topLinePunct w:val="0"/>
        <w:autoSpaceDE/>
        <w:autoSpaceDN/>
        <w:bidi w:val="0"/>
        <w:adjustRightInd/>
        <w:snapToGrid/>
        <w:spacing w:line="560" w:lineRule="exact"/>
        <w:ind w:firstLine="482" w:firstLineChars="200"/>
        <w:textAlignment w:val="auto"/>
        <w:rPr>
          <w:rFonts w:hint="eastAsia" w:cs="Microsoft JhengHei"/>
          <w:b/>
          <w:bCs/>
          <w:color w:val="auto"/>
          <w:sz w:val="24"/>
          <w:szCs w:val="24"/>
          <w:highlight w:val="none"/>
          <w:lang w:val="en-US" w:eastAsia="zh-CN"/>
        </w:rPr>
      </w:pPr>
      <w:r>
        <w:rPr>
          <w:rFonts w:hint="eastAsia" w:ascii="宋体" w:hAnsi="宋体" w:cs="Times New Roman"/>
          <w:b/>
          <w:bCs/>
          <w:color w:val="auto"/>
          <w:sz w:val="24"/>
          <w:highlight w:val="none"/>
          <w:lang w:val="en-US" w:eastAsia="zh-CN"/>
        </w:rPr>
        <w:t>二、服务</w:t>
      </w:r>
      <w:r>
        <w:rPr>
          <w:rFonts w:hint="eastAsia" w:cs="Microsoft JhengHei"/>
          <w:b/>
          <w:bCs/>
          <w:color w:val="auto"/>
          <w:sz w:val="24"/>
          <w:szCs w:val="24"/>
          <w:highlight w:val="none"/>
          <w:lang w:val="en-US" w:eastAsia="zh-CN"/>
        </w:rPr>
        <w:t>目标</w:t>
      </w:r>
    </w:p>
    <w:p w14:paraId="5EFCA904">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cs="Microsoft JhengHei"/>
          <w:color w:val="auto"/>
          <w:kern w:val="2"/>
          <w:sz w:val="24"/>
          <w:szCs w:val="24"/>
          <w:highlight w:val="none"/>
          <w:u w:val="none"/>
          <w:lang w:val="en-US" w:eastAsia="zh-CN"/>
        </w:rPr>
      </w:pPr>
      <w:r>
        <w:rPr>
          <w:rFonts w:hint="eastAsia" w:ascii="Times New Roman" w:hAnsi="Times New Roman" w:eastAsia="宋体" w:cs="Microsoft JhengHei"/>
          <w:color w:val="auto"/>
          <w:sz w:val="24"/>
          <w:szCs w:val="24"/>
          <w:highlight w:val="none"/>
          <w:lang w:val="en-US" w:eastAsia="zh-CN"/>
        </w:rPr>
        <w:t>配合</w:t>
      </w:r>
      <w:r>
        <w:rPr>
          <w:rFonts w:hint="eastAsia" w:ascii="Times New Roman" w:hAnsi="Times New Roman" w:cs="Microsoft JhengHei"/>
          <w:color w:val="auto"/>
          <w:sz w:val="24"/>
          <w:szCs w:val="24"/>
          <w:highlight w:val="none"/>
          <w:lang w:val="en-US" w:eastAsia="zh-CN"/>
        </w:rPr>
        <w:t>修复</w:t>
      </w:r>
      <w:r>
        <w:rPr>
          <w:rFonts w:hint="eastAsia" w:ascii="Times New Roman" w:hAnsi="Times New Roman" w:eastAsia="宋体" w:cs="Microsoft JhengHei"/>
          <w:color w:val="auto"/>
          <w:sz w:val="24"/>
          <w:szCs w:val="24"/>
          <w:highlight w:val="none"/>
          <w:lang w:val="en-US" w:eastAsia="zh-CN"/>
        </w:rPr>
        <w:t>单位完成土壤污染治理与修复的各项工作，《修复效果评估报告》在合同时间内通过生态环境主管部门组织的专家评审会，通过生态环境主管部门审核审查，移出省污染土壤名录</w:t>
      </w:r>
      <w:r>
        <w:rPr>
          <w:rFonts w:hint="eastAsia" w:ascii="Times New Roman" w:hAnsi="Times New Roman" w:eastAsia="宋体" w:cs="Microsoft JhengHei"/>
          <w:color w:val="auto"/>
          <w:sz w:val="24"/>
          <w:szCs w:val="24"/>
          <w:highlight w:val="none"/>
          <w:lang w:eastAsia="zh-CN"/>
        </w:rPr>
        <w:t>；</w:t>
      </w:r>
      <w:r>
        <w:rPr>
          <w:rFonts w:hint="eastAsia" w:ascii="Times New Roman" w:hAnsi="Times New Roman" w:eastAsia="宋体" w:cs="Microsoft JhengHei"/>
          <w:color w:val="auto"/>
          <w:sz w:val="24"/>
          <w:szCs w:val="24"/>
          <w:highlight w:val="none"/>
          <w:lang w:val="en-US" w:eastAsia="zh-CN"/>
        </w:rPr>
        <w:t>在治理与修复工程实施过程中不得对周边环境造成不良影响及产生二次污染。如产生不良影响或二次污染，</w:t>
      </w:r>
      <w:r>
        <w:rPr>
          <w:rFonts w:hint="eastAsia" w:cs="Microsoft JhengHei"/>
          <w:color w:val="auto"/>
          <w:sz w:val="24"/>
          <w:szCs w:val="24"/>
          <w:highlight w:val="none"/>
          <w:lang w:val="en-US" w:eastAsia="zh-CN"/>
        </w:rPr>
        <w:t>即时上报并责令、监督实施单位整改。</w:t>
      </w:r>
    </w:p>
    <w:p w14:paraId="6A297379">
      <w:pPr>
        <w:pStyle w:val="10"/>
        <w:keepNext w:val="0"/>
        <w:keepLines w:val="0"/>
        <w:pageBreakBefore w:val="0"/>
        <w:kinsoku/>
        <w:wordWrap/>
        <w:overflowPunct/>
        <w:topLinePunct w:val="0"/>
        <w:autoSpaceDE/>
        <w:autoSpaceDN/>
        <w:bidi w:val="0"/>
        <w:adjustRightInd/>
        <w:snapToGrid/>
        <w:spacing w:after="0" w:line="560" w:lineRule="exact"/>
        <w:ind w:left="0" w:leftChars="0"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.1工作范围：</w:t>
      </w:r>
    </w:p>
    <w:p w14:paraId="3D38C2CF">
      <w:pPr>
        <w:pStyle w:val="10"/>
        <w:keepNext w:val="0"/>
        <w:keepLines w:val="0"/>
        <w:pageBreakBefore w:val="0"/>
        <w:kinsoku/>
        <w:wordWrap/>
        <w:overflowPunct/>
        <w:topLinePunct w:val="0"/>
        <w:autoSpaceDE/>
        <w:autoSpaceDN/>
        <w:bidi w:val="0"/>
        <w:adjustRightInd/>
        <w:snapToGrid/>
        <w:spacing w:after="0" w:line="560" w:lineRule="exact"/>
        <w:ind w:left="0" w:leftChars="0"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针对花果山产业小镇综合配套工程建设项目的污染土壤，依据法律法规及环保治理相关规定，编制修复效果评估工作方案；根据要求的修复目标值，对土壤修复单位进行施工的修复区域和修复后的土壤开展第三方检测评价和验收报告《花果山产业小镇综合配套工程建设项目土壤修复效果评估报告》编制；包括但不限于：污染土壤开挖后遗留基坑的清挖效果监测；修复后土壤修复效果监测，确保修复地块污染土壤污染物达到修复目标值；与招标人、修复实施单位、监理单位共同配合项目推进，在项目实施过程中提供咨询、指导意见；编制土壤治理与修复效果评估报告，评估报告编制的质量与深度应符合广州市生态环境局等相关部门的技术要求，能满足通过生态环境主管部门组织的专家评审并上报生态管理部门备案的条件，地块移出土壤污染名录。</w:t>
      </w:r>
    </w:p>
    <w:p w14:paraId="02914399">
      <w:pPr>
        <w:pStyle w:val="10"/>
        <w:keepNext w:val="0"/>
        <w:keepLines w:val="0"/>
        <w:pageBreakBefore w:val="0"/>
        <w:kinsoku/>
        <w:wordWrap/>
        <w:overflowPunct/>
        <w:topLinePunct w:val="0"/>
        <w:autoSpaceDE/>
        <w:autoSpaceDN/>
        <w:bidi w:val="0"/>
        <w:adjustRightInd/>
        <w:snapToGrid/>
        <w:spacing w:after="0" w:line="560" w:lineRule="exact"/>
        <w:ind w:left="0" w:leftChars="0"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.2工作内容：</w:t>
      </w:r>
    </w:p>
    <w:p w14:paraId="0CE94B45">
      <w:pPr>
        <w:pStyle w:val="10"/>
        <w:keepNext w:val="0"/>
        <w:keepLines w:val="0"/>
        <w:pageBreakBefore w:val="0"/>
        <w:kinsoku/>
        <w:wordWrap/>
        <w:overflowPunct/>
        <w:topLinePunct w:val="0"/>
        <w:autoSpaceDE/>
        <w:autoSpaceDN/>
        <w:bidi w:val="0"/>
        <w:adjustRightInd/>
        <w:snapToGrid/>
        <w:spacing w:after="0" w:line="560" w:lineRule="exact"/>
        <w:ind w:left="0" w:leftChars="0" w:firstLine="480" w:firstLineChars="200"/>
        <w:textAlignment w:val="auto"/>
        <w:rPr>
          <w:rFonts w:hint="eastAsia" w:ascii="宋体" w:hAnsi="宋体"/>
          <w:color w:val="auto"/>
          <w:sz w:val="24"/>
          <w:highlight w:val="none"/>
        </w:rPr>
      </w:pPr>
      <w:r>
        <w:rPr>
          <w:rFonts w:hint="eastAsia" w:ascii="宋体" w:hAnsi="宋体"/>
          <w:color w:val="auto"/>
          <w:sz w:val="24"/>
          <w:highlight w:val="none"/>
        </w:rPr>
        <w:t>按国家、广东省、</w:t>
      </w:r>
      <w:r>
        <w:rPr>
          <w:rFonts w:hint="eastAsia" w:ascii="宋体" w:hAnsi="宋体"/>
          <w:color w:val="auto"/>
          <w:sz w:val="24"/>
          <w:highlight w:val="none"/>
          <w:lang w:val="en-US" w:eastAsia="zh-CN"/>
        </w:rPr>
        <w:t>广州</w:t>
      </w:r>
      <w:r>
        <w:rPr>
          <w:rFonts w:hint="eastAsia" w:ascii="宋体" w:hAnsi="宋体"/>
          <w:color w:val="auto"/>
          <w:sz w:val="24"/>
          <w:highlight w:val="none"/>
        </w:rPr>
        <w:t>市现行有关标准、规范、规程和</w:t>
      </w:r>
      <w:r>
        <w:rPr>
          <w:rFonts w:hint="eastAsia" w:ascii="宋体" w:hAnsi="宋体"/>
          <w:color w:val="auto"/>
          <w:sz w:val="24"/>
          <w:highlight w:val="none"/>
          <w:lang w:val="en-US" w:eastAsia="zh-CN"/>
        </w:rPr>
        <w:t>甲方</w:t>
      </w:r>
      <w:r>
        <w:rPr>
          <w:rFonts w:hint="eastAsia" w:ascii="宋体" w:hAnsi="宋体"/>
          <w:color w:val="auto"/>
          <w:sz w:val="24"/>
          <w:highlight w:val="none"/>
        </w:rPr>
        <w:t>的相关要求，包括但不限于按照国家及地方环保法律法规、技术规范开展本项目的修复效果评估工作、编制修复效果评估工作方案、提供技术咨询、治理与修复效果评估报告、统筹配合处置项目验收等工作。具体工作内容包括但不限于：</w:t>
      </w:r>
    </w:p>
    <w:p w14:paraId="403A4A6F">
      <w:pPr>
        <w:pStyle w:val="10"/>
        <w:keepNext w:val="0"/>
        <w:keepLines w:val="0"/>
        <w:pageBreakBefore w:val="0"/>
        <w:kinsoku/>
        <w:wordWrap/>
        <w:overflowPunct/>
        <w:topLinePunct w:val="0"/>
        <w:autoSpaceDE/>
        <w:autoSpaceDN/>
        <w:bidi w:val="0"/>
        <w:adjustRightInd/>
        <w:snapToGrid/>
        <w:spacing w:after="0" w:line="560" w:lineRule="exact"/>
        <w:ind w:left="0" w:leftChars="0" w:firstLine="480" w:firstLineChars="200"/>
        <w:textAlignment w:val="auto"/>
        <w:rPr>
          <w:rFonts w:hint="eastAsia" w:ascii="宋体" w:hAnsi="宋体"/>
          <w:color w:val="auto"/>
          <w:sz w:val="24"/>
          <w:highlight w:val="none"/>
        </w:rPr>
      </w:pPr>
      <w:r>
        <w:rPr>
          <w:rFonts w:hint="eastAsia" w:ascii="宋体" w:hAnsi="宋体"/>
          <w:color w:val="auto"/>
          <w:sz w:val="24"/>
          <w:highlight w:val="none"/>
        </w:rPr>
        <w:t>（1）负责项目修复效果现场采样、检测分析、修复效果评估、报告编制、专家评审等各项工作。</w:t>
      </w:r>
    </w:p>
    <w:p w14:paraId="251A37D1">
      <w:pPr>
        <w:pStyle w:val="10"/>
        <w:keepNext w:val="0"/>
        <w:keepLines w:val="0"/>
        <w:pageBreakBefore w:val="0"/>
        <w:kinsoku/>
        <w:wordWrap/>
        <w:overflowPunct/>
        <w:topLinePunct w:val="0"/>
        <w:autoSpaceDE/>
        <w:autoSpaceDN/>
        <w:bidi w:val="0"/>
        <w:adjustRightInd/>
        <w:snapToGrid/>
        <w:spacing w:after="0" w:line="560" w:lineRule="exact"/>
        <w:ind w:left="0" w:leftChars="0" w:firstLine="480" w:firstLineChars="200"/>
        <w:textAlignment w:val="auto"/>
        <w:rPr>
          <w:rFonts w:hint="eastAsia" w:ascii="宋体" w:hAnsi="宋体"/>
          <w:color w:val="auto"/>
          <w:sz w:val="24"/>
          <w:highlight w:val="none"/>
        </w:rPr>
      </w:pPr>
      <w:r>
        <w:rPr>
          <w:rFonts w:hint="eastAsia" w:ascii="宋体" w:hAnsi="宋体"/>
          <w:color w:val="auto"/>
          <w:sz w:val="24"/>
          <w:highlight w:val="none"/>
        </w:rPr>
        <w:t>（2）负责编写修复效果评估工作方案，负责效果评估相关工作的评审、报审、报批（如有）。</w:t>
      </w:r>
    </w:p>
    <w:p w14:paraId="3404C626">
      <w:pPr>
        <w:pStyle w:val="10"/>
        <w:keepNext w:val="0"/>
        <w:keepLines w:val="0"/>
        <w:pageBreakBefore w:val="0"/>
        <w:kinsoku/>
        <w:wordWrap/>
        <w:overflowPunct/>
        <w:topLinePunct w:val="0"/>
        <w:autoSpaceDE/>
        <w:autoSpaceDN/>
        <w:bidi w:val="0"/>
        <w:adjustRightInd/>
        <w:snapToGrid/>
        <w:spacing w:after="0" w:line="560" w:lineRule="exact"/>
        <w:ind w:left="0" w:leftChars="0" w:firstLine="480" w:firstLineChars="200"/>
        <w:textAlignment w:val="auto"/>
        <w:rPr>
          <w:rFonts w:hint="eastAsia" w:ascii="宋体" w:hAnsi="宋体"/>
          <w:color w:val="auto"/>
          <w:sz w:val="24"/>
          <w:highlight w:val="none"/>
        </w:rPr>
      </w:pPr>
      <w:r>
        <w:rPr>
          <w:rFonts w:hint="eastAsia" w:ascii="宋体" w:hAnsi="宋体"/>
          <w:color w:val="auto"/>
          <w:sz w:val="24"/>
          <w:highlight w:val="none"/>
        </w:rPr>
        <w:t>（3）根据国家、省、市生态环境等部门的有关要求，对本地块的治理与修复项目实施情况、二次污染控制情况、环保/监测措施落实情况、治理与修复范围与工程量核定、现场遗留污染识别及处理等，进行达标验收；</w:t>
      </w:r>
    </w:p>
    <w:p w14:paraId="0B1564C6">
      <w:pPr>
        <w:pStyle w:val="10"/>
        <w:keepNext w:val="0"/>
        <w:keepLines w:val="0"/>
        <w:pageBreakBefore w:val="0"/>
        <w:kinsoku/>
        <w:wordWrap/>
        <w:overflowPunct/>
        <w:topLinePunct w:val="0"/>
        <w:autoSpaceDE/>
        <w:autoSpaceDN/>
        <w:bidi w:val="0"/>
        <w:adjustRightInd/>
        <w:snapToGrid/>
        <w:spacing w:after="0" w:line="560" w:lineRule="exact"/>
        <w:ind w:left="0" w:leftChars="0" w:firstLine="480" w:firstLineChars="200"/>
        <w:textAlignment w:val="auto"/>
        <w:rPr>
          <w:rFonts w:hint="eastAsia" w:ascii="宋体" w:hAnsi="宋体"/>
          <w:color w:val="auto"/>
          <w:sz w:val="24"/>
          <w:highlight w:val="none"/>
        </w:rPr>
      </w:pPr>
      <w:r>
        <w:rPr>
          <w:rFonts w:hint="eastAsia" w:ascii="宋体" w:hAnsi="宋体"/>
          <w:color w:val="auto"/>
          <w:sz w:val="24"/>
          <w:highlight w:val="none"/>
        </w:rPr>
        <w:t>（4）根据《污染地块风险管控与土壤修复效果评估技术导则》(试行)(HJ25.5-2018)、《建设用地土壤污染风险管控和修复监测技术导则》(HJ25.2-2019)、《污染地块地下水修复和风险管控技术导则》(HJ25.6-2019)、《场地环境监测技术导则》、《广东省建设用地土壤污染状况调查、风险评估及效果评估报告技术审查要点(试行)》(粤环办(2020)67号)等相关规定进行全过程现场采样、记录、质控及</w:t>
      </w:r>
      <w:r>
        <w:rPr>
          <w:rFonts w:hint="eastAsia" w:ascii="宋体" w:hAnsi="宋体"/>
          <w:color w:val="auto"/>
          <w:sz w:val="24"/>
          <w:highlight w:val="none"/>
          <w:lang w:eastAsia="zh-CN"/>
        </w:rPr>
        <w:t>实</w:t>
      </w:r>
      <w:r>
        <w:rPr>
          <w:rFonts w:hint="eastAsia" w:ascii="宋体" w:hAnsi="宋体"/>
          <w:color w:val="auto"/>
          <w:sz w:val="24"/>
          <w:highlight w:val="none"/>
        </w:rPr>
        <w:t>验室分析，并保存完整的资料，及时出具质量合格的检测报告，并对其负责。</w:t>
      </w:r>
    </w:p>
    <w:p w14:paraId="757F9D08">
      <w:pPr>
        <w:pStyle w:val="10"/>
        <w:keepNext w:val="0"/>
        <w:keepLines w:val="0"/>
        <w:pageBreakBefore w:val="0"/>
        <w:kinsoku/>
        <w:wordWrap/>
        <w:overflowPunct/>
        <w:topLinePunct w:val="0"/>
        <w:autoSpaceDE/>
        <w:autoSpaceDN/>
        <w:bidi w:val="0"/>
        <w:adjustRightInd/>
        <w:snapToGrid/>
        <w:spacing w:after="0" w:line="560" w:lineRule="exact"/>
        <w:ind w:left="0" w:leftChars="0" w:firstLine="480" w:firstLineChars="200"/>
        <w:textAlignment w:val="auto"/>
        <w:rPr>
          <w:rFonts w:hint="eastAsia" w:ascii="宋体" w:hAnsi="宋体"/>
          <w:color w:val="auto"/>
          <w:sz w:val="24"/>
          <w:highlight w:val="none"/>
        </w:rPr>
      </w:pPr>
      <w:r>
        <w:rPr>
          <w:rFonts w:hint="eastAsia" w:ascii="宋体" w:hAnsi="宋体"/>
          <w:color w:val="auto"/>
          <w:sz w:val="24"/>
          <w:highlight w:val="none"/>
        </w:rPr>
        <w:t>（5）结合治理与修复项目的完成情况，在符合效果评估技术方案要求后收集项目验收材料，包括施工竣工报告、环境监理报告、工程监理报告等，编制《花果山产业小镇综合配套工程建设项目土壤修复效果评估报告》，并协调省、市生态环境部门组织专家评审会，通过专家评审会，取得专家评审意见。</w:t>
      </w:r>
    </w:p>
    <w:p w14:paraId="36680FD9">
      <w:pPr>
        <w:pStyle w:val="10"/>
        <w:keepNext w:val="0"/>
        <w:keepLines w:val="0"/>
        <w:pageBreakBefore w:val="0"/>
        <w:kinsoku/>
        <w:wordWrap/>
        <w:overflowPunct/>
        <w:topLinePunct w:val="0"/>
        <w:autoSpaceDE/>
        <w:autoSpaceDN/>
        <w:bidi w:val="0"/>
        <w:adjustRightInd/>
        <w:snapToGrid/>
        <w:spacing w:after="0" w:line="560" w:lineRule="exact"/>
        <w:ind w:left="0" w:leftChars="0" w:firstLine="480" w:firstLineChars="200"/>
        <w:textAlignment w:val="auto"/>
        <w:rPr>
          <w:rFonts w:hint="eastAsia" w:ascii="宋体" w:hAnsi="宋体"/>
          <w:color w:val="auto"/>
          <w:sz w:val="24"/>
          <w:highlight w:val="none"/>
        </w:rPr>
      </w:pPr>
      <w:r>
        <w:rPr>
          <w:rFonts w:hint="eastAsia" w:ascii="宋体" w:hAnsi="宋体"/>
          <w:color w:val="auto"/>
          <w:sz w:val="24"/>
          <w:highlight w:val="none"/>
        </w:rPr>
        <w:t>（6）负责整理项目全过程资料，并在验收合格，取得生态环境部门备案批复文件后（如有）15个日历天内移交给甲方。</w:t>
      </w:r>
    </w:p>
    <w:p w14:paraId="79ABE7F2">
      <w:pPr>
        <w:pStyle w:val="14"/>
        <w:keepNext w:val="0"/>
        <w:keepLines w:val="0"/>
        <w:pageBreakBefore w:val="0"/>
        <w:kinsoku/>
        <w:wordWrap/>
        <w:overflowPunct/>
        <w:topLinePunct w:val="0"/>
        <w:autoSpaceDE/>
        <w:autoSpaceDN/>
        <w:bidi w:val="0"/>
        <w:adjustRightInd/>
        <w:snapToGrid/>
        <w:spacing w:before="0" w:after="0" w:line="560" w:lineRule="exact"/>
        <w:ind w:firstLine="482" w:firstLineChars="200"/>
        <w:jc w:val="left"/>
        <w:textAlignment w:val="auto"/>
        <w:rPr>
          <w:rFonts w:hint="eastAsia"/>
          <w:color w:val="auto"/>
          <w:sz w:val="24"/>
          <w:highlight w:val="none"/>
        </w:rPr>
      </w:pPr>
      <w:bookmarkStart w:id="998" w:name="_Toc20771"/>
      <w:r>
        <w:rPr>
          <w:rFonts w:hint="eastAsia"/>
          <w:color w:val="auto"/>
          <w:sz w:val="24"/>
          <w:highlight w:val="none"/>
          <w:lang w:eastAsia="zh-CN"/>
        </w:rPr>
        <w:t>三</w:t>
      </w:r>
      <w:r>
        <w:rPr>
          <w:rFonts w:hint="eastAsia"/>
          <w:color w:val="auto"/>
          <w:sz w:val="24"/>
          <w:highlight w:val="none"/>
        </w:rPr>
        <w:t>、提交成果及验收标准</w:t>
      </w:r>
      <w:bookmarkEnd w:id="998"/>
    </w:p>
    <w:p w14:paraId="0B6CB7F4">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auto"/>
          <w:sz w:val="24"/>
          <w:szCs w:val="20"/>
          <w:highlight w:val="none"/>
        </w:rPr>
      </w:pPr>
      <w:r>
        <w:rPr>
          <w:rFonts w:hint="eastAsia" w:ascii="宋体" w:hAnsi="宋体"/>
          <w:color w:val="auto"/>
          <w:sz w:val="24"/>
          <w:szCs w:val="20"/>
          <w:highlight w:val="none"/>
          <w:lang w:val="en-US" w:eastAsia="zh-CN"/>
        </w:rPr>
        <w:t>3</w:t>
      </w:r>
      <w:r>
        <w:rPr>
          <w:rFonts w:hint="eastAsia" w:ascii="宋体" w:hAnsi="宋体"/>
          <w:color w:val="auto"/>
          <w:sz w:val="24"/>
          <w:szCs w:val="20"/>
          <w:highlight w:val="none"/>
        </w:rPr>
        <w:t>.1乙方应按如下要求提供相关工作成果：</w:t>
      </w:r>
    </w:p>
    <w:p w14:paraId="47759EF8">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auto"/>
          <w:sz w:val="24"/>
          <w:szCs w:val="20"/>
          <w:highlight w:val="none"/>
        </w:rPr>
      </w:pPr>
      <w:r>
        <w:rPr>
          <w:rFonts w:hint="eastAsia" w:ascii="宋体" w:hAnsi="宋体" w:eastAsia="宋体" w:cs="Times New Roman"/>
          <w:color w:val="auto"/>
          <w:sz w:val="24"/>
          <w:szCs w:val="20"/>
          <w:highlight w:val="none"/>
        </w:rPr>
        <w:t>（1）乙方提交技术咨询工作成果的形式：《</w:t>
      </w:r>
      <w:r>
        <w:rPr>
          <w:rFonts w:hint="eastAsia" w:ascii="宋体" w:hAnsi="宋体" w:eastAsia="宋体" w:cs="Times New Roman"/>
          <w:color w:val="auto"/>
          <w:sz w:val="24"/>
          <w:szCs w:val="20"/>
          <w:highlight w:val="none"/>
          <w:lang w:eastAsia="zh-CN"/>
        </w:rPr>
        <w:t>花果山产业小镇综合配套工程建设项目</w:t>
      </w:r>
      <w:r>
        <w:rPr>
          <w:rFonts w:hint="eastAsia" w:ascii="宋体" w:hAnsi="宋体" w:eastAsia="宋体" w:cs="Times New Roman"/>
          <w:color w:val="auto"/>
          <w:sz w:val="24"/>
          <w:szCs w:val="20"/>
          <w:highlight w:val="none"/>
          <w:lang w:val="en-US" w:eastAsia="zh-CN"/>
        </w:rPr>
        <w:t>土壤修复项</w:t>
      </w:r>
      <w:r>
        <w:rPr>
          <w:rFonts w:hint="eastAsia" w:ascii="宋体" w:hAnsi="宋体"/>
          <w:color w:val="auto"/>
          <w:sz w:val="24"/>
          <w:szCs w:val="20"/>
          <w:highlight w:val="none"/>
        </w:rPr>
        <w:t>效果评估报告》一式</w:t>
      </w:r>
      <w:r>
        <w:rPr>
          <w:rFonts w:hint="eastAsia" w:ascii="宋体" w:hAnsi="宋体"/>
          <w:color w:val="auto"/>
          <w:sz w:val="24"/>
          <w:szCs w:val="20"/>
          <w:highlight w:val="none"/>
          <w:lang w:val="en-US" w:eastAsia="zh-CN"/>
        </w:rPr>
        <w:t>陆</w:t>
      </w:r>
      <w:r>
        <w:rPr>
          <w:rFonts w:hint="eastAsia" w:ascii="宋体" w:hAnsi="宋体"/>
          <w:color w:val="auto"/>
          <w:sz w:val="24"/>
          <w:szCs w:val="20"/>
          <w:highlight w:val="none"/>
        </w:rPr>
        <w:t>份和电子版壹份。</w:t>
      </w:r>
    </w:p>
    <w:p w14:paraId="7F416956">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olor w:val="auto"/>
          <w:sz w:val="24"/>
          <w:szCs w:val="20"/>
          <w:highlight w:val="none"/>
        </w:rPr>
      </w:pPr>
      <w:r>
        <w:rPr>
          <w:rFonts w:hint="eastAsia" w:ascii="宋体" w:hAnsi="宋体"/>
          <w:color w:val="auto"/>
          <w:sz w:val="24"/>
          <w:szCs w:val="20"/>
          <w:highlight w:val="none"/>
        </w:rPr>
        <w:t>（2）技术咨询工作成果的验收标准：乙方保证按照国家、广东省和广州市的相关要求，编制本项目土壤修复修复效果评估报告，通过生态环境主管部门组织的专家评审，本地块移出广东省建设用地土壤污染风险管控和修复名录即为验收通过为项目成果的最终验收依据</w:t>
      </w:r>
      <w:r>
        <w:rPr>
          <w:rFonts w:hint="eastAsia" w:ascii="宋体" w:hAnsi="宋体"/>
          <w:color w:val="auto"/>
          <w:sz w:val="24"/>
          <w:highlight w:val="none"/>
        </w:rPr>
        <w:t>。</w:t>
      </w:r>
    </w:p>
    <w:p w14:paraId="7DE0EA3A">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auto"/>
          <w:sz w:val="24"/>
          <w:szCs w:val="20"/>
          <w:highlight w:val="none"/>
        </w:rPr>
      </w:pPr>
      <w:r>
        <w:rPr>
          <w:rFonts w:hint="eastAsia" w:ascii="宋体" w:hAnsi="宋体"/>
          <w:color w:val="auto"/>
          <w:sz w:val="24"/>
          <w:szCs w:val="20"/>
          <w:highlight w:val="none"/>
          <w:lang w:val="en-US" w:eastAsia="zh-CN"/>
        </w:rPr>
        <w:t>3</w:t>
      </w:r>
      <w:r>
        <w:rPr>
          <w:rFonts w:hint="eastAsia" w:ascii="宋体" w:hAnsi="宋体"/>
          <w:color w:val="auto"/>
          <w:sz w:val="24"/>
          <w:szCs w:val="20"/>
          <w:highlight w:val="none"/>
        </w:rPr>
        <w:t>.2验收的时间和地点：由甲方和乙方共同确定。</w:t>
      </w:r>
    </w:p>
    <w:p w14:paraId="6F4F3638">
      <w:pPr>
        <w:pStyle w:val="14"/>
        <w:keepNext w:val="0"/>
        <w:keepLines w:val="0"/>
        <w:pageBreakBefore w:val="0"/>
        <w:kinsoku/>
        <w:wordWrap/>
        <w:overflowPunct/>
        <w:topLinePunct w:val="0"/>
        <w:autoSpaceDE/>
        <w:autoSpaceDN/>
        <w:bidi w:val="0"/>
        <w:adjustRightInd/>
        <w:snapToGrid/>
        <w:spacing w:before="0" w:after="0" w:line="560" w:lineRule="exact"/>
        <w:ind w:firstLine="482" w:firstLineChars="200"/>
        <w:jc w:val="left"/>
        <w:textAlignment w:val="auto"/>
        <w:rPr>
          <w:rFonts w:hint="eastAsia"/>
          <w:color w:val="auto"/>
          <w:sz w:val="24"/>
          <w:highlight w:val="none"/>
        </w:rPr>
      </w:pPr>
      <w:bookmarkStart w:id="999" w:name="_Toc46"/>
      <w:r>
        <w:rPr>
          <w:rFonts w:hint="eastAsia"/>
          <w:color w:val="auto"/>
          <w:sz w:val="24"/>
          <w:highlight w:val="none"/>
          <w:lang w:eastAsia="zh-CN"/>
        </w:rPr>
        <w:t>四</w:t>
      </w:r>
      <w:r>
        <w:rPr>
          <w:rFonts w:hint="eastAsia"/>
          <w:color w:val="auto"/>
          <w:sz w:val="24"/>
          <w:highlight w:val="none"/>
        </w:rPr>
        <w:t>、技术要求</w:t>
      </w:r>
      <w:bookmarkEnd w:id="999"/>
    </w:p>
    <w:p w14:paraId="63BF358A">
      <w:pPr>
        <w:pStyle w:val="10"/>
        <w:keepNext w:val="0"/>
        <w:keepLines w:val="0"/>
        <w:pageBreakBefore w:val="0"/>
        <w:kinsoku/>
        <w:wordWrap/>
        <w:overflowPunct/>
        <w:topLinePunct w:val="0"/>
        <w:autoSpaceDE/>
        <w:autoSpaceDN/>
        <w:bidi w:val="0"/>
        <w:adjustRightInd/>
        <w:snapToGrid/>
        <w:spacing w:after="0" w:line="560" w:lineRule="exact"/>
        <w:ind w:left="0" w:leftChars="0" w:firstLine="480" w:firstLineChars="200"/>
        <w:textAlignment w:val="auto"/>
        <w:rPr>
          <w:rFonts w:hint="eastAsia" w:ascii="宋体" w:hAnsi="宋体"/>
          <w:color w:val="auto"/>
          <w:sz w:val="24"/>
          <w:highlight w:val="none"/>
        </w:rPr>
      </w:pPr>
      <w:r>
        <w:rPr>
          <w:rFonts w:hint="eastAsia" w:ascii="宋体" w:hAnsi="宋体"/>
          <w:color w:val="auto"/>
          <w:sz w:val="24"/>
          <w:highlight w:val="none"/>
        </w:rPr>
        <w:t>本项目方案成果必须执行中华人民共和国现行规范、规定、规程、条例、标准等。本项目方案成果应符合行业及地方通用标准和惯例，符合《污染地块风险管控与土壤修复效果评估技术导则》(试行)(HJ25.5-2018)、《建设用地土壤污染风险管控和修复监测技术导则》(HJ25.2-2019)、《污染地块地下水修复和风险管控技术导则》(HJ25.6-2019)、《场地环境监测技术导则》、《广东省建设用地土壤污染状况调查、风险评估及效果评估报告技术审查要点(试行)》(粤环办(2020)67号)等文件的要求。</w:t>
      </w:r>
    </w:p>
    <w:p w14:paraId="0B46A83C">
      <w:pPr>
        <w:pStyle w:val="14"/>
        <w:keepNext w:val="0"/>
        <w:keepLines w:val="0"/>
        <w:pageBreakBefore w:val="0"/>
        <w:kinsoku/>
        <w:wordWrap/>
        <w:overflowPunct/>
        <w:topLinePunct w:val="0"/>
        <w:autoSpaceDE/>
        <w:autoSpaceDN/>
        <w:bidi w:val="0"/>
        <w:adjustRightInd/>
        <w:snapToGrid/>
        <w:spacing w:before="0" w:after="0" w:line="560" w:lineRule="exact"/>
        <w:ind w:firstLine="482" w:firstLineChars="200"/>
        <w:jc w:val="left"/>
        <w:textAlignment w:val="auto"/>
        <w:rPr>
          <w:rFonts w:hint="eastAsia"/>
          <w:color w:val="auto"/>
          <w:sz w:val="24"/>
          <w:highlight w:val="none"/>
        </w:rPr>
      </w:pPr>
      <w:bookmarkStart w:id="1000" w:name="_Toc27752"/>
      <w:r>
        <w:rPr>
          <w:rFonts w:hint="eastAsia"/>
          <w:color w:val="auto"/>
          <w:sz w:val="24"/>
          <w:highlight w:val="none"/>
          <w:lang w:eastAsia="zh-CN"/>
        </w:rPr>
        <w:t>五</w:t>
      </w:r>
      <w:r>
        <w:rPr>
          <w:rFonts w:hint="eastAsia"/>
          <w:color w:val="auto"/>
          <w:sz w:val="24"/>
          <w:highlight w:val="none"/>
        </w:rPr>
        <w:t>、工作期限</w:t>
      </w:r>
      <w:bookmarkEnd w:id="1000"/>
    </w:p>
    <w:p w14:paraId="2E52A7AE">
      <w:pPr>
        <w:pStyle w:val="10"/>
        <w:keepNext w:val="0"/>
        <w:keepLines w:val="0"/>
        <w:pageBreakBefore w:val="0"/>
        <w:kinsoku/>
        <w:wordWrap/>
        <w:overflowPunct/>
        <w:topLinePunct w:val="0"/>
        <w:autoSpaceDE/>
        <w:autoSpaceDN/>
        <w:bidi w:val="0"/>
        <w:adjustRightInd/>
        <w:snapToGrid/>
        <w:spacing w:after="0" w:line="560" w:lineRule="exact"/>
        <w:ind w:left="0" w:leftChars="0"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效果评估服务期为自合同签订之日起，至完成全部治理与修复工作、经生态环境部门验收合格、完成移交（含资料移交）、</w:t>
      </w:r>
      <w:r>
        <w:rPr>
          <w:rFonts w:hint="eastAsia" w:ascii="宋体" w:hAnsi="宋体" w:cs="宋体"/>
          <w:color w:val="auto"/>
          <w:sz w:val="24"/>
          <w:szCs w:val="24"/>
          <w:highlight w:val="none"/>
          <w:lang w:val="en-US" w:eastAsia="zh-CN"/>
        </w:rPr>
        <w:t>完成广东省建设用地土壤污染风险管控和修复名录移出工作</w:t>
      </w:r>
      <w:r>
        <w:rPr>
          <w:rFonts w:hint="eastAsia" w:ascii="宋体" w:hAnsi="宋体" w:eastAsia="宋体" w:cs="宋体"/>
          <w:color w:val="auto"/>
          <w:sz w:val="24"/>
          <w:szCs w:val="24"/>
          <w:highlight w:val="none"/>
          <w:lang w:val="en-US" w:eastAsia="zh-CN"/>
        </w:rPr>
        <w:t>及</w:t>
      </w:r>
      <w:r>
        <w:rPr>
          <w:rFonts w:hint="eastAsia" w:ascii="宋体" w:hAnsi="宋体" w:eastAsia="宋体" w:cs="Times New Roman"/>
          <w:color w:val="auto"/>
          <w:sz w:val="24"/>
          <w:highlight w:val="none"/>
        </w:rPr>
        <w:t>后续服务、项目结算以及保修期满之日止。</w:t>
      </w:r>
    </w:p>
    <w:bookmarkEnd w:id="996"/>
    <w:bookmarkEnd w:id="997"/>
    <w:p w14:paraId="028309F9">
      <w:pPr>
        <w:rPr>
          <w:color w:val="auto"/>
          <w:highlight w:val="none"/>
        </w:rPr>
      </w:pPr>
      <w:bookmarkStart w:id="1001" w:name="_Toc5787"/>
      <w:r>
        <w:rPr>
          <w:color w:val="auto"/>
          <w:highlight w:val="none"/>
        </w:rPr>
        <w:br w:type="page"/>
      </w:r>
    </w:p>
    <w:p w14:paraId="0BF3661B">
      <w:pPr>
        <w:pStyle w:val="3"/>
        <w:keepNext w:val="0"/>
        <w:keepLines w:val="0"/>
        <w:jc w:val="center"/>
        <w:rPr>
          <w:color w:val="auto"/>
          <w:highlight w:val="none"/>
        </w:rPr>
      </w:pPr>
      <w:r>
        <w:rPr>
          <w:color w:val="auto"/>
          <w:highlight w:val="none"/>
        </w:rPr>
        <w:t>第六章</w:t>
      </w:r>
      <w:r>
        <w:rPr>
          <w:rFonts w:hint="eastAsia"/>
          <w:color w:val="auto"/>
          <w:highlight w:val="none"/>
        </w:rPr>
        <w:t xml:space="preserve"> </w:t>
      </w:r>
      <w:r>
        <w:rPr>
          <w:color w:val="auto"/>
          <w:highlight w:val="none"/>
        </w:rPr>
        <w:t>投标文件格式</w:t>
      </w:r>
      <w:bookmarkEnd w:id="1001"/>
    </w:p>
    <w:p w14:paraId="0B471E64">
      <w:pPr>
        <w:spacing w:line="400" w:lineRule="exact"/>
        <w:rPr>
          <w:rFonts w:ascii="Times New Roman" w:hAnsi="Times New Roman"/>
          <w:color w:val="auto"/>
          <w:highlight w:val="none"/>
        </w:rPr>
      </w:pPr>
    </w:p>
    <w:p w14:paraId="0DE6795F">
      <w:pPr>
        <w:spacing w:line="400" w:lineRule="exact"/>
        <w:rPr>
          <w:rFonts w:ascii="Times New Roman" w:hAnsi="Times New Roman"/>
          <w:color w:val="auto"/>
          <w:highlight w:val="none"/>
        </w:rPr>
      </w:pPr>
    </w:p>
    <w:p w14:paraId="63B7776D">
      <w:pPr>
        <w:spacing w:line="400" w:lineRule="exact"/>
        <w:rPr>
          <w:rFonts w:ascii="Times New Roman" w:hAnsi="Times New Roman"/>
          <w:color w:val="auto"/>
          <w:highlight w:val="none"/>
        </w:rPr>
      </w:pPr>
    </w:p>
    <w:p w14:paraId="35968521">
      <w:pPr>
        <w:spacing w:line="400" w:lineRule="exact"/>
        <w:rPr>
          <w:rFonts w:ascii="Times New Roman" w:hAnsi="Times New Roman"/>
          <w:color w:val="auto"/>
          <w:highlight w:val="none"/>
        </w:rPr>
      </w:pPr>
    </w:p>
    <w:p w14:paraId="1C0E40C9">
      <w:pPr>
        <w:spacing w:line="400" w:lineRule="exact"/>
        <w:rPr>
          <w:rFonts w:ascii="Times New Roman" w:hAnsi="Times New Roman"/>
          <w:color w:val="auto"/>
          <w:highlight w:val="none"/>
        </w:rPr>
      </w:pPr>
    </w:p>
    <w:p w14:paraId="5AA0DA8C">
      <w:pPr>
        <w:spacing w:line="400" w:lineRule="exact"/>
        <w:rPr>
          <w:rFonts w:ascii="Times New Roman" w:hAnsi="Times New Roman"/>
          <w:color w:val="auto"/>
          <w:highlight w:val="none"/>
        </w:rPr>
      </w:pPr>
    </w:p>
    <w:p w14:paraId="2AA28386">
      <w:pPr>
        <w:spacing w:line="400" w:lineRule="exact"/>
        <w:rPr>
          <w:rFonts w:ascii="Times New Roman" w:hAnsi="Times New Roman"/>
          <w:color w:val="auto"/>
          <w:highlight w:val="none"/>
        </w:rPr>
      </w:pPr>
    </w:p>
    <w:p w14:paraId="2380F506">
      <w:pPr>
        <w:spacing w:line="400" w:lineRule="exact"/>
        <w:rPr>
          <w:rFonts w:ascii="Times New Roman" w:hAnsi="Times New Roman"/>
          <w:color w:val="auto"/>
          <w:highlight w:val="none"/>
        </w:rPr>
      </w:pPr>
    </w:p>
    <w:p w14:paraId="0FE65AFF">
      <w:pPr>
        <w:spacing w:line="400" w:lineRule="exact"/>
        <w:rPr>
          <w:rFonts w:ascii="Times New Roman" w:hAnsi="Times New Roman"/>
          <w:color w:val="auto"/>
          <w:highlight w:val="none"/>
        </w:rPr>
      </w:pPr>
    </w:p>
    <w:p w14:paraId="5A819E8C">
      <w:pPr>
        <w:spacing w:line="400" w:lineRule="exact"/>
        <w:rPr>
          <w:rFonts w:ascii="Times New Roman" w:hAnsi="Times New Roman"/>
          <w:color w:val="auto"/>
          <w:highlight w:val="none"/>
        </w:rPr>
      </w:pPr>
    </w:p>
    <w:p w14:paraId="2BDA1F18">
      <w:pPr>
        <w:spacing w:line="400" w:lineRule="exact"/>
        <w:rPr>
          <w:rFonts w:ascii="Times New Roman" w:hAnsi="Times New Roman"/>
          <w:color w:val="auto"/>
          <w:highlight w:val="none"/>
        </w:rPr>
      </w:pPr>
    </w:p>
    <w:p w14:paraId="5960E8FF">
      <w:pPr>
        <w:spacing w:line="400" w:lineRule="exact"/>
        <w:rPr>
          <w:rFonts w:ascii="Times New Roman" w:hAnsi="Times New Roman"/>
          <w:color w:val="auto"/>
          <w:highlight w:val="none"/>
        </w:rPr>
      </w:pPr>
    </w:p>
    <w:p w14:paraId="711B1DB3">
      <w:pPr>
        <w:spacing w:line="400" w:lineRule="exact"/>
        <w:rPr>
          <w:rFonts w:ascii="Times New Roman" w:hAnsi="Times New Roman"/>
          <w:color w:val="auto"/>
          <w:highlight w:val="none"/>
        </w:rPr>
      </w:pPr>
    </w:p>
    <w:p w14:paraId="393069DC">
      <w:pPr>
        <w:spacing w:line="400" w:lineRule="exact"/>
        <w:rPr>
          <w:rFonts w:ascii="Times New Roman" w:hAnsi="Times New Roman"/>
          <w:color w:val="auto"/>
          <w:highlight w:val="none"/>
        </w:rPr>
      </w:pPr>
    </w:p>
    <w:p w14:paraId="6227860F">
      <w:pPr>
        <w:spacing w:line="400" w:lineRule="exact"/>
        <w:rPr>
          <w:rFonts w:ascii="Times New Roman" w:hAnsi="Times New Roman"/>
          <w:color w:val="auto"/>
          <w:highlight w:val="none"/>
        </w:rPr>
      </w:pPr>
    </w:p>
    <w:p w14:paraId="19A68697">
      <w:pPr>
        <w:spacing w:line="400" w:lineRule="exact"/>
        <w:rPr>
          <w:rFonts w:ascii="Times New Roman" w:hAnsi="Times New Roman"/>
          <w:color w:val="auto"/>
          <w:highlight w:val="none"/>
        </w:rPr>
      </w:pPr>
    </w:p>
    <w:p w14:paraId="45B5E5E5">
      <w:pPr>
        <w:spacing w:line="400" w:lineRule="exact"/>
        <w:rPr>
          <w:rFonts w:ascii="Times New Roman" w:hAnsi="Times New Roman"/>
          <w:color w:val="auto"/>
          <w:highlight w:val="none"/>
        </w:rPr>
      </w:pPr>
    </w:p>
    <w:p w14:paraId="40EE3CBA">
      <w:pPr>
        <w:pStyle w:val="11"/>
        <w:rPr>
          <w:rFonts w:ascii="Times New Roman" w:hAnsi="Times New Roman"/>
          <w:color w:val="auto"/>
          <w:highlight w:val="none"/>
        </w:rPr>
      </w:pPr>
    </w:p>
    <w:p w14:paraId="6B3A4EB0">
      <w:pPr>
        <w:rPr>
          <w:rFonts w:ascii="Times New Roman" w:hAnsi="Times New Roman"/>
          <w:color w:val="auto"/>
          <w:highlight w:val="none"/>
        </w:rPr>
      </w:pPr>
    </w:p>
    <w:p w14:paraId="4636D694">
      <w:pPr>
        <w:autoSpaceDE w:val="0"/>
        <w:autoSpaceDN w:val="0"/>
        <w:adjustRightInd w:val="0"/>
        <w:jc w:val="center"/>
        <w:rPr>
          <w:b/>
          <w:color w:val="auto"/>
          <w:sz w:val="44"/>
          <w:szCs w:val="44"/>
          <w:highlight w:val="none"/>
        </w:rPr>
      </w:pPr>
    </w:p>
    <w:p w14:paraId="7B85C1F8">
      <w:pPr>
        <w:rPr>
          <w:rFonts w:hint="eastAsia"/>
          <w:b/>
          <w:bCs/>
          <w:color w:val="auto"/>
          <w:sz w:val="40"/>
          <w:szCs w:val="40"/>
          <w:highlight w:val="none"/>
          <w:lang w:eastAsia="zh-CN"/>
        </w:rPr>
      </w:pPr>
      <w:r>
        <w:rPr>
          <w:rFonts w:hint="eastAsia"/>
          <w:b/>
          <w:bCs/>
          <w:color w:val="auto"/>
          <w:sz w:val="40"/>
          <w:szCs w:val="40"/>
          <w:highlight w:val="none"/>
          <w:lang w:eastAsia="zh-CN"/>
        </w:rPr>
        <w:br w:type="page"/>
      </w:r>
    </w:p>
    <w:p w14:paraId="55A43A86">
      <w:pPr>
        <w:spacing w:line="360" w:lineRule="auto"/>
        <w:ind w:firstLine="0"/>
        <w:jc w:val="center"/>
        <w:rPr>
          <w:b/>
          <w:bCs/>
          <w:color w:val="auto"/>
          <w:sz w:val="40"/>
          <w:szCs w:val="40"/>
          <w:highlight w:val="none"/>
        </w:rPr>
      </w:pPr>
      <w:r>
        <w:rPr>
          <w:rFonts w:hint="eastAsia"/>
          <w:b/>
          <w:bCs/>
          <w:color w:val="auto"/>
          <w:sz w:val="40"/>
          <w:szCs w:val="40"/>
          <w:highlight w:val="none"/>
          <w:lang w:eastAsia="zh-CN"/>
        </w:rPr>
        <w:t>花果山产业小镇综合配套工程建设项目</w:t>
      </w:r>
      <w:r>
        <w:rPr>
          <w:rFonts w:hint="eastAsia"/>
          <w:b/>
          <w:bCs/>
          <w:color w:val="auto"/>
          <w:sz w:val="40"/>
          <w:szCs w:val="40"/>
          <w:highlight w:val="none"/>
        </w:rPr>
        <w:t>土壤污染修复效果评估咨询服务</w:t>
      </w:r>
    </w:p>
    <w:p w14:paraId="1AE14317">
      <w:pPr>
        <w:autoSpaceDE w:val="0"/>
        <w:autoSpaceDN w:val="0"/>
        <w:adjustRightInd w:val="0"/>
        <w:jc w:val="center"/>
        <w:rPr>
          <w:b/>
          <w:color w:val="auto"/>
          <w:sz w:val="44"/>
          <w:szCs w:val="44"/>
          <w:highlight w:val="none"/>
        </w:rPr>
      </w:pPr>
    </w:p>
    <w:p w14:paraId="3ECE1F59">
      <w:pPr>
        <w:pStyle w:val="11"/>
        <w:rPr>
          <w:color w:val="auto"/>
          <w:highlight w:val="none"/>
        </w:rPr>
      </w:pPr>
    </w:p>
    <w:p w14:paraId="200C1549">
      <w:pPr>
        <w:rPr>
          <w:rFonts w:ascii="Times New Roman" w:hAnsi="Times New Roman" w:eastAsia="黑体"/>
          <w:color w:val="auto"/>
          <w:sz w:val="20"/>
          <w:highlight w:val="none"/>
        </w:rPr>
      </w:pPr>
    </w:p>
    <w:p w14:paraId="7799F354">
      <w:pPr>
        <w:rPr>
          <w:rFonts w:ascii="Times New Roman" w:hAnsi="Times New Roman" w:eastAsia="黑体"/>
          <w:color w:val="auto"/>
          <w:sz w:val="20"/>
          <w:highlight w:val="none"/>
        </w:rPr>
      </w:pPr>
    </w:p>
    <w:p w14:paraId="05E7A32C">
      <w:pPr>
        <w:rPr>
          <w:rFonts w:ascii="Times New Roman" w:hAnsi="Times New Roman" w:eastAsia="黑体"/>
          <w:color w:val="auto"/>
          <w:sz w:val="20"/>
          <w:highlight w:val="none"/>
        </w:rPr>
      </w:pPr>
    </w:p>
    <w:p w14:paraId="5950762D">
      <w:pPr>
        <w:rPr>
          <w:rFonts w:ascii="Times New Roman" w:hAnsi="Times New Roman" w:eastAsia="黑体"/>
          <w:color w:val="auto"/>
          <w:sz w:val="20"/>
          <w:highlight w:val="none"/>
        </w:rPr>
      </w:pPr>
    </w:p>
    <w:p w14:paraId="3916AC2A">
      <w:pPr>
        <w:rPr>
          <w:rFonts w:ascii="Times New Roman" w:hAnsi="Times New Roman" w:eastAsia="黑体"/>
          <w:color w:val="auto"/>
          <w:sz w:val="20"/>
          <w:highlight w:val="none"/>
        </w:rPr>
      </w:pPr>
    </w:p>
    <w:p w14:paraId="4691A45E">
      <w:pPr>
        <w:jc w:val="center"/>
        <w:rPr>
          <w:rFonts w:ascii="Times New Roman" w:hAnsi="Times New Roman" w:eastAsia="黑体"/>
          <w:color w:val="auto"/>
          <w:sz w:val="84"/>
          <w:szCs w:val="84"/>
          <w:highlight w:val="none"/>
        </w:rPr>
      </w:pPr>
    </w:p>
    <w:p w14:paraId="01DD933B">
      <w:pPr>
        <w:jc w:val="center"/>
        <w:rPr>
          <w:rFonts w:ascii="Times New Roman" w:hAnsi="Times New Roman" w:eastAsia="黑体"/>
          <w:color w:val="auto"/>
          <w:sz w:val="84"/>
          <w:szCs w:val="84"/>
          <w:highlight w:val="none"/>
        </w:rPr>
      </w:pPr>
      <w:r>
        <w:rPr>
          <w:rFonts w:ascii="Times New Roman" w:hAnsi="Times New Roman" w:eastAsia="黑体"/>
          <w:color w:val="auto"/>
          <w:sz w:val="84"/>
          <w:szCs w:val="84"/>
          <w:highlight w:val="none"/>
        </w:rPr>
        <w:t>投 标 文 件</w:t>
      </w:r>
    </w:p>
    <w:p w14:paraId="6B023365">
      <w:pPr>
        <w:jc w:val="center"/>
        <w:rPr>
          <w:rFonts w:ascii="Times New Roman" w:hAnsi="Times New Roman" w:eastAsia="黑体"/>
          <w:color w:val="auto"/>
          <w:sz w:val="44"/>
          <w:highlight w:val="none"/>
        </w:rPr>
      </w:pPr>
    </w:p>
    <w:p w14:paraId="6896E75E">
      <w:pPr>
        <w:rPr>
          <w:rFonts w:ascii="Times New Roman" w:hAnsi="Times New Roman" w:eastAsia="黑体"/>
          <w:color w:val="auto"/>
          <w:sz w:val="28"/>
          <w:highlight w:val="none"/>
        </w:rPr>
      </w:pPr>
    </w:p>
    <w:p w14:paraId="32ACD5CB">
      <w:pPr>
        <w:rPr>
          <w:rFonts w:ascii="Times New Roman" w:hAnsi="Times New Roman" w:eastAsia="黑体"/>
          <w:color w:val="auto"/>
          <w:sz w:val="28"/>
          <w:highlight w:val="none"/>
        </w:rPr>
      </w:pPr>
    </w:p>
    <w:p w14:paraId="7A985901">
      <w:pPr>
        <w:rPr>
          <w:rFonts w:ascii="Times New Roman" w:hAnsi="Times New Roman" w:eastAsia="黑体"/>
          <w:color w:val="auto"/>
          <w:sz w:val="28"/>
          <w:highlight w:val="none"/>
        </w:rPr>
      </w:pPr>
    </w:p>
    <w:p w14:paraId="64CAEFA8">
      <w:pPr>
        <w:rPr>
          <w:rFonts w:ascii="Times New Roman" w:hAnsi="Times New Roman" w:eastAsia="黑体"/>
          <w:color w:val="auto"/>
          <w:sz w:val="28"/>
          <w:highlight w:val="none"/>
        </w:rPr>
      </w:pPr>
    </w:p>
    <w:p w14:paraId="12B934A3">
      <w:pPr>
        <w:rPr>
          <w:rFonts w:ascii="Times New Roman" w:hAnsi="Times New Roman" w:eastAsia="黑体"/>
          <w:color w:val="auto"/>
          <w:sz w:val="28"/>
          <w:highlight w:val="none"/>
        </w:rPr>
      </w:pPr>
    </w:p>
    <w:p w14:paraId="47B9E75A">
      <w:pPr>
        <w:rPr>
          <w:rFonts w:ascii="Times New Roman" w:hAnsi="Times New Roman" w:eastAsia="黑体"/>
          <w:color w:val="auto"/>
          <w:sz w:val="28"/>
          <w:highlight w:val="none"/>
        </w:rPr>
      </w:pPr>
    </w:p>
    <w:p w14:paraId="1B3888B7">
      <w:pPr>
        <w:rPr>
          <w:rFonts w:ascii="Times New Roman" w:hAnsi="Times New Roman" w:eastAsia="黑体"/>
          <w:color w:val="auto"/>
          <w:sz w:val="28"/>
          <w:highlight w:val="none"/>
        </w:rPr>
      </w:pPr>
    </w:p>
    <w:p w14:paraId="37B637BD">
      <w:pPr>
        <w:rPr>
          <w:rFonts w:ascii="Times New Roman" w:hAnsi="Times New Roman" w:eastAsia="黑体"/>
          <w:color w:val="auto"/>
          <w:sz w:val="28"/>
          <w:highlight w:val="none"/>
        </w:rPr>
      </w:pPr>
    </w:p>
    <w:p w14:paraId="40DC7432">
      <w:pPr>
        <w:rPr>
          <w:rFonts w:ascii="Times New Roman" w:hAnsi="Times New Roman" w:eastAsia="黑体"/>
          <w:color w:val="auto"/>
          <w:sz w:val="28"/>
          <w:highlight w:val="none"/>
        </w:rPr>
      </w:pPr>
    </w:p>
    <w:p w14:paraId="7BDFC782">
      <w:pPr>
        <w:rPr>
          <w:rFonts w:ascii="Times New Roman" w:hAnsi="Times New Roman" w:eastAsia="黑体"/>
          <w:color w:val="auto"/>
          <w:sz w:val="28"/>
          <w:highlight w:val="none"/>
        </w:rPr>
      </w:pPr>
    </w:p>
    <w:p w14:paraId="584C8C8D">
      <w:pPr>
        <w:rPr>
          <w:rFonts w:ascii="Times New Roman" w:hAnsi="Times New Roman" w:eastAsia="黑体"/>
          <w:color w:val="auto"/>
          <w:sz w:val="28"/>
          <w:highlight w:val="none"/>
        </w:rPr>
      </w:pPr>
    </w:p>
    <w:p w14:paraId="58DF2002">
      <w:pPr>
        <w:spacing w:line="360" w:lineRule="auto"/>
        <w:rPr>
          <w:rFonts w:ascii="Times New Roman" w:hAnsi="Times New Roman" w:eastAsia="黑体"/>
          <w:color w:val="auto"/>
          <w:sz w:val="28"/>
          <w:highlight w:val="none"/>
        </w:rPr>
      </w:pPr>
    </w:p>
    <w:p w14:paraId="32E8A991">
      <w:pPr>
        <w:spacing w:line="360" w:lineRule="auto"/>
        <w:ind w:firstLine="1120" w:firstLineChars="400"/>
        <w:rPr>
          <w:rFonts w:ascii="Times New Roman" w:hAnsi="Times New Roman" w:eastAsia="黑体"/>
          <w:color w:val="auto"/>
          <w:sz w:val="28"/>
          <w:highlight w:val="none"/>
          <w:u w:val="single"/>
        </w:rPr>
      </w:pPr>
      <w:r>
        <w:rPr>
          <w:rFonts w:ascii="Times New Roman" w:hAnsi="Times New Roman" w:eastAsia="黑体"/>
          <w:color w:val="auto"/>
          <w:sz w:val="28"/>
          <w:highlight w:val="none"/>
        </w:rPr>
        <w:t>投标人：</w:t>
      </w:r>
      <w:r>
        <w:rPr>
          <w:rFonts w:ascii="Times New Roman" w:hAnsi="Times New Roman"/>
          <w:color w:val="auto"/>
          <w:highlight w:val="none"/>
          <w:u w:val="single"/>
        </w:rPr>
        <w:t xml:space="preserve">                                            </w:t>
      </w:r>
      <w:r>
        <w:rPr>
          <w:rFonts w:ascii="Times New Roman" w:hAnsi="Times New Roman" w:eastAsia="黑体"/>
          <w:color w:val="auto"/>
          <w:sz w:val="28"/>
          <w:highlight w:val="none"/>
        </w:rPr>
        <w:t>（盖单位章）</w:t>
      </w:r>
    </w:p>
    <w:p w14:paraId="07D71B4D">
      <w:pPr>
        <w:spacing w:line="360" w:lineRule="auto"/>
        <w:ind w:firstLine="1120" w:firstLineChars="400"/>
        <w:jc w:val="left"/>
        <w:rPr>
          <w:rFonts w:ascii="Times New Roman" w:hAnsi="Times New Roman" w:eastAsia="黑体"/>
          <w:color w:val="auto"/>
          <w:sz w:val="28"/>
          <w:highlight w:val="none"/>
        </w:rPr>
      </w:pPr>
      <w:r>
        <w:rPr>
          <w:rFonts w:ascii="Times New Roman" w:hAnsi="Times New Roman" w:eastAsia="黑体"/>
          <w:color w:val="auto"/>
          <w:sz w:val="28"/>
          <w:highlight w:val="none"/>
        </w:rPr>
        <w:t>法定代表人或其委托代理人：</w:t>
      </w:r>
      <w:r>
        <w:rPr>
          <w:rFonts w:ascii="Times New Roman" w:hAnsi="Times New Roman"/>
          <w:color w:val="auto"/>
          <w:highlight w:val="none"/>
          <w:u w:val="single"/>
        </w:rPr>
        <w:t xml:space="preserve">       </w:t>
      </w:r>
      <w:r>
        <w:rPr>
          <w:rFonts w:ascii="Times New Roman" w:hAnsi="Times New Roman" w:eastAsia="黑体"/>
          <w:color w:val="auto"/>
          <w:sz w:val="28"/>
          <w:highlight w:val="none"/>
        </w:rPr>
        <w:t>（</w:t>
      </w:r>
      <w:r>
        <w:rPr>
          <w:rFonts w:hint="eastAsia" w:ascii="Times New Roman" w:hAnsi="Times New Roman" w:eastAsia="黑体"/>
          <w:color w:val="auto"/>
          <w:sz w:val="28"/>
          <w:highlight w:val="none"/>
        </w:rPr>
        <w:t>签字或盖章</w:t>
      </w:r>
      <w:r>
        <w:rPr>
          <w:rFonts w:ascii="Times New Roman" w:hAnsi="Times New Roman" w:eastAsia="黑体"/>
          <w:color w:val="auto"/>
          <w:sz w:val="28"/>
          <w:highlight w:val="none"/>
        </w:rPr>
        <w:t>）</w:t>
      </w:r>
    </w:p>
    <w:p w14:paraId="766B15CF">
      <w:pPr>
        <w:jc w:val="center"/>
        <w:rPr>
          <w:rFonts w:ascii="Times New Roman" w:hAnsi="Times New Roman" w:eastAsia="黑体"/>
          <w:color w:val="auto"/>
          <w:sz w:val="28"/>
          <w:highlight w:val="none"/>
        </w:rPr>
      </w:pPr>
    </w:p>
    <w:p w14:paraId="63C7BC3F">
      <w:pPr>
        <w:spacing w:line="400" w:lineRule="exact"/>
        <w:jc w:val="center"/>
        <w:rPr>
          <w:rFonts w:ascii="Times New Roman" w:hAnsi="Times New Roman" w:eastAsia="黑体"/>
          <w:color w:val="auto"/>
          <w:sz w:val="28"/>
          <w:highlight w:val="none"/>
        </w:rPr>
      </w:pPr>
      <w:r>
        <w:rPr>
          <w:rFonts w:ascii="Times New Roman" w:hAnsi="Times New Roman"/>
          <w:color w:val="auto"/>
          <w:highlight w:val="none"/>
          <w:u w:val="single"/>
        </w:rPr>
        <w:t xml:space="preserve">       </w:t>
      </w:r>
      <w:r>
        <w:rPr>
          <w:rFonts w:ascii="Times New Roman" w:hAnsi="Times New Roman" w:eastAsia="黑体"/>
          <w:color w:val="auto"/>
          <w:sz w:val="28"/>
          <w:highlight w:val="none"/>
        </w:rPr>
        <w:t>年</w:t>
      </w:r>
      <w:r>
        <w:rPr>
          <w:rFonts w:ascii="Times New Roman" w:hAnsi="Times New Roman"/>
          <w:color w:val="auto"/>
          <w:highlight w:val="none"/>
          <w:u w:val="single"/>
        </w:rPr>
        <w:t xml:space="preserve">       </w:t>
      </w:r>
      <w:r>
        <w:rPr>
          <w:rFonts w:ascii="Times New Roman" w:hAnsi="Times New Roman" w:eastAsia="黑体"/>
          <w:color w:val="auto"/>
          <w:sz w:val="28"/>
          <w:highlight w:val="none"/>
        </w:rPr>
        <w:t>月</w:t>
      </w:r>
      <w:r>
        <w:rPr>
          <w:rFonts w:ascii="Times New Roman" w:hAnsi="Times New Roman"/>
          <w:color w:val="auto"/>
          <w:highlight w:val="none"/>
          <w:u w:val="single"/>
        </w:rPr>
        <w:t xml:space="preserve">       </w:t>
      </w:r>
      <w:r>
        <w:rPr>
          <w:rFonts w:ascii="Times New Roman" w:hAnsi="Times New Roman" w:eastAsia="黑体"/>
          <w:color w:val="auto"/>
          <w:sz w:val="28"/>
          <w:highlight w:val="none"/>
        </w:rPr>
        <w:t>日</w:t>
      </w:r>
    </w:p>
    <w:p w14:paraId="53FB60C1">
      <w:pPr>
        <w:pStyle w:val="4"/>
        <w:keepNext w:val="0"/>
        <w:keepLines w:val="0"/>
        <w:jc w:val="center"/>
        <w:rPr>
          <w:rFonts w:ascii="Times New Roman" w:hAnsi="Times New Roman"/>
          <w:color w:val="auto"/>
          <w:highlight w:val="none"/>
        </w:rPr>
      </w:pPr>
    </w:p>
    <w:p w14:paraId="709F6884">
      <w:pPr>
        <w:pStyle w:val="4"/>
        <w:keepNext w:val="0"/>
        <w:keepLines w:val="0"/>
        <w:jc w:val="center"/>
        <w:rPr>
          <w:rFonts w:ascii="Times New Roman" w:hAnsi="Times New Roman"/>
          <w:color w:val="auto"/>
          <w:highlight w:val="none"/>
        </w:rPr>
      </w:pPr>
      <w:bookmarkStart w:id="1002" w:name="_Toc15880"/>
      <w:bookmarkStart w:id="1003" w:name="_Toc29071"/>
      <w:bookmarkStart w:id="1004" w:name="_Toc2862"/>
      <w:bookmarkStart w:id="1005" w:name="_Toc22600"/>
      <w:r>
        <w:rPr>
          <w:rFonts w:ascii="Times New Roman" w:hAnsi="Times New Roman"/>
          <w:color w:val="auto"/>
          <w:highlight w:val="none"/>
        </w:rPr>
        <w:t>目</w:t>
      </w:r>
      <w:r>
        <w:rPr>
          <w:rFonts w:hint="eastAsia" w:ascii="Times New Roman" w:hAnsi="Times New Roman"/>
          <w:color w:val="auto"/>
          <w:highlight w:val="none"/>
        </w:rPr>
        <w:t xml:space="preserve">  </w:t>
      </w:r>
      <w:r>
        <w:rPr>
          <w:rFonts w:ascii="Times New Roman" w:hAnsi="Times New Roman"/>
          <w:color w:val="auto"/>
          <w:highlight w:val="none"/>
        </w:rPr>
        <w:t>录</w:t>
      </w:r>
      <w:bookmarkEnd w:id="1002"/>
      <w:bookmarkEnd w:id="1003"/>
      <w:bookmarkEnd w:id="1004"/>
      <w:bookmarkEnd w:id="1005"/>
    </w:p>
    <w:p w14:paraId="31C20C58">
      <w:pPr>
        <w:spacing w:line="540" w:lineRule="exact"/>
        <w:rPr>
          <w:rFonts w:ascii="Times New Roman" w:hAnsi="Times New Roman"/>
          <w:color w:val="auto"/>
          <w:highlight w:val="none"/>
        </w:rPr>
      </w:pPr>
      <w:r>
        <w:rPr>
          <w:rFonts w:ascii="Times New Roman" w:hAnsi="Times New Roman"/>
          <w:color w:val="auto"/>
          <w:highlight w:val="none"/>
        </w:rPr>
        <w:t>一、投标函及投标函附录</w:t>
      </w:r>
    </w:p>
    <w:p w14:paraId="6824105B">
      <w:pPr>
        <w:spacing w:line="540" w:lineRule="exact"/>
        <w:rPr>
          <w:rFonts w:ascii="Times New Roman" w:hAnsi="Times New Roman"/>
          <w:color w:val="auto"/>
          <w:highlight w:val="none"/>
        </w:rPr>
      </w:pPr>
      <w:r>
        <w:rPr>
          <w:rFonts w:ascii="Times New Roman" w:hAnsi="Times New Roman"/>
          <w:color w:val="auto"/>
          <w:highlight w:val="none"/>
        </w:rPr>
        <w:t>二、法定代表人身份证明</w:t>
      </w:r>
      <w:r>
        <w:rPr>
          <w:rFonts w:hint="eastAsia" w:ascii="Times New Roman" w:hAnsi="Times New Roman"/>
          <w:color w:val="auto"/>
          <w:highlight w:val="none"/>
        </w:rPr>
        <w:t>、</w:t>
      </w:r>
      <w:r>
        <w:rPr>
          <w:rFonts w:ascii="Times New Roman" w:hAnsi="Times New Roman"/>
          <w:color w:val="auto"/>
          <w:highlight w:val="none"/>
        </w:rPr>
        <w:t>授权委托书（适用于有委托代理人的情况）</w:t>
      </w:r>
    </w:p>
    <w:p w14:paraId="7E2DEF1A">
      <w:pPr>
        <w:spacing w:line="540" w:lineRule="exact"/>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三、联合体协议书（如有）</w:t>
      </w:r>
    </w:p>
    <w:p w14:paraId="42BEF3AE">
      <w:pPr>
        <w:spacing w:line="540" w:lineRule="exact"/>
        <w:rPr>
          <w:rFonts w:ascii="Times New Roman" w:hAnsi="Times New Roman"/>
          <w:color w:val="auto"/>
          <w:highlight w:val="none"/>
        </w:rPr>
      </w:pPr>
      <w:r>
        <w:rPr>
          <w:rFonts w:hint="eastAsia" w:ascii="Times New Roman" w:hAnsi="Times New Roman"/>
          <w:color w:val="auto"/>
          <w:highlight w:val="none"/>
          <w:lang w:val="en-US" w:eastAsia="zh-CN"/>
        </w:rPr>
        <w:t>四</w:t>
      </w:r>
      <w:r>
        <w:rPr>
          <w:rFonts w:ascii="Times New Roman" w:hAnsi="Times New Roman"/>
          <w:color w:val="auto"/>
          <w:highlight w:val="none"/>
        </w:rPr>
        <w:t>、</w:t>
      </w:r>
      <w:r>
        <w:rPr>
          <w:rFonts w:hint="eastAsia" w:ascii="Times New Roman" w:hAnsi="Times New Roman"/>
          <w:color w:val="auto"/>
          <w:highlight w:val="none"/>
        </w:rPr>
        <w:t>投标报价表</w:t>
      </w:r>
    </w:p>
    <w:p w14:paraId="29C9AF04">
      <w:pPr>
        <w:spacing w:line="540" w:lineRule="exact"/>
        <w:rPr>
          <w:rFonts w:ascii="Times New Roman" w:hAnsi="Times New Roman"/>
          <w:color w:val="auto"/>
          <w:highlight w:val="none"/>
        </w:rPr>
      </w:pPr>
      <w:r>
        <w:rPr>
          <w:rFonts w:hint="eastAsia" w:ascii="Times New Roman" w:hAnsi="Times New Roman"/>
          <w:color w:val="auto"/>
          <w:highlight w:val="none"/>
          <w:lang w:val="en-US" w:eastAsia="zh-CN"/>
        </w:rPr>
        <w:t>五</w:t>
      </w:r>
      <w:r>
        <w:rPr>
          <w:rFonts w:ascii="Times New Roman" w:hAnsi="Times New Roman"/>
          <w:color w:val="auto"/>
          <w:highlight w:val="none"/>
        </w:rPr>
        <w:t>、资格审查资料</w:t>
      </w:r>
    </w:p>
    <w:p w14:paraId="5D466E27">
      <w:pPr>
        <w:spacing w:line="540" w:lineRule="exact"/>
        <w:rPr>
          <w:rFonts w:hint="eastAsia" w:ascii="Times New Roman" w:hAnsi="Times New Roman" w:eastAsia="宋体"/>
          <w:color w:val="auto"/>
          <w:highlight w:val="none"/>
          <w:lang w:eastAsia="zh-CN"/>
        </w:rPr>
      </w:pPr>
      <w:r>
        <w:rPr>
          <w:rFonts w:hint="eastAsia" w:ascii="Times New Roman" w:hAnsi="Times New Roman"/>
          <w:color w:val="auto"/>
          <w:highlight w:val="none"/>
          <w:lang w:val="en-US" w:eastAsia="zh-CN"/>
        </w:rPr>
        <w:t>六</w:t>
      </w:r>
      <w:r>
        <w:rPr>
          <w:rFonts w:ascii="Times New Roman" w:hAnsi="Times New Roman"/>
          <w:color w:val="auto"/>
          <w:highlight w:val="none"/>
        </w:rPr>
        <w:t>、</w:t>
      </w:r>
      <w:r>
        <w:rPr>
          <w:rFonts w:hint="eastAsia" w:ascii="Times New Roman" w:hAnsi="Times New Roman"/>
          <w:color w:val="auto"/>
          <w:highlight w:val="none"/>
          <w:lang w:eastAsia="zh-CN"/>
        </w:rPr>
        <w:t>技术服务方案</w:t>
      </w:r>
    </w:p>
    <w:p w14:paraId="7056C890">
      <w:pPr>
        <w:spacing w:line="540" w:lineRule="exact"/>
        <w:rPr>
          <w:rFonts w:ascii="Times New Roman" w:hAnsi="Times New Roman"/>
          <w:color w:val="auto"/>
          <w:highlight w:val="none"/>
        </w:rPr>
      </w:pPr>
      <w:bookmarkStart w:id="1006" w:name="_Toc352691655"/>
      <w:bookmarkStart w:id="1007" w:name="_Toc7039"/>
      <w:bookmarkStart w:id="1008" w:name="_Toc369531691"/>
      <w:r>
        <w:rPr>
          <w:rFonts w:hint="eastAsia" w:ascii="Times New Roman" w:hAnsi="Times New Roman"/>
          <w:color w:val="auto"/>
          <w:highlight w:val="none"/>
          <w:lang w:val="en-US" w:eastAsia="zh-CN"/>
        </w:rPr>
        <w:t>七</w:t>
      </w:r>
      <w:r>
        <w:rPr>
          <w:rFonts w:ascii="Times New Roman" w:hAnsi="Times New Roman"/>
          <w:color w:val="auto"/>
          <w:highlight w:val="none"/>
        </w:rPr>
        <w:t>、其他资料</w:t>
      </w:r>
    </w:p>
    <w:p w14:paraId="004BC516">
      <w:pPr>
        <w:spacing w:line="540" w:lineRule="exact"/>
        <w:rPr>
          <w:rFonts w:ascii="Times New Roman" w:hAnsi="Times New Roman" w:eastAsia="黑体"/>
          <w:color w:val="auto"/>
          <w:sz w:val="20"/>
          <w:highlight w:val="none"/>
        </w:rPr>
      </w:pPr>
    </w:p>
    <w:p w14:paraId="1F83A2AC">
      <w:pPr>
        <w:spacing w:line="540" w:lineRule="exact"/>
        <w:rPr>
          <w:rFonts w:ascii="Times New Roman" w:hAnsi="Times New Roman" w:eastAsia="黑体"/>
          <w:color w:val="auto"/>
          <w:sz w:val="20"/>
          <w:highlight w:val="none"/>
        </w:rPr>
      </w:pPr>
    </w:p>
    <w:p w14:paraId="7CDDB21F">
      <w:pPr>
        <w:spacing w:line="540" w:lineRule="exact"/>
        <w:rPr>
          <w:rFonts w:ascii="Times New Roman" w:hAnsi="Times New Roman" w:eastAsia="黑体"/>
          <w:color w:val="auto"/>
          <w:sz w:val="20"/>
          <w:highlight w:val="none"/>
        </w:rPr>
      </w:pPr>
    </w:p>
    <w:p w14:paraId="7775A850">
      <w:pPr>
        <w:spacing w:line="540" w:lineRule="exact"/>
        <w:rPr>
          <w:rFonts w:ascii="Times New Roman" w:hAnsi="Times New Roman" w:eastAsia="黑体"/>
          <w:color w:val="auto"/>
          <w:sz w:val="20"/>
          <w:highlight w:val="none"/>
        </w:rPr>
      </w:pPr>
    </w:p>
    <w:p w14:paraId="4C491A49">
      <w:pPr>
        <w:spacing w:line="540" w:lineRule="exact"/>
        <w:rPr>
          <w:rFonts w:ascii="Times New Roman" w:hAnsi="Times New Roman" w:eastAsia="黑体"/>
          <w:color w:val="auto"/>
          <w:sz w:val="20"/>
          <w:highlight w:val="none"/>
        </w:rPr>
      </w:pPr>
    </w:p>
    <w:p w14:paraId="164801F8">
      <w:pPr>
        <w:spacing w:line="540" w:lineRule="exact"/>
        <w:rPr>
          <w:rFonts w:ascii="Times New Roman" w:hAnsi="Times New Roman" w:eastAsia="黑体"/>
          <w:color w:val="auto"/>
          <w:sz w:val="20"/>
          <w:highlight w:val="none"/>
        </w:rPr>
      </w:pPr>
    </w:p>
    <w:p w14:paraId="6E603C8A">
      <w:pPr>
        <w:spacing w:line="540" w:lineRule="exact"/>
        <w:rPr>
          <w:rFonts w:ascii="Times New Roman" w:hAnsi="Times New Roman" w:eastAsia="黑体"/>
          <w:color w:val="auto"/>
          <w:sz w:val="20"/>
          <w:highlight w:val="none"/>
        </w:rPr>
      </w:pPr>
    </w:p>
    <w:p w14:paraId="107555D9">
      <w:pPr>
        <w:spacing w:line="540" w:lineRule="exact"/>
        <w:rPr>
          <w:rFonts w:ascii="Times New Roman" w:hAnsi="Times New Roman" w:eastAsia="黑体"/>
          <w:color w:val="auto"/>
          <w:sz w:val="20"/>
          <w:highlight w:val="none"/>
        </w:rPr>
      </w:pPr>
    </w:p>
    <w:p w14:paraId="685C25C6">
      <w:pPr>
        <w:spacing w:line="540" w:lineRule="exact"/>
        <w:rPr>
          <w:rFonts w:ascii="Times New Roman" w:hAnsi="Times New Roman" w:eastAsia="黑体"/>
          <w:color w:val="auto"/>
          <w:sz w:val="20"/>
          <w:highlight w:val="none"/>
        </w:rPr>
      </w:pPr>
    </w:p>
    <w:p w14:paraId="5A5E9E09">
      <w:pPr>
        <w:spacing w:line="540" w:lineRule="exact"/>
        <w:rPr>
          <w:rFonts w:ascii="Times New Roman" w:hAnsi="Times New Roman" w:eastAsia="黑体"/>
          <w:color w:val="auto"/>
          <w:sz w:val="20"/>
          <w:highlight w:val="none"/>
        </w:rPr>
      </w:pPr>
    </w:p>
    <w:bookmarkEnd w:id="1006"/>
    <w:bookmarkEnd w:id="1007"/>
    <w:bookmarkEnd w:id="1008"/>
    <w:p w14:paraId="6193EA22">
      <w:pPr>
        <w:pStyle w:val="4"/>
        <w:keepNext w:val="0"/>
        <w:keepLines w:val="0"/>
        <w:jc w:val="center"/>
        <w:rPr>
          <w:rFonts w:ascii="Times New Roman" w:hAnsi="Times New Roman"/>
          <w:color w:val="auto"/>
          <w:highlight w:val="none"/>
        </w:rPr>
      </w:pPr>
      <w:r>
        <w:rPr>
          <w:rFonts w:ascii="Times New Roman" w:hAnsi="Times New Roman"/>
          <w:color w:val="auto"/>
          <w:highlight w:val="none"/>
        </w:rPr>
        <w:br w:type="page"/>
      </w:r>
      <w:bookmarkStart w:id="1009" w:name="_Toc27562"/>
      <w:bookmarkStart w:id="1010" w:name="_Toc30909"/>
      <w:bookmarkStart w:id="1011" w:name="_Toc21974"/>
      <w:r>
        <w:rPr>
          <w:rFonts w:ascii="Times New Roman" w:hAnsi="Times New Roman"/>
          <w:color w:val="auto"/>
          <w:highlight w:val="none"/>
        </w:rPr>
        <w:t>一、投标</w:t>
      </w:r>
      <w:bookmarkStart w:id="1012" w:name="_Toc369531692"/>
      <w:bookmarkStart w:id="1013" w:name="_Toc352691656"/>
      <w:bookmarkStart w:id="1014" w:name="_Toc6931"/>
      <w:r>
        <w:rPr>
          <w:rFonts w:ascii="Times New Roman" w:hAnsi="Times New Roman"/>
          <w:color w:val="auto"/>
          <w:highlight w:val="none"/>
        </w:rPr>
        <w:t>函及投标函附录</w:t>
      </w:r>
      <w:bookmarkEnd w:id="1009"/>
      <w:bookmarkEnd w:id="1010"/>
      <w:bookmarkEnd w:id="1011"/>
    </w:p>
    <w:bookmarkEnd w:id="1012"/>
    <w:bookmarkEnd w:id="1013"/>
    <w:bookmarkEnd w:id="1014"/>
    <w:p w14:paraId="53604BCD">
      <w:pPr>
        <w:pStyle w:val="5"/>
        <w:keepNext w:val="0"/>
        <w:keepLines w:val="0"/>
        <w:ind w:firstLine="137"/>
        <w:rPr>
          <w:rFonts w:ascii="Times New Roman" w:hAnsi="Times New Roman"/>
          <w:color w:val="auto"/>
          <w:highlight w:val="none"/>
        </w:rPr>
      </w:pPr>
      <w:bookmarkStart w:id="1015" w:name="_Toc370676426"/>
      <w:bookmarkStart w:id="1016" w:name="_Toc31957"/>
      <w:bookmarkStart w:id="1017" w:name="_Toc482188651"/>
      <w:bookmarkStart w:id="1018" w:name="_Toc3971"/>
      <w:bookmarkStart w:id="1019" w:name="_Toc359594235"/>
      <w:bookmarkStart w:id="1020" w:name="_Toc391394111"/>
      <w:bookmarkStart w:id="1021" w:name="_Toc28639"/>
      <w:bookmarkStart w:id="1022" w:name="_Toc385943065"/>
      <w:bookmarkStart w:id="1023" w:name="_Toc16357"/>
      <w:r>
        <w:rPr>
          <w:rFonts w:ascii="Times New Roman" w:hAnsi="Times New Roman"/>
          <w:color w:val="auto"/>
          <w:highlight w:val="none"/>
        </w:rPr>
        <w:t>（一）投标函</w:t>
      </w:r>
      <w:bookmarkEnd w:id="1015"/>
      <w:bookmarkEnd w:id="1016"/>
      <w:bookmarkEnd w:id="1017"/>
      <w:bookmarkEnd w:id="1018"/>
      <w:bookmarkEnd w:id="1019"/>
      <w:bookmarkEnd w:id="1020"/>
      <w:bookmarkEnd w:id="1021"/>
      <w:bookmarkEnd w:id="1022"/>
      <w:bookmarkEnd w:id="1023"/>
    </w:p>
    <w:p w14:paraId="60119CD1">
      <w:pPr>
        <w:spacing w:line="440" w:lineRule="exact"/>
        <w:rPr>
          <w:rFonts w:ascii="Times New Roman" w:hAnsi="Times New Roman"/>
          <w:color w:val="auto"/>
          <w:szCs w:val="21"/>
          <w:highlight w:val="none"/>
        </w:rPr>
      </w:pPr>
      <w:r>
        <w:rPr>
          <w:rFonts w:hint="eastAsia" w:ascii="Times New Roman" w:hAnsi="Times New Roman"/>
          <w:color w:val="auto"/>
          <w:szCs w:val="21"/>
          <w:highlight w:val="none"/>
          <w:u w:val="single"/>
          <w:lang w:eastAsia="zh-CN"/>
        </w:rPr>
        <w:t>广州市越秀区代建项目管理中心</w:t>
      </w:r>
      <w:r>
        <w:rPr>
          <w:rFonts w:ascii="Times New Roman" w:hAnsi="Times New Roman"/>
          <w:color w:val="auto"/>
          <w:szCs w:val="21"/>
          <w:highlight w:val="none"/>
        </w:rPr>
        <w:t>（招标人名称）：</w:t>
      </w:r>
    </w:p>
    <w:p w14:paraId="28257E53">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1．我方已仔细研究了</w:t>
      </w:r>
      <w:r>
        <w:rPr>
          <w:rFonts w:hint="eastAsia" w:ascii="Times New Roman" w:hAnsi="Times New Roman"/>
          <w:color w:val="auto"/>
          <w:szCs w:val="21"/>
          <w:highlight w:val="none"/>
          <w:u w:val="single"/>
          <w:lang w:val="en-US" w:eastAsia="zh-CN"/>
        </w:rPr>
        <w:t xml:space="preserve">    （项目名称）     </w:t>
      </w:r>
      <w:r>
        <w:rPr>
          <w:rFonts w:ascii="Times New Roman" w:hAnsi="Times New Roman"/>
          <w:color w:val="auto"/>
          <w:szCs w:val="21"/>
          <w:highlight w:val="none"/>
        </w:rPr>
        <w:t>招标项目招标文件的全部内容，愿意以人民币（大写）</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rPr>
        <w:t>¥</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lang w:val="en-US" w:eastAsia="zh-CN"/>
        </w:rPr>
        <w:t>元</w:t>
      </w:r>
      <w:r>
        <w:rPr>
          <w:rFonts w:ascii="Times New Roman" w:hAnsi="Times New Roman"/>
          <w:color w:val="auto"/>
          <w:szCs w:val="21"/>
          <w:highlight w:val="none"/>
        </w:rPr>
        <w:t>）的投标报价</w:t>
      </w:r>
      <w:r>
        <w:rPr>
          <w:rFonts w:ascii="Times New Roman" w:hAnsi="Times New Roman" w:eastAsia="黑体"/>
          <w:color w:val="auto"/>
          <w:szCs w:val="21"/>
          <w:highlight w:val="none"/>
        </w:rPr>
        <w:t>，</w:t>
      </w:r>
      <w:r>
        <w:rPr>
          <w:rFonts w:ascii="Times New Roman" w:hAnsi="Times New Roman"/>
          <w:color w:val="auto"/>
          <w:szCs w:val="21"/>
          <w:highlight w:val="none"/>
        </w:rPr>
        <w:t>服务期限：</w:t>
      </w:r>
      <w:r>
        <w:rPr>
          <w:rFonts w:hint="eastAsia" w:ascii="Times New Roman" w:hAnsi="Times New Roman"/>
          <w:color w:val="auto"/>
          <w:szCs w:val="21"/>
          <w:highlight w:val="none"/>
          <w:u w:val="single"/>
        </w:rPr>
        <w:t>按招标文件要求</w:t>
      </w:r>
      <w:r>
        <w:rPr>
          <w:rFonts w:ascii="Times New Roman" w:hAnsi="Times New Roman"/>
          <w:color w:val="auto"/>
          <w:szCs w:val="21"/>
          <w:highlight w:val="none"/>
        </w:rPr>
        <w:t>，按合同约定完成</w:t>
      </w:r>
      <w:r>
        <w:rPr>
          <w:rFonts w:hint="eastAsia" w:ascii="Times New Roman" w:hAnsi="Times New Roman"/>
          <w:color w:val="auto"/>
          <w:szCs w:val="21"/>
          <w:highlight w:val="none"/>
          <w:u w:val="single"/>
        </w:rPr>
        <w:t>效果评估</w:t>
      </w:r>
      <w:r>
        <w:rPr>
          <w:rFonts w:ascii="Times New Roman" w:hAnsi="Times New Roman"/>
          <w:color w:val="auto"/>
          <w:szCs w:val="21"/>
          <w:highlight w:val="none"/>
        </w:rPr>
        <w:t>工作。</w:t>
      </w:r>
    </w:p>
    <w:p w14:paraId="54C38CA9">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2. 我方的投标文件包括下列内容：</w:t>
      </w:r>
    </w:p>
    <w:p w14:paraId="5ABB618D">
      <w:pPr>
        <w:spacing w:line="400" w:lineRule="exact"/>
        <w:ind w:firstLine="405"/>
        <w:rPr>
          <w:rFonts w:ascii="Times New Roman" w:hAnsi="Times New Roman"/>
          <w:color w:val="auto"/>
          <w:szCs w:val="21"/>
          <w:highlight w:val="none"/>
        </w:rPr>
      </w:pPr>
      <w:r>
        <w:rPr>
          <w:rFonts w:ascii="Times New Roman" w:hAnsi="Times New Roman"/>
          <w:color w:val="auto"/>
          <w:szCs w:val="21"/>
          <w:highlight w:val="none"/>
        </w:rPr>
        <w:t>（1）投标函</w:t>
      </w:r>
      <w:r>
        <w:rPr>
          <w:rFonts w:ascii="Times New Roman" w:hAnsi="Times New Roman"/>
          <w:color w:val="auto"/>
          <w:highlight w:val="none"/>
        </w:rPr>
        <w:t>及投标函附录</w:t>
      </w:r>
      <w:r>
        <w:rPr>
          <w:rFonts w:ascii="Times New Roman" w:hAnsi="Times New Roman"/>
          <w:color w:val="auto"/>
          <w:szCs w:val="21"/>
          <w:highlight w:val="none"/>
        </w:rPr>
        <w:t>；</w:t>
      </w:r>
    </w:p>
    <w:p w14:paraId="6298412C">
      <w:pPr>
        <w:spacing w:line="400" w:lineRule="exact"/>
        <w:ind w:firstLine="405"/>
        <w:rPr>
          <w:rFonts w:ascii="Times New Roman" w:hAnsi="Times New Roman"/>
          <w:color w:val="auto"/>
          <w:szCs w:val="21"/>
          <w:highlight w:val="none"/>
        </w:rPr>
      </w:pPr>
      <w:r>
        <w:rPr>
          <w:rFonts w:ascii="Times New Roman" w:hAnsi="Times New Roman"/>
          <w:color w:val="auto"/>
          <w:szCs w:val="21"/>
          <w:highlight w:val="none"/>
        </w:rPr>
        <w:t>（2）法定代表人身份证明或授权委托书；</w:t>
      </w:r>
    </w:p>
    <w:p w14:paraId="38A858A7">
      <w:pPr>
        <w:spacing w:line="400" w:lineRule="exact"/>
        <w:ind w:firstLine="405"/>
        <w:rPr>
          <w:rFonts w:hint="default" w:ascii="Times New Roman" w:hAnsi="Times New Roman" w:eastAsia="宋体"/>
          <w:color w:val="auto"/>
          <w:szCs w:val="21"/>
          <w:highlight w:val="none"/>
          <w:lang w:val="en-US" w:eastAsia="zh-CN"/>
        </w:rPr>
      </w:pP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lang w:val="en-US" w:eastAsia="zh-CN"/>
        </w:rPr>
        <w:t>3</w:t>
      </w: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lang w:val="en-US" w:eastAsia="zh-CN"/>
        </w:rPr>
        <w:t>联合体协议书（如有）；</w:t>
      </w:r>
    </w:p>
    <w:p w14:paraId="042ADD04">
      <w:pPr>
        <w:spacing w:line="400" w:lineRule="exact"/>
        <w:ind w:firstLine="405"/>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lang w:val="en-US" w:eastAsia="zh-CN"/>
        </w:rPr>
        <w:t>4</w:t>
      </w:r>
      <w:r>
        <w:rPr>
          <w:rFonts w:ascii="Times New Roman" w:hAnsi="Times New Roman"/>
          <w:color w:val="auto"/>
          <w:szCs w:val="21"/>
          <w:highlight w:val="none"/>
        </w:rPr>
        <w:t>）</w:t>
      </w:r>
      <w:r>
        <w:rPr>
          <w:rFonts w:hint="eastAsia" w:ascii="Times New Roman" w:hAnsi="Times New Roman"/>
          <w:color w:val="auto"/>
          <w:szCs w:val="21"/>
          <w:highlight w:val="none"/>
        </w:rPr>
        <w:t>投标报价表</w:t>
      </w:r>
      <w:r>
        <w:rPr>
          <w:rFonts w:ascii="Times New Roman" w:hAnsi="Times New Roman"/>
          <w:color w:val="auto"/>
          <w:szCs w:val="21"/>
          <w:highlight w:val="none"/>
        </w:rPr>
        <w:t>；</w:t>
      </w:r>
    </w:p>
    <w:p w14:paraId="78FB8D6E">
      <w:pPr>
        <w:spacing w:line="400" w:lineRule="exact"/>
        <w:ind w:firstLine="405"/>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lang w:val="en-US" w:eastAsia="zh-CN"/>
        </w:rPr>
        <w:t>5</w:t>
      </w:r>
      <w:r>
        <w:rPr>
          <w:rFonts w:ascii="Times New Roman" w:hAnsi="Times New Roman"/>
          <w:color w:val="auto"/>
          <w:szCs w:val="21"/>
          <w:highlight w:val="none"/>
        </w:rPr>
        <w:t>）资格审查资料；</w:t>
      </w:r>
    </w:p>
    <w:p w14:paraId="6B32BC75">
      <w:pPr>
        <w:spacing w:line="400" w:lineRule="exact"/>
        <w:ind w:firstLine="405"/>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lang w:val="en-US" w:eastAsia="zh-CN"/>
        </w:rPr>
        <w:t>6</w:t>
      </w:r>
      <w:r>
        <w:rPr>
          <w:rFonts w:ascii="Times New Roman" w:hAnsi="Times New Roman"/>
          <w:color w:val="auto"/>
          <w:szCs w:val="21"/>
          <w:highlight w:val="none"/>
        </w:rPr>
        <w:t>）</w:t>
      </w:r>
      <w:r>
        <w:rPr>
          <w:rFonts w:hint="eastAsia" w:ascii="Times New Roman" w:hAnsi="Times New Roman"/>
          <w:color w:val="auto"/>
          <w:szCs w:val="21"/>
          <w:highlight w:val="none"/>
          <w:lang w:eastAsia="zh-CN"/>
        </w:rPr>
        <w:t>技术服务方案</w:t>
      </w:r>
      <w:r>
        <w:rPr>
          <w:rFonts w:ascii="Times New Roman" w:hAnsi="Times New Roman"/>
          <w:color w:val="auto"/>
          <w:szCs w:val="21"/>
          <w:highlight w:val="none"/>
        </w:rPr>
        <w:t>；</w:t>
      </w:r>
    </w:p>
    <w:p w14:paraId="47F4F0DD">
      <w:pPr>
        <w:spacing w:line="44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hint="eastAsia" w:ascii="Times New Roman" w:hAnsi="Times New Roman"/>
          <w:color w:val="auto"/>
          <w:szCs w:val="21"/>
          <w:highlight w:val="none"/>
          <w:lang w:val="en-US" w:eastAsia="zh-CN"/>
        </w:rPr>
        <w:t>7</w:t>
      </w:r>
      <w:r>
        <w:rPr>
          <w:rFonts w:hint="eastAsia" w:ascii="Times New Roman" w:hAnsi="Times New Roman"/>
          <w:color w:val="auto"/>
          <w:szCs w:val="21"/>
          <w:highlight w:val="none"/>
        </w:rPr>
        <w:t>）其他资料。</w:t>
      </w:r>
    </w:p>
    <w:p w14:paraId="569A5DCE">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投标文件的上述组成部分如存在内容不一致的，以投标函为准。</w:t>
      </w:r>
    </w:p>
    <w:p w14:paraId="6504769A">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3．我方承诺在招标文件规定的投标有效期内不撤销投标文件。</w:t>
      </w:r>
    </w:p>
    <w:p w14:paraId="6481616F">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4．如我方中标，我方承诺：</w:t>
      </w:r>
    </w:p>
    <w:p w14:paraId="5D1264F1">
      <w:pPr>
        <w:spacing w:line="440" w:lineRule="exact"/>
        <w:ind w:left="945" w:leftChars="400" w:hanging="105" w:hangingChars="50"/>
        <w:rPr>
          <w:rFonts w:ascii="Times New Roman" w:hAnsi="Times New Roman"/>
          <w:color w:val="auto"/>
          <w:szCs w:val="21"/>
          <w:highlight w:val="none"/>
        </w:rPr>
      </w:pPr>
      <w:r>
        <w:rPr>
          <w:rFonts w:ascii="Times New Roman" w:hAnsi="Times New Roman"/>
          <w:color w:val="auto"/>
          <w:szCs w:val="21"/>
          <w:highlight w:val="none"/>
        </w:rPr>
        <w:t>（1）在收到中标通知书后，在中标通知书规定的期限内与你方签订合同；</w:t>
      </w:r>
    </w:p>
    <w:p w14:paraId="030460D8">
      <w:pPr>
        <w:spacing w:line="440" w:lineRule="exact"/>
        <w:ind w:left="945" w:leftChars="400" w:hanging="105" w:hangingChars="50"/>
        <w:rPr>
          <w:rFonts w:ascii="Times New Roman" w:hAnsi="Times New Roman"/>
          <w:color w:val="auto"/>
          <w:szCs w:val="21"/>
          <w:highlight w:val="none"/>
        </w:rPr>
      </w:pPr>
      <w:r>
        <w:rPr>
          <w:rFonts w:ascii="Times New Roman" w:hAnsi="Times New Roman"/>
          <w:color w:val="auto"/>
          <w:szCs w:val="21"/>
          <w:highlight w:val="none"/>
        </w:rPr>
        <w:t>（2）在签订合同时不向你方提出附加条件；</w:t>
      </w:r>
    </w:p>
    <w:p w14:paraId="41140C1C">
      <w:pPr>
        <w:spacing w:line="440" w:lineRule="exact"/>
        <w:ind w:left="945" w:leftChars="400" w:hanging="105" w:hangingChars="50"/>
        <w:rPr>
          <w:rFonts w:ascii="Times New Roman" w:hAnsi="Times New Roman"/>
          <w:strike/>
          <w:dstrike w:val="0"/>
          <w:color w:val="auto"/>
          <w:szCs w:val="21"/>
          <w:highlight w:val="none"/>
        </w:rPr>
      </w:pPr>
      <w:r>
        <w:rPr>
          <w:rFonts w:ascii="Times New Roman" w:hAnsi="Times New Roman"/>
          <w:strike/>
          <w:dstrike w:val="0"/>
          <w:color w:val="auto"/>
          <w:szCs w:val="21"/>
          <w:highlight w:val="none"/>
        </w:rPr>
        <w:t>（3）按照招标文件要求提交履约保证金；</w:t>
      </w:r>
      <w:bookmarkStart w:id="1024" w:name="_Toc352691658"/>
      <w:bookmarkStart w:id="1025" w:name="_Toc1187"/>
      <w:bookmarkStart w:id="1026" w:name="_Toc369531694"/>
    </w:p>
    <w:p w14:paraId="268F5FB6">
      <w:pPr>
        <w:spacing w:line="440" w:lineRule="exact"/>
        <w:ind w:left="945" w:leftChars="400" w:hanging="105" w:hangingChars="50"/>
        <w:rPr>
          <w:rFonts w:ascii="Times New Roman" w:hAnsi="Times New Roman"/>
          <w:color w:val="auto"/>
          <w:szCs w:val="21"/>
          <w:highlight w:val="none"/>
        </w:rPr>
      </w:pPr>
      <w:r>
        <w:rPr>
          <w:rFonts w:ascii="Times New Roman" w:hAnsi="Times New Roman"/>
          <w:color w:val="auto"/>
          <w:szCs w:val="21"/>
          <w:highlight w:val="none"/>
        </w:rPr>
        <w:t>（4）在合</w:t>
      </w:r>
      <w:bookmarkEnd w:id="1024"/>
      <w:bookmarkEnd w:id="1025"/>
      <w:bookmarkEnd w:id="1026"/>
      <w:r>
        <w:rPr>
          <w:rFonts w:ascii="Times New Roman" w:hAnsi="Times New Roman"/>
          <w:color w:val="auto"/>
          <w:szCs w:val="21"/>
          <w:highlight w:val="none"/>
        </w:rPr>
        <w:t>同约定的期限内完成合同规定的全部义务。</w:t>
      </w:r>
    </w:p>
    <w:p w14:paraId="7778A970">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5．我方在此声明，所递交的投标文件及有关资料内容完整、真实和准确，且不存在第二章“投标人须知”第1.4.3项规定的任何一种情形。</w:t>
      </w:r>
    </w:p>
    <w:bookmarkEnd w:id="986"/>
    <w:bookmarkEnd w:id="987"/>
    <w:bookmarkEnd w:id="988"/>
    <w:bookmarkEnd w:id="989"/>
    <w:bookmarkEnd w:id="990"/>
    <w:bookmarkEnd w:id="991"/>
    <w:bookmarkEnd w:id="992"/>
    <w:bookmarkEnd w:id="993"/>
    <w:bookmarkEnd w:id="994"/>
    <w:p w14:paraId="619C8BA7">
      <w:pPr>
        <w:spacing w:line="440" w:lineRule="exact"/>
        <w:ind w:firstLine="420" w:firstLineChars="200"/>
        <w:rPr>
          <w:rFonts w:hint="eastAsia" w:ascii="Times New Roman" w:hAnsi="Times New Roman"/>
          <w:color w:val="auto"/>
          <w:szCs w:val="21"/>
          <w:highlight w:val="none"/>
        </w:rPr>
      </w:pPr>
      <w:bookmarkStart w:id="1027" w:name="_Toc369531696"/>
      <w:bookmarkEnd w:id="1027"/>
      <w:bookmarkStart w:id="1028" w:name="_Toc16568"/>
      <w:bookmarkEnd w:id="1028"/>
      <w:bookmarkStart w:id="1029" w:name="_Toc352691660"/>
      <w:bookmarkEnd w:id="1029"/>
      <w:bookmarkStart w:id="1030" w:name="_Toc16824"/>
      <w:bookmarkEnd w:id="1030"/>
      <w:bookmarkStart w:id="1031" w:name="_Toc352691659"/>
      <w:bookmarkEnd w:id="1031"/>
      <w:bookmarkStart w:id="1032" w:name="_Toc369531695"/>
      <w:bookmarkEnd w:id="1032"/>
      <w:r>
        <w:rPr>
          <w:rFonts w:hint="eastAsia" w:ascii="Times New Roman" w:hAnsi="Times New Roman"/>
          <w:color w:val="auto"/>
          <w:szCs w:val="21"/>
          <w:highlight w:val="none"/>
        </w:rPr>
        <w:t>6. 如我方中标，我方承诺，满足“委托人要求”中的所有内容。</w:t>
      </w:r>
    </w:p>
    <w:p w14:paraId="744E4342">
      <w:pPr>
        <w:spacing w:line="44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lang w:val="en-US" w:eastAsia="zh-CN"/>
        </w:rPr>
        <w:t>7</w:t>
      </w:r>
      <w:r>
        <w:rPr>
          <w:rFonts w:ascii="Times New Roman" w:hAnsi="Times New Roman"/>
          <w:color w:val="auto"/>
          <w:szCs w:val="21"/>
          <w:highlight w:val="none"/>
        </w:rPr>
        <w:t>．如我方中标，我方承诺：我司提交的所有投标资料真实可靠，并</w:t>
      </w:r>
      <w:r>
        <w:rPr>
          <w:rFonts w:hint="eastAsia" w:ascii="Times New Roman" w:hAnsi="Times New Roman"/>
          <w:color w:val="auto"/>
          <w:szCs w:val="21"/>
          <w:highlight w:val="none"/>
        </w:rPr>
        <w:t>在中标通知书发放之前，如招标人、建设行政管理部门、工程招标监督机构等提出复查投标资料原件的，我方在3个工作日之内提供。如未能及时提供或提供核查的原件不齐全或者投标资料弄虚作假的，我方将承担与此有关的一切责任，包括但不限于取消投标资格或中标资格（如果已取得中标）、接受行政监督部门的行政处罚等。</w:t>
      </w:r>
    </w:p>
    <w:p w14:paraId="4587040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Times New Roman" w:hAnsi="Times New Roman"/>
          <w:color w:val="auto"/>
          <w:szCs w:val="21"/>
          <w:highlight w:val="none"/>
        </w:rPr>
      </w:pPr>
      <w:r>
        <w:rPr>
          <w:rFonts w:ascii="Times New Roman" w:hAnsi="Times New Roman"/>
          <w:color w:val="auto"/>
          <w:szCs w:val="21"/>
          <w:highlight w:val="none"/>
        </w:rPr>
        <w:t xml:space="preserve">8. </w:t>
      </w:r>
      <w:r>
        <w:rPr>
          <w:rFonts w:hint="eastAsia" w:ascii="Times New Roman" w:hAnsi="Times New Roman"/>
          <w:color w:val="auto"/>
          <w:szCs w:val="21"/>
          <w:highlight w:val="none"/>
        </w:rPr>
        <w:t>如我方中标，我方承诺：严格按照</w:t>
      </w:r>
      <w:r>
        <w:rPr>
          <w:rFonts w:ascii="Times New Roman" w:hAnsi="Times New Roman"/>
          <w:color w:val="auto"/>
          <w:szCs w:val="21"/>
          <w:highlight w:val="none"/>
        </w:rPr>
        <w:t>本招标文件第五章委托人要求及</w:t>
      </w:r>
      <w:r>
        <w:rPr>
          <w:rFonts w:hint="eastAsia" w:ascii="Times New Roman" w:hAnsi="Times New Roman"/>
          <w:color w:val="auto"/>
          <w:szCs w:val="21"/>
          <w:highlight w:val="none"/>
        </w:rPr>
        <w:t>《管理人员配备要求表》的要求开展工作。</w:t>
      </w:r>
    </w:p>
    <w:p w14:paraId="6C245ABB">
      <w:pPr>
        <w:spacing w:line="440" w:lineRule="exact"/>
        <w:ind w:firstLine="2520" w:firstLineChars="1200"/>
        <w:jc w:val="left"/>
        <w:rPr>
          <w:rFonts w:ascii="Times New Roman" w:hAnsi="Times New Roman"/>
          <w:color w:val="auto"/>
          <w:szCs w:val="21"/>
          <w:highlight w:val="none"/>
        </w:rPr>
      </w:pPr>
    </w:p>
    <w:p w14:paraId="11135826">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投 标 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（盖单位章）</w:t>
      </w:r>
    </w:p>
    <w:p w14:paraId="00EF1A21">
      <w:pPr>
        <w:spacing w:line="440" w:lineRule="exact"/>
        <w:jc w:val="left"/>
        <w:rPr>
          <w:rFonts w:ascii="Times New Roman" w:hAnsi="Times New Roman"/>
          <w:color w:val="auto"/>
          <w:szCs w:val="21"/>
          <w:highlight w:val="none"/>
        </w:rPr>
      </w:pPr>
      <w:r>
        <w:rPr>
          <w:rFonts w:ascii="Times New Roman" w:hAnsi="Times New Roman"/>
          <w:color w:val="auto"/>
          <w:highlight w:val="none"/>
        </w:rPr>
        <w:t xml:space="preserve">                        法定代表人</w:t>
      </w:r>
      <w:r>
        <w:rPr>
          <w:rFonts w:ascii="Times New Roman" w:hAnsi="Times New Roman"/>
          <w:color w:val="auto"/>
          <w:szCs w:val="21"/>
          <w:highlight w:val="none"/>
        </w:rPr>
        <w:t>或其委托代理人：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w:t>
      </w:r>
      <w:r>
        <w:rPr>
          <w:rFonts w:hint="eastAsia" w:ascii="Times New Roman" w:hAnsi="Times New Roman"/>
          <w:color w:val="auto"/>
          <w:szCs w:val="21"/>
          <w:highlight w:val="none"/>
        </w:rPr>
        <w:t>签名或盖章</w:t>
      </w:r>
      <w:r>
        <w:rPr>
          <w:rFonts w:ascii="Times New Roman" w:hAnsi="Times New Roman"/>
          <w:color w:val="auto"/>
          <w:szCs w:val="21"/>
          <w:highlight w:val="none"/>
        </w:rPr>
        <w:t>）</w:t>
      </w:r>
    </w:p>
    <w:p w14:paraId="7AB7CE72">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地    址：</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14:paraId="01D7E8BE">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网    址：</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14:paraId="512E54A9">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电    话：</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14:paraId="00BA17F4">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传    真：</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14:paraId="6477151F">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邮政编码：</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14:paraId="1D97DC73">
      <w:pPr>
        <w:spacing w:line="440" w:lineRule="exact"/>
        <w:ind w:firstLine="4725" w:firstLineChars="2250"/>
        <w:jc w:val="right"/>
        <w:rPr>
          <w:rFonts w:ascii="Times New Roman" w:hAnsi="Times New Roman"/>
          <w:color w:val="auto"/>
          <w:szCs w:val="21"/>
          <w:highlight w:val="none"/>
        </w:rPr>
      </w:pPr>
      <w:r>
        <w:rPr>
          <w:rFonts w:ascii="Times New Roman" w:hAnsi="Times New Roman"/>
          <w:color w:val="auto"/>
          <w:highlight w:val="none"/>
          <w:u w:val="single"/>
        </w:rPr>
        <w:t xml:space="preserve">      </w:t>
      </w:r>
      <w:r>
        <w:rPr>
          <w:rFonts w:ascii="Times New Roman" w:hAnsi="Times New Roman"/>
          <w:color w:val="auto"/>
          <w:szCs w:val="21"/>
          <w:highlight w:val="none"/>
        </w:rPr>
        <w:t>年</w:t>
      </w:r>
      <w:r>
        <w:rPr>
          <w:rFonts w:ascii="Times New Roman" w:hAnsi="Times New Roman"/>
          <w:color w:val="auto"/>
          <w:highlight w:val="none"/>
          <w:u w:val="single"/>
        </w:rPr>
        <w:t xml:space="preserve">      </w:t>
      </w:r>
      <w:r>
        <w:rPr>
          <w:rFonts w:ascii="Times New Roman" w:hAnsi="Times New Roman"/>
          <w:color w:val="auto"/>
          <w:szCs w:val="21"/>
          <w:highlight w:val="none"/>
        </w:rPr>
        <w:t>月</w:t>
      </w:r>
      <w:r>
        <w:rPr>
          <w:rFonts w:ascii="Times New Roman" w:hAnsi="Times New Roman"/>
          <w:color w:val="auto"/>
          <w:highlight w:val="none"/>
          <w:u w:val="single"/>
        </w:rPr>
        <w:t xml:space="preserve">      </w:t>
      </w:r>
      <w:r>
        <w:rPr>
          <w:rFonts w:ascii="Times New Roman" w:hAnsi="Times New Roman"/>
          <w:color w:val="auto"/>
          <w:szCs w:val="21"/>
          <w:highlight w:val="none"/>
        </w:rPr>
        <w:t>日</w:t>
      </w:r>
    </w:p>
    <w:p w14:paraId="7E43D45C">
      <w:pPr>
        <w:spacing w:line="440" w:lineRule="exact"/>
        <w:rPr>
          <w:rFonts w:ascii="Times New Roman" w:hAnsi="Times New Roman" w:eastAsia="黑体"/>
          <w:color w:val="auto"/>
          <w:sz w:val="20"/>
          <w:highlight w:val="none"/>
        </w:rPr>
      </w:pPr>
      <w:bookmarkStart w:id="1033" w:name="_Toc152042576"/>
      <w:bookmarkStart w:id="1034" w:name="_Toc17960"/>
      <w:bookmarkStart w:id="1035" w:name="_Toc361508752"/>
      <w:bookmarkStart w:id="1036" w:name="_Toc369531697"/>
      <w:bookmarkStart w:id="1037" w:name="_Toc144974856"/>
      <w:bookmarkStart w:id="1038" w:name="_Toc152045787"/>
      <w:bookmarkStart w:id="1039" w:name="_Toc247514246"/>
      <w:bookmarkStart w:id="1040" w:name="_Toc247527827"/>
      <w:bookmarkStart w:id="1041" w:name="_Toc384308375"/>
      <w:bookmarkStart w:id="1042" w:name="_Toc300835209"/>
      <w:bookmarkStart w:id="1043" w:name="_Toc352691661"/>
    </w:p>
    <w:p w14:paraId="3A251720">
      <w:pPr>
        <w:spacing w:line="440" w:lineRule="exact"/>
        <w:rPr>
          <w:rFonts w:ascii="Times New Roman" w:hAnsi="Times New Roman" w:eastAsia="黑体"/>
          <w:color w:val="auto"/>
          <w:sz w:val="20"/>
          <w:highlight w:val="none"/>
        </w:rPr>
      </w:pPr>
    </w:p>
    <w:p w14:paraId="4624D006">
      <w:pPr>
        <w:spacing w:line="440" w:lineRule="exact"/>
        <w:rPr>
          <w:rFonts w:ascii="Times New Roman" w:hAnsi="Times New Roman" w:eastAsia="黑体"/>
          <w:color w:val="auto"/>
          <w:sz w:val="20"/>
          <w:highlight w:val="none"/>
        </w:rPr>
      </w:pPr>
    </w:p>
    <w:p w14:paraId="0374C933">
      <w:pPr>
        <w:spacing w:line="440" w:lineRule="exact"/>
        <w:rPr>
          <w:rFonts w:ascii="Times New Roman" w:hAnsi="Times New Roman" w:eastAsia="黑体"/>
          <w:color w:val="auto"/>
          <w:sz w:val="20"/>
          <w:highlight w:val="none"/>
        </w:rPr>
      </w:pPr>
    </w:p>
    <w:p w14:paraId="109CE9B3">
      <w:pPr>
        <w:spacing w:line="440" w:lineRule="exact"/>
        <w:rPr>
          <w:rFonts w:ascii="Times New Roman" w:hAnsi="Times New Roman" w:eastAsia="黑体"/>
          <w:color w:val="auto"/>
          <w:sz w:val="20"/>
          <w:highlight w:val="none"/>
        </w:rPr>
      </w:pPr>
    </w:p>
    <w:p w14:paraId="6D6FA266">
      <w:pPr>
        <w:spacing w:line="440" w:lineRule="exact"/>
        <w:rPr>
          <w:rFonts w:ascii="Times New Roman" w:hAnsi="Times New Roman" w:eastAsia="黑体"/>
          <w:color w:val="auto"/>
          <w:sz w:val="20"/>
          <w:highlight w:val="none"/>
        </w:rPr>
      </w:pPr>
    </w:p>
    <w:p w14:paraId="275EA5F1">
      <w:pPr>
        <w:spacing w:line="440" w:lineRule="exact"/>
        <w:rPr>
          <w:rFonts w:ascii="Times New Roman" w:hAnsi="Times New Roman" w:eastAsia="黑体"/>
          <w:color w:val="auto"/>
          <w:sz w:val="20"/>
          <w:highlight w:val="none"/>
        </w:rPr>
      </w:pPr>
    </w:p>
    <w:p w14:paraId="333D692F">
      <w:pPr>
        <w:spacing w:line="440" w:lineRule="exact"/>
        <w:rPr>
          <w:rFonts w:ascii="Times New Roman" w:hAnsi="Times New Roman" w:eastAsia="黑体"/>
          <w:color w:val="auto"/>
          <w:sz w:val="20"/>
          <w:highlight w:val="none"/>
        </w:rPr>
      </w:pPr>
    </w:p>
    <w:p w14:paraId="43339424">
      <w:pPr>
        <w:spacing w:line="440" w:lineRule="exact"/>
        <w:rPr>
          <w:rFonts w:ascii="Times New Roman" w:hAnsi="Times New Roman" w:eastAsia="黑体"/>
          <w:color w:val="auto"/>
          <w:sz w:val="20"/>
          <w:highlight w:val="none"/>
        </w:rPr>
      </w:pPr>
    </w:p>
    <w:p w14:paraId="310C1B00">
      <w:pPr>
        <w:spacing w:line="440" w:lineRule="exact"/>
        <w:rPr>
          <w:rFonts w:ascii="Times New Roman" w:hAnsi="Times New Roman" w:eastAsia="黑体"/>
          <w:color w:val="auto"/>
          <w:sz w:val="20"/>
          <w:highlight w:val="none"/>
        </w:rPr>
      </w:pPr>
    </w:p>
    <w:p w14:paraId="4F249296">
      <w:pPr>
        <w:spacing w:line="440" w:lineRule="exact"/>
        <w:rPr>
          <w:rFonts w:ascii="Times New Roman" w:hAnsi="Times New Roman" w:eastAsia="黑体"/>
          <w:color w:val="auto"/>
          <w:sz w:val="20"/>
          <w:highlight w:val="none"/>
        </w:rPr>
      </w:pPr>
    </w:p>
    <w:p w14:paraId="54F2C505">
      <w:pPr>
        <w:spacing w:line="440" w:lineRule="exact"/>
        <w:rPr>
          <w:rFonts w:ascii="Times New Roman" w:hAnsi="Times New Roman" w:eastAsia="黑体"/>
          <w:color w:val="auto"/>
          <w:sz w:val="20"/>
          <w:highlight w:val="none"/>
        </w:rPr>
      </w:pPr>
    </w:p>
    <w:p w14:paraId="6866F09F">
      <w:pPr>
        <w:spacing w:line="440" w:lineRule="exact"/>
        <w:rPr>
          <w:rFonts w:ascii="Times New Roman" w:hAnsi="Times New Roman" w:eastAsia="黑体"/>
          <w:color w:val="auto"/>
          <w:sz w:val="20"/>
          <w:highlight w:val="none"/>
        </w:rPr>
      </w:pPr>
    </w:p>
    <w:p w14:paraId="74F5F6C8">
      <w:pPr>
        <w:spacing w:line="440" w:lineRule="exact"/>
        <w:rPr>
          <w:rFonts w:ascii="Times New Roman" w:hAnsi="Times New Roman" w:eastAsia="黑体"/>
          <w:color w:val="auto"/>
          <w:sz w:val="20"/>
          <w:highlight w:val="none"/>
        </w:rPr>
      </w:pPr>
    </w:p>
    <w:p w14:paraId="52015692">
      <w:pPr>
        <w:spacing w:line="440" w:lineRule="exact"/>
        <w:rPr>
          <w:rFonts w:ascii="Times New Roman" w:hAnsi="Times New Roman" w:eastAsia="黑体"/>
          <w:color w:val="auto"/>
          <w:sz w:val="20"/>
          <w:highlight w:val="none"/>
        </w:rPr>
      </w:pPr>
    </w:p>
    <w:p w14:paraId="6E5B401B">
      <w:pPr>
        <w:spacing w:line="440" w:lineRule="exact"/>
        <w:rPr>
          <w:rFonts w:ascii="Times New Roman" w:hAnsi="Times New Roman" w:eastAsia="黑体"/>
          <w:color w:val="auto"/>
          <w:sz w:val="20"/>
          <w:highlight w:val="none"/>
        </w:rPr>
      </w:pPr>
    </w:p>
    <w:p w14:paraId="4A6B94D7">
      <w:pPr>
        <w:pStyle w:val="5"/>
        <w:keepNext w:val="0"/>
        <w:keepLines w:val="0"/>
        <w:ind w:firstLine="137"/>
        <w:jc w:val="center"/>
        <w:rPr>
          <w:rFonts w:ascii="Times New Roman" w:hAnsi="Times New Roman"/>
          <w:color w:val="auto"/>
          <w:highlight w:val="none"/>
        </w:rPr>
      </w:pPr>
      <w:bookmarkStart w:id="1044" w:name="_Toc31792"/>
      <w:bookmarkStart w:id="1045" w:name="_Toc23827"/>
      <w:bookmarkStart w:id="1046" w:name="_Toc385943066"/>
      <w:bookmarkStart w:id="1047" w:name="_Toc370676427"/>
      <w:bookmarkStart w:id="1048" w:name="_Toc482188652"/>
      <w:bookmarkStart w:id="1049" w:name="_Toc6742"/>
      <w:bookmarkStart w:id="1050" w:name="_Toc359594236"/>
      <w:bookmarkStart w:id="1051" w:name="_Toc391394112"/>
      <w:bookmarkStart w:id="1052" w:name="_Toc12614"/>
      <w:r>
        <w:rPr>
          <w:rFonts w:ascii="Times New Roman" w:hAnsi="Times New Roman"/>
          <w:color w:val="auto"/>
          <w:highlight w:val="none"/>
        </w:rPr>
        <w:t>（二）投标函附录</w:t>
      </w:r>
      <w:bookmarkEnd w:id="1044"/>
      <w:bookmarkEnd w:id="1045"/>
      <w:bookmarkEnd w:id="1046"/>
      <w:bookmarkEnd w:id="1047"/>
      <w:bookmarkEnd w:id="1048"/>
      <w:bookmarkEnd w:id="1049"/>
      <w:bookmarkEnd w:id="1050"/>
      <w:bookmarkEnd w:id="1051"/>
      <w:bookmarkEnd w:id="1052"/>
    </w:p>
    <w:tbl>
      <w:tblPr>
        <w:tblStyle w:val="17"/>
        <w:tblW w:w="8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2456"/>
        <w:gridCol w:w="5228"/>
      </w:tblGrid>
      <w:tr w14:paraId="3C26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46FA8739">
            <w:pPr>
              <w:jc w:val="center"/>
              <w:rPr>
                <w:rFonts w:ascii="Times New Roman" w:hAnsi="Times New Roman"/>
                <w:b/>
                <w:color w:val="auto"/>
                <w:sz w:val="24"/>
                <w:szCs w:val="28"/>
                <w:highlight w:val="none"/>
              </w:rPr>
            </w:pPr>
            <w:r>
              <w:rPr>
                <w:rFonts w:hint="eastAsia" w:ascii="Times New Roman" w:hAnsi="Times New Roman"/>
                <w:b/>
                <w:color w:val="auto"/>
                <w:sz w:val="24"/>
                <w:szCs w:val="28"/>
                <w:highlight w:val="none"/>
              </w:rPr>
              <w:t>序号</w:t>
            </w:r>
          </w:p>
        </w:tc>
        <w:tc>
          <w:tcPr>
            <w:tcW w:w="2456" w:type="dxa"/>
            <w:tcBorders>
              <w:top w:val="single" w:color="auto" w:sz="4" w:space="0"/>
              <w:left w:val="single" w:color="auto" w:sz="4" w:space="0"/>
              <w:bottom w:val="single" w:color="auto" w:sz="4" w:space="0"/>
              <w:right w:val="single" w:color="auto" w:sz="4" w:space="0"/>
            </w:tcBorders>
            <w:vAlign w:val="center"/>
          </w:tcPr>
          <w:p w14:paraId="104B7D8A">
            <w:pPr>
              <w:jc w:val="center"/>
              <w:rPr>
                <w:rFonts w:ascii="Times New Roman" w:hAnsi="Times New Roman"/>
                <w:b/>
                <w:color w:val="auto"/>
                <w:sz w:val="24"/>
                <w:szCs w:val="28"/>
                <w:highlight w:val="none"/>
              </w:rPr>
            </w:pPr>
            <w:r>
              <w:rPr>
                <w:rFonts w:hint="eastAsia" w:ascii="Times New Roman" w:hAnsi="Times New Roman"/>
                <w:b/>
                <w:color w:val="auto"/>
                <w:sz w:val="24"/>
                <w:szCs w:val="28"/>
                <w:highlight w:val="none"/>
              </w:rPr>
              <w:t>条款名称</w:t>
            </w:r>
          </w:p>
        </w:tc>
        <w:tc>
          <w:tcPr>
            <w:tcW w:w="5228" w:type="dxa"/>
            <w:tcBorders>
              <w:top w:val="single" w:color="auto" w:sz="4" w:space="0"/>
              <w:left w:val="single" w:color="auto" w:sz="4" w:space="0"/>
              <w:bottom w:val="single" w:color="auto" w:sz="4" w:space="0"/>
              <w:right w:val="single" w:color="auto" w:sz="4" w:space="0"/>
            </w:tcBorders>
            <w:vAlign w:val="center"/>
          </w:tcPr>
          <w:p w14:paraId="62E6B04D">
            <w:pPr>
              <w:jc w:val="center"/>
              <w:rPr>
                <w:rFonts w:ascii="Times New Roman" w:hAnsi="Times New Roman"/>
                <w:b/>
                <w:color w:val="auto"/>
                <w:sz w:val="24"/>
                <w:szCs w:val="28"/>
                <w:highlight w:val="none"/>
              </w:rPr>
            </w:pPr>
            <w:r>
              <w:rPr>
                <w:rFonts w:hint="eastAsia" w:ascii="Times New Roman" w:hAnsi="Times New Roman"/>
                <w:b/>
                <w:color w:val="auto"/>
                <w:sz w:val="24"/>
                <w:szCs w:val="28"/>
                <w:highlight w:val="none"/>
              </w:rPr>
              <w:t>约定内容</w:t>
            </w:r>
          </w:p>
        </w:tc>
      </w:tr>
      <w:tr w14:paraId="28E8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0FC2665A">
            <w:pPr>
              <w:spacing w:line="360" w:lineRule="auto"/>
              <w:jc w:val="center"/>
              <w:rPr>
                <w:rFonts w:ascii="Times New Roman" w:hAnsi="Times New Roman"/>
                <w:bCs/>
                <w:color w:val="auto"/>
                <w:sz w:val="24"/>
                <w:szCs w:val="28"/>
                <w:highlight w:val="none"/>
              </w:rPr>
            </w:pPr>
            <w:r>
              <w:rPr>
                <w:rFonts w:hint="eastAsia" w:ascii="Times New Roman" w:hAnsi="Times New Roman"/>
                <w:bCs/>
                <w:color w:val="auto"/>
                <w:sz w:val="24"/>
                <w:szCs w:val="28"/>
                <w:highlight w:val="none"/>
              </w:rPr>
              <w:t>1</w:t>
            </w:r>
          </w:p>
        </w:tc>
        <w:tc>
          <w:tcPr>
            <w:tcW w:w="2456" w:type="dxa"/>
            <w:tcBorders>
              <w:top w:val="single" w:color="auto" w:sz="4" w:space="0"/>
              <w:left w:val="single" w:color="auto" w:sz="4" w:space="0"/>
              <w:bottom w:val="single" w:color="auto" w:sz="4" w:space="0"/>
              <w:right w:val="single" w:color="auto" w:sz="4" w:space="0"/>
            </w:tcBorders>
            <w:vAlign w:val="center"/>
          </w:tcPr>
          <w:p w14:paraId="48AF48F4">
            <w:pPr>
              <w:spacing w:line="360" w:lineRule="auto"/>
              <w:jc w:val="center"/>
              <w:rPr>
                <w:rFonts w:hint="default" w:ascii="Times New Roman" w:hAnsi="Times New Roman" w:eastAsia="宋体"/>
                <w:bCs/>
                <w:color w:val="auto"/>
                <w:sz w:val="24"/>
                <w:szCs w:val="28"/>
                <w:highlight w:val="none"/>
                <w:lang w:val="en-US" w:eastAsia="zh-CN"/>
              </w:rPr>
            </w:pPr>
            <w:r>
              <w:rPr>
                <w:rFonts w:hint="eastAsia" w:ascii="Times New Roman" w:hAnsi="Times New Roman"/>
                <w:bCs/>
                <w:color w:val="auto"/>
                <w:sz w:val="24"/>
                <w:szCs w:val="28"/>
                <w:highlight w:val="none"/>
                <w:lang w:val="en-US" w:eastAsia="zh-CN"/>
              </w:rPr>
              <w:t>项目负责人</w:t>
            </w:r>
          </w:p>
        </w:tc>
        <w:tc>
          <w:tcPr>
            <w:tcW w:w="5228" w:type="dxa"/>
            <w:tcBorders>
              <w:top w:val="single" w:color="auto" w:sz="4" w:space="0"/>
              <w:left w:val="single" w:color="auto" w:sz="4" w:space="0"/>
              <w:bottom w:val="single" w:color="auto" w:sz="4" w:space="0"/>
              <w:right w:val="single" w:color="auto" w:sz="4" w:space="0"/>
            </w:tcBorders>
            <w:vAlign w:val="center"/>
          </w:tcPr>
          <w:p w14:paraId="0FC9CFF9">
            <w:pPr>
              <w:spacing w:line="360" w:lineRule="auto"/>
              <w:jc w:val="left"/>
              <w:rPr>
                <w:rFonts w:ascii="Times New Roman" w:hAnsi="Times New Roman"/>
                <w:bCs/>
                <w:color w:val="auto"/>
                <w:sz w:val="24"/>
                <w:szCs w:val="28"/>
                <w:highlight w:val="none"/>
              </w:rPr>
            </w:pPr>
            <w:r>
              <w:rPr>
                <w:rFonts w:hint="eastAsia" w:ascii="Times New Roman" w:hAnsi="Times New Roman"/>
                <w:bCs/>
                <w:color w:val="auto"/>
                <w:sz w:val="24"/>
                <w:szCs w:val="28"/>
                <w:highlight w:val="none"/>
              </w:rPr>
              <w:t>姓名：</w:t>
            </w:r>
            <w:r>
              <w:rPr>
                <w:rFonts w:ascii="Times New Roman" w:hAnsi="Times New Roman"/>
                <w:bCs/>
                <w:color w:val="auto"/>
                <w:sz w:val="24"/>
                <w:szCs w:val="28"/>
                <w:highlight w:val="none"/>
              </w:rPr>
              <w:t xml:space="preserve"> </w:t>
            </w:r>
          </w:p>
          <w:p w14:paraId="21D46A6D">
            <w:pPr>
              <w:spacing w:line="360" w:lineRule="auto"/>
              <w:jc w:val="left"/>
              <w:rPr>
                <w:rFonts w:ascii="Times New Roman" w:hAnsi="Times New Roman"/>
                <w:bCs/>
                <w:color w:val="auto"/>
                <w:sz w:val="24"/>
                <w:szCs w:val="28"/>
                <w:highlight w:val="none"/>
              </w:rPr>
            </w:pPr>
            <w:r>
              <w:rPr>
                <w:rFonts w:hint="eastAsia" w:ascii="Times New Roman" w:hAnsi="Times New Roman"/>
                <w:bCs/>
                <w:color w:val="auto"/>
                <w:sz w:val="24"/>
                <w:szCs w:val="28"/>
                <w:highlight w:val="none"/>
              </w:rPr>
              <w:t>技术职称：</w:t>
            </w:r>
          </w:p>
        </w:tc>
      </w:tr>
      <w:tr w14:paraId="724B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34AEBFFF">
            <w:pPr>
              <w:spacing w:line="360" w:lineRule="auto"/>
              <w:jc w:val="center"/>
              <w:rPr>
                <w:rFonts w:ascii="Times New Roman" w:hAnsi="Times New Roman"/>
                <w:bCs/>
                <w:color w:val="auto"/>
                <w:sz w:val="24"/>
                <w:szCs w:val="28"/>
                <w:highlight w:val="none"/>
              </w:rPr>
            </w:pPr>
            <w:r>
              <w:rPr>
                <w:rFonts w:hint="eastAsia" w:ascii="Times New Roman" w:hAnsi="Times New Roman"/>
                <w:bCs/>
                <w:color w:val="auto"/>
                <w:sz w:val="24"/>
                <w:szCs w:val="28"/>
                <w:highlight w:val="none"/>
              </w:rPr>
              <w:t>2</w:t>
            </w:r>
          </w:p>
        </w:tc>
        <w:tc>
          <w:tcPr>
            <w:tcW w:w="2456" w:type="dxa"/>
            <w:tcBorders>
              <w:top w:val="single" w:color="auto" w:sz="4" w:space="0"/>
              <w:left w:val="single" w:color="auto" w:sz="4" w:space="0"/>
              <w:bottom w:val="single" w:color="auto" w:sz="4" w:space="0"/>
              <w:right w:val="single" w:color="auto" w:sz="4" w:space="0"/>
            </w:tcBorders>
            <w:vAlign w:val="center"/>
          </w:tcPr>
          <w:p w14:paraId="7CE5A835">
            <w:pPr>
              <w:spacing w:line="360" w:lineRule="auto"/>
              <w:jc w:val="center"/>
              <w:rPr>
                <w:rFonts w:ascii="Times New Roman" w:hAnsi="Times New Roman"/>
                <w:bCs/>
                <w:color w:val="auto"/>
                <w:sz w:val="24"/>
                <w:szCs w:val="28"/>
                <w:highlight w:val="none"/>
              </w:rPr>
            </w:pPr>
            <w:r>
              <w:rPr>
                <w:rFonts w:hint="eastAsia" w:ascii="Times New Roman" w:hAnsi="Times New Roman"/>
                <w:bCs/>
                <w:color w:val="auto"/>
                <w:sz w:val="24"/>
                <w:szCs w:val="28"/>
                <w:highlight w:val="none"/>
              </w:rPr>
              <w:t>服务期限</w:t>
            </w:r>
          </w:p>
        </w:tc>
        <w:tc>
          <w:tcPr>
            <w:tcW w:w="5228" w:type="dxa"/>
            <w:tcBorders>
              <w:top w:val="single" w:color="auto" w:sz="4" w:space="0"/>
              <w:left w:val="single" w:color="auto" w:sz="4" w:space="0"/>
              <w:bottom w:val="single" w:color="auto" w:sz="4" w:space="0"/>
              <w:right w:val="single" w:color="auto" w:sz="4" w:space="0"/>
            </w:tcBorders>
            <w:vAlign w:val="center"/>
          </w:tcPr>
          <w:p w14:paraId="3BDFF51E">
            <w:pPr>
              <w:spacing w:line="360" w:lineRule="auto"/>
              <w:jc w:val="left"/>
              <w:rPr>
                <w:rFonts w:ascii="Times New Roman" w:hAnsi="Times New Roman"/>
                <w:bCs/>
                <w:color w:val="auto"/>
                <w:sz w:val="24"/>
                <w:szCs w:val="28"/>
                <w:highlight w:val="none"/>
              </w:rPr>
            </w:pPr>
            <w:r>
              <w:rPr>
                <w:rFonts w:hint="eastAsia" w:ascii="Times New Roman" w:hAnsi="Times New Roman"/>
                <w:bCs/>
                <w:color w:val="auto"/>
                <w:sz w:val="24"/>
                <w:szCs w:val="28"/>
                <w:highlight w:val="none"/>
              </w:rPr>
              <w:t>按招标文件要求</w:t>
            </w:r>
          </w:p>
        </w:tc>
      </w:tr>
      <w:tr w14:paraId="3A14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06D972C2">
            <w:pPr>
              <w:spacing w:line="360" w:lineRule="auto"/>
              <w:jc w:val="center"/>
              <w:rPr>
                <w:rFonts w:ascii="Times New Roman" w:hAnsi="Times New Roman"/>
                <w:bCs/>
                <w:color w:val="auto"/>
                <w:sz w:val="24"/>
                <w:szCs w:val="28"/>
                <w:highlight w:val="none"/>
              </w:rPr>
            </w:pPr>
            <w:r>
              <w:rPr>
                <w:rFonts w:ascii="Times New Roman" w:hAnsi="Times New Roman"/>
                <w:bCs/>
                <w:color w:val="auto"/>
                <w:sz w:val="24"/>
                <w:szCs w:val="28"/>
                <w:highlight w:val="none"/>
              </w:rPr>
              <w:t>3</w:t>
            </w:r>
          </w:p>
        </w:tc>
        <w:tc>
          <w:tcPr>
            <w:tcW w:w="2456" w:type="dxa"/>
            <w:tcBorders>
              <w:top w:val="single" w:color="auto" w:sz="4" w:space="0"/>
              <w:left w:val="single" w:color="auto" w:sz="4" w:space="0"/>
              <w:bottom w:val="single" w:color="auto" w:sz="4" w:space="0"/>
              <w:right w:val="single" w:color="auto" w:sz="4" w:space="0"/>
            </w:tcBorders>
            <w:vAlign w:val="center"/>
          </w:tcPr>
          <w:p w14:paraId="511E84D6">
            <w:pPr>
              <w:spacing w:line="360" w:lineRule="auto"/>
              <w:jc w:val="center"/>
              <w:rPr>
                <w:rFonts w:ascii="Times New Roman" w:hAnsi="Times New Roman"/>
                <w:bCs/>
                <w:color w:val="auto"/>
                <w:sz w:val="24"/>
                <w:szCs w:val="28"/>
                <w:highlight w:val="none"/>
              </w:rPr>
            </w:pPr>
            <w:r>
              <w:rPr>
                <w:rFonts w:hint="eastAsia" w:ascii="Times New Roman" w:hAnsi="Times New Roman"/>
                <w:bCs/>
                <w:color w:val="auto"/>
                <w:sz w:val="24"/>
                <w:szCs w:val="28"/>
                <w:highlight w:val="none"/>
              </w:rPr>
              <w:t>合同价款确定方式</w:t>
            </w:r>
          </w:p>
        </w:tc>
        <w:tc>
          <w:tcPr>
            <w:tcW w:w="5228" w:type="dxa"/>
            <w:tcBorders>
              <w:top w:val="single" w:color="auto" w:sz="4" w:space="0"/>
              <w:left w:val="single" w:color="auto" w:sz="4" w:space="0"/>
              <w:bottom w:val="single" w:color="auto" w:sz="4" w:space="0"/>
              <w:right w:val="single" w:color="auto" w:sz="4" w:space="0"/>
            </w:tcBorders>
            <w:vAlign w:val="center"/>
          </w:tcPr>
          <w:p w14:paraId="1FADAD8F">
            <w:pPr>
              <w:spacing w:line="360" w:lineRule="auto"/>
              <w:jc w:val="left"/>
              <w:rPr>
                <w:rFonts w:ascii="Times New Roman" w:hAnsi="Times New Roman"/>
                <w:bCs/>
                <w:color w:val="auto"/>
                <w:sz w:val="24"/>
                <w:szCs w:val="28"/>
                <w:highlight w:val="none"/>
              </w:rPr>
            </w:pPr>
            <w:r>
              <w:rPr>
                <w:rFonts w:hint="eastAsia" w:ascii="Times New Roman" w:hAnsi="Times New Roman"/>
                <w:bCs/>
                <w:color w:val="auto"/>
                <w:sz w:val="24"/>
                <w:szCs w:val="28"/>
                <w:highlight w:val="none"/>
              </w:rPr>
              <w:t>按合同约定</w:t>
            </w:r>
          </w:p>
        </w:tc>
      </w:tr>
      <w:tr w14:paraId="16B8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646E2AF5">
            <w:pPr>
              <w:spacing w:line="360" w:lineRule="auto"/>
              <w:jc w:val="center"/>
              <w:rPr>
                <w:rFonts w:ascii="Times New Roman" w:hAnsi="Times New Roman"/>
                <w:bCs/>
                <w:color w:val="auto"/>
                <w:sz w:val="24"/>
                <w:szCs w:val="28"/>
                <w:highlight w:val="none"/>
              </w:rPr>
            </w:pPr>
            <w:r>
              <w:rPr>
                <w:rFonts w:hint="eastAsia" w:ascii="Times New Roman" w:hAnsi="Times New Roman"/>
                <w:bCs/>
                <w:color w:val="auto"/>
                <w:sz w:val="24"/>
                <w:szCs w:val="28"/>
                <w:highlight w:val="none"/>
              </w:rPr>
              <w:t>4</w:t>
            </w:r>
          </w:p>
        </w:tc>
        <w:tc>
          <w:tcPr>
            <w:tcW w:w="2456" w:type="dxa"/>
            <w:tcBorders>
              <w:top w:val="single" w:color="auto" w:sz="4" w:space="0"/>
              <w:left w:val="single" w:color="auto" w:sz="4" w:space="0"/>
              <w:bottom w:val="single" w:color="auto" w:sz="4" w:space="0"/>
              <w:right w:val="single" w:color="auto" w:sz="4" w:space="0"/>
            </w:tcBorders>
            <w:vAlign w:val="center"/>
          </w:tcPr>
          <w:p w14:paraId="104AA8D2">
            <w:pPr>
              <w:spacing w:line="360" w:lineRule="auto"/>
              <w:jc w:val="center"/>
              <w:rPr>
                <w:rFonts w:ascii="Times New Roman" w:hAnsi="Times New Roman"/>
                <w:bCs/>
                <w:color w:val="auto"/>
                <w:sz w:val="24"/>
                <w:szCs w:val="28"/>
                <w:highlight w:val="none"/>
              </w:rPr>
            </w:pPr>
            <w:r>
              <w:rPr>
                <w:rFonts w:ascii="Times New Roman" w:hAnsi="Times New Roman"/>
                <w:bCs/>
                <w:color w:val="auto"/>
                <w:sz w:val="24"/>
                <w:szCs w:val="28"/>
                <w:highlight w:val="none"/>
              </w:rPr>
              <w:t>质量</w:t>
            </w:r>
            <w:r>
              <w:rPr>
                <w:rFonts w:hint="eastAsia" w:ascii="Times New Roman" w:hAnsi="Times New Roman"/>
                <w:bCs/>
                <w:color w:val="auto"/>
                <w:sz w:val="24"/>
                <w:szCs w:val="28"/>
                <w:highlight w:val="none"/>
              </w:rPr>
              <w:t>标准</w:t>
            </w:r>
          </w:p>
        </w:tc>
        <w:tc>
          <w:tcPr>
            <w:tcW w:w="5228" w:type="dxa"/>
            <w:tcBorders>
              <w:top w:val="single" w:color="auto" w:sz="4" w:space="0"/>
              <w:left w:val="single" w:color="auto" w:sz="4" w:space="0"/>
              <w:bottom w:val="single" w:color="auto" w:sz="4" w:space="0"/>
              <w:right w:val="single" w:color="auto" w:sz="4" w:space="0"/>
            </w:tcBorders>
            <w:vAlign w:val="center"/>
          </w:tcPr>
          <w:p w14:paraId="02D3E520">
            <w:pPr>
              <w:spacing w:line="360" w:lineRule="auto"/>
              <w:jc w:val="left"/>
              <w:rPr>
                <w:rFonts w:ascii="Times New Roman" w:hAnsi="Times New Roman"/>
                <w:bCs/>
                <w:color w:val="auto"/>
                <w:sz w:val="24"/>
                <w:szCs w:val="28"/>
                <w:highlight w:val="none"/>
              </w:rPr>
            </w:pPr>
            <w:r>
              <w:rPr>
                <w:rFonts w:hint="eastAsia" w:ascii="Times New Roman" w:hAnsi="Times New Roman"/>
                <w:bCs/>
                <w:color w:val="auto"/>
                <w:sz w:val="24"/>
                <w:szCs w:val="28"/>
                <w:highlight w:val="none"/>
              </w:rPr>
              <w:t>按招标文件要求</w:t>
            </w:r>
          </w:p>
        </w:tc>
      </w:tr>
      <w:tr w14:paraId="1235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44447ED0">
            <w:pPr>
              <w:spacing w:line="360" w:lineRule="auto"/>
              <w:jc w:val="center"/>
              <w:rPr>
                <w:rFonts w:ascii="Times New Roman" w:hAnsi="Times New Roman"/>
                <w:bCs/>
                <w:color w:val="auto"/>
                <w:sz w:val="24"/>
                <w:szCs w:val="28"/>
                <w:highlight w:val="none"/>
              </w:rPr>
            </w:pPr>
            <w:r>
              <w:rPr>
                <w:rFonts w:hint="eastAsia" w:ascii="Times New Roman" w:hAnsi="Times New Roman"/>
                <w:bCs/>
                <w:color w:val="auto"/>
                <w:sz w:val="24"/>
                <w:szCs w:val="28"/>
                <w:highlight w:val="none"/>
              </w:rPr>
              <w:t>5</w:t>
            </w:r>
          </w:p>
        </w:tc>
        <w:tc>
          <w:tcPr>
            <w:tcW w:w="2456" w:type="dxa"/>
            <w:tcBorders>
              <w:top w:val="single" w:color="auto" w:sz="4" w:space="0"/>
              <w:left w:val="single" w:color="auto" w:sz="4" w:space="0"/>
              <w:bottom w:val="single" w:color="auto" w:sz="4" w:space="0"/>
              <w:right w:val="single" w:color="auto" w:sz="4" w:space="0"/>
            </w:tcBorders>
            <w:vAlign w:val="center"/>
          </w:tcPr>
          <w:p w14:paraId="3F5FD058">
            <w:pPr>
              <w:spacing w:line="360" w:lineRule="auto"/>
              <w:jc w:val="center"/>
              <w:rPr>
                <w:rFonts w:hint="eastAsia" w:ascii="Times New Roman" w:hAnsi="Times New Roman" w:eastAsia="宋体"/>
                <w:bCs/>
                <w:color w:val="auto"/>
                <w:sz w:val="24"/>
                <w:szCs w:val="28"/>
                <w:highlight w:val="none"/>
                <w:lang w:eastAsia="zh-CN"/>
              </w:rPr>
            </w:pPr>
            <w:r>
              <w:rPr>
                <w:rFonts w:hint="eastAsia" w:ascii="Times New Roman" w:hAnsi="Times New Roman"/>
                <w:bCs/>
                <w:color w:val="auto"/>
                <w:sz w:val="24"/>
                <w:szCs w:val="28"/>
                <w:highlight w:val="none"/>
              </w:rPr>
              <w:t>投标报价</w:t>
            </w:r>
            <w:r>
              <w:rPr>
                <w:rFonts w:hint="eastAsia" w:ascii="Times New Roman" w:hAnsi="Times New Roman"/>
                <w:bCs/>
                <w:color w:val="auto"/>
                <w:sz w:val="24"/>
                <w:szCs w:val="28"/>
                <w:highlight w:val="none"/>
                <w:lang w:eastAsia="zh-CN"/>
              </w:rPr>
              <w:t>（</w:t>
            </w:r>
            <w:r>
              <w:rPr>
                <w:rFonts w:hint="eastAsia" w:ascii="Times New Roman" w:hAnsi="Times New Roman"/>
                <w:bCs/>
                <w:color w:val="auto"/>
                <w:sz w:val="24"/>
                <w:szCs w:val="28"/>
                <w:highlight w:val="none"/>
                <w:lang w:val="en-US" w:eastAsia="zh-CN"/>
              </w:rPr>
              <w:t>含税</w:t>
            </w:r>
            <w:r>
              <w:rPr>
                <w:rFonts w:hint="eastAsia" w:ascii="Times New Roman" w:hAnsi="Times New Roman"/>
                <w:bCs/>
                <w:color w:val="auto"/>
                <w:sz w:val="24"/>
                <w:szCs w:val="28"/>
                <w:highlight w:val="none"/>
                <w:lang w:eastAsia="zh-CN"/>
              </w:rPr>
              <w:t>）</w:t>
            </w:r>
          </w:p>
        </w:tc>
        <w:tc>
          <w:tcPr>
            <w:tcW w:w="5228" w:type="dxa"/>
            <w:tcBorders>
              <w:top w:val="single" w:color="auto" w:sz="4" w:space="0"/>
              <w:left w:val="single" w:color="auto" w:sz="4" w:space="0"/>
              <w:bottom w:val="single" w:color="auto" w:sz="4" w:space="0"/>
              <w:right w:val="single" w:color="auto" w:sz="4" w:space="0"/>
            </w:tcBorders>
            <w:vAlign w:val="center"/>
          </w:tcPr>
          <w:p w14:paraId="0783083A">
            <w:pPr>
              <w:spacing w:line="360" w:lineRule="auto"/>
              <w:jc w:val="left"/>
              <w:rPr>
                <w:rFonts w:ascii="Times New Roman" w:hAnsi="Times New Roman"/>
                <w:bCs/>
                <w:color w:val="auto"/>
                <w:sz w:val="24"/>
                <w:szCs w:val="28"/>
                <w:highlight w:val="none"/>
                <w:u w:val="single"/>
              </w:rPr>
            </w:pPr>
            <w:r>
              <w:rPr>
                <w:rFonts w:hint="eastAsia" w:ascii="Times New Roman" w:hAnsi="Times New Roman"/>
                <w:bCs/>
                <w:color w:val="auto"/>
                <w:sz w:val="24"/>
                <w:szCs w:val="28"/>
                <w:highlight w:val="none"/>
              </w:rPr>
              <w:t>投标报价：（大写）</w:t>
            </w:r>
            <w:r>
              <w:rPr>
                <w:rFonts w:hint="eastAsia" w:ascii="Times New Roman" w:hAnsi="Times New Roman"/>
                <w:bCs/>
                <w:color w:val="auto"/>
                <w:sz w:val="24"/>
                <w:szCs w:val="28"/>
                <w:highlight w:val="none"/>
                <w:u w:val="single"/>
              </w:rPr>
              <w:t xml:space="preserve">              </w:t>
            </w:r>
          </w:p>
          <w:p w14:paraId="68327F22">
            <w:pPr>
              <w:spacing w:line="360" w:lineRule="auto"/>
              <w:ind w:firstLine="1200" w:firstLineChars="500"/>
              <w:jc w:val="left"/>
              <w:rPr>
                <w:rFonts w:ascii="Times New Roman" w:hAnsi="Times New Roman"/>
                <w:bCs/>
                <w:color w:val="auto"/>
                <w:sz w:val="24"/>
                <w:szCs w:val="28"/>
                <w:highlight w:val="none"/>
              </w:rPr>
            </w:pPr>
            <w:r>
              <w:rPr>
                <w:rFonts w:hint="eastAsia" w:ascii="Times New Roman" w:hAnsi="Times New Roman"/>
                <w:bCs/>
                <w:color w:val="auto"/>
                <w:sz w:val="24"/>
                <w:szCs w:val="28"/>
                <w:highlight w:val="none"/>
              </w:rPr>
              <w:t xml:space="preserve">（小写）¥ </w:t>
            </w:r>
            <w:r>
              <w:rPr>
                <w:rFonts w:hint="eastAsia" w:ascii="Times New Roman" w:hAnsi="Times New Roman"/>
                <w:bCs/>
                <w:color w:val="auto"/>
                <w:sz w:val="24"/>
                <w:szCs w:val="28"/>
                <w:highlight w:val="none"/>
                <w:u w:val="single"/>
              </w:rPr>
              <w:t xml:space="preserve">              </w:t>
            </w:r>
          </w:p>
        </w:tc>
      </w:tr>
      <w:tr w14:paraId="0C7F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76F3CC36">
            <w:pPr>
              <w:spacing w:line="360" w:lineRule="auto"/>
              <w:jc w:val="center"/>
              <w:rPr>
                <w:rFonts w:ascii="Times New Roman" w:hAnsi="Times New Roman"/>
                <w:bCs/>
                <w:color w:val="auto"/>
                <w:sz w:val="24"/>
                <w:szCs w:val="28"/>
                <w:highlight w:val="none"/>
              </w:rPr>
            </w:pPr>
            <w:r>
              <w:rPr>
                <w:rFonts w:hint="eastAsia" w:ascii="Times New Roman" w:hAnsi="Times New Roman"/>
                <w:bCs/>
                <w:color w:val="auto"/>
                <w:sz w:val="24"/>
                <w:szCs w:val="28"/>
                <w:highlight w:val="none"/>
              </w:rPr>
              <w:t>6</w:t>
            </w:r>
          </w:p>
        </w:tc>
        <w:tc>
          <w:tcPr>
            <w:tcW w:w="2456" w:type="dxa"/>
            <w:tcBorders>
              <w:top w:val="single" w:color="auto" w:sz="4" w:space="0"/>
              <w:left w:val="single" w:color="auto" w:sz="4" w:space="0"/>
              <w:bottom w:val="single" w:color="auto" w:sz="4" w:space="0"/>
              <w:right w:val="single" w:color="auto" w:sz="4" w:space="0"/>
            </w:tcBorders>
            <w:vAlign w:val="center"/>
          </w:tcPr>
          <w:p w14:paraId="0DB025D2">
            <w:pPr>
              <w:spacing w:line="360" w:lineRule="auto"/>
              <w:jc w:val="center"/>
              <w:rPr>
                <w:rFonts w:ascii="Times New Roman" w:hAnsi="Times New Roman"/>
                <w:bCs/>
                <w:color w:val="auto"/>
                <w:sz w:val="24"/>
                <w:szCs w:val="28"/>
                <w:highlight w:val="none"/>
              </w:rPr>
            </w:pPr>
            <w:r>
              <w:rPr>
                <w:rFonts w:hint="eastAsia" w:ascii="Times New Roman" w:hAnsi="Times New Roman"/>
                <w:bCs/>
                <w:color w:val="auto"/>
                <w:sz w:val="24"/>
                <w:szCs w:val="28"/>
                <w:highlight w:val="none"/>
              </w:rPr>
              <w:t>投标有效期</w:t>
            </w:r>
          </w:p>
        </w:tc>
        <w:tc>
          <w:tcPr>
            <w:tcW w:w="5228" w:type="dxa"/>
            <w:tcBorders>
              <w:top w:val="single" w:color="auto" w:sz="4" w:space="0"/>
              <w:left w:val="single" w:color="auto" w:sz="4" w:space="0"/>
              <w:bottom w:val="single" w:color="auto" w:sz="4" w:space="0"/>
              <w:right w:val="single" w:color="auto" w:sz="4" w:space="0"/>
            </w:tcBorders>
            <w:vAlign w:val="center"/>
          </w:tcPr>
          <w:p w14:paraId="756E3FF9">
            <w:pPr>
              <w:spacing w:line="360" w:lineRule="auto"/>
              <w:jc w:val="left"/>
              <w:rPr>
                <w:rFonts w:ascii="Times New Roman" w:hAnsi="Times New Roman"/>
                <w:bCs/>
                <w:color w:val="auto"/>
                <w:sz w:val="24"/>
                <w:szCs w:val="28"/>
                <w:highlight w:val="none"/>
              </w:rPr>
            </w:pPr>
            <w:r>
              <w:rPr>
                <w:rFonts w:hint="eastAsia" w:ascii="Times New Roman" w:hAnsi="Times New Roman"/>
                <w:bCs/>
                <w:color w:val="auto"/>
                <w:sz w:val="24"/>
                <w:szCs w:val="28"/>
                <w:highlight w:val="none"/>
              </w:rPr>
              <w:t>90日历天（从投标截止之日算起）</w:t>
            </w:r>
          </w:p>
        </w:tc>
      </w:tr>
      <w:tr w14:paraId="6F56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0E4B8B5F">
            <w:pPr>
              <w:spacing w:line="360" w:lineRule="auto"/>
              <w:jc w:val="center"/>
              <w:rPr>
                <w:rFonts w:ascii="Times New Roman" w:hAnsi="Times New Roman"/>
                <w:bCs/>
                <w:color w:val="auto"/>
                <w:sz w:val="24"/>
                <w:szCs w:val="28"/>
                <w:highlight w:val="none"/>
              </w:rPr>
            </w:pPr>
            <w:r>
              <w:rPr>
                <w:rFonts w:hint="eastAsia" w:ascii="Times New Roman" w:hAnsi="Times New Roman"/>
                <w:bCs/>
                <w:color w:val="auto"/>
                <w:sz w:val="24"/>
                <w:szCs w:val="28"/>
                <w:highlight w:val="none"/>
              </w:rPr>
              <w:t>7</w:t>
            </w:r>
          </w:p>
        </w:tc>
        <w:tc>
          <w:tcPr>
            <w:tcW w:w="2456" w:type="dxa"/>
            <w:tcBorders>
              <w:top w:val="single" w:color="auto" w:sz="4" w:space="0"/>
              <w:left w:val="single" w:color="auto" w:sz="4" w:space="0"/>
              <w:bottom w:val="single" w:color="auto" w:sz="4" w:space="0"/>
              <w:right w:val="single" w:color="auto" w:sz="4" w:space="0"/>
            </w:tcBorders>
            <w:vAlign w:val="center"/>
          </w:tcPr>
          <w:p w14:paraId="130C0B8C">
            <w:pPr>
              <w:spacing w:line="360" w:lineRule="auto"/>
              <w:jc w:val="center"/>
              <w:rPr>
                <w:rFonts w:ascii="Times New Roman" w:hAnsi="Times New Roman"/>
                <w:bCs/>
                <w:color w:val="auto"/>
                <w:sz w:val="24"/>
                <w:szCs w:val="28"/>
                <w:highlight w:val="none"/>
              </w:rPr>
            </w:pPr>
            <w:r>
              <w:rPr>
                <w:rFonts w:hint="eastAsia" w:ascii="Times New Roman" w:hAnsi="Times New Roman"/>
                <w:bCs/>
                <w:color w:val="auto"/>
                <w:sz w:val="24"/>
                <w:szCs w:val="28"/>
                <w:highlight w:val="none"/>
              </w:rPr>
              <w:t>法 人 营 业</w:t>
            </w:r>
          </w:p>
          <w:p w14:paraId="6863F8A0">
            <w:pPr>
              <w:spacing w:line="360" w:lineRule="auto"/>
              <w:jc w:val="center"/>
              <w:rPr>
                <w:rFonts w:ascii="Times New Roman" w:hAnsi="Times New Roman"/>
                <w:bCs/>
                <w:color w:val="auto"/>
                <w:sz w:val="24"/>
                <w:szCs w:val="28"/>
                <w:highlight w:val="none"/>
              </w:rPr>
            </w:pPr>
            <w:r>
              <w:rPr>
                <w:rFonts w:hint="eastAsia" w:ascii="Times New Roman" w:hAnsi="Times New Roman"/>
                <w:bCs/>
                <w:color w:val="auto"/>
                <w:sz w:val="24"/>
                <w:szCs w:val="28"/>
                <w:highlight w:val="none"/>
              </w:rPr>
              <w:t>执 照 证 号</w:t>
            </w:r>
          </w:p>
        </w:tc>
        <w:tc>
          <w:tcPr>
            <w:tcW w:w="5228" w:type="dxa"/>
            <w:tcBorders>
              <w:top w:val="single" w:color="auto" w:sz="4" w:space="0"/>
              <w:left w:val="single" w:color="auto" w:sz="4" w:space="0"/>
              <w:bottom w:val="single" w:color="auto" w:sz="4" w:space="0"/>
              <w:right w:val="single" w:color="auto" w:sz="4" w:space="0"/>
            </w:tcBorders>
            <w:vAlign w:val="center"/>
          </w:tcPr>
          <w:p w14:paraId="6F727D17">
            <w:pPr>
              <w:spacing w:line="360" w:lineRule="auto"/>
              <w:rPr>
                <w:rFonts w:ascii="Times New Roman" w:hAnsi="Times New Roman"/>
                <w:bCs/>
                <w:color w:val="auto"/>
                <w:sz w:val="24"/>
                <w:szCs w:val="28"/>
                <w:highlight w:val="none"/>
              </w:rPr>
            </w:pPr>
          </w:p>
        </w:tc>
      </w:tr>
    </w:tbl>
    <w:p w14:paraId="5620B609">
      <w:pPr>
        <w:spacing w:line="440" w:lineRule="exact"/>
        <w:ind w:firstLine="2520" w:firstLineChars="1200"/>
        <w:jc w:val="left"/>
        <w:rPr>
          <w:rFonts w:ascii="Times New Roman" w:hAnsi="Times New Roman"/>
          <w:color w:val="auto"/>
          <w:szCs w:val="21"/>
          <w:highlight w:val="none"/>
        </w:rPr>
      </w:pPr>
    </w:p>
    <w:p w14:paraId="56E331AF">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投 标 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（盖单位章）</w:t>
      </w:r>
    </w:p>
    <w:p w14:paraId="5D6527CD">
      <w:pPr>
        <w:spacing w:line="440" w:lineRule="exact"/>
        <w:jc w:val="left"/>
        <w:rPr>
          <w:rFonts w:ascii="Times New Roman" w:hAnsi="Times New Roman"/>
          <w:color w:val="auto"/>
          <w:szCs w:val="21"/>
          <w:highlight w:val="none"/>
        </w:rPr>
      </w:pPr>
      <w:r>
        <w:rPr>
          <w:rFonts w:ascii="Times New Roman" w:hAnsi="Times New Roman"/>
          <w:color w:val="auto"/>
          <w:highlight w:val="none"/>
        </w:rPr>
        <w:t xml:space="preserve">                        法定代表人</w:t>
      </w:r>
      <w:r>
        <w:rPr>
          <w:rFonts w:ascii="Times New Roman" w:hAnsi="Times New Roman"/>
          <w:color w:val="auto"/>
          <w:szCs w:val="21"/>
          <w:highlight w:val="none"/>
        </w:rPr>
        <w:t>或其委托代理人：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（签字</w:t>
      </w:r>
      <w:r>
        <w:rPr>
          <w:rFonts w:hint="eastAsia" w:ascii="Times New Roman" w:hAnsi="Times New Roman"/>
          <w:color w:val="auto"/>
          <w:szCs w:val="21"/>
          <w:highlight w:val="none"/>
        </w:rPr>
        <w:t>或盖章</w:t>
      </w:r>
      <w:r>
        <w:rPr>
          <w:rFonts w:ascii="Times New Roman" w:hAnsi="Times New Roman"/>
          <w:color w:val="auto"/>
          <w:szCs w:val="21"/>
          <w:highlight w:val="none"/>
        </w:rPr>
        <w:t>）</w:t>
      </w:r>
    </w:p>
    <w:p w14:paraId="7220994B">
      <w:pPr>
        <w:spacing w:line="440" w:lineRule="exact"/>
        <w:ind w:firstLine="4725" w:firstLineChars="2250"/>
        <w:jc w:val="right"/>
        <w:rPr>
          <w:rFonts w:ascii="Times New Roman" w:hAnsi="Times New Roman"/>
          <w:color w:val="auto"/>
          <w:szCs w:val="21"/>
          <w:highlight w:val="none"/>
        </w:rPr>
      </w:pPr>
      <w:r>
        <w:rPr>
          <w:rFonts w:ascii="Times New Roman" w:hAnsi="Times New Roman"/>
          <w:color w:val="auto"/>
          <w:highlight w:val="none"/>
          <w:u w:val="single"/>
        </w:rPr>
        <w:t xml:space="preserve">      </w:t>
      </w:r>
      <w:r>
        <w:rPr>
          <w:rFonts w:ascii="Times New Roman" w:hAnsi="Times New Roman"/>
          <w:color w:val="auto"/>
          <w:szCs w:val="21"/>
          <w:highlight w:val="none"/>
        </w:rPr>
        <w:t>年</w:t>
      </w:r>
      <w:r>
        <w:rPr>
          <w:rFonts w:ascii="Times New Roman" w:hAnsi="Times New Roman"/>
          <w:color w:val="auto"/>
          <w:highlight w:val="none"/>
          <w:u w:val="single"/>
        </w:rPr>
        <w:t xml:space="preserve">      </w:t>
      </w:r>
      <w:r>
        <w:rPr>
          <w:rFonts w:ascii="Times New Roman" w:hAnsi="Times New Roman"/>
          <w:color w:val="auto"/>
          <w:szCs w:val="21"/>
          <w:highlight w:val="none"/>
        </w:rPr>
        <w:t>月</w:t>
      </w:r>
      <w:r>
        <w:rPr>
          <w:rFonts w:ascii="Times New Roman" w:hAnsi="Times New Roman"/>
          <w:color w:val="auto"/>
          <w:highlight w:val="none"/>
          <w:u w:val="single"/>
        </w:rPr>
        <w:t xml:space="preserve">      </w:t>
      </w:r>
      <w:r>
        <w:rPr>
          <w:rFonts w:ascii="Times New Roman" w:hAnsi="Times New Roman"/>
          <w:color w:val="auto"/>
          <w:szCs w:val="21"/>
          <w:highlight w:val="none"/>
        </w:rPr>
        <w:t>日</w:t>
      </w:r>
    </w:p>
    <w:p w14:paraId="0D24BED2">
      <w:pPr>
        <w:pStyle w:val="11"/>
        <w:rPr>
          <w:rFonts w:ascii="Times New Roman" w:hAnsi="Times New Roman"/>
          <w:color w:val="auto"/>
          <w:szCs w:val="21"/>
          <w:highlight w:val="none"/>
        </w:rPr>
      </w:pPr>
    </w:p>
    <w:p w14:paraId="2120076B">
      <w:pPr>
        <w:rPr>
          <w:rFonts w:ascii="Times New Roman" w:hAnsi="Times New Roman"/>
          <w:color w:val="auto"/>
          <w:szCs w:val="21"/>
          <w:highlight w:val="none"/>
        </w:rPr>
      </w:pPr>
    </w:p>
    <w:p w14:paraId="0765C797">
      <w:pPr>
        <w:pStyle w:val="11"/>
        <w:rPr>
          <w:rFonts w:ascii="Times New Roman" w:hAnsi="Times New Roman"/>
          <w:color w:val="auto"/>
          <w:szCs w:val="21"/>
          <w:highlight w:val="none"/>
        </w:rPr>
      </w:pPr>
    </w:p>
    <w:p w14:paraId="550D1CF8">
      <w:pPr>
        <w:rPr>
          <w:rFonts w:ascii="Times New Roman" w:hAnsi="Times New Roman"/>
          <w:color w:val="auto"/>
          <w:szCs w:val="21"/>
          <w:highlight w:val="none"/>
        </w:rPr>
      </w:pPr>
    </w:p>
    <w:p w14:paraId="0FEFBCE7">
      <w:pPr>
        <w:pStyle w:val="11"/>
        <w:rPr>
          <w:rFonts w:ascii="Times New Roman" w:hAnsi="Times New Roman"/>
          <w:color w:val="auto"/>
          <w:szCs w:val="21"/>
          <w:highlight w:val="none"/>
        </w:rPr>
      </w:pPr>
    </w:p>
    <w:p w14:paraId="3F09564A">
      <w:pPr>
        <w:rPr>
          <w:color w:val="auto"/>
          <w:highlight w:val="none"/>
        </w:rPr>
      </w:pPr>
    </w:p>
    <w:p w14:paraId="04C06810">
      <w:pPr>
        <w:pStyle w:val="4"/>
        <w:keepNext w:val="0"/>
        <w:keepLines w:val="0"/>
        <w:jc w:val="center"/>
        <w:rPr>
          <w:rFonts w:ascii="Times New Roman" w:hAnsi="Times New Roman"/>
          <w:color w:val="auto"/>
          <w:highlight w:val="none"/>
        </w:rPr>
      </w:pPr>
    </w:p>
    <w:p w14:paraId="15973F44">
      <w:pPr>
        <w:rPr>
          <w:rFonts w:ascii="Times New Roman" w:hAnsi="Times New Roman"/>
          <w:color w:val="auto"/>
          <w:highlight w:val="none"/>
        </w:rPr>
      </w:pPr>
    </w:p>
    <w:p w14:paraId="35809772">
      <w:pPr>
        <w:pStyle w:val="9"/>
        <w:rPr>
          <w:rFonts w:ascii="Times New Roman" w:hAnsi="Times New Roman"/>
          <w:color w:val="auto"/>
          <w:highlight w:val="none"/>
        </w:rPr>
      </w:pPr>
    </w:p>
    <w:p w14:paraId="7E2F96F0">
      <w:pPr>
        <w:rPr>
          <w:rFonts w:ascii="Times New Roman" w:hAnsi="Times New Roman"/>
          <w:color w:val="auto"/>
          <w:highlight w:val="none"/>
        </w:rPr>
      </w:pPr>
    </w:p>
    <w:p w14:paraId="66A7AAD1">
      <w:pPr>
        <w:pStyle w:val="9"/>
        <w:rPr>
          <w:color w:val="auto"/>
          <w:highlight w:val="none"/>
        </w:rPr>
      </w:pPr>
    </w:p>
    <w:p w14:paraId="2B9BF25A">
      <w:pPr>
        <w:rPr>
          <w:rFonts w:ascii="Times New Roman" w:hAnsi="Times New Roman"/>
          <w:color w:val="auto"/>
          <w:highlight w:val="none"/>
        </w:rPr>
      </w:pPr>
      <w:bookmarkStart w:id="1053" w:name="_Toc24361"/>
      <w:bookmarkStart w:id="1054" w:name="_Toc6982"/>
      <w:bookmarkStart w:id="1055" w:name="_Toc12745"/>
      <w:r>
        <w:rPr>
          <w:rFonts w:ascii="Times New Roman" w:hAnsi="Times New Roman"/>
          <w:color w:val="auto"/>
          <w:highlight w:val="none"/>
        </w:rPr>
        <w:br w:type="page"/>
      </w:r>
    </w:p>
    <w:p w14:paraId="72CBDF1A">
      <w:pPr>
        <w:pStyle w:val="4"/>
        <w:keepNext w:val="0"/>
        <w:keepLines w:val="0"/>
        <w:jc w:val="center"/>
        <w:rPr>
          <w:rFonts w:ascii="Times New Roman" w:hAnsi="Times New Roman"/>
          <w:color w:val="auto"/>
          <w:sz w:val="20"/>
          <w:highlight w:val="none"/>
        </w:rPr>
      </w:pPr>
      <w:r>
        <w:rPr>
          <w:rFonts w:ascii="Times New Roman" w:hAnsi="Times New Roman"/>
          <w:color w:val="auto"/>
          <w:highlight w:val="none"/>
        </w:rPr>
        <w:t>二</w:t>
      </w:r>
      <w:bookmarkEnd w:id="1033"/>
      <w:bookmarkEnd w:id="1034"/>
      <w:bookmarkEnd w:id="1035"/>
      <w:bookmarkEnd w:id="1036"/>
      <w:bookmarkEnd w:id="1037"/>
      <w:bookmarkEnd w:id="1038"/>
      <w:bookmarkEnd w:id="1039"/>
      <w:bookmarkEnd w:id="1040"/>
      <w:bookmarkEnd w:id="1041"/>
      <w:bookmarkEnd w:id="1042"/>
      <w:bookmarkEnd w:id="1043"/>
      <w:r>
        <w:rPr>
          <w:rFonts w:ascii="Times New Roman" w:hAnsi="Times New Roman"/>
          <w:color w:val="auto"/>
          <w:highlight w:val="none"/>
        </w:rPr>
        <w:t>、法定代表人身份证明</w:t>
      </w:r>
      <w:r>
        <w:rPr>
          <w:rFonts w:hint="eastAsia" w:ascii="Times New Roman" w:hAnsi="Times New Roman"/>
          <w:color w:val="auto"/>
          <w:highlight w:val="none"/>
          <w:lang w:eastAsia="zh-CN"/>
        </w:rPr>
        <w:t>、</w:t>
      </w:r>
      <w:r>
        <w:rPr>
          <w:rFonts w:hint="eastAsia" w:ascii="Times New Roman" w:hAnsi="Times New Roman"/>
          <w:color w:val="auto"/>
          <w:highlight w:val="none"/>
        </w:rPr>
        <w:t>授权委托书（格式可自定）</w:t>
      </w:r>
      <w:bookmarkEnd w:id="1053"/>
      <w:bookmarkEnd w:id="1054"/>
      <w:bookmarkEnd w:id="1055"/>
    </w:p>
    <w:p w14:paraId="418D3E36">
      <w:pPr>
        <w:spacing w:line="440" w:lineRule="exact"/>
        <w:jc w:val="center"/>
        <w:rPr>
          <w:rFonts w:ascii="宋体" w:hAnsi="宋体"/>
          <w:b/>
          <w:color w:val="auto"/>
          <w:sz w:val="28"/>
          <w:szCs w:val="28"/>
          <w:highlight w:val="none"/>
        </w:rPr>
      </w:pPr>
    </w:p>
    <w:p w14:paraId="710C7D26">
      <w:pPr>
        <w:spacing w:line="440" w:lineRule="exact"/>
        <w:jc w:val="center"/>
        <w:rPr>
          <w:rFonts w:ascii="宋体" w:hAnsi="宋体"/>
          <w:b/>
          <w:color w:val="auto"/>
          <w:sz w:val="28"/>
          <w:szCs w:val="28"/>
          <w:highlight w:val="none"/>
        </w:rPr>
      </w:pPr>
      <w:r>
        <w:rPr>
          <w:rFonts w:hint="eastAsia" w:ascii="宋体" w:hAnsi="宋体"/>
          <w:b/>
          <w:color w:val="auto"/>
          <w:sz w:val="28"/>
          <w:szCs w:val="28"/>
          <w:highlight w:val="none"/>
        </w:rPr>
        <w:t>法定代表人身份证明</w:t>
      </w:r>
    </w:p>
    <w:p w14:paraId="2E90C7D4">
      <w:pPr>
        <w:pStyle w:val="15"/>
        <w:rPr>
          <w:color w:val="auto"/>
          <w:highlight w:val="none"/>
        </w:rPr>
      </w:pPr>
    </w:p>
    <w:p w14:paraId="1A53438D">
      <w:pPr>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投标人名称：</w:t>
      </w:r>
      <w:r>
        <w:rPr>
          <w:rFonts w:ascii="Times New Roman" w:hAnsi="Times New Roman"/>
          <w:color w:val="auto"/>
          <w:sz w:val="24"/>
          <w:szCs w:val="24"/>
          <w:highlight w:val="none"/>
          <w:u w:val="single"/>
        </w:rPr>
        <w:t xml:space="preserve">                        </w:t>
      </w:r>
    </w:p>
    <w:p w14:paraId="43FE07AD">
      <w:pPr>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姓名：</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性别：</w:t>
      </w:r>
      <w:bookmarkStart w:id="1056" w:name="_Toc27897"/>
      <w:bookmarkStart w:id="1057" w:name="_Toc369531698"/>
      <w:bookmarkStart w:id="1058" w:name="_Toc352691662"/>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年</w:t>
      </w:r>
      <w:bookmarkEnd w:id="1056"/>
      <w:bookmarkEnd w:id="1057"/>
      <w:bookmarkEnd w:id="1058"/>
      <w:r>
        <w:rPr>
          <w:rFonts w:ascii="Times New Roman" w:hAnsi="Times New Roman"/>
          <w:color w:val="auto"/>
          <w:sz w:val="24"/>
          <w:szCs w:val="24"/>
          <w:highlight w:val="none"/>
        </w:rPr>
        <w:t>龄</w:t>
      </w:r>
      <w:bookmarkStart w:id="1059" w:name="_Toc369531699"/>
      <w:bookmarkStart w:id="1060" w:name="_Toc361508754"/>
      <w:bookmarkStart w:id="1061" w:name="_Toc384308377"/>
      <w:bookmarkStart w:id="1062" w:name="_Toc300835211"/>
      <w:bookmarkStart w:id="1063" w:name="_Toc352691663"/>
      <w:bookmarkStart w:id="1064" w:name="_Toc144974858"/>
      <w:bookmarkStart w:id="1065" w:name="_Toc152042578"/>
      <w:bookmarkStart w:id="1066" w:name="_Toc247514248"/>
      <w:bookmarkStart w:id="1067" w:name="_Toc15573"/>
      <w:bookmarkStart w:id="1068" w:name="_Toc247527829"/>
      <w:bookmarkStart w:id="1069" w:name="_Toc152045789"/>
      <w:r>
        <w:rPr>
          <w:rFonts w:ascii="Times New Roman" w:hAnsi="Times New Roman"/>
          <w:color w:val="auto"/>
          <w:sz w:val="24"/>
          <w:szCs w:val="24"/>
          <w:highlight w:val="none"/>
        </w:rPr>
        <w:t>：</w:t>
      </w:r>
      <w:bookmarkEnd w:id="1059"/>
      <w:bookmarkEnd w:id="1060"/>
      <w:bookmarkEnd w:id="1061"/>
      <w:bookmarkEnd w:id="1062"/>
      <w:bookmarkEnd w:id="1063"/>
      <w:bookmarkEnd w:id="1064"/>
      <w:bookmarkEnd w:id="1065"/>
      <w:bookmarkEnd w:id="1066"/>
      <w:bookmarkEnd w:id="1067"/>
      <w:bookmarkEnd w:id="1068"/>
      <w:bookmarkEnd w:id="1069"/>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职务：</w:t>
      </w:r>
      <w:r>
        <w:rPr>
          <w:rFonts w:ascii="Times New Roman" w:hAnsi="Times New Roman"/>
          <w:color w:val="auto"/>
          <w:sz w:val="24"/>
          <w:szCs w:val="24"/>
          <w:highlight w:val="none"/>
          <w:u w:val="single"/>
        </w:rPr>
        <w:t xml:space="preserve">        </w:t>
      </w:r>
    </w:p>
    <w:p w14:paraId="3CB673F8">
      <w:pPr>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系</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（投标人名称）的法定代表人。</w:t>
      </w:r>
    </w:p>
    <w:p w14:paraId="54874612">
      <w:pPr>
        <w:spacing w:line="44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特此证明。</w:t>
      </w:r>
    </w:p>
    <w:p w14:paraId="2ED1DC24">
      <w:pPr>
        <w:spacing w:line="440" w:lineRule="exact"/>
        <w:rPr>
          <w:rFonts w:ascii="Times New Roman" w:hAnsi="Times New Roman"/>
          <w:color w:val="auto"/>
          <w:sz w:val="24"/>
          <w:szCs w:val="24"/>
          <w:highlight w:val="none"/>
        </w:rPr>
      </w:pPr>
    </w:p>
    <w:p w14:paraId="38F35634">
      <w:pPr>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附：法定代表人身份证</w:t>
      </w:r>
      <w:r>
        <w:rPr>
          <w:rFonts w:hint="eastAsia" w:ascii="Times New Roman" w:hAnsi="Times New Roman"/>
          <w:color w:val="auto"/>
          <w:sz w:val="24"/>
          <w:szCs w:val="24"/>
          <w:highlight w:val="none"/>
        </w:rPr>
        <w:t>扫描件</w:t>
      </w:r>
      <w:r>
        <w:rPr>
          <w:rFonts w:ascii="Times New Roman" w:hAnsi="Times New Roman"/>
          <w:color w:val="auto"/>
          <w:sz w:val="24"/>
          <w:szCs w:val="24"/>
          <w:highlight w:val="none"/>
        </w:rPr>
        <w:t>。</w:t>
      </w:r>
    </w:p>
    <w:p w14:paraId="6C54B4F4">
      <w:pPr>
        <w:spacing w:line="440" w:lineRule="exact"/>
        <w:rPr>
          <w:rFonts w:ascii="Times New Roman" w:hAnsi="Times New Roman"/>
          <w:color w:val="auto"/>
          <w:sz w:val="24"/>
          <w:szCs w:val="24"/>
          <w:highlight w:val="none"/>
        </w:rPr>
      </w:pPr>
    </w:p>
    <w:p w14:paraId="737E99E5">
      <w:pPr>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注：本身份证明需由投标人加盖单位公章。</w:t>
      </w:r>
    </w:p>
    <w:p w14:paraId="145488F4">
      <w:pPr>
        <w:spacing w:line="440" w:lineRule="exact"/>
        <w:rPr>
          <w:rFonts w:ascii="Times New Roman" w:hAnsi="Times New Roman"/>
          <w:color w:val="auto"/>
          <w:sz w:val="24"/>
          <w:szCs w:val="24"/>
          <w:highlight w:val="none"/>
        </w:rPr>
      </w:pPr>
    </w:p>
    <w:p w14:paraId="3CA1DF51">
      <w:pPr>
        <w:spacing w:line="440" w:lineRule="exact"/>
        <w:rPr>
          <w:rFonts w:ascii="Times New Roman" w:hAnsi="Times New Roman"/>
          <w:color w:val="auto"/>
          <w:sz w:val="24"/>
          <w:szCs w:val="24"/>
          <w:highlight w:val="none"/>
        </w:rPr>
      </w:pPr>
    </w:p>
    <w:p w14:paraId="56F575F3">
      <w:pPr>
        <w:spacing w:line="44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 xml:space="preserve">                              投标人</w:t>
      </w:r>
      <w:r>
        <w:rPr>
          <w:rFonts w:hint="eastAsia" w:ascii="Times New Roman" w:hAnsi="Times New Roman"/>
          <w:color w:val="auto"/>
          <w:sz w:val="24"/>
          <w:szCs w:val="24"/>
          <w:highlight w:val="none"/>
        </w:rPr>
        <w:t>名称</w:t>
      </w:r>
      <w:r>
        <w:rPr>
          <w:rFonts w:ascii="Times New Roman" w:hAnsi="Times New Roman"/>
          <w:color w:val="auto"/>
          <w:sz w:val="24"/>
          <w:szCs w:val="24"/>
          <w:highlight w:val="none"/>
        </w:rPr>
        <w:t>：</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ab/>
      </w:r>
      <w:r>
        <w:rPr>
          <w:rFonts w:ascii="Times New Roman" w:hAnsi="Times New Roman"/>
          <w:color w:val="auto"/>
          <w:sz w:val="24"/>
          <w:szCs w:val="24"/>
          <w:highlight w:val="none"/>
        </w:rPr>
        <w:t>（</w:t>
      </w:r>
      <w:r>
        <w:rPr>
          <w:rFonts w:hint="eastAsia" w:ascii="Times New Roman" w:hAnsi="Times New Roman"/>
          <w:color w:val="auto"/>
          <w:sz w:val="24"/>
          <w:szCs w:val="24"/>
          <w:highlight w:val="none"/>
        </w:rPr>
        <w:t>盖</w:t>
      </w:r>
      <w:r>
        <w:rPr>
          <w:rFonts w:ascii="Times New Roman" w:hAnsi="Times New Roman"/>
          <w:color w:val="auto"/>
          <w:sz w:val="24"/>
          <w:szCs w:val="24"/>
          <w:highlight w:val="none"/>
        </w:rPr>
        <w:t>单位</w:t>
      </w:r>
      <w:r>
        <w:rPr>
          <w:rFonts w:hint="eastAsia" w:ascii="Times New Roman" w:hAnsi="Times New Roman"/>
          <w:color w:val="auto"/>
          <w:sz w:val="24"/>
          <w:szCs w:val="24"/>
          <w:highlight w:val="none"/>
        </w:rPr>
        <w:t>章</w:t>
      </w:r>
      <w:r>
        <w:rPr>
          <w:rFonts w:ascii="Times New Roman" w:hAnsi="Times New Roman"/>
          <w:color w:val="auto"/>
          <w:sz w:val="24"/>
          <w:szCs w:val="24"/>
          <w:highlight w:val="none"/>
        </w:rPr>
        <w:t>）</w:t>
      </w:r>
    </w:p>
    <w:p w14:paraId="22D018D3">
      <w:pPr>
        <w:spacing w:line="440" w:lineRule="exact"/>
        <w:rPr>
          <w:rFonts w:ascii="Times New Roman" w:hAnsi="Times New Roman"/>
          <w:color w:val="auto"/>
          <w:sz w:val="24"/>
          <w:szCs w:val="24"/>
          <w:highlight w:val="none"/>
        </w:rPr>
      </w:pPr>
    </w:p>
    <w:p w14:paraId="3E023F52">
      <w:pPr>
        <w:spacing w:line="440" w:lineRule="exact"/>
        <w:ind w:firstLine="5280" w:firstLineChars="2200"/>
        <w:rPr>
          <w:rFonts w:ascii="Times New Roman" w:hAnsi="Times New Roman"/>
          <w:color w:val="auto"/>
          <w:sz w:val="24"/>
          <w:szCs w:val="24"/>
          <w:highlight w:val="none"/>
        </w:rPr>
      </w:pP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年</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月</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日</w:t>
      </w:r>
    </w:p>
    <w:p w14:paraId="71785F40">
      <w:pPr>
        <w:spacing w:line="440" w:lineRule="exact"/>
        <w:rPr>
          <w:rFonts w:ascii="Times New Roman" w:hAnsi="Times New Roman" w:eastAsia="黑体"/>
          <w:color w:val="auto"/>
          <w:sz w:val="24"/>
          <w:szCs w:val="24"/>
          <w:highlight w:val="none"/>
        </w:rPr>
      </w:pPr>
    </w:p>
    <w:p w14:paraId="1823B3A4">
      <w:pPr>
        <w:pStyle w:val="21"/>
        <w:rPr>
          <w:color w:val="auto"/>
          <w:highlight w:val="none"/>
        </w:rPr>
      </w:pPr>
    </w:p>
    <w:p w14:paraId="363CAA34">
      <w:pPr>
        <w:spacing w:line="440" w:lineRule="exact"/>
        <w:rPr>
          <w:rFonts w:ascii="Times New Roman" w:hAnsi="Times New Roman" w:eastAsia="黑体"/>
          <w:color w:val="auto"/>
          <w:sz w:val="20"/>
          <w:highlight w:val="none"/>
        </w:rPr>
      </w:pPr>
    </w:p>
    <w:p w14:paraId="43E5407F">
      <w:pPr>
        <w:spacing w:line="440" w:lineRule="exact"/>
        <w:rPr>
          <w:rFonts w:ascii="Times New Roman" w:hAnsi="Times New Roman" w:eastAsia="黑体"/>
          <w:color w:val="auto"/>
          <w:sz w:val="20"/>
          <w:highlight w:val="none"/>
        </w:rPr>
      </w:pPr>
    </w:p>
    <w:p w14:paraId="11A5FA5C">
      <w:pPr>
        <w:spacing w:line="440" w:lineRule="exact"/>
        <w:rPr>
          <w:rFonts w:ascii="Times New Roman" w:hAnsi="Times New Roman" w:eastAsia="黑体"/>
          <w:color w:val="auto"/>
          <w:sz w:val="20"/>
          <w:highlight w:val="none"/>
        </w:rPr>
      </w:pPr>
    </w:p>
    <w:p w14:paraId="1E4D9A37">
      <w:pPr>
        <w:pStyle w:val="4"/>
        <w:keepNext w:val="0"/>
        <w:keepLines w:val="0"/>
        <w:jc w:val="center"/>
        <w:rPr>
          <w:rFonts w:ascii="宋体" w:hAnsi="宋体" w:eastAsia="宋体"/>
          <w:color w:val="auto"/>
          <w:sz w:val="28"/>
          <w:szCs w:val="28"/>
          <w:highlight w:val="none"/>
        </w:rPr>
      </w:pPr>
      <w:r>
        <w:rPr>
          <w:rFonts w:ascii="Times New Roman" w:hAnsi="Times New Roman"/>
          <w:color w:val="auto"/>
          <w:highlight w:val="none"/>
        </w:rPr>
        <w:br w:type="page"/>
      </w:r>
      <w:bookmarkStart w:id="1070" w:name="_Toc24470"/>
      <w:bookmarkStart w:id="1071" w:name="_Toc19566"/>
      <w:bookmarkStart w:id="1072" w:name="_Toc31291"/>
      <w:bookmarkStart w:id="1073" w:name="_Toc13653"/>
      <w:bookmarkStart w:id="1074" w:name="_Toc30395"/>
      <w:r>
        <w:rPr>
          <w:rFonts w:hint="eastAsia" w:ascii="宋体" w:hAnsi="宋体" w:eastAsia="宋体"/>
          <w:color w:val="auto"/>
          <w:sz w:val="28"/>
          <w:szCs w:val="28"/>
          <w:highlight w:val="none"/>
        </w:rPr>
        <w:t>授权委托书</w:t>
      </w:r>
      <w:bookmarkEnd w:id="1070"/>
      <w:bookmarkEnd w:id="1071"/>
      <w:bookmarkEnd w:id="1072"/>
      <w:bookmarkEnd w:id="1073"/>
      <w:bookmarkEnd w:id="1074"/>
    </w:p>
    <w:p w14:paraId="18E01634">
      <w:pPr>
        <w:topLinePunct/>
        <w:spacing w:line="440" w:lineRule="exact"/>
        <w:ind w:firstLine="420" w:firstLineChars="200"/>
        <w:rPr>
          <w:rFonts w:ascii="Times New Roman" w:hAnsi="Times New Roman"/>
          <w:color w:val="auto"/>
          <w:highlight w:val="none"/>
        </w:rPr>
      </w:pPr>
      <w:r>
        <w:rPr>
          <w:rFonts w:ascii="Times New Roman" w:hAnsi="Times New Roman"/>
          <w:color w:val="auto"/>
          <w:highlight w:val="none"/>
        </w:rPr>
        <w:t>本人</w:t>
      </w:r>
      <w:r>
        <w:rPr>
          <w:rFonts w:ascii="Times New Roman" w:hAnsi="Times New Roman"/>
          <w:color w:val="auto"/>
          <w:highlight w:val="none"/>
          <w:u w:val="single"/>
        </w:rPr>
        <w:t xml:space="preserve">              </w:t>
      </w:r>
      <w:r>
        <w:rPr>
          <w:rFonts w:ascii="Times New Roman" w:hAnsi="Times New Roman"/>
          <w:color w:val="auto"/>
          <w:highlight w:val="none"/>
        </w:rPr>
        <w:t>（姓名）系</w:t>
      </w:r>
      <w:r>
        <w:rPr>
          <w:rFonts w:ascii="Times New Roman" w:hAnsi="Times New Roman"/>
          <w:color w:val="auto"/>
          <w:highlight w:val="none"/>
          <w:u w:val="single"/>
        </w:rPr>
        <w:t xml:space="preserve">                    </w:t>
      </w:r>
      <w:r>
        <w:rPr>
          <w:rFonts w:ascii="Times New Roman" w:hAnsi="Times New Roman"/>
          <w:color w:val="auto"/>
          <w:highlight w:val="none"/>
        </w:rPr>
        <w:t>（投标人名称）的法定代表人，现委托</w:t>
      </w:r>
      <w:r>
        <w:rPr>
          <w:rFonts w:ascii="Times New Roman" w:hAnsi="Times New Roman"/>
          <w:color w:val="auto"/>
          <w:highlight w:val="none"/>
          <w:u w:val="single"/>
        </w:rPr>
        <w:t xml:space="preserve">            （姓名）</w:t>
      </w:r>
      <w:r>
        <w:rPr>
          <w:rFonts w:ascii="Times New Roman" w:hAnsi="Times New Roman"/>
          <w:color w:val="auto"/>
          <w:highlight w:val="none"/>
        </w:rPr>
        <w:t>为我方代理人。代理人根据授权，以我方名义签署、澄清确认、递交、撤回、修改</w:t>
      </w:r>
      <w:r>
        <w:rPr>
          <w:rFonts w:hint="eastAsia" w:ascii="Times New Roman" w:hAnsi="Times New Roman"/>
          <w:color w:val="auto"/>
          <w:highlight w:val="none"/>
          <w:lang w:val="en-US" w:eastAsia="zh-CN"/>
        </w:rPr>
        <w:t>本</w:t>
      </w:r>
      <w:r>
        <w:rPr>
          <w:rFonts w:ascii="Times New Roman" w:hAnsi="Times New Roman"/>
          <w:color w:val="auto"/>
          <w:highlight w:val="none"/>
        </w:rPr>
        <w:t>项目投标文件、签订合同和处理有关事宜，其法律后果由我方承担。</w:t>
      </w:r>
    </w:p>
    <w:p w14:paraId="67123F2F">
      <w:pPr>
        <w:spacing w:line="440" w:lineRule="exact"/>
        <w:rPr>
          <w:rFonts w:ascii="Times New Roman" w:hAnsi="Times New Roman"/>
          <w:color w:val="auto"/>
          <w:highlight w:val="none"/>
        </w:rPr>
      </w:pPr>
      <w:r>
        <w:rPr>
          <w:rFonts w:ascii="Times New Roman" w:hAnsi="Times New Roman"/>
          <w:color w:val="auto"/>
          <w:highlight w:val="none"/>
        </w:rPr>
        <w:t>委托期限：</w:t>
      </w:r>
      <w:r>
        <w:rPr>
          <w:rFonts w:ascii="Times New Roman" w:hAnsi="Times New Roman"/>
          <w:color w:val="auto"/>
          <w:highlight w:val="none"/>
          <w:u w:val="single"/>
        </w:rPr>
        <w:t xml:space="preserve">                       </w:t>
      </w:r>
      <w:r>
        <w:rPr>
          <w:rFonts w:ascii="Times New Roman" w:hAnsi="Times New Roman"/>
          <w:color w:val="auto"/>
          <w:highlight w:val="none"/>
        </w:rPr>
        <w:t>。</w:t>
      </w:r>
    </w:p>
    <w:p w14:paraId="60D853DE">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代理人无转委托权。</w:t>
      </w:r>
    </w:p>
    <w:p w14:paraId="2D9ACEA1">
      <w:pPr>
        <w:spacing w:line="440" w:lineRule="exact"/>
        <w:ind w:firstLine="420" w:firstLineChars="200"/>
        <w:rPr>
          <w:rFonts w:ascii="Times New Roman" w:hAnsi="Times New Roman"/>
          <w:color w:val="auto"/>
          <w:highlight w:val="none"/>
        </w:rPr>
      </w:pPr>
    </w:p>
    <w:p w14:paraId="7FC29943">
      <w:pPr>
        <w:spacing w:line="440" w:lineRule="exact"/>
        <w:rPr>
          <w:rFonts w:ascii="Times New Roman" w:hAnsi="Times New Roman"/>
          <w:color w:val="auto"/>
          <w:highlight w:val="none"/>
        </w:rPr>
      </w:pPr>
      <w:r>
        <w:rPr>
          <w:rFonts w:ascii="Times New Roman" w:hAnsi="Times New Roman"/>
          <w:color w:val="auto"/>
          <w:highlight w:val="none"/>
        </w:rPr>
        <w:t>附：法定代表人身份证</w:t>
      </w:r>
      <w:r>
        <w:rPr>
          <w:rFonts w:hint="eastAsia" w:ascii="Times New Roman" w:hAnsi="Times New Roman"/>
          <w:color w:val="auto"/>
          <w:highlight w:val="none"/>
        </w:rPr>
        <w:t>扫描件</w:t>
      </w:r>
      <w:r>
        <w:rPr>
          <w:rFonts w:ascii="Times New Roman" w:hAnsi="Times New Roman"/>
          <w:color w:val="auto"/>
          <w:highlight w:val="none"/>
        </w:rPr>
        <w:t>及委托代理人身份证</w:t>
      </w:r>
      <w:r>
        <w:rPr>
          <w:rFonts w:hint="eastAsia" w:ascii="Times New Roman" w:hAnsi="Times New Roman"/>
          <w:color w:val="auto"/>
          <w:highlight w:val="none"/>
        </w:rPr>
        <w:t>扫描件</w:t>
      </w:r>
    </w:p>
    <w:p w14:paraId="49163046">
      <w:pPr>
        <w:spacing w:line="440" w:lineRule="exact"/>
        <w:rPr>
          <w:rFonts w:ascii="Times New Roman" w:hAnsi="Times New Roman"/>
          <w:color w:val="auto"/>
          <w:highlight w:val="none"/>
        </w:rPr>
      </w:pPr>
    </w:p>
    <w:p w14:paraId="7BC6DE4D">
      <w:pPr>
        <w:spacing w:line="440" w:lineRule="exact"/>
        <w:rPr>
          <w:rFonts w:ascii="Times New Roman" w:hAnsi="Times New Roman"/>
          <w:color w:val="auto"/>
          <w:highlight w:val="none"/>
        </w:rPr>
      </w:pPr>
      <w:r>
        <w:rPr>
          <w:rFonts w:ascii="Times New Roman" w:hAnsi="Times New Roman"/>
          <w:color w:val="auto"/>
          <w:highlight w:val="none"/>
        </w:rPr>
        <w:t>注：本授权委托书需由投标人加盖单位公章并由其法定代表人和委托代理人签字。</w:t>
      </w:r>
    </w:p>
    <w:p w14:paraId="047A3DB8">
      <w:pPr>
        <w:spacing w:line="440" w:lineRule="exact"/>
        <w:rPr>
          <w:rFonts w:ascii="Times New Roman" w:hAnsi="Times New Roman"/>
          <w:color w:val="auto"/>
          <w:highlight w:val="none"/>
        </w:rPr>
      </w:pPr>
    </w:p>
    <w:p w14:paraId="1E18C63C">
      <w:pPr>
        <w:spacing w:line="440" w:lineRule="exact"/>
        <w:ind w:firstLine="2692" w:firstLineChars="1282"/>
        <w:rPr>
          <w:rFonts w:ascii="Times New Roman" w:hAnsi="Times New Roman"/>
          <w:color w:val="auto"/>
          <w:highlight w:val="none"/>
        </w:rPr>
      </w:pPr>
      <w:r>
        <w:rPr>
          <w:rFonts w:ascii="Times New Roman" w:hAnsi="Times New Roman"/>
          <w:color w:val="auto"/>
          <w:highlight w:val="none"/>
        </w:rPr>
        <w:t>投标人</w:t>
      </w:r>
      <w:r>
        <w:rPr>
          <w:rFonts w:hint="eastAsia" w:ascii="Times New Roman" w:hAnsi="Times New Roman"/>
          <w:color w:val="auto"/>
          <w:highlight w:val="none"/>
        </w:rPr>
        <w:t>名称</w:t>
      </w:r>
      <w:r>
        <w:rPr>
          <w:rFonts w:ascii="Times New Roman" w:hAnsi="Times New Roman"/>
          <w:color w:val="auto"/>
          <w:highlight w:val="none"/>
        </w:rPr>
        <w:t>：</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highlight w:val="none"/>
        </w:rPr>
        <w:t>（</w:t>
      </w:r>
      <w:r>
        <w:rPr>
          <w:rFonts w:hint="eastAsia" w:ascii="Times New Roman" w:hAnsi="Times New Roman"/>
          <w:color w:val="auto"/>
          <w:highlight w:val="none"/>
        </w:rPr>
        <w:t>盖</w:t>
      </w:r>
      <w:r>
        <w:rPr>
          <w:rFonts w:ascii="Times New Roman" w:hAnsi="Times New Roman"/>
          <w:color w:val="auto"/>
          <w:highlight w:val="none"/>
        </w:rPr>
        <w:t>单位</w:t>
      </w:r>
      <w:r>
        <w:rPr>
          <w:rFonts w:hint="eastAsia" w:ascii="Times New Roman" w:hAnsi="Times New Roman"/>
          <w:color w:val="auto"/>
          <w:highlight w:val="none"/>
        </w:rPr>
        <w:t>章</w:t>
      </w:r>
      <w:r>
        <w:rPr>
          <w:rFonts w:ascii="Times New Roman" w:hAnsi="Times New Roman"/>
          <w:color w:val="auto"/>
          <w:highlight w:val="none"/>
        </w:rPr>
        <w:t>）</w:t>
      </w:r>
    </w:p>
    <w:p w14:paraId="5E44A6E3">
      <w:pPr>
        <w:spacing w:line="440" w:lineRule="exact"/>
        <w:ind w:firstLine="2690" w:firstLineChars="1281"/>
        <w:jc w:val="left"/>
        <w:rPr>
          <w:rFonts w:ascii="Times New Roman" w:hAnsi="Times New Roman"/>
          <w:color w:val="auto"/>
          <w:highlight w:val="none"/>
        </w:rPr>
      </w:pPr>
      <w:r>
        <w:rPr>
          <w:rFonts w:ascii="Times New Roman" w:hAnsi="Times New Roman"/>
          <w:color w:val="auto"/>
          <w:highlight w:val="none"/>
        </w:rPr>
        <w:t>法定代表人：</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highlight w:val="none"/>
        </w:rPr>
        <w:t>（</w:t>
      </w:r>
      <w:r>
        <w:rPr>
          <w:rFonts w:ascii="Times New Roman" w:hAnsi="Times New Roman"/>
          <w:color w:val="auto"/>
          <w:szCs w:val="21"/>
          <w:highlight w:val="none"/>
        </w:rPr>
        <w:t>签字</w:t>
      </w:r>
      <w:r>
        <w:rPr>
          <w:rFonts w:hint="eastAsia" w:ascii="Times New Roman" w:hAnsi="Times New Roman"/>
          <w:color w:val="auto"/>
          <w:szCs w:val="21"/>
          <w:highlight w:val="none"/>
        </w:rPr>
        <w:t>或盖章</w:t>
      </w:r>
      <w:r>
        <w:rPr>
          <w:rFonts w:ascii="Times New Roman" w:hAnsi="Times New Roman"/>
          <w:color w:val="auto"/>
          <w:highlight w:val="none"/>
        </w:rPr>
        <w:t>）</w:t>
      </w:r>
    </w:p>
    <w:p w14:paraId="15BE7868">
      <w:pPr>
        <w:spacing w:line="440" w:lineRule="exact"/>
        <w:ind w:firstLine="2692" w:firstLineChars="1282"/>
        <w:rPr>
          <w:rFonts w:ascii="Times New Roman" w:hAnsi="Times New Roman"/>
          <w:color w:val="auto"/>
          <w:highlight w:val="none"/>
        </w:rPr>
      </w:pPr>
      <w:r>
        <w:rPr>
          <w:rFonts w:ascii="Times New Roman" w:hAnsi="Times New Roman"/>
          <w:color w:val="auto"/>
          <w:highlight w:val="none"/>
        </w:rPr>
        <w:t>身份证号码：</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14:paraId="3AC8C541">
      <w:pPr>
        <w:spacing w:line="440" w:lineRule="exact"/>
        <w:ind w:firstLine="2692" w:firstLineChars="1282"/>
        <w:rPr>
          <w:rFonts w:ascii="Times New Roman" w:hAnsi="Times New Roman"/>
          <w:color w:val="auto"/>
          <w:highlight w:val="none"/>
        </w:rPr>
      </w:pPr>
      <w:r>
        <w:rPr>
          <w:rFonts w:ascii="Times New Roman" w:hAnsi="Times New Roman"/>
          <w:color w:val="auto"/>
          <w:highlight w:val="none"/>
        </w:rPr>
        <w:t>委托代理人：</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highlight w:val="none"/>
        </w:rPr>
        <w:t>（</w:t>
      </w:r>
      <w:r>
        <w:rPr>
          <w:rFonts w:ascii="Times New Roman" w:hAnsi="Times New Roman"/>
          <w:color w:val="auto"/>
          <w:szCs w:val="21"/>
          <w:highlight w:val="none"/>
        </w:rPr>
        <w:t>签字</w:t>
      </w:r>
      <w:r>
        <w:rPr>
          <w:rFonts w:hint="eastAsia" w:ascii="Times New Roman" w:hAnsi="Times New Roman"/>
          <w:color w:val="auto"/>
          <w:szCs w:val="21"/>
          <w:highlight w:val="none"/>
        </w:rPr>
        <w:t>或盖章</w:t>
      </w:r>
      <w:r>
        <w:rPr>
          <w:rFonts w:ascii="Times New Roman" w:hAnsi="Times New Roman"/>
          <w:color w:val="auto"/>
          <w:highlight w:val="none"/>
        </w:rPr>
        <w:t>）</w:t>
      </w:r>
    </w:p>
    <w:p w14:paraId="7E5691EF">
      <w:pPr>
        <w:spacing w:line="440" w:lineRule="exact"/>
        <w:ind w:firstLine="2692" w:firstLineChars="1282"/>
        <w:rPr>
          <w:rFonts w:ascii="Times New Roman" w:hAnsi="Times New Roman"/>
          <w:color w:val="auto"/>
          <w:highlight w:val="none"/>
        </w:rPr>
      </w:pPr>
      <w:r>
        <w:rPr>
          <w:rFonts w:ascii="Times New Roman" w:hAnsi="Times New Roman"/>
          <w:color w:val="auto"/>
          <w:highlight w:val="none"/>
        </w:rPr>
        <w:t>身份证号码：</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14:paraId="69011A5A">
      <w:pPr>
        <w:spacing w:line="440" w:lineRule="exact"/>
        <w:ind w:firstLine="2692" w:firstLineChars="1282"/>
        <w:rPr>
          <w:rFonts w:ascii="Times New Roman" w:hAnsi="Times New Roman"/>
          <w:color w:val="auto"/>
          <w:highlight w:val="none"/>
        </w:rPr>
      </w:pPr>
    </w:p>
    <w:p w14:paraId="09F5C13F">
      <w:pPr>
        <w:spacing w:line="440" w:lineRule="exact"/>
        <w:ind w:firstLine="2692" w:firstLineChars="1282"/>
        <w:rPr>
          <w:rFonts w:ascii="Times New Roman" w:hAnsi="Times New Roman"/>
          <w:color w:val="auto"/>
          <w:highlight w:val="none"/>
        </w:rPr>
      </w:pPr>
    </w:p>
    <w:p w14:paraId="5AF64084">
      <w:pPr>
        <w:spacing w:line="440" w:lineRule="exact"/>
        <w:ind w:firstLine="4057" w:firstLineChars="1932"/>
        <w:jc w:val="righ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14:paraId="6C7FAF43">
      <w:pPr>
        <w:spacing w:line="440" w:lineRule="exact"/>
        <w:ind w:firstLine="4057" w:firstLineChars="1932"/>
        <w:jc w:val="right"/>
        <w:rPr>
          <w:rFonts w:ascii="Times New Roman" w:hAnsi="Times New Roman"/>
          <w:color w:val="auto"/>
          <w:highlight w:val="none"/>
        </w:rPr>
      </w:pPr>
    </w:p>
    <w:p w14:paraId="6C549ADA">
      <w:pPr>
        <w:spacing w:line="440" w:lineRule="exact"/>
        <w:rPr>
          <w:rFonts w:ascii="Times New Roman" w:hAnsi="Times New Roman"/>
          <w:color w:val="auto"/>
          <w:highlight w:val="none"/>
        </w:rPr>
      </w:pPr>
    </w:p>
    <w:p w14:paraId="67750CD1">
      <w:pPr>
        <w:pStyle w:val="4"/>
        <w:keepNext w:val="0"/>
        <w:keepLines w:val="0"/>
        <w:jc w:val="center"/>
        <w:rPr>
          <w:rFonts w:ascii="Times New Roman" w:hAnsi="Times New Roman" w:eastAsia="宋体"/>
          <w:b w:val="0"/>
          <w:color w:val="auto"/>
          <w:sz w:val="21"/>
          <w:szCs w:val="22"/>
          <w:highlight w:val="none"/>
        </w:rPr>
      </w:pPr>
      <w:r>
        <w:rPr>
          <w:rFonts w:ascii="Times New Roman" w:hAnsi="Times New Roman"/>
          <w:color w:val="auto"/>
          <w:highlight w:val="none"/>
        </w:rPr>
        <w:br w:type="page"/>
      </w:r>
    </w:p>
    <w:p w14:paraId="08960BC5">
      <w:pPr>
        <w:pStyle w:val="4"/>
        <w:keepNext/>
        <w:keepLines/>
        <w:spacing w:before="0" w:after="0" w:line="360" w:lineRule="auto"/>
        <w:jc w:val="center"/>
        <w:rPr>
          <w:rFonts w:hint="eastAsia" w:ascii="Times New Roman" w:hAnsi="Times New Roman" w:cs="Times New Roman"/>
          <w:b/>
          <w:bCs w:val="0"/>
          <w:color w:val="auto"/>
          <w:sz w:val="32"/>
          <w:szCs w:val="20"/>
          <w:highlight w:val="none"/>
        </w:rPr>
        <w:sectPr>
          <w:pgSz w:w="12240" w:h="15840"/>
          <w:pgMar w:top="1627" w:right="1373" w:bottom="1393" w:left="1627" w:header="720" w:footer="720" w:gutter="0"/>
          <w:cols w:space="720" w:num="1"/>
          <w:docGrid w:linePitch="285" w:charSpace="0"/>
        </w:sectPr>
      </w:pPr>
      <w:bookmarkStart w:id="1075" w:name="_Toc24631"/>
      <w:bookmarkStart w:id="1076" w:name="_Toc8232"/>
      <w:bookmarkStart w:id="1077" w:name="_Toc10745"/>
      <w:r>
        <w:rPr>
          <w:rFonts w:hint="eastAsia" w:ascii="Times New Roman" w:hAnsi="Times New Roman" w:cs="Times New Roman"/>
          <w:color w:val="auto"/>
          <w:highlight w:val="none"/>
          <w:lang w:val="en-US" w:eastAsia="zh-CN"/>
        </w:rPr>
        <w:t>三、</w:t>
      </w:r>
      <w:r>
        <w:rPr>
          <w:rFonts w:hint="eastAsia" w:ascii="Times New Roman" w:hAnsi="Times New Roman" w:cs="Times New Roman"/>
          <w:b/>
          <w:bCs w:val="0"/>
          <w:color w:val="auto"/>
          <w:sz w:val="32"/>
          <w:szCs w:val="20"/>
          <w:highlight w:val="none"/>
        </w:rPr>
        <w:t>联合体投标协议（如有）</w:t>
      </w:r>
    </w:p>
    <w:p w14:paraId="7268A49D">
      <w:pPr>
        <w:pStyle w:val="4"/>
        <w:keepNext w:val="0"/>
        <w:keepLines w:val="0"/>
        <w:pageBreakBefore w:val="0"/>
        <w:widowControl w:val="0"/>
        <w:kinsoku/>
        <w:wordWrap/>
        <w:overflowPunct/>
        <w:topLinePunct w:val="0"/>
        <w:autoSpaceDE/>
        <w:autoSpaceDN/>
        <w:bidi w:val="0"/>
        <w:adjustRightInd/>
        <w:snapToGrid/>
        <w:spacing w:before="0" w:after="0" w:line="413" w:lineRule="auto"/>
        <w:jc w:val="center"/>
        <w:textAlignment w:val="auto"/>
        <w:rPr>
          <w:rFonts w:ascii="Times New Roman" w:hAnsi="Times New Roman"/>
          <w:color w:val="auto"/>
          <w:highlight w:val="none"/>
        </w:rPr>
      </w:pPr>
      <w:r>
        <w:rPr>
          <w:rFonts w:hint="eastAsia" w:ascii="Times New Roman" w:hAnsi="Times New Roman"/>
          <w:color w:val="auto"/>
          <w:highlight w:val="none"/>
          <w:lang w:val="en-US" w:eastAsia="zh-CN"/>
        </w:rPr>
        <w:t>四</w:t>
      </w:r>
      <w:r>
        <w:rPr>
          <w:rFonts w:ascii="Times New Roman" w:hAnsi="Times New Roman"/>
          <w:color w:val="auto"/>
          <w:highlight w:val="none"/>
        </w:rPr>
        <w:t>、</w:t>
      </w:r>
      <w:bookmarkStart w:id="1078" w:name="_Toc361508760"/>
      <w:r>
        <w:rPr>
          <w:rFonts w:hint="eastAsia" w:ascii="Times New Roman" w:hAnsi="Times New Roman"/>
          <w:color w:val="auto"/>
          <w:highlight w:val="none"/>
        </w:rPr>
        <w:t>投标报价表</w:t>
      </w:r>
      <w:bookmarkEnd w:id="1075"/>
      <w:bookmarkEnd w:id="1076"/>
      <w:bookmarkEnd w:id="1077"/>
    </w:p>
    <w:p w14:paraId="7379AB66">
      <w:pPr>
        <w:spacing w:line="360" w:lineRule="auto"/>
        <w:ind w:left="1680" w:hanging="1680" w:hangingChars="800"/>
        <w:rPr>
          <w:color w:val="auto"/>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tbl>
      <w:tblPr>
        <w:tblStyle w:val="1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1"/>
        <w:gridCol w:w="1800"/>
        <w:gridCol w:w="816"/>
        <w:gridCol w:w="1072"/>
        <w:gridCol w:w="1156"/>
        <w:gridCol w:w="1740"/>
        <w:gridCol w:w="1920"/>
        <w:gridCol w:w="3838"/>
      </w:tblGrid>
      <w:tr w14:paraId="32384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2AA2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bookmarkStart w:id="1079" w:name="_Toc527028920"/>
            <w:bookmarkStart w:id="1080" w:name="_Toc527028748"/>
            <w:r>
              <w:rPr>
                <w:rFonts w:hint="eastAsia" w:ascii="宋体" w:hAnsi="宋体" w:eastAsia="宋体" w:cs="宋体"/>
                <w:b/>
                <w:bCs/>
                <w:i w:val="0"/>
                <w:iCs w:val="0"/>
                <w:color w:val="auto"/>
                <w:kern w:val="0"/>
                <w:sz w:val="21"/>
                <w:szCs w:val="21"/>
                <w:highlight w:val="none"/>
                <w:u w:val="none"/>
                <w:lang w:val="en-US" w:eastAsia="zh-CN" w:bidi="ar"/>
              </w:rPr>
              <w:t>序号</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1CEB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工程或费用名称</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4EF6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8FEA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AC29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color w:val="auto"/>
                <w:highlight w:val="none"/>
                <w:lang w:val="en-US" w:eastAsia="zh-CN" w:bidi="ar"/>
              </w:rPr>
              <w:t>单价（元）</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CE9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Style w:val="26"/>
                <w:color w:val="auto"/>
                <w:highlight w:val="none"/>
                <w:lang w:val="en-US" w:eastAsia="zh-CN" w:bidi="ar"/>
              </w:rPr>
              <w:t>合计费用</w:t>
            </w:r>
            <w:r>
              <w:rPr>
                <w:rStyle w:val="27"/>
                <w:rFonts w:eastAsia="宋体"/>
                <w:color w:val="auto"/>
                <w:highlight w:val="none"/>
                <w:lang w:val="en-US" w:eastAsia="zh-CN" w:bidi="ar"/>
              </w:rPr>
              <w:t xml:space="preserve"> </w:t>
            </w:r>
            <w:r>
              <w:rPr>
                <w:rStyle w:val="26"/>
                <w:color w:val="auto"/>
                <w:highlight w:val="none"/>
                <w:lang w:val="en-US" w:eastAsia="zh-CN" w:bidi="ar"/>
              </w:rPr>
              <w:t>（元）</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9C1A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最高限价</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综合单价（元）</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8AD8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7FE8B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BBB7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8755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效果评估费用</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5BD1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40AC0">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00038">
            <w:pPr>
              <w:jc w:val="center"/>
              <w:rPr>
                <w:rFonts w:hint="default" w:ascii="Times New Roman" w:hAnsi="Times New Roman" w:eastAsia="宋体" w:cs="Times New Roman"/>
                <w:b/>
                <w:bCs/>
                <w:i w:val="0"/>
                <w:iCs w:val="0"/>
                <w:color w:val="auto"/>
                <w:sz w:val="21"/>
                <w:szCs w:val="21"/>
                <w:highlight w:val="none"/>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E44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F836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1,437,433.23</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340EF">
            <w:pPr>
              <w:jc w:val="center"/>
              <w:rPr>
                <w:rFonts w:hint="default" w:ascii="Times New Roman" w:hAnsi="Times New Roman" w:eastAsia="宋体" w:cs="Times New Roman"/>
                <w:b/>
                <w:bCs/>
                <w:i w:val="0"/>
                <w:iCs w:val="0"/>
                <w:color w:val="auto"/>
                <w:sz w:val="21"/>
                <w:szCs w:val="21"/>
                <w:highlight w:val="none"/>
                <w:u w:val="none"/>
              </w:rPr>
            </w:pPr>
          </w:p>
        </w:tc>
      </w:tr>
      <w:tr w14:paraId="68F8C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7F01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7713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效果评估服务费</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633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277A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F42D4">
            <w:pPr>
              <w:jc w:val="center"/>
              <w:rPr>
                <w:rFonts w:hint="default" w:ascii="Times New Roman" w:hAnsi="Times New Roman" w:eastAsia="宋体" w:cs="Times New Roman"/>
                <w:b/>
                <w:bCs/>
                <w:i w:val="0"/>
                <w:iCs w:val="0"/>
                <w:color w:val="auto"/>
                <w:sz w:val="21"/>
                <w:szCs w:val="21"/>
                <w:highlight w:val="none"/>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B0D06">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D5ADF">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1,114,815.73</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F193A">
            <w:pPr>
              <w:jc w:val="center"/>
              <w:rPr>
                <w:rFonts w:hint="eastAsia" w:ascii="宋体" w:hAnsi="宋体" w:eastAsia="宋体" w:cs="宋体"/>
                <w:b/>
                <w:bCs/>
                <w:i w:val="0"/>
                <w:iCs w:val="0"/>
                <w:color w:val="auto"/>
                <w:sz w:val="21"/>
                <w:szCs w:val="21"/>
                <w:highlight w:val="none"/>
                <w:u w:val="none"/>
              </w:rPr>
            </w:pPr>
          </w:p>
        </w:tc>
      </w:tr>
      <w:tr w14:paraId="03CE3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43E1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694F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效果评估监测费</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612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F976">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949C8">
            <w:pPr>
              <w:jc w:val="center"/>
              <w:rPr>
                <w:rFonts w:hint="default" w:ascii="Times New Roman" w:hAnsi="Times New Roman" w:eastAsia="宋体" w:cs="Times New Roman"/>
                <w:b/>
                <w:bCs/>
                <w:i w:val="0"/>
                <w:iCs w:val="0"/>
                <w:color w:val="auto"/>
                <w:sz w:val="21"/>
                <w:szCs w:val="21"/>
                <w:highlight w:val="none"/>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3B3E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AB60">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322,617.50</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FE8F">
            <w:pPr>
              <w:keepNext w:val="0"/>
              <w:keepLines w:val="0"/>
              <w:widowControl/>
              <w:suppressLineNumbers w:val="0"/>
              <w:ind w:firstLineChars="20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[2.1+2.2+2.3+2.4]</w:t>
            </w:r>
          </w:p>
        </w:tc>
      </w:tr>
      <w:tr w14:paraId="3263A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B08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FF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样品采集</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58C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49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44</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AE72E">
            <w:pPr>
              <w:jc w:val="center"/>
              <w:rPr>
                <w:rFonts w:hint="default" w:ascii="Times New Roman" w:hAnsi="Times New Roman" w:eastAsia="宋体" w:cs="Times New Roman"/>
                <w:i w:val="0"/>
                <w:iCs w:val="0"/>
                <w:color w:val="auto"/>
                <w:sz w:val="21"/>
                <w:szCs w:val="21"/>
                <w:highlight w:val="none"/>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B9BE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EC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1,645.00</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30239">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Style w:val="27"/>
                <w:rFonts w:eastAsia="宋体"/>
                <w:color w:val="auto"/>
                <w:highlight w:val="none"/>
                <w:lang w:val="en-US" w:eastAsia="zh-CN" w:bidi="ar"/>
              </w:rPr>
              <w:t>1.</w:t>
            </w:r>
            <w:r>
              <w:rPr>
                <w:rStyle w:val="28"/>
                <w:color w:val="auto"/>
                <w:highlight w:val="none"/>
                <w:lang w:val="en-US" w:eastAsia="zh-CN" w:bidi="ar"/>
              </w:rPr>
              <w:t>工期实施及修复效果评估周期暂估约</w:t>
            </w:r>
            <w:r>
              <w:rPr>
                <w:rStyle w:val="27"/>
                <w:rFonts w:eastAsia="宋体"/>
                <w:color w:val="auto"/>
                <w:highlight w:val="none"/>
                <w:lang w:val="en-US" w:eastAsia="zh-CN" w:bidi="ar"/>
              </w:rPr>
              <w:t>11</w:t>
            </w:r>
            <w:r>
              <w:rPr>
                <w:rStyle w:val="28"/>
                <w:color w:val="auto"/>
                <w:highlight w:val="none"/>
                <w:lang w:val="en-US" w:eastAsia="zh-CN" w:bidi="ar"/>
              </w:rPr>
              <w:t>个月；</w:t>
            </w:r>
            <w:r>
              <w:rPr>
                <w:rStyle w:val="27"/>
                <w:rFonts w:eastAsia="宋体"/>
                <w:color w:val="auto"/>
                <w:highlight w:val="none"/>
                <w:lang w:val="en-US" w:eastAsia="zh-CN" w:bidi="ar"/>
              </w:rPr>
              <w:t>2.</w:t>
            </w:r>
            <w:r>
              <w:rPr>
                <w:rStyle w:val="28"/>
                <w:color w:val="auto"/>
                <w:highlight w:val="none"/>
                <w:lang w:val="en-US" w:eastAsia="zh-CN" w:bidi="ar"/>
              </w:rPr>
              <w:t>为配合项目进度计划，预估每周进一次场，每次</w:t>
            </w:r>
            <w:r>
              <w:rPr>
                <w:rStyle w:val="27"/>
                <w:rFonts w:eastAsia="宋体"/>
                <w:color w:val="auto"/>
                <w:highlight w:val="none"/>
                <w:lang w:val="en-US" w:eastAsia="zh-CN" w:bidi="ar"/>
              </w:rPr>
              <w:t>2</w:t>
            </w:r>
            <w:r>
              <w:rPr>
                <w:rStyle w:val="28"/>
                <w:color w:val="auto"/>
                <w:highlight w:val="none"/>
                <w:lang w:val="en-US" w:eastAsia="zh-CN" w:bidi="ar"/>
              </w:rPr>
              <w:t>组人进行采样工作，以实际发生工程量结算；</w:t>
            </w:r>
            <w:r>
              <w:rPr>
                <w:rStyle w:val="27"/>
                <w:rFonts w:eastAsia="宋体"/>
                <w:color w:val="auto"/>
                <w:highlight w:val="none"/>
                <w:lang w:val="en-US" w:eastAsia="zh-CN" w:bidi="ar"/>
              </w:rPr>
              <w:t>3.</w:t>
            </w:r>
            <w:r>
              <w:rPr>
                <w:rStyle w:val="28"/>
                <w:color w:val="auto"/>
                <w:highlight w:val="none"/>
                <w:lang w:val="en-US" w:eastAsia="zh-CN" w:bidi="ar"/>
              </w:rPr>
              <w:t>采集包括基坑、土壤、筛上物。</w:t>
            </w:r>
          </w:p>
        </w:tc>
      </w:tr>
      <w:tr w14:paraId="39C89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8AF1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92F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土壤样品检测</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7EB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D7C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1,060.00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8846F">
            <w:pPr>
              <w:jc w:val="center"/>
              <w:rPr>
                <w:rFonts w:hint="default" w:ascii="Times New Roman" w:hAnsi="Times New Roman" w:eastAsia="宋体" w:cs="Times New Roman"/>
                <w:i w:val="0"/>
                <w:iCs w:val="0"/>
                <w:color w:val="auto"/>
                <w:sz w:val="21"/>
                <w:szCs w:val="21"/>
                <w:highlight w:val="none"/>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2F8B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D95D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216.00</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A051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Style w:val="27"/>
                <w:rFonts w:eastAsia="宋体"/>
                <w:color w:val="auto"/>
                <w:highlight w:val="none"/>
                <w:lang w:val="en-US" w:eastAsia="zh-CN" w:bidi="ar"/>
              </w:rPr>
              <w:t>1.</w:t>
            </w:r>
            <w:r>
              <w:rPr>
                <w:rStyle w:val="28"/>
                <w:color w:val="auto"/>
                <w:highlight w:val="none"/>
                <w:lang w:val="en-US" w:eastAsia="zh-CN" w:bidi="ar"/>
              </w:rPr>
              <w:t>含坑底，侧壁，冲洗筛上物，疑似污染土、二次污染防治及</w:t>
            </w:r>
            <w:r>
              <w:rPr>
                <w:rStyle w:val="27"/>
                <w:rFonts w:eastAsia="宋体"/>
                <w:color w:val="auto"/>
                <w:highlight w:val="none"/>
                <w:lang w:val="en-US" w:eastAsia="zh-CN" w:bidi="ar"/>
              </w:rPr>
              <w:t>10%</w:t>
            </w:r>
            <w:r>
              <w:rPr>
                <w:rStyle w:val="28"/>
                <w:color w:val="auto"/>
                <w:highlight w:val="none"/>
                <w:lang w:val="en-US" w:eastAsia="zh-CN" w:bidi="ar"/>
              </w:rPr>
              <w:t>平行样，小计</w:t>
            </w:r>
            <w:r>
              <w:rPr>
                <w:rStyle w:val="27"/>
                <w:rFonts w:eastAsia="宋体"/>
                <w:color w:val="auto"/>
                <w:highlight w:val="none"/>
                <w:lang w:val="en-US" w:eastAsia="zh-CN" w:bidi="ar"/>
              </w:rPr>
              <w:t>1060</w:t>
            </w:r>
            <w:r>
              <w:rPr>
                <w:rStyle w:val="28"/>
                <w:color w:val="auto"/>
                <w:highlight w:val="none"/>
                <w:lang w:val="en-US" w:eastAsia="zh-CN" w:bidi="ar"/>
              </w:rPr>
              <w:t>个；</w:t>
            </w:r>
            <w:r>
              <w:rPr>
                <w:rStyle w:val="27"/>
                <w:rFonts w:eastAsia="宋体"/>
                <w:color w:val="auto"/>
                <w:highlight w:val="none"/>
                <w:lang w:val="en-US" w:eastAsia="zh-CN" w:bidi="ar"/>
              </w:rPr>
              <w:br w:type="textWrapping"/>
            </w:r>
            <w:r>
              <w:rPr>
                <w:rStyle w:val="27"/>
                <w:rFonts w:eastAsia="宋体"/>
                <w:color w:val="auto"/>
                <w:highlight w:val="none"/>
                <w:lang w:val="en-US" w:eastAsia="zh-CN" w:bidi="ar"/>
              </w:rPr>
              <w:t>2.</w:t>
            </w:r>
            <w:r>
              <w:rPr>
                <w:rStyle w:val="28"/>
                <w:color w:val="auto"/>
                <w:highlight w:val="none"/>
                <w:lang w:val="en-US" w:eastAsia="zh-CN" w:bidi="ar"/>
              </w:rPr>
              <w:t>检测项目：砷、含水率、</w:t>
            </w:r>
            <w:r>
              <w:rPr>
                <w:rStyle w:val="27"/>
                <w:rFonts w:eastAsia="宋体"/>
                <w:color w:val="auto"/>
                <w:highlight w:val="none"/>
                <w:lang w:val="en-US" w:eastAsia="zh-CN" w:bidi="ar"/>
              </w:rPr>
              <w:t>pH</w:t>
            </w:r>
            <w:r>
              <w:rPr>
                <w:rStyle w:val="28"/>
                <w:color w:val="auto"/>
                <w:highlight w:val="none"/>
                <w:lang w:val="en-US" w:eastAsia="zh-CN" w:bidi="ar"/>
              </w:rPr>
              <w:t>的复测样品数量</w:t>
            </w:r>
          </w:p>
        </w:tc>
      </w:tr>
      <w:tr w14:paraId="0A6CB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FA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2.3</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4A5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地下水井建设</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B2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DFE3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79A94">
            <w:pPr>
              <w:jc w:val="center"/>
              <w:rPr>
                <w:rFonts w:hint="default" w:ascii="Times New Roman" w:hAnsi="Times New Roman" w:eastAsia="宋体" w:cs="Times New Roman"/>
                <w:i w:val="0"/>
                <w:iCs w:val="0"/>
                <w:color w:val="auto"/>
                <w:sz w:val="21"/>
                <w:szCs w:val="21"/>
                <w:highlight w:val="none"/>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8795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68F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1,656.25</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B1EF7">
            <w:pPr>
              <w:rPr>
                <w:rFonts w:hint="eastAsia" w:ascii="宋体" w:hAnsi="宋体" w:eastAsia="宋体" w:cs="宋体"/>
                <w:i w:val="0"/>
                <w:iCs w:val="0"/>
                <w:color w:val="auto"/>
                <w:sz w:val="21"/>
                <w:szCs w:val="21"/>
                <w:highlight w:val="none"/>
                <w:u w:val="none"/>
              </w:rPr>
            </w:pPr>
          </w:p>
        </w:tc>
      </w:tr>
      <w:tr w14:paraId="564A8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3DAC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E16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地下水采样检测用于风险管控区域进行效果评估</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438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19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42</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D57F4">
            <w:pPr>
              <w:jc w:val="center"/>
              <w:rPr>
                <w:rFonts w:hint="default" w:ascii="Times New Roman" w:hAnsi="Times New Roman" w:eastAsia="宋体" w:cs="Times New Roman"/>
                <w:i w:val="0"/>
                <w:iCs w:val="0"/>
                <w:color w:val="auto"/>
                <w:sz w:val="21"/>
                <w:szCs w:val="21"/>
                <w:highlight w:val="none"/>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0C8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98FF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270.00</w:t>
            </w:r>
          </w:p>
        </w:tc>
        <w:tc>
          <w:tcPr>
            <w:tcW w:w="1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386F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8"/>
                <w:color w:val="auto"/>
                <w:highlight w:val="none"/>
                <w:lang w:val="en-US" w:eastAsia="zh-CN" w:bidi="ar"/>
              </w:rPr>
              <w:t>含浊度检测、悬浮物检测、</w:t>
            </w:r>
            <w:r>
              <w:rPr>
                <w:rStyle w:val="27"/>
                <w:rFonts w:eastAsia="宋体"/>
                <w:color w:val="auto"/>
                <w:highlight w:val="none"/>
                <w:lang w:val="en-US" w:eastAsia="zh-CN" w:bidi="ar"/>
              </w:rPr>
              <w:t>pH</w:t>
            </w:r>
            <w:r>
              <w:rPr>
                <w:rStyle w:val="28"/>
                <w:color w:val="auto"/>
                <w:highlight w:val="none"/>
                <w:lang w:val="en-US" w:eastAsia="zh-CN" w:bidi="ar"/>
              </w:rPr>
              <w:t>检测、砷检测</w:t>
            </w:r>
          </w:p>
        </w:tc>
      </w:tr>
    </w:tbl>
    <w:p w14:paraId="2BAB671E">
      <w:pPr>
        <w:rPr>
          <w:rFonts w:ascii="宋体" w:hAnsi="宋体" w:cs="宋体"/>
          <w:color w:val="auto"/>
          <w:szCs w:val="21"/>
          <w:highlight w:val="none"/>
        </w:rPr>
      </w:pPr>
      <w:r>
        <w:rPr>
          <w:rFonts w:hint="eastAsia" w:ascii="宋体" w:hAnsi="宋体" w:cs="宋体"/>
          <w:color w:val="auto"/>
          <w:szCs w:val="21"/>
          <w:highlight w:val="none"/>
        </w:rPr>
        <w:t>备注：（1）投标报价</w:t>
      </w:r>
      <w:r>
        <w:rPr>
          <w:rFonts w:hint="eastAsia" w:ascii="宋体" w:hAnsi="宋体" w:cs="宋体"/>
          <w:color w:val="auto"/>
          <w:szCs w:val="21"/>
          <w:highlight w:val="none"/>
          <w:lang w:val="en-US" w:eastAsia="zh-CN"/>
        </w:rPr>
        <w:t>为人民币，</w:t>
      </w:r>
      <w:r>
        <w:rPr>
          <w:rFonts w:hint="eastAsia" w:ascii="宋体" w:hAnsi="宋体" w:cs="宋体"/>
          <w:color w:val="auto"/>
          <w:szCs w:val="21"/>
          <w:highlight w:val="none"/>
        </w:rPr>
        <w:t>以元为单位，投标报价小数点后保留二位小数，第三位小数四舍五入）。</w:t>
      </w:r>
    </w:p>
    <w:p w14:paraId="4E25D174">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投标报价为已含税（增值税税率 6%）价格。</w:t>
      </w:r>
    </w:p>
    <w:p w14:paraId="618BF97B">
      <w:pPr>
        <w:rPr>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）各投标人的投标报价不得超过最高投标限价。</w:t>
      </w:r>
    </w:p>
    <w:p w14:paraId="570ED340">
      <w:pPr>
        <w:pStyle w:val="21"/>
        <w:rPr>
          <w:rFonts w:hint="eastAsia"/>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color w:val="auto"/>
          <w:highlight w:val="none"/>
        </w:rPr>
        <w:t>合同价款包括但不限于：人工费、材料费、设备费、专家咨询费、参与单位协调费、交通费、住宿费、伙食费、补贴、专家评审费及会务费、对外沟通协调费、报告编制费、报告打印费、税费、规费、不可预见费用等完成本合同服务内容相关的其他一切费用。效果评估服务费结算价以土壤污染修复结算价为计费基数结算，结合下浮率20%及投标人中标下浮率进行结算，效果评估监测费</w:t>
      </w:r>
      <w:r>
        <w:rPr>
          <w:rFonts w:hint="eastAsia"/>
          <w:color w:val="auto"/>
          <w:highlight w:val="none"/>
          <w:lang w:eastAsia="zh-CN"/>
        </w:rPr>
        <w:t>根据监测工程量按实结算，当超出合同暂定监测工程量时</w:t>
      </w:r>
      <w:r>
        <w:rPr>
          <w:rFonts w:hint="eastAsia"/>
          <w:color w:val="auto"/>
          <w:highlight w:val="none"/>
        </w:rPr>
        <w:t>按中标合同价包干，总费用结算价不超本合同总价（暂定价），具体详见结算相关条款，最终以财政部门或甲方终审部门审定结算价为准。</w:t>
      </w:r>
    </w:p>
    <w:p w14:paraId="2E10067C">
      <w:pPr>
        <w:jc w:val="center"/>
        <w:rPr>
          <w:rFonts w:ascii="Times New Roman" w:hAnsi="Times New Roman"/>
          <w:color w:val="auto"/>
          <w:highlight w:val="none"/>
        </w:rPr>
      </w:pPr>
    </w:p>
    <w:p w14:paraId="1FABFFA8">
      <w:pPr>
        <w:jc w:val="center"/>
        <w:rPr>
          <w:rFonts w:ascii="Times New Roman" w:hAnsi="Times New Roman"/>
          <w:color w:val="auto"/>
          <w:highlight w:val="none"/>
        </w:rPr>
      </w:pPr>
    </w:p>
    <w:p w14:paraId="6DDB9D1A">
      <w:pPr>
        <w:jc w:val="center"/>
        <w:rPr>
          <w:rFonts w:ascii="Times New Roman" w:hAnsi="Times New Roman"/>
          <w:color w:val="auto"/>
          <w:highlight w:val="none"/>
        </w:rPr>
      </w:pPr>
    </w:p>
    <w:p w14:paraId="57EBBCC0">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投 标 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（盖单位章）</w:t>
      </w:r>
    </w:p>
    <w:p w14:paraId="32DBEA14">
      <w:pPr>
        <w:spacing w:line="440" w:lineRule="exact"/>
        <w:jc w:val="left"/>
        <w:rPr>
          <w:rFonts w:ascii="Times New Roman" w:hAnsi="Times New Roman"/>
          <w:color w:val="auto"/>
          <w:szCs w:val="21"/>
          <w:highlight w:val="none"/>
        </w:rPr>
      </w:pPr>
      <w:r>
        <w:rPr>
          <w:rFonts w:ascii="Times New Roman" w:hAnsi="Times New Roman"/>
          <w:color w:val="auto"/>
          <w:highlight w:val="none"/>
        </w:rPr>
        <w:t xml:space="preserve">                        法定代表人</w:t>
      </w:r>
      <w:r>
        <w:rPr>
          <w:rFonts w:ascii="Times New Roman" w:hAnsi="Times New Roman"/>
          <w:color w:val="auto"/>
          <w:szCs w:val="21"/>
          <w:highlight w:val="none"/>
        </w:rPr>
        <w:t>或其委托代理人：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（签字</w:t>
      </w:r>
      <w:r>
        <w:rPr>
          <w:rFonts w:hint="eastAsia" w:ascii="Times New Roman" w:hAnsi="Times New Roman"/>
          <w:color w:val="auto"/>
          <w:szCs w:val="21"/>
          <w:highlight w:val="none"/>
        </w:rPr>
        <w:t>或盖章</w:t>
      </w:r>
      <w:r>
        <w:rPr>
          <w:rFonts w:ascii="Times New Roman" w:hAnsi="Times New Roman"/>
          <w:color w:val="auto"/>
          <w:szCs w:val="21"/>
          <w:highlight w:val="none"/>
        </w:rPr>
        <w:t>）</w:t>
      </w:r>
    </w:p>
    <w:p w14:paraId="21E6F9D4">
      <w:pPr>
        <w:spacing w:line="440" w:lineRule="exact"/>
        <w:ind w:firstLine="4725" w:firstLineChars="2250"/>
        <w:jc w:val="right"/>
        <w:rPr>
          <w:rFonts w:ascii="Times New Roman" w:hAnsi="Times New Roman"/>
          <w:color w:val="auto"/>
          <w:szCs w:val="21"/>
          <w:highlight w:val="none"/>
        </w:rPr>
        <w:sectPr>
          <w:pgSz w:w="15840" w:h="12240" w:orient="landscape"/>
          <w:pgMar w:top="1627" w:right="1627" w:bottom="1373" w:left="1393" w:header="720" w:footer="720" w:gutter="0"/>
          <w:cols w:space="720" w:num="1"/>
          <w:docGrid w:linePitch="285" w:charSpace="0"/>
        </w:sectPr>
      </w:pPr>
      <w:r>
        <w:rPr>
          <w:rFonts w:ascii="Times New Roman" w:hAnsi="Times New Roman"/>
          <w:color w:val="auto"/>
          <w:highlight w:val="none"/>
          <w:u w:val="single"/>
        </w:rPr>
        <w:t xml:space="preserve">      </w:t>
      </w:r>
      <w:r>
        <w:rPr>
          <w:rFonts w:ascii="Times New Roman" w:hAnsi="Times New Roman"/>
          <w:color w:val="auto"/>
          <w:szCs w:val="21"/>
          <w:highlight w:val="none"/>
        </w:rPr>
        <w:t>年</w:t>
      </w:r>
      <w:r>
        <w:rPr>
          <w:rFonts w:ascii="Times New Roman" w:hAnsi="Times New Roman"/>
          <w:color w:val="auto"/>
          <w:highlight w:val="none"/>
          <w:u w:val="single"/>
        </w:rPr>
        <w:t xml:space="preserve">      </w:t>
      </w:r>
      <w:r>
        <w:rPr>
          <w:rFonts w:ascii="Times New Roman" w:hAnsi="Times New Roman"/>
          <w:color w:val="auto"/>
          <w:szCs w:val="21"/>
          <w:highlight w:val="none"/>
        </w:rPr>
        <w:t>月</w:t>
      </w:r>
      <w:r>
        <w:rPr>
          <w:rFonts w:ascii="Times New Roman" w:hAnsi="Times New Roman"/>
          <w:color w:val="auto"/>
          <w:highlight w:val="none"/>
          <w:u w:val="single"/>
        </w:rPr>
        <w:t xml:space="preserve">      </w:t>
      </w:r>
      <w:r>
        <w:rPr>
          <w:rFonts w:ascii="Times New Roman" w:hAnsi="Times New Roman"/>
          <w:color w:val="auto"/>
          <w:szCs w:val="21"/>
          <w:highlight w:val="none"/>
        </w:rPr>
        <w:t>日</w:t>
      </w:r>
    </w:p>
    <w:bookmarkEnd w:id="1079"/>
    <w:bookmarkEnd w:id="1080"/>
    <w:p w14:paraId="3CC3B465">
      <w:pPr>
        <w:pStyle w:val="4"/>
        <w:keepNext w:val="0"/>
        <w:keepLines w:val="0"/>
        <w:spacing w:after="0"/>
        <w:jc w:val="center"/>
        <w:rPr>
          <w:rFonts w:ascii="Times New Roman" w:hAnsi="Times New Roman"/>
          <w:color w:val="auto"/>
          <w:highlight w:val="none"/>
        </w:rPr>
      </w:pPr>
      <w:bookmarkStart w:id="1081" w:name="_Toc5800"/>
      <w:bookmarkStart w:id="1082" w:name="_Toc22692"/>
      <w:bookmarkStart w:id="1083" w:name="_Toc32340"/>
      <w:r>
        <w:rPr>
          <w:rFonts w:hint="eastAsia" w:ascii="Times New Roman" w:hAnsi="Times New Roman"/>
          <w:color w:val="auto"/>
          <w:highlight w:val="none"/>
          <w:lang w:val="en-US" w:eastAsia="zh-CN"/>
        </w:rPr>
        <w:t>五</w:t>
      </w:r>
      <w:r>
        <w:rPr>
          <w:rFonts w:ascii="Times New Roman" w:hAnsi="Times New Roman"/>
          <w:color w:val="auto"/>
          <w:highlight w:val="none"/>
        </w:rPr>
        <w:t>、资格审查资料</w:t>
      </w:r>
      <w:bookmarkEnd w:id="1081"/>
      <w:bookmarkEnd w:id="1082"/>
      <w:bookmarkEnd w:id="1083"/>
    </w:p>
    <w:p w14:paraId="515EB8FB">
      <w:pPr>
        <w:pStyle w:val="5"/>
        <w:keepNext w:val="0"/>
        <w:keepLines w:val="0"/>
        <w:spacing w:before="20" w:after="0"/>
        <w:ind w:firstLine="137"/>
        <w:jc w:val="center"/>
        <w:rPr>
          <w:rFonts w:ascii="Times New Roman" w:hAnsi="Times New Roman"/>
          <w:color w:val="auto"/>
          <w:highlight w:val="none"/>
        </w:rPr>
      </w:pPr>
      <w:bookmarkStart w:id="1084" w:name="_Toc11298"/>
      <w:bookmarkStart w:id="1085" w:name="_Toc10057"/>
      <w:bookmarkStart w:id="1086" w:name="_Toc25680"/>
      <w:bookmarkStart w:id="1087" w:name="_Toc31262"/>
      <w:r>
        <w:rPr>
          <w:rFonts w:ascii="Times New Roman" w:hAnsi="Times New Roman"/>
          <w:color w:val="auto"/>
          <w:highlight w:val="none"/>
        </w:rPr>
        <w:t>（一）基本情况表（格式可自定）</w:t>
      </w:r>
      <w:bookmarkEnd w:id="1084"/>
      <w:bookmarkEnd w:id="1085"/>
      <w:bookmarkEnd w:id="1086"/>
      <w:bookmarkEnd w:id="1087"/>
    </w:p>
    <w:tbl>
      <w:tblPr>
        <w:tblStyle w:val="17"/>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66E343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25104C1">
            <w:pPr>
              <w:topLinePunct/>
              <w:spacing w:line="440" w:lineRule="exact"/>
              <w:jc w:val="center"/>
              <w:rPr>
                <w:rFonts w:ascii="Times New Roman" w:hAnsi="Times New Roman"/>
                <w:color w:val="auto"/>
                <w:highlight w:val="none"/>
              </w:rPr>
            </w:pPr>
            <w:r>
              <w:rPr>
                <w:rFonts w:ascii="Times New Roman" w:hAnsi="Times New Roman"/>
                <w:color w:val="auto"/>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1D6AD3DC">
            <w:pPr>
              <w:topLinePunct/>
              <w:spacing w:line="440" w:lineRule="exact"/>
              <w:jc w:val="center"/>
              <w:rPr>
                <w:rFonts w:ascii="Times New Roman" w:hAnsi="Times New Roman"/>
                <w:color w:val="auto"/>
                <w:highlight w:val="none"/>
              </w:rPr>
            </w:pPr>
          </w:p>
        </w:tc>
      </w:tr>
      <w:tr w14:paraId="5BF2F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928D648">
            <w:pPr>
              <w:topLinePunct/>
              <w:spacing w:line="440" w:lineRule="exact"/>
              <w:jc w:val="center"/>
              <w:rPr>
                <w:rFonts w:ascii="Times New Roman" w:hAnsi="Times New Roman"/>
                <w:color w:val="auto"/>
                <w:highlight w:val="none"/>
              </w:rPr>
            </w:pPr>
            <w:r>
              <w:rPr>
                <w:rFonts w:ascii="Times New Roman" w:hAnsi="Times New Roman"/>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964F1B4">
            <w:pPr>
              <w:topLinePunct/>
              <w:spacing w:line="440" w:lineRule="exact"/>
              <w:jc w:val="center"/>
              <w:rPr>
                <w:rFonts w:ascii="Times New Roman" w:hAnsi="Times New Roman"/>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BC008F0">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80A1312">
            <w:pPr>
              <w:topLinePunct/>
              <w:spacing w:line="440" w:lineRule="exact"/>
              <w:jc w:val="center"/>
              <w:rPr>
                <w:rFonts w:ascii="Times New Roman" w:hAnsi="Times New Roman"/>
                <w:color w:val="auto"/>
                <w:highlight w:val="none"/>
              </w:rPr>
            </w:pPr>
          </w:p>
        </w:tc>
      </w:tr>
      <w:tr w14:paraId="02CD6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4B285218">
            <w:pPr>
              <w:topLinePunct/>
              <w:spacing w:line="440" w:lineRule="exact"/>
              <w:jc w:val="center"/>
              <w:rPr>
                <w:rFonts w:ascii="Times New Roman" w:hAnsi="Times New Roman"/>
                <w:color w:val="auto"/>
                <w:highlight w:val="none"/>
              </w:rPr>
            </w:pPr>
            <w:r>
              <w:rPr>
                <w:rFonts w:ascii="Times New Roman" w:hAnsi="Times New Roman"/>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392B9EEB">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2A30B8E9">
            <w:pPr>
              <w:topLinePunct/>
              <w:spacing w:line="440" w:lineRule="exact"/>
              <w:jc w:val="center"/>
              <w:rPr>
                <w:rFonts w:ascii="Times New Roman" w:hAnsi="Times New Roman"/>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2436AC4D">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0976F12">
            <w:pPr>
              <w:topLinePunct/>
              <w:spacing w:line="440" w:lineRule="exact"/>
              <w:jc w:val="center"/>
              <w:rPr>
                <w:rFonts w:ascii="Times New Roman" w:hAnsi="Times New Roman"/>
                <w:color w:val="auto"/>
                <w:highlight w:val="none"/>
              </w:rPr>
            </w:pPr>
          </w:p>
        </w:tc>
      </w:tr>
      <w:tr w14:paraId="11583C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45E152AE">
            <w:pPr>
              <w:jc w:val="center"/>
              <w:rPr>
                <w:rFonts w:ascii="Times New Roman" w:hAnsi="Times New Roman"/>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54860F33">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135B1EF2">
            <w:pPr>
              <w:topLinePunct/>
              <w:spacing w:line="440" w:lineRule="exact"/>
              <w:jc w:val="center"/>
              <w:rPr>
                <w:rFonts w:ascii="Times New Roman" w:hAnsi="Times New Roman"/>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97C630B">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F47B063">
            <w:pPr>
              <w:topLinePunct/>
              <w:spacing w:line="440" w:lineRule="exact"/>
              <w:jc w:val="center"/>
              <w:rPr>
                <w:rFonts w:ascii="Times New Roman" w:hAnsi="Times New Roman"/>
                <w:color w:val="auto"/>
                <w:highlight w:val="none"/>
              </w:rPr>
            </w:pPr>
          </w:p>
        </w:tc>
      </w:tr>
      <w:tr w14:paraId="2844D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B1535D6">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75821EE9">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3B46F1B7">
            <w:pPr>
              <w:topLinePunct/>
              <w:spacing w:line="440" w:lineRule="exact"/>
              <w:jc w:val="center"/>
              <w:rPr>
                <w:rFonts w:ascii="Times New Roman" w:hAnsi="Times New Roman"/>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11F37150">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DFD62B4">
            <w:pPr>
              <w:topLinePunct/>
              <w:spacing w:line="440" w:lineRule="exact"/>
              <w:jc w:val="center"/>
              <w:rPr>
                <w:rFonts w:ascii="Times New Roman" w:hAnsi="Times New Roman"/>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468D4F0">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236A5DCD">
            <w:pPr>
              <w:topLinePunct/>
              <w:spacing w:line="440" w:lineRule="exact"/>
              <w:jc w:val="center"/>
              <w:rPr>
                <w:rFonts w:ascii="Times New Roman" w:hAnsi="Times New Roman"/>
                <w:color w:val="auto"/>
                <w:highlight w:val="none"/>
              </w:rPr>
            </w:pPr>
          </w:p>
        </w:tc>
      </w:tr>
      <w:tr w14:paraId="6B134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57EB520">
            <w:pPr>
              <w:topLinePunct/>
              <w:spacing w:line="440" w:lineRule="exact"/>
              <w:jc w:val="center"/>
              <w:rPr>
                <w:rFonts w:ascii="Times New Roman" w:hAnsi="Times New Roman"/>
                <w:color w:val="auto"/>
                <w:highlight w:val="none"/>
              </w:rPr>
            </w:pPr>
            <w:r>
              <w:rPr>
                <w:rFonts w:ascii="Times New Roman" w:hAnsi="Times New Roman"/>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36D3B20D">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7EB16D55">
            <w:pPr>
              <w:topLinePunct/>
              <w:spacing w:line="440" w:lineRule="exact"/>
              <w:jc w:val="center"/>
              <w:rPr>
                <w:rFonts w:ascii="Times New Roman" w:hAnsi="Times New Roman"/>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22A3B0B7">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2B2111EA">
            <w:pPr>
              <w:topLinePunct/>
              <w:spacing w:line="440" w:lineRule="exact"/>
              <w:jc w:val="center"/>
              <w:rPr>
                <w:rFonts w:ascii="Times New Roman" w:hAnsi="Times New Roman"/>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57F792D">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3ED18864">
            <w:pPr>
              <w:topLinePunct/>
              <w:spacing w:line="440" w:lineRule="exact"/>
              <w:jc w:val="center"/>
              <w:rPr>
                <w:rFonts w:ascii="Times New Roman" w:hAnsi="Times New Roman"/>
                <w:color w:val="auto"/>
                <w:highlight w:val="none"/>
              </w:rPr>
            </w:pPr>
          </w:p>
        </w:tc>
      </w:tr>
      <w:tr w14:paraId="6E9EB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0F417A3">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E9419A2">
            <w:pPr>
              <w:topLinePunct/>
              <w:spacing w:before="100" w:beforeAutospacing="1" w:after="100" w:afterAutospacing="1" w:line="440" w:lineRule="exact"/>
              <w:ind w:firstLine="105" w:firstLineChars="50"/>
              <w:jc w:val="center"/>
              <w:rPr>
                <w:rFonts w:ascii="Times New Roman" w:hAnsi="Times New Roman"/>
                <w:color w:val="auto"/>
                <w:highlight w:val="none"/>
              </w:rPr>
            </w:pPr>
            <w:r>
              <w:rPr>
                <w:rFonts w:ascii="Times New Roman" w:hAnsi="Times New Roman"/>
                <w:color w:val="auto"/>
                <w:highlight w:val="none"/>
              </w:rPr>
              <w:t>类型：                    等级：      证书号：</w:t>
            </w:r>
          </w:p>
        </w:tc>
      </w:tr>
      <w:tr w14:paraId="7696A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9222F3A">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F382C51">
            <w:pPr>
              <w:topLinePunct/>
              <w:spacing w:line="440" w:lineRule="exact"/>
              <w:jc w:val="center"/>
              <w:rPr>
                <w:rFonts w:ascii="Times New Roman" w:hAnsi="Times New Roman"/>
                <w:color w:val="auto"/>
                <w:highlight w:val="none"/>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46D0F0D3">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员工总人数：</w:t>
            </w:r>
          </w:p>
        </w:tc>
      </w:tr>
      <w:tr w14:paraId="3D0EE5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DD06979">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919272B">
            <w:pPr>
              <w:topLinePunct/>
              <w:spacing w:line="440" w:lineRule="exact"/>
              <w:jc w:val="center"/>
              <w:rPr>
                <w:rFonts w:ascii="Times New Roman" w:hAnsi="Times New Roman"/>
                <w:color w:val="auto"/>
                <w:highlight w:val="none"/>
              </w:rPr>
            </w:pPr>
          </w:p>
        </w:tc>
        <w:tc>
          <w:tcPr>
            <w:tcW w:w="414" w:type="dxa"/>
            <w:vMerge w:val="restart"/>
            <w:tcBorders>
              <w:top w:val="single" w:color="auto" w:sz="4" w:space="0"/>
              <w:left w:val="single" w:color="auto" w:sz="4" w:space="0"/>
              <w:right w:val="single" w:color="auto" w:sz="4" w:space="0"/>
            </w:tcBorders>
            <w:vAlign w:val="center"/>
          </w:tcPr>
          <w:p w14:paraId="4E422211">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833714D">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7214F1A4">
            <w:pPr>
              <w:topLinePunct/>
              <w:spacing w:line="440" w:lineRule="exact"/>
              <w:jc w:val="center"/>
              <w:rPr>
                <w:rFonts w:ascii="Times New Roman" w:hAnsi="Times New Roman"/>
                <w:color w:val="auto"/>
                <w:highlight w:val="none"/>
              </w:rPr>
            </w:pPr>
          </w:p>
        </w:tc>
      </w:tr>
      <w:tr w14:paraId="2663C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34A5C39">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BB81891">
            <w:pPr>
              <w:topLinePunct/>
              <w:spacing w:line="440" w:lineRule="exact"/>
              <w:jc w:val="center"/>
              <w:rPr>
                <w:rFonts w:ascii="Times New Roman" w:hAnsi="Times New Roman"/>
                <w:color w:val="auto"/>
                <w:highlight w:val="none"/>
              </w:rPr>
            </w:pPr>
          </w:p>
        </w:tc>
        <w:tc>
          <w:tcPr>
            <w:tcW w:w="414" w:type="dxa"/>
            <w:vMerge w:val="continue"/>
            <w:tcBorders>
              <w:left w:val="single" w:color="auto" w:sz="4" w:space="0"/>
              <w:right w:val="single" w:color="auto" w:sz="4" w:space="0"/>
            </w:tcBorders>
            <w:vAlign w:val="center"/>
          </w:tcPr>
          <w:p w14:paraId="1AB0A1F7">
            <w:pPr>
              <w:jc w:val="center"/>
              <w:rPr>
                <w:rFonts w:ascii="Times New Roman" w:hAnsi="Times New Roman"/>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2A4FB78">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09F56221">
            <w:pPr>
              <w:topLinePunct/>
              <w:spacing w:line="440" w:lineRule="exact"/>
              <w:jc w:val="center"/>
              <w:rPr>
                <w:rFonts w:ascii="Times New Roman" w:hAnsi="Times New Roman"/>
                <w:color w:val="auto"/>
                <w:highlight w:val="none"/>
              </w:rPr>
            </w:pPr>
          </w:p>
        </w:tc>
      </w:tr>
      <w:tr w14:paraId="7A003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88CD756">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D2D6295">
            <w:pPr>
              <w:topLinePunct/>
              <w:spacing w:line="440" w:lineRule="exact"/>
              <w:jc w:val="center"/>
              <w:rPr>
                <w:rFonts w:ascii="Times New Roman" w:hAnsi="Times New Roman"/>
                <w:color w:val="auto"/>
                <w:highlight w:val="none"/>
              </w:rPr>
            </w:pPr>
          </w:p>
        </w:tc>
        <w:tc>
          <w:tcPr>
            <w:tcW w:w="414" w:type="dxa"/>
            <w:vMerge w:val="continue"/>
            <w:tcBorders>
              <w:left w:val="single" w:color="auto" w:sz="4" w:space="0"/>
              <w:right w:val="single" w:color="auto" w:sz="4" w:space="0"/>
            </w:tcBorders>
            <w:vAlign w:val="center"/>
          </w:tcPr>
          <w:p w14:paraId="6BD9093B">
            <w:pPr>
              <w:jc w:val="center"/>
              <w:rPr>
                <w:rFonts w:ascii="Times New Roman" w:hAnsi="Times New Roman"/>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978A187">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7454F13D">
            <w:pPr>
              <w:topLinePunct/>
              <w:spacing w:line="440" w:lineRule="exact"/>
              <w:jc w:val="center"/>
              <w:rPr>
                <w:rFonts w:ascii="Times New Roman" w:hAnsi="Times New Roman"/>
                <w:color w:val="auto"/>
                <w:highlight w:val="none"/>
              </w:rPr>
            </w:pPr>
          </w:p>
        </w:tc>
      </w:tr>
      <w:tr w14:paraId="0D963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83402CB">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512C682">
            <w:pPr>
              <w:topLinePunct/>
              <w:spacing w:line="440" w:lineRule="exact"/>
              <w:jc w:val="center"/>
              <w:rPr>
                <w:rFonts w:ascii="Times New Roman" w:hAnsi="Times New Roman"/>
                <w:color w:val="auto"/>
                <w:highlight w:val="none"/>
              </w:rPr>
            </w:pPr>
          </w:p>
        </w:tc>
        <w:tc>
          <w:tcPr>
            <w:tcW w:w="414" w:type="dxa"/>
            <w:vMerge w:val="continue"/>
            <w:tcBorders>
              <w:left w:val="single" w:color="auto" w:sz="4" w:space="0"/>
              <w:right w:val="single" w:color="auto" w:sz="4" w:space="0"/>
            </w:tcBorders>
            <w:vAlign w:val="center"/>
          </w:tcPr>
          <w:p w14:paraId="7874F5E2">
            <w:pPr>
              <w:jc w:val="center"/>
              <w:rPr>
                <w:rFonts w:ascii="Times New Roman" w:hAnsi="Times New Roman"/>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978D2EE">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27F98A1C">
            <w:pPr>
              <w:topLinePunct/>
              <w:spacing w:line="440" w:lineRule="exact"/>
              <w:jc w:val="center"/>
              <w:rPr>
                <w:rFonts w:ascii="Times New Roman" w:hAnsi="Times New Roman"/>
                <w:color w:val="auto"/>
                <w:highlight w:val="none"/>
              </w:rPr>
            </w:pPr>
          </w:p>
        </w:tc>
      </w:tr>
      <w:tr w14:paraId="4458A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4F323E26">
            <w:pPr>
              <w:topLinePunct/>
              <w:spacing w:before="100" w:beforeAutospacing="1" w:after="100" w:afterAutospacing="1" w:line="440" w:lineRule="exact"/>
              <w:ind w:firstLine="210" w:firstLineChars="100"/>
              <w:jc w:val="center"/>
              <w:rPr>
                <w:rFonts w:ascii="Times New Roman" w:hAnsi="Times New Roman"/>
                <w:color w:val="auto"/>
                <w:highlight w:val="none"/>
              </w:rPr>
            </w:pPr>
            <w:r>
              <w:rPr>
                <w:rFonts w:ascii="Times New Roman" w:hAnsi="Times New Roman"/>
                <w:color w:val="auto"/>
                <w:highlight w:val="none"/>
              </w:rPr>
              <w:t>经营范围</w:t>
            </w:r>
          </w:p>
        </w:tc>
        <w:tc>
          <w:tcPr>
            <w:tcW w:w="6840" w:type="dxa"/>
            <w:gridSpan w:val="8"/>
            <w:tcBorders>
              <w:top w:val="single" w:color="auto" w:sz="4" w:space="0"/>
              <w:left w:val="single" w:color="auto" w:sz="4" w:space="0"/>
              <w:right w:val="single" w:color="auto" w:sz="4" w:space="0"/>
            </w:tcBorders>
            <w:vAlign w:val="center"/>
          </w:tcPr>
          <w:p w14:paraId="4AB1ED3C">
            <w:pPr>
              <w:topLinePunct/>
              <w:spacing w:line="440" w:lineRule="exact"/>
              <w:jc w:val="center"/>
              <w:rPr>
                <w:rFonts w:ascii="Times New Roman" w:hAnsi="Times New Roman"/>
                <w:color w:val="auto"/>
                <w:highlight w:val="none"/>
              </w:rPr>
            </w:pPr>
          </w:p>
        </w:tc>
      </w:tr>
      <w:tr w14:paraId="1AAA0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6719913F">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14:paraId="74B9243A">
            <w:pPr>
              <w:topLinePunct/>
              <w:spacing w:line="440" w:lineRule="exact"/>
              <w:jc w:val="center"/>
              <w:rPr>
                <w:rFonts w:ascii="Times New Roman" w:hAnsi="Times New Roman"/>
                <w:color w:val="auto"/>
                <w:highlight w:val="none"/>
              </w:rPr>
            </w:pPr>
          </w:p>
        </w:tc>
      </w:tr>
      <w:tr w14:paraId="7E9FAB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399CB59">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446DBDD6">
            <w:pPr>
              <w:topLinePunct/>
              <w:spacing w:line="440" w:lineRule="exact"/>
              <w:jc w:val="center"/>
              <w:rPr>
                <w:rFonts w:ascii="Times New Roman" w:hAnsi="Times New Roman"/>
                <w:color w:val="auto"/>
                <w:highlight w:val="none"/>
              </w:rPr>
            </w:pPr>
          </w:p>
        </w:tc>
      </w:tr>
    </w:tbl>
    <w:p w14:paraId="3701EF16">
      <w:pPr>
        <w:spacing w:line="400" w:lineRule="exact"/>
        <w:rPr>
          <w:rFonts w:ascii="Times New Roman" w:hAnsi="Times New Roman"/>
          <w:color w:val="auto"/>
          <w:highlight w:val="none"/>
        </w:rPr>
      </w:pPr>
      <w:r>
        <w:rPr>
          <w:rFonts w:ascii="Times New Roman" w:hAnsi="Times New Roman"/>
          <w:color w:val="auto"/>
          <w:highlight w:val="none"/>
        </w:rPr>
        <w:t>注：</w:t>
      </w:r>
      <w:r>
        <w:rPr>
          <w:rFonts w:hint="eastAsia" w:ascii="宋体" w:hAnsi="宋体" w:cs="宋体"/>
          <w:color w:val="auto"/>
          <w:szCs w:val="20"/>
          <w:highlight w:val="none"/>
        </w:rPr>
        <w:t>在本表后附相关证</w:t>
      </w:r>
      <w:bookmarkStart w:id="1088" w:name="_Toc520184752"/>
      <w:r>
        <w:rPr>
          <w:rFonts w:hint="eastAsia" w:ascii="宋体" w:hAnsi="宋体" w:cs="宋体"/>
          <w:color w:val="auto"/>
          <w:szCs w:val="20"/>
          <w:highlight w:val="none"/>
        </w:rPr>
        <w:t>明材料。</w:t>
      </w:r>
      <w:bookmarkEnd w:id="1088"/>
    </w:p>
    <w:p w14:paraId="53DF47EF">
      <w:pPr>
        <w:pStyle w:val="5"/>
        <w:keepNext w:val="0"/>
        <w:keepLines w:val="0"/>
        <w:ind w:firstLine="137"/>
        <w:rPr>
          <w:rFonts w:ascii="Times New Roman" w:hAnsi="Times New Roman"/>
          <w:color w:val="auto"/>
          <w:highlight w:val="none"/>
        </w:rPr>
      </w:pPr>
    </w:p>
    <w:p w14:paraId="3822820E">
      <w:pPr>
        <w:rPr>
          <w:rFonts w:ascii="Times New Roman" w:hAnsi="Times New Roman"/>
          <w:color w:val="auto"/>
          <w:highlight w:val="none"/>
        </w:rPr>
      </w:pPr>
    </w:p>
    <w:p w14:paraId="51AC858A">
      <w:pPr>
        <w:pStyle w:val="11"/>
        <w:rPr>
          <w:color w:val="auto"/>
          <w:highlight w:val="none"/>
        </w:rPr>
      </w:pPr>
    </w:p>
    <w:bookmarkEnd w:id="1078"/>
    <w:p w14:paraId="56AF7DBF">
      <w:pPr>
        <w:rPr>
          <w:rFonts w:ascii="Times New Roman" w:hAnsi="Times New Roman"/>
          <w:color w:val="auto"/>
          <w:highlight w:val="none"/>
        </w:rPr>
      </w:pPr>
      <w:bookmarkStart w:id="1089" w:name="_Toc253"/>
      <w:bookmarkStart w:id="1090" w:name="_Toc168"/>
      <w:bookmarkStart w:id="1091" w:name="_Toc1193"/>
      <w:bookmarkStart w:id="1092" w:name="_Toc27871"/>
      <w:bookmarkStart w:id="1093" w:name="_Toc31056"/>
      <w:bookmarkStart w:id="1094" w:name="_Toc24618"/>
      <w:bookmarkStart w:id="1095" w:name="_Toc25"/>
      <w:r>
        <w:rPr>
          <w:rFonts w:ascii="Times New Roman" w:hAnsi="Times New Roman"/>
          <w:color w:val="auto"/>
          <w:highlight w:val="none"/>
        </w:rPr>
        <w:br w:type="page"/>
      </w:r>
    </w:p>
    <w:p w14:paraId="48841169">
      <w:pPr>
        <w:pStyle w:val="5"/>
        <w:keepNext w:val="0"/>
        <w:keepLines w:val="0"/>
        <w:spacing w:before="20" w:after="0"/>
        <w:ind w:firstLine="137"/>
        <w:jc w:val="left"/>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lang w:val="en-US" w:eastAsia="zh-CN"/>
        </w:rPr>
        <w:t>二</w:t>
      </w:r>
      <w:r>
        <w:rPr>
          <w:rFonts w:ascii="Times New Roman" w:hAnsi="Times New Roman"/>
          <w:color w:val="auto"/>
          <w:highlight w:val="none"/>
        </w:rPr>
        <w:t>）</w:t>
      </w:r>
      <w:r>
        <w:rPr>
          <w:rFonts w:hint="eastAsia" w:ascii="Times New Roman" w:hAnsi="Times New Roman"/>
          <w:color w:val="auto"/>
          <w:highlight w:val="none"/>
        </w:rPr>
        <w:t>资格审查前在</w:t>
      </w:r>
      <w:r>
        <w:rPr>
          <w:rFonts w:hint="eastAsia" w:ascii="Times New Roman" w:hAnsi="Times New Roman"/>
          <w:color w:val="auto"/>
          <w:highlight w:val="none"/>
          <w:lang w:eastAsia="zh-CN"/>
        </w:rPr>
        <w:t>广州交易集团有限公司（广州公共资源交易中心）</w:t>
      </w:r>
      <w:r>
        <w:rPr>
          <w:rFonts w:hint="eastAsia" w:ascii="Times New Roman" w:hAnsi="Times New Roman"/>
          <w:color w:val="auto"/>
          <w:highlight w:val="none"/>
        </w:rPr>
        <w:t>企业库的信息截图</w:t>
      </w:r>
      <w:bookmarkEnd w:id="1089"/>
      <w:bookmarkEnd w:id="1090"/>
      <w:bookmarkEnd w:id="1091"/>
    </w:p>
    <w:p w14:paraId="2F792CF4">
      <w:pPr>
        <w:spacing w:line="440" w:lineRule="exact"/>
        <w:rPr>
          <w:rFonts w:ascii="Times New Roman" w:hAnsi="Times New Roman"/>
          <w:color w:val="auto"/>
          <w:highlight w:val="none"/>
        </w:rPr>
      </w:pPr>
    </w:p>
    <w:p w14:paraId="737B18A8">
      <w:pPr>
        <w:spacing w:line="440" w:lineRule="exact"/>
        <w:jc w:val="center"/>
        <w:rPr>
          <w:rFonts w:ascii="Times New Roman" w:hAnsi="Times New Roman"/>
          <w:color w:val="auto"/>
          <w:highlight w:val="none"/>
        </w:rPr>
      </w:pPr>
      <w:r>
        <w:rPr>
          <w:rFonts w:ascii="Times New Roman" w:hAnsi="Times New Roman"/>
          <w:color w:val="auto"/>
          <w:highlight w:val="none"/>
        </w:rPr>
        <w:t>注：附相关证明材料。</w:t>
      </w:r>
    </w:p>
    <w:p w14:paraId="76D5650D">
      <w:pPr>
        <w:rPr>
          <w:rFonts w:ascii="Times New Roman" w:hAnsi="Times New Roman"/>
          <w:color w:val="auto"/>
          <w:highlight w:val="none"/>
        </w:rPr>
      </w:pPr>
      <w:r>
        <w:rPr>
          <w:rFonts w:ascii="Times New Roman" w:hAnsi="Times New Roman"/>
          <w:color w:val="auto"/>
          <w:highlight w:val="none"/>
        </w:rPr>
        <w:br w:type="page"/>
      </w:r>
    </w:p>
    <w:p w14:paraId="593276A7">
      <w:pPr>
        <w:pStyle w:val="5"/>
        <w:keepNext w:val="0"/>
        <w:keepLines w:val="0"/>
        <w:spacing w:before="20" w:after="0"/>
        <w:ind w:firstLine="137"/>
        <w:jc w:val="center"/>
        <w:rPr>
          <w:rFonts w:ascii="Times New Roman" w:hAnsi="Times New Roman"/>
          <w:color w:val="auto"/>
          <w:highlight w:val="none"/>
        </w:rPr>
      </w:pPr>
      <w:r>
        <w:rPr>
          <w:rFonts w:ascii="Times New Roman" w:hAnsi="Times New Roman"/>
          <w:color w:val="auto"/>
          <w:highlight w:val="none"/>
        </w:rPr>
        <w:t>（</w:t>
      </w:r>
      <w:r>
        <w:rPr>
          <w:rFonts w:hint="default" w:ascii="Times New Roman" w:hAnsi="Times New Roman"/>
          <w:color w:val="auto"/>
          <w:highlight w:val="none"/>
          <w:lang w:val="en-US" w:eastAsia="zh-CN"/>
        </w:rPr>
        <w:t>三</w:t>
      </w:r>
      <w:r>
        <w:rPr>
          <w:rFonts w:ascii="Times New Roman" w:hAnsi="Times New Roman"/>
          <w:color w:val="auto"/>
          <w:highlight w:val="none"/>
        </w:rPr>
        <w:t>）</w:t>
      </w:r>
      <w:r>
        <w:rPr>
          <w:rFonts w:hint="eastAsia" w:ascii="Times New Roman" w:hAnsi="Times New Roman"/>
          <w:color w:val="auto"/>
          <w:highlight w:val="none"/>
        </w:rPr>
        <w:t>投标人声明</w:t>
      </w:r>
      <w:bookmarkEnd w:id="1092"/>
      <w:bookmarkEnd w:id="1093"/>
      <w:bookmarkEnd w:id="1094"/>
      <w:bookmarkEnd w:id="1095"/>
    </w:p>
    <w:p w14:paraId="4E8614E1">
      <w:pPr>
        <w:pStyle w:val="4"/>
        <w:keepNext w:val="0"/>
        <w:keepLines w:val="0"/>
        <w:jc w:val="center"/>
        <w:rPr>
          <w:rFonts w:ascii="Times New Roman" w:hAnsi="Times New Roman" w:eastAsia="宋体"/>
          <w:b w:val="0"/>
          <w:color w:val="auto"/>
          <w:sz w:val="21"/>
          <w:szCs w:val="22"/>
          <w:highlight w:val="none"/>
        </w:rPr>
      </w:pPr>
      <w:bookmarkStart w:id="1096" w:name="_Toc5124"/>
      <w:bookmarkStart w:id="1097" w:name="_Toc23748"/>
      <w:bookmarkStart w:id="1098" w:name="_Toc32255"/>
      <w:bookmarkStart w:id="1099" w:name="_Toc28893"/>
      <w:bookmarkStart w:id="1100" w:name="_Toc30285"/>
      <w:r>
        <w:rPr>
          <w:rFonts w:hint="eastAsia" w:ascii="Times New Roman" w:hAnsi="Times New Roman" w:eastAsia="宋体"/>
          <w:b w:val="0"/>
          <w:color w:val="auto"/>
          <w:sz w:val="21"/>
          <w:szCs w:val="22"/>
          <w:highlight w:val="none"/>
        </w:rPr>
        <w:t>格式详见招标公告附件一</w:t>
      </w:r>
      <w:bookmarkEnd w:id="1096"/>
      <w:bookmarkEnd w:id="1097"/>
      <w:bookmarkEnd w:id="1098"/>
      <w:bookmarkEnd w:id="1099"/>
      <w:bookmarkEnd w:id="1100"/>
    </w:p>
    <w:p w14:paraId="6CD715C0">
      <w:pPr>
        <w:spacing w:line="360" w:lineRule="auto"/>
        <w:ind w:firstLine="4920" w:firstLineChars="2050"/>
        <w:rPr>
          <w:rFonts w:ascii="宋体" w:hAnsi="宋体" w:cs="宋体"/>
          <w:color w:val="auto"/>
          <w:kern w:val="0"/>
          <w:sz w:val="24"/>
          <w:szCs w:val="24"/>
          <w:highlight w:val="none"/>
        </w:rPr>
      </w:pPr>
    </w:p>
    <w:p w14:paraId="5D76A66D">
      <w:pPr>
        <w:pStyle w:val="9"/>
        <w:rPr>
          <w:rFonts w:ascii="宋体" w:hAnsi="宋体" w:cs="宋体"/>
          <w:color w:val="auto"/>
          <w:kern w:val="0"/>
          <w:sz w:val="24"/>
          <w:szCs w:val="24"/>
          <w:highlight w:val="none"/>
        </w:rPr>
      </w:pPr>
    </w:p>
    <w:p w14:paraId="53B2AA34">
      <w:pPr>
        <w:pStyle w:val="9"/>
        <w:rPr>
          <w:rFonts w:ascii="宋体" w:hAnsi="宋体" w:cs="宋体"/>
          <w:color w:val="auto"/>
          <w:kern w:val="0"/>
          <w:sz w:val="24"/>
          <w:szCs w:val="24"/>
          <w:highlight w:val="none"/>
        </w:rPr>
      </w:pPr>
    </w:p>
    <w:p w14:paraId="023C8505">
      <w:pPr>
        <w:pStyle w:val="9"/>
        <w:rPr>
          <w:rFonts w:ascii="宋体" w:hAnsi="宋体" w:cs="宋体"/>
          <w:color w:val="auto"/>
          <w:kern w:val="0"/>
          <w:sz w:val="24"/>
          <w:szCs w:val="24"/>
          <w:highlight w:val="none"/>
        </w:rPr>
      </w:pPr>
    </w:p>
    <w:p w14:paraId="2821ADF9">
      <w:pPr>
        <w:pStyle w:val="9"/>
        <w:rPr>
          <w:rFonts w:ascii="宋体" w:hAnsi="宋体" w:cs="宋体"/>
          <w:color w:val="auto"/>
          <w:kern w:val="0"/>
          <w:sz w:val="24"/>
          <w:szCs w:val="24"/>
          <w:highlight w:val="none"/>
        </w:rPr>
      </w:pPr>
    </w:p>
    <w:p w14:paraId="006F51E7">
      <w:pPr>
        <w:pStyle w:val="9"/>
        <w:rPr>
          <w:rFonts w:ascii="宋体" w:hAnsi="宋体" w:cs="宋体"/>
          <w:color w:val="auto"/>
          <w:kern w:val="0"/>
          <w:sz w:val="24"/>
          <w:szCs w:val="24"/>
          <w:highlight w:val="none"/>
        </w:rPr>
      </w:pPr>
    </w:p>
    <w:p w14:paraId="454CAA3A">
      <w:pPr>
        <w:pStyle w:val="9"/>
        <w:rPr>
          <w:rFonts w:ascii="宋体" w:hAnsi="宋体" w:cs="宋体"/>
          <w:color w:val="auto"/>
          <w:kern w:val="0"/>
          <w:sz w:val="24"/>
          <w:szCs w:val="24"/>
          <w:highlight w:val="none"/>
        </w:rPr>
      </w:pPr>
    </w:p>
    <w:p w14:paraId="01332947">
      <w:pPr>
        <w:pStyle w:val="9"/>
        <w:rPr>
          <w:rFonts w:ascii="宋体" w:hAnsi="宋体" w:cs="宋体"/>
          <w:color w:val="auto"/>
          <w:kern w:val="0"/>
          <w:sz w:val="24"/>
          <w:szCs w:val="24"/>
          <w:highlight w:val="none"/>
        </w:rPr>
      </w:pPr>
    </w:p>
    <w:p w14:paraId="7BD2F55F">
      <w:pPr>
        <w:pStyle w:val="9"/>
        <w:rPr>
          <w:rFonts w:ascii="宋体" w:hAnsi="宋体" w:cs="宋体"/>
          <w:color w:val="auto"/>
          <w:kern w:val="0"/>
          <w:sz w:val="24"/>
          <w:szCs w:val="24"/>
          <w:highlight w:val="none"/>
        </w:rPr>
      </w:pPr>
    </w:p>
    <w:p w14:paraId="213E8125">
      <w:pPr>
        <w:pStyle w:val="9"/>
        <w:rPr>
          <w:rFonts w:ascii="宋体" w:hAnsi="宋体" w:cs="宋体"/>
          <w:color w:val="auto"/>
          <w:kern w:val="0"/>
          <w:sz w:val="24"/>
          <w:szCs w:val="24"/>
          <w:highlight w:val="none"/>
        </w:rPr>
      </w:pPr>
    </w:p>
    <w:p w14:paraId="453EA35E">
      <w:pPr>
        <w:pStyle w:val="9"/>
        <w:rPr>
          <w:rFonts w:ascii="宋体" w:hAnsi="宋体" w:cs="宋体"/>
          <w:color w:val="auto"/>
          <w:kern w:val="0"/>
          <w:sz w:val="24"/>
          <w:szCs w:val="24"/>
          <w:highlight w:val="none"/>
        </w:rPr>
      </w:pPr>
    </w:p>
    <w:p w14:paraId="02915CEF">
      <w:pPr>
        <w:pStyle w:val="9"/>
        <w:rPr>
          <w:rFonts w:ascii="宋体" w:hAnsi="宋体" w:cs="宋体"/>
          <w:color w:val="auto"/>
          <w:kern w:val="0"/>
          <w:sz w:val="24"/>
          <w:szCs w:val="24"/>
          <w:highlight w:val="none"/>
        </w:rPr>
      </w:pPr>
    </w:p>
    <w:p w14:paraId="076DD478">
      <w:pPr>
        <w:pStyle w:val="9"/>
        <w:rPr>
          <w:rFonts w:ascii="宋体" w:hAnsi="宋体" w:cs="宋体"/>
          <w:color w:val="auto"/>
          <w:kern w:val="0"/>
          <w:sz w:val="24"/>
          <w:szCs w:val="24"/>
          <w:highlight w:val="none"/>
        </w:rPr>
      </w:pPr>
    </w:p>
    <w:p w14:paraId="444C4F75">
      <w:pPr>
        <w:pStyle w:val="9"/>
        <w:rPr>
          <w:rFonts w:ascii="宋体" w:hAnsi="宋体" w:cs="宋体"/>
          <w:color w:val="auto"/>
          <w:kern w:val="0"/>
          <w:sz w:val="24"/>
          <w:szCs w:val="24"/>
          <w:highlight w:val="none"/>
        </w:rPr>
      </w:pPr>
    </w:p>
    <w:p w14:paraId="662F48A0">
      <w:pPr>
        <w:pStyle w:val="9"/>
        <w:rPr>
          <w:rFonts w:ascii="宋体" w:hAnsi="宋体" w:cs="宋体"/>
          <w:color w:val="auto"/>
          <w:kern w:val="0"/>
          <w:sz w:val="24"/>
          <w:szCs w:val="24"/>
          <w:highlight w:val="none"/>
        </w:rPr>
      </w:pPr>
    </w:p>
    <w:p w14:paraId="7CF46946">
      <w:pPr>
        <w:pStyle w:val="9"/>
        <w:rPr>
          <w:rFonts w:ascii="宋体" w:hAnsi="宋体" w:cs="宋体"/>
          <w:color w:val="auto"/>
          <w:kern w:val="0"/>
          <w:sz w:val="24"/>
          <w:szCs w:val="24"/>
          <w:highlight w:val="none"/>
        </w:rPr>
      </w:pPr>
    </w:p>
    <w:p w14:paraId="34CB52EF">
      <w:pPr>
        <w:pStyle w:val="9"/>
        <w:rPr>
          <w:rFonts w:ascii="宋体" w:hAnsi="宋体" w:cs="宋体"/>
          <w:color w:val="auto"/>
          <w:kern w:val="0"/>
          <w:sz w:val="24"/>
          <w:szCs w:val="24"/>
          <w:highlight w:val="none"/>
        </w:rPr>
      </w:pPr>
    </w:p>
    <w:p w14:paraId="349C6929">
      <w:pPr>
        <w:pStyle w:val="9"/>
        <w:rPr>
          <w:rFonts w:ascii="宋体" w:hAnsi="宋体" w:cs="宋体"/>
          <w:color w:val="auto"/>
          <w:kern w:val="0"/>
          <w:sz w:val="24"/>
          <w:szCs w:val="24"/>
          <w:highlight w:val="none"/>
        </w:rPr>
      </w:pPr>
    </w:p>
    <w:p w14:paraId="10BC5A55">
      <w:pPr>
        <w:jc w:val="right"/>
        <w:rPr>
          <w:rFonts w:ascii="宋体" w:hAnsi="宋体" w:cs="宋体"/>
          <w:color w:val="auto"/>
          <w:kern w:val="0"/>
          <w:sz w:val="24"/>
          <w:highlight w:val="none"/>
        </w:rPr>
      </w:pPr>
    </w:p>
    <w:p w14:paraId="3A526026">
      <w:pPr>
        <w:rPr>
          <w:rFonts w:ascii="宋体" w:hAnsi="宋体" w:cs="宋体"/>
          <w:color w:val="auto"/>
          <w:kern w:val="0"/>
          <w:sz w:val="24"/>
          <w:highlight w:val="none"/>
        </w:rPr>
      </w:pPr>
    </w:p>
    <w:p w14:paraId="47C37762">
      <w:pPr>
        <w:rPr>
          <w:rFonts w:ascii="Times New Roman" w:hAnsi="Times New Roman"/>
          <w:color w:val="auto"/>
          <w:sz w:val="28"/>
          <w:szCs w:val="28"/>
          <w:highlight w:val="none"/>
        </w:rPr>
      </w:pPr>
    </w:p>
    <w:p w14:paraId="7D3EBEF4">
      <w:pPr>
        <w:rPr>
          <w:rFonts w:ascii="Times New Roman" w:hAnsi="Times New Roman"/>
          <w:color w:val="auto"/>
          <w:sz w:val="28"/>
          <w:szCs w:val="28"/>
          <w:highlight w:val="none"/>
        </w:rPr>
      </w:pPr>
    </w:p>
    <w:p w14:paraId="79813162">
      <w:pPr>
        <w:jc w:val="center"/>
        <w:rPr>
          <w:rFonts w:ascii="Times New Roman" w:hAnsi="Times New Roman" w:eastAsia="黑体"/>
          <w:color w:val="auto"/>
          <w:sz w:val="28"/>
          <w:szCs w:val="20"/>
          <w:highlight w:val="none"/>
        </w:rPr>
      </w:pPr>
    </w:p>
    <w:p w14:paraId="72F2E2F8">
      <w:pPr>
        <w:jc w:val="center"/>
        <w:rPr>
          <w:rFonts w:ascii="Times New Roman" w:hAnsi="Times New Roman" w:eastAsia="黑体"/>
          <w:color w:val="auto"/>
          <w:sz w:val="28"/>
          <w:szCs w:val="20"/>
          <w:highlight w:val="none"/>
        </w:rPr>
      </w:pPr>
    </w:p>
    <w:p w14:paraId="20AEC5EB">
      <w:pPr>
        <w:jc w:val="center"/>
        <w:rPr>
          <w:rFonts w:ascii="Times New Roman" w:hAnsi="Times New Roman" w:eastAsia="黑体"/>
          <w:color w:val="auto"/>
          <w:sz w:val="28"/>
          <w:szCs w:val="20"/>
          <w:highlight w:val="none"/>
        </w:rPr>
      </w:pPr>
    </w:p>
    <w:p w14:paraId="6C37ABB8">
      <w:pPr>
        <w:jc w:val="center"/>
        <w:rPr>
          <w:rFonts w:ascii="Times New Roman" w:hAnsi="Times New Roman" w:eastAsia="黑体"/>
          <w:color w:val="auto"/>
          <w:sz w:val="28"/>
          <w:szCs w:val="20"/>
          <w:highlight w:val="none"/>
        </w:rPr>
      </w:pPr>
    </w:p>
    <w:p w14:paraId="1D4FA746">
      <w:pPr>
        <w:jc w:val="center"/>
        <w:rPr>
          <w:rFonts w:ascii="Times New Roman" w:hAnsi="Times New Roman" w:eastAsia="黑体"/>
          <w:color w:val="auto"/>
          <w:sz w:val="28"/>
          <w:szCs w:val="20"/>
          <w:highlight w:val="none"/>
        </w:rPr>
      </w:pPr>
    </w:p>
    <w:p w14:paraId="153086B3">
      <w:pPr>
        <w:pStyle w:val="25"/>
        <w:rPr>
          <w:color w:val="auto"/>
          <w:highlight w:val="none"/>
        </w:rPr>
      </w:pPr>
    </w:p>
    <w:p w14:paraId="4A91967C">
      <w:pPr>
        <w:pStyle w:val="4"/>
        <w:keepNext w:val="0"/>
        <w:keepLines w:val="0"/>
        <w:spacing w:after="0"/>
        <w:jc w:val="center"/>
        <w:rPr>
          <w:rFonts w:hint="eastAsia" w:ascii="Times New Roman" w:hAnsi="Times New Roman" w:eastAsia="黑体"/>
          <w:color w:val="auto"/>
          <w:highlight w:val="none"/>
          <w:lang w:eastAsia="zh-CN"/>
        </w:rPr>
      </w:pPr>
      <w:r>
        <w:rPr>
          <w:rFonts w:hint="eastAsia" w:ascii="Times New Roman" w:hAnsi="Times New Roman"/>
          <w:color w:val="auto"/>
          <w:sz w:val="28"/>
          <w:highlight w:val="none"/>
        </w:rPr>
        <w:br w:type="page"/>
      </w:r>
      <w:bookmarkStart w:id="1101" w:name="_Toc148"/>
      <w:bookmarkStart w:id="1102" w:name="_Toc22053"/>
      <w:bookmarkStart w:id="1103" w:name="_Toc14187"/>
      <w:r>
        <w:rPr>
          <w:rFonts w:hint="eastAsia" w:ascii="Times New Roman" w:hAnsi="Times New Roman"/>
          <w:color w:val="auto"/>
          <w:highlight w:val="none"/>
          <w:lang w:val="en-US" w:eastAsia="zh-CN"/>
        </w:rPr>
        <w:t>六</w:t>
      </w:r>
      <w:r>
        <w:rPr>
          <w:rFonts w:ascii="Times New Roman" w:hAnsi="Times New Roman"/>
          <w:color w:val="auto"/>
          <w:highlight w:val="none"/>
        </w:rPr>
        <w:t>、</w:t>
      </w:r>
      <w:bookmarkEnd w:id="1101"/>
      <w:r>
        <w:rPr>
          <w:rFonts w:hint="eastAsia" w:ascii="Times New Roman" w:hAnsi="Times New Roman"/>
          <w:b w:val="0"/>
          <w:color w:val="auto"/>
          <w:highlight w:val="none"/>
          <w:lang w:eastAsia="zh-CN"/>
        </w:rPr>
        <w:t>技术服务方案</w:t>
      </w:r>
      <w:bookmarkEnd w:id="1102"/>
      <w:bookmarkEnd w:id="1103"/>
    </w:p>
    <w:p w14:paraId="1EFFB889">
      <w:pPr>
        <w:spacing w:line="360" w:lineRule="auto"/>
        <w:ind w:firstLine="474" w:firstLineChars="226"/>
        <w:rPr>
          <w:rFonts w:ascii="Times New Roman" w:hAnsi="Times New Roman"/>
          <w:color w:val="auto"/>
          <w:szCs w:val="21"/>
          <w:highlight w:val="none"/>
        </w:rPr>
      </w:pPr>
      <w:r>
        <w:rPr>
          <w:rFonts w:hint="eastAsia" w:ascii="Times New Roman" w:hAnsi="Times New Roman"/>
          <w:color w:val="auto"/>
          <w:szCs w:val="21"/>
          <w:highlight w:val="none"/>
        </w:rPr>
        <w:t>按</w:t>
      </w:r>
      <w:r>
        <w:rPr>
          <w:rFonts w:hint="eastAsia" w:ascii="Times New Roman" w:hAnsi="Times New Roman"/>
          <w:color w:val="auto"/>
          <w:szCs w:val="21"/>
          <w:highlight w:val="none"/>
          <w:lang w:eastAsia="zh-CN"/>
        </w:rPr>
        <w:t>技术服务方案</w:t>
      </w:r>
      <w:r>
        <w:rPr>
          <w:rFonts w:hint="eastAsia" w:ascii="Times New Roman" w:hAnsi="Times New Roman"/>
          <w:color w:val="auto"/>
          <w:szCs w:val="21"/>
          <w:highlight w:val="none"/>
        </w:rPr>
        <w:t>评分标准的要求提供相关内容。</w:t>
      </w:r>
    </w:p>
    <w:p w14:paraId="3B0407EA">
      <w:pPr>
        <w:rPr>
          <w:rFonts w:ascii="Times New Roman" w:hAnsi="Times New Roman"/>
          <w:color w:val="auto"/>
          <w:highlight w:val="none"/>
        </w:rPr>
      </w:pPr>
    </w:p>
    <w:p w14:paraId="360211F0">
      <w:pPr>
        <w:pStyle w:val="4"/>
        <w:keepNext w:val="0"/>
        <w:keepLines w:val="0"/>
        <w:spacing w:line="400" w:lineRule="exact"/>
        <w:jc w:val="center"/>
        <w:rPr>
          <w:rFonts w:ascii="Times New Roman" w:hAnsi="Times New Roman"/>
          <w:color w:val="auto"/>
          <w:highlight w:val="none"/>
        </w:rPr>
      </w:pPr>
    </w:p>
    <w:p w14:paraId="4FF820C1">
      <w:pPr>
        <w:rPr>
          <w:color w:val="auto"/>
          <w:highlight w:val="none"/>
        </w:rPr>
      </w:pPr>
    </w:p>
    <w:p w14:paraId="6A08A649">
      <w:pPr>
        <w:rPr>
          <w:color w:val="auto"/>
          <w:highlight w:val="none"/>
        </w:rPr>
      </w:pPr>
    </w:p>
    <w:p w14:paraId="72ED2089">
      <w:pPr>
        <w:rPr>
          <w:color w:val="auto"/>
          <w:highlight w:val="none"/>
        </w:rPr>
      </w:pPr>
    </w:p>
    <w:p w14:paraId="659C4893">
      <w:pPr>
        <w:rPr>
          <w:color w:val="auto"/>
          <w:highlight w:val="none"/>
        </w:rPr>
      </w:pPr>
    </w:p>
    <w:p w14:paraId="2EBA2E54">
      <w:pPr>
        <w:pStyle w:val="4"/>
        <w:keepNext w:val="0"/>
        <w:keepLines w:val="0"/>
        <w:spacing w:after="0"/>
        <w:jc w:val="center"/>
        <w:rPr>
          <w:color w:val="auto"/>
          <w:highlight w:val="none"/>
        </w:rPr>
      </w:pPr>
      <w:r>
        <w:rPr>
          <w:rFonts w:hint="eastAsia"/>
          <w:color w:val="auto"/>
          <w:highlight w:val="none"/>
        </w:rPr>
        <w:br w:type="page"/>
      </w:r>
      <w:bookmarkStart w:id="1104" w:name="_Toc11133"/>
      <w:bookmarkStart w:id="1105" w:name="_Toc11101"/>
      <w:bookmarkStart w:id="1106" w:name="_Toc11314"/>
      <w:r>
        <w:rPr>
          <w:rFonts w:hint="eastAsia"/>
          <w:color w:val="auto"/>
          <w:highlight w:val="none"/>
          <w:lang w:val="en-US" w:eastAsia="zh-CN"/>
        </w:rPr>
        <w:t>七</w:t>
      </w:r>
      <w:r>
        <w:rPr>
          <w:rFonts w:hint="eastAsia"/>
          <w:color w:val="auto"/>
          <w:highlight w:val="none"/>
        </w:rPr>
        <w:t>、其他资料</w:t>
      </w:r>
      <w:bookmarkEnd w:id="1104"/>
      <w:bookmarkEnd w:id="1105"/>
      <w:bookmarkEnd w:id="1106"/>
    </w:p>
    <w:p w14:paraId="3C8E585B">
      <w:pPr>
        <w:rPr>
          <w:color w:val="auto"/>
          <w:highlight w:val="none"/>
        </w:rPr>
      </w:pPr>
    </w:p>
    <w:p w14:paraId="74F1599D">
      <w:pPr>
        <w:pStyle w:val="5"/>
        <w:keepNext w:val="0"/>
        <w:keepLines w:val="0"/>
        <w:ind w:firstLine="137"/>
        <w:jc w:val="center"/>
        <w:rPr>
          <w:rFonts w:ascii="Times New Roman" w:hAnsi="Times New Roman"/>
          <w:color w:val="auto"/>
          <w:highlight w:val="none"/>
        </w:rPr>
      </w:pPr>
      <w:bookmarkStart w:id="1107" w:name="_Toc6992"/>
      <w:bookmarkStart w:id="1108" w:name="_Toc32210"/>
      <w:bookmarkStart w:id="1109" w:name="_Toc4532"/>
      <w:r>
        <w:rPr>
          <w:rFonts w:hint="eastAsia" w:ascii="Times New Roman" w:hAnsi="Times New Roman"/>
          <w:color w:val="auto"/>
          <w:highlight w:val="none"/>
        </w:rPr>
        <w:t>（</w:t>
      </w:r>
      <w:r>
        <w:rPr>
          <w:rFonts w:hint="eastAsia" w:ascii="Times New Roman" w:hAnsi="Times New Roman"/>
          <w:color w:val="auto"/>
          <w:highlight w:val="none"/>
          <w:lang w:val="en-US" w:eastAsia="zh-CN"/>
        </w:rPr>
        <w:t>一</w:t>
      </w:r>
      <w:r>
        <w:rPr>
          <w:rFonts w:hint="eastAsia" w:ascii="Times New Roman" w:hAnsi="Times New Roman"/>
          <w:color w:val="auto"/>
          <w:highlight w:val="none"/>
        </w:rPr>
        <w:t>）</w:t>
      </w:r>
      <w:r>
        <w:rPr>
          <w:rFonts w:ascii="Times New Roman" w:hAnsi="Times New Roman"/>
          <w:color w:val="auto"/>
          <w:highlight w:val="none"/>
        </w:rPr>
        <w:t>近年</w:t>
      </w:r>
      <w:r>
        <w:rPr>
          <w:rFonts w:hint="eastAsia" w:ascii="Times New Roman" w:hAnsi="Times New Roman"/>
          <w:color w:val="auto"/>
          <w:highlight w:val="none"/>
        </w:rPr>
        <w:t>承接</w:t>
      </w:r>
      <w:r>
        <w:rPr>
          <w:rFonts w:ascii="Times New Roman" w:hAnsi="Times New Roman"/>
          <w:color w:val="auto"/>
          <w:highlight w:val="none"/>
        </w:rPr>
        <w:t>的类似项目情况表（格式可自定）</w:t>
      </w:r>
      <w:bookmarkEnd w:id="1107"/>
      <w:bookmarkEnd w:id="1108"/>
      <w:bookmarkEnd w:id="1109"/>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583"/>
        <w:gridCol w:w="1333"/>
        <w:gridCol w:w="1586"/>
        <w:gridCol w:w="1319"/>
        <w:gridCol w:w="1662"/>
        <w:gridCol w:w="976"/>
      </w:tblGrid>
      <w:tr w14:paraId="1A7D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tcPr>
          <w:p w14:paraId="1A5266FC">
            <w:pPr>
              <w:spacing w:line="440" w:lineRule="exact"/>
              <w:jc w:val="center"/>
              <w:rPr>
                <w:rFonts w:hint="eastAsia" w:ascii="Times New Roman" w:hAnsi="Times New Roman" w:eastAsia="宋体"/>
                <w:color w:val="auto"/>
                <w:highlight w:val="none"/>
                <w:vertAlign w:val="baseline"/>
                <w:lang w:val="en-US" w:eastAsia="zh-CN"/>
              </w:rPr>
            </w:pPr>
            <w:r>
              <w:rPr>
                <w:rFonts w:hint="eastAsia" w:ascii="Times New Roman" w:hAnsi="Times New Roman"/>
                <w:color w:val="auto"/>
                <w:highlight w:val="none"/>
                <w:vertAlign w:val="baseline"/>
                <w:lang w:val="en-US" w:eastAsia="zh-CN"/>
              </w:rPr>
              <w:t>序号</w:t>
            </w:r>
          </w:p>
        </w:tc>
        <w:tc>
          <w:tcPr>
            <w:tcW w:w="1583" w:type="dxa"/>
          </w:tcPr>
          <w:p w14:paraId="046C633C">
            <w:pPr>
              <w:spacing w:line="440" w:lineRule="exact"/>
              <w:jc w:val="center"/>
              <w:rPr>
                <w:rFonts w:hint="default" w:ascii="Times New Roman" w:hAnsi="Times New Roman" w:eastAsia="宋体"/>
                <w:color w:val="auto"/>
                <w:highlight w:val="none"/>
                <w:vertAlign w:val="baseline"/>
                <w:lang w:val="en-US" w:eastAsia="zh-CN"/>
              </w:rPr>
            </w:pPr>
            <w:r>
              <w:rPr>
                <w:rFonts w:hint="eastAsia" w:ascii="Times New Roman" w:hAnsi="Times New Roman"/>
                <w:color w:val="auto"/>
                <w:highlight w:val="none"/>
                <w:vertAlign w:val="baseline"/>
                <w:lang w:val="en-US" w:eastAsia="zh-CN"/>
              </w:rPr>
              <w:t>委托人名称</w:t>
            </w:r>
          </w:p>
        </w:tc>
        <w:tc>
          <w:tcPr>
            <w:tcW w:w="1333" w:type="dxa"/>
          </w:tcPr>
          <w:p w14:paraId="17C41697">
            <w:pPr>
              <w:spacing w:line="440" w:lineRule="exact"/>
              <w:jc w:val="center"/>
              <w:rPr>
                <w:rFonts w:hint="default" w:ascii="Times New Roman" w:hAnsi="Times New Roman" w:eastAsia="宋体"/>
                <w:color w:val="auto"/>
                <w:highlight w:val="none"/>
                <w:vertAlign w:val="baseline"/>
                <w:lang w:val="en-US" w:eastAsia="zh-CN"/>
              </w:rPr>
            </w:pPr>
            <w:r>
              <w:rPr>
                <w:rFonts w:hint="eastAsia" w:ascii="Times New Roman" w:hAnsi="Times New Roman"/>
                <w:color w:val="auto"/>
                <w:highlight w:val="none"/>
                <w:vertAlign w:val="baseline"/>
                <w:lang w:val="en-US" w:eastAsia="zh-CN"/>
              </w:rPr>
              <w:t>合同名称</w:t>
            </w:r>
          </w:p>
        </w:tc>
        <w:tc>
          <w:tcPr>
            <w:tcW w:w="1586" w:type="dxa"/>
          </w:tcPr>
          <w:p w14:paraId="46B80451">
            <w:pPr>
              <w:spacing w:line="440" w:lineRule="exact"/>
              <w:jc w:val="center"/>
              <w:rPr>
                <w:rFonts w:hint="default" w:ascii="Times New Roman" w:hAnsi="Times New Roman" w:eastAsia="宋体"/>
                <w:color w:val="auto"/>
                <w:highlight w:val="none"/>
                <w:vertAlign w:val="baseline"/>
                <w:lang w:val="en-US" w:eastAsia="zh-CN"/>
              </w:rPr>
            </w:pPr>
            <w:r>
              <w:rPr>
                <w:rFonts w:hint="eastAsia" w:ascii="Times New Roman" w:hAnsi="Times New Roman"/>
                <w:color w:val="auto"/>
                <w:highlight w:val="none"/>
                <w:vertAlign w:val="baseline"/>
                <w:lang w:val="en-US" w:eastAsia="zh-CN"/>
              </w:rPr>
              <w:t>合同签订时间</w:t>
            </w:r>
          </w:p>
        </w:tc>
        <w:tc>
          <w:tcPr>
            <w:tcW w:w="1319" w:type="dxa"/>
          </w:tcPr>
          <w:p w14:paraId="3D64FA22">
            <w:pPr>
              <w:spacing w:line="440" w:lineRule="exact"/>
              <w:jc w:val="center"/>
              <w:rPr>
                <w:rFonts w:hint="default" w:ascii="Times New Roman" w:hAnsi="Times New Roman" w:eastAsia="宋体"/>
                <w:color w:val="auto"/>
                <w:highlight w:val="none"/>
                <w:vertAlign w:val="baseline"/>
                <w:lang w:val="en-US" w:eastAsia="zh-CN"/>
              </w:rPr>
            </w:pPr>
            <w:r>
              <w:rPr>
                <w:rFonts w:hint="eastAsia" w:ascii="Times New Roman" w:hAnsi="Times New Roman"/>
                <w:color w:val="auto"/>
                <w:highlight w:val="none"/>
                <w:vertAlign w:val="baseline"/>
                <w:lang w:val="en-US" w:eastAsia="zh-CN"/>
              </w:rPr>
              <w:t>合同金额</w:t>
            </w:r>
          </w:p>
        </w:tc>
        <w:tc>
          <w:tcPr>
            <w:tcW w:w="1662" w:type="dxa"/>
          </w:tcPr>
          <w:p w14:paraId="20752E32">
            <w:pPr>
              <w:spacing w:line="440" w:lineRule="exact"/>
              <w:jc w:val="center"/>
              <w:rPr>
                <w:rFonts w:hint="default" w:ascii="Times New Roman" w:hAnsi="Times New Roman" w:eastAsia="宋体"/>
                <w:color w:val="auto"/>
                <w:highlight w:val="none"/>
                <w:vertAlign w:val="baseline"/>
                <w:lang w:val="en-US" w:eastAsia="zh-CN"/>
              </w:rPr>
            </w:pPr>
            <w:r>
              <w:rPr>
                <w:rFonts w:hint="eastAsia" w:ascii="Times New Roman" w:hAnsi="Times New Roman"/>
                <w:color w:val="auto"/>
                <w:highlight w:val="none"/>
                <w:vertAlign w:val="baseline"/>
                <w:lang w:val="en-US" w:eastAsia="zh-CN"/>
              </w:rPr>
              <w:t>联系人及电话</w:t>
            </w:r>
          </w:p>
        </w:tc>
        <w:tc>
          <w:tcPr>
            <w:tcW w:w="976" w:type="dxa"/>
          </w:tcPr>
          <w:p w14:paraId="4B35D83C">
            <w:pPr>
              <w:spacing w:line="440" w:lineRule="exact"/>
              <w:jc w:val="center"/>
              <w:rPr>
                <w:rFonts w:hint="eastAsia" w:ascii="Times New Roman" w:hAnsi="Times New Roman" w:eastAsia="宋体"/>
                <w:color w:val="auto"/>
                <w:highlight w:val="none"/>
                <w:vertAlign w:val="baseline"/>
                <w:lang w:val="en-US" w:eastAsia="zh-CN"/>
              </w:rPr>
            </w:pPr>
            <w:r>
              <w:rPr>
                <w:rFonts w:hint="eastAsia" w:ascii="Times New Roman" w:hAnsi="Times New Roman"/>
                <w:color w:val="auto"/>
                <w:highlight w:val="none"/>
                <w:vertAlign w:val="baseline"/>
                <w:lang w:val="en-US" w:eastAsia="zh-CN"/>
              </w:rPr>
              <w:t>备注</w:t>
            </w:r>
          </w:p>
        </w:tc>
      </w:tr>
      <w:tr w14:paraId="56EE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tcPr>
          <w:p w14:paraId="25307DC0">
            <w:pPr>
              <w:spacing w:line="440" w:lineRule="exact"/>
              <w:rPr>
                <w:rFonts w:ascii="Times New Roman" w:hAnsi="Times New Roman"/>
                <w:color w:val="auto"/>
                <w:highlight w:val="none"/>
                <w:vertAlign w:val="baseline"/>
              </w:rPr>
            </w:pPr>
          </w:p>
        </w:tc>
        <w:tc>
          <w:tcPr>
            <w:tcW w:w="1583" w:type="dxa"/>
          </w:tcPr>
          <w:p w14:paraId="22DB1251">
            <w:pPr>
              <w:spacing w:line="440" w:lineRule="exact"/>
              <w:rPr>
                <w:rFonts w:ascii="Times New Roman" w:hAnsi="Times New Roman"/>
                <w:color w:val="auto"/>
                <w:highlight w:val="none"/>
                <w:vertAlign w:val="baseline"/>
              </w:rPr>
            </w:pPr>
          </w:p>
        </w:tc>
        <w:tc>
          <w:tcPr>
            <w:tcW w:w="1333" w:type="dxa"/>
          </w:tcPr>
          <w:p w14:paraId="0C749B7A">
            <w:pPr>
              <w:spacing w:line="440" w:lineRule="exact"/>
              <w:rPr>
                <w:rFonts w:ascii="Times New Roman" w:hAnsi="Times New Roman"/>
                <w:color w:val="auto"/>
                <w:highlight w:val="none"/>
                <w:vertAlign w:val="baseline"/>
              </w:rPr>
            </w:pPr>
          </w:p>
        </w:tc>
        <w:tc>
          <w:tcPr>
            <w:tcW w:w="1586" w:type="dxa"/>
          </w:tcPr>
          <w:p w14:paraId="1613532C">
            <w:pPr>
              <w:spacing w:line="440" w:lineRule="exact"/>
              <w:rPr>
                <w:rFonts w:ascii="Times New Roman" w:hAnsi="Times New Roman"/>
                <w:color w:val="auto"/>
                <w:highlight w:val="none"/>
                <w:vertAlign w:val="baseline"/>
              </w:rPr>
            </w:pPr>
          </w:p>
        </w:tc>
        <w:tc>
          <w:tcPr>
            <w:tcW w:w="1319" w:type="dxa"/>
          </w:tcPr>
          <w:p w14:paraId="43CEFFF5">
            <w:pPr>
              <w:spacing w:line="440" w:lineRule="exact"/>
              <w:rPr>
                <w:rFonts w:ascii="Times New Roman" w:hAnsi="Times New Roman"/>
                <w:color w:val="auto"/>
                <w:highlight w:val="none"/>
                <w:vertAlign w:val="baseline"/>
              </w:rPr>
            </w:pPr>
          </w:p>
        </w:tc>
        <w:tc>
          <w:tcPr>
            <w:tcW w:w="1662" w:type="dxa"/>
          </w:tcPr>
          <w:p w14:paraId="04F48046">
            <w:pPr>
              <w:spacing w:line="440" w:lineRule="exact"/>
              <w:rPr>
                <w:rFonts w:ascii="Times New Roman" w:hAnsi="Times New Roman"/>
                <w:color w:val="auto"/>
                <w:highlight w:val="none"/>
                <w:vertAlign w:val="baseline"/>
              </w:rPr>
            </w:pPr>
          </w:p>
        </w:tc>
        <w:tc>
          <w:tcPr>
            <w:tcW w:w="976" w:type="dxa"/>
          </w:tcPr>
          <w:p w14:paraId="7F18B17B">
            <w:pPr>
              <w:spacing w:line="440" w:lineRule="exact"/>
              <w:rPr>
                <w:rFonts w:ascii="Times New Roman" w:hAnsi="Times New Roman"/>
                <w:color w:val="auto"/>
                <w:highlight w:val="none"/>
                <w:vertAlign w:val="baseline"/>
              </w:rPr>
            </w:pPr>
          </w:p>
        </w:tc>
      </w:tr>
      <w:tr w14:paraId="7D35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tcPr>
          <w:p w14:paraId="5086D59F">
            <w:pPr>
              <w:spacing w:line="440" w:lineRule="exact"/>
              <w:rPr>
                <w:rFonts w:ascii="Times New Roman" w:hAnsi="Times New Roman"/>
                <w:color w:val="auto"/>
                <w:highlight w:val="none"/>
                <w:vertAlign w:val="baseline"/>
              </w:rPr>
            </w:pPr>
          </w:p>
        </w:tc>
        <w:tc>
          <w:tcPr>
            <w:tcW w:w="1583" w:type="dxa"/>
          </w:tcPr>
          <w:p w14:paraId="1E74E45B">
            <w:pPr>
              <w:spacing w:line="440" w:lineRule="exact"/>
              <w:rPr>
                <w:rFonts w:ascii="Times New Roman" w:hAnsi="Times New Roman"/>
                <w:color w:val="auto"/>
                <w:highlight w:val="none"/>
                <w:vertAlign w:val="baseline"/>
              </w:rPr>
            </w:pPr>
          </w:p>
        </w:tc>
        <w:tc>
          <w:tcPr>
            <w:tcW w:w="1333" w:type="dxa"/>
          </w:tcPr>
          <w:p w14:paraId="2D27D10E">
            <w:pPr>
              <w:spacing w:line="440" w:lineRule="exact"/>
              <w:rPr>
                <w:rFonts w:ascii="Times New Roman" w:hAnsi="Times New Roman"/>
                <w:color w:val="auto"/>
                <w:highlight w:val="none"/>
                <w:vertAlign w:val="baseline"/>
              </w:rPr>
            </w:pPr>
          </w:p>
        </w:tc>
        <w:tc>
          <w:tcPr>
            <w:tcW w:w="1586" w:type="dxa"/>
          </w:tcPr>
          <w:p w14:paraId="555BA5A9">
            <w:pPr>
              <w:spacing w:line="440" w:lineRule="exact"/>
              <w:rPr>
                <w:rFonts w:ascii="Times New Roman" w:hAnsi="Times New Roman"/>
                <w:color w:val="auto"/>
                <w:highlight w:val="none"/>
                <w:vertAlign w:val="baseline"/>
              </w:rPr>
            </w:pPr>
          </w:p>
        </w:tc>
        <w:tc>
          <w:tcPr>
            <w:tcW w:w="1319" w:type="dxa"/>
          </w:tcPr>
          <w:p w14:paraId="65536C59">
            <w:pPr>
              <w:spacing w:line="440" w:lineRule="exact"/>
              <w:rPr>
                <w:rFonts w:ascii="Times New Roman" w:hAnsi="Times New Roman"/>
                <w:color w:val="auto"/>
                <w:highlight w:val="none"/>
                <w:vertAlign w:val="baseline"/>
              </w:rPr>
            </w:pPr>
          </w:p>
        </w:tc>
        <w:tc>
          <w:tcPr>
            <w:tcW w:w="1662" w:type="dxa"/>
          </w:tcPr>
          <w:p w14:paraId="20383E6C">
            <w:pPr>
              <w:spacing w:line="440" w:lineRule="exact"/>
              <w:rPr>
                <w:rFonts w:ascii="Times New Roman" w:hAnsi="Times New Roman"/>
                <w:color w:val="auto"/>
                <w:highlight w:val="none"/>
                <w:vertAlign w:val="baseline"/>
              </w:rPr>
            </w:pPr>
          </w:p>
        </w:tc>
        <w:tc>
          <w:tcPr>
            <w:tcW w:w="976" w:type="dxa"/>
          </w:tcPr>
          <w:p w14:paraId="3F21A166">
            <w:pPr>
              <w:spacing w:line="440" w:lineRule="exact"/>
              <w:rPr>
                <w:rFonts w:ascii="Times New Roman" w:hAnsi="Times New Roman"/>
                <w:color w:val="auto"/>
                <w:highlight w:val="none"/>
                <w:vertAlign w:val="baseline"/>
              </w:rPr>
            </w:pPr>
          </w:p>
        </w:tc>
      </w:tr>
      <w:tr w14:paraId="71FC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tcPr>
          <w:p w14:paraId="5FCE3B26">
            <w:pPr>
              <w:spacing w:line="440" w:lineRule="exact"/>
              <w:rPr>
                <w:rFonts w:ascii="Times New Roman" w:hAnsi="Times New Roman"/>
                <w:color w:val="auto"/>
                <w:highlight w:val="none"/>
                <w:vertAlign w:val="baseline"/>
              </w:rPr>
            </w:pPr>
          </w:p>
        </w:tc>
        <w:tc>
          <w:tcPr>
            <w:tcW w:w="1583" w:type="dxa"/>
          </w:tcPr>
          <w:p w14:paraId="4439D06E">
            <w:pPr>
              <w:spacing w:line="440" w:lineRule="exact"/>
              <w:rPr>
                <w:rFonts w:ascii="Times New Roman" w:hAnsi="Times New Roman"/>
                <w:color w:val="auto"/>
                <w:highlight w:val="none"/>
                <w:vertAlign w:val="baseline"/>
              </w:rPr>
            </w:pPr>
          </w:p>
        </w:tc>
        <w:tc>
          <w:tcPr>
            <w:tcW w:w="1333" w:type="dxa"/>
          </w:tcPr>
          <w:p w14:paraId="62DF16C0">
            <w:pPr>
              <w:spacing w:line="440" w:lineRule="exact"/>
              <w:rPr>
                <w:rFonts w:ascii="Times New Roman" w:hAnsi="Times New Roman"/>
                <w:color w:val="auto"/>
                <w:highlight w:val="none"/>
                <w:vertAlign w:val="baseline"/>
              </w:rPr>
            </w:pPr>
          </w:p>
        </w:tc>
        <w:tc>
          <w:tcPr>
            <w:tcW w:w="1586" w:type="dxa"/>
          </w:tcPr>
          <w:p w14:paraId="323C7BBE">
            <w:pPr>
              <w:spacing w:line="440" w:lineRule="exact"/>
              <w:rPr>
                <w:rFonts w:ascii="Times New Roman" w:hAnsi="Times New Roman"/>
                <w:color w:val="auto"/>
                <w:highlight w:val="none"/>
                <w:vertAlign w:val="baseline"/>
              </w:rPr>
            </w:pPr>
          </w:p>
        </w:tc>
        <w:tc>
          <w:tcPr>
            <w:tcW w:w="1319" w:type="dxa"/>
          </w:tcPr>
          <w:p w14:paraId="4A80E864">
            <w:pPr>
              <w:spacing w:line="440" w:lineRule="exact"/>
              <w:rPr>
                <w:rFonts w:ascii="Times New Roman" w:hAnsi="Times New Roman"/>
                <w:color w:val="auto"/>
                <w:highlight w:val="none"/>
                <w:vertAlign w:val="baseline"/>
              </w:rPr>
            </w:pPr>
          </w:p>
        </w:tc>
        <w:tc>
          <w:tcPr>
            <w:tcW w:w="1662" w:type="dxa"/>
          </w:tcPr>
          <w:p w14:paraId="485692B8">
            <w:pPr>
              <w:spacing w:line="440" w:lineRule="exact"/>
              <w:rPr>
                <w:rFonts w:ascii="Times New Roman" w:hAnsi="Times New Roman"/>
                <w:color w:val="auto"/>
                <w:highlight w:val="none"/>
                <w:vertAlign w:val="baseline"/>
              </w:rPr>
            </w:pPr>
          </w:p>
        </w:tc>
        <w:tc>
          <w:tcPr>
            <w:tcW w:w="976" w:type="dxa"/>
          </w:tcPr>
          <w:p w14:paraId="4FA2A3B3">
            <w:pPr>
              <w:spacing w:line="440" w:lineRule="exact"/>
              <w:rPr>
                <w:rFonts w:ascii="Times New Roman" w:hAnsi="Times New Roman"/>
                <w:color w:val="auto"/>
                <w:highlight w:val="none"/>
                <w:vertAlign w:val="baseline"/>
              </w:rPr>
            </w:pPr>
          </w:p>
        </w:tc>
      </w:tr>
      <w:tr w14:paraId="33C1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tcPr>
          <w:p w14:paraId="38A7F680">
            <w:pPr>
              <w:spacing w:line="440" w:lineRule="exact"/>
              <w:rPr>
                <w:rFonts w:ascii="Times New Roman" w:hAnsi="Times New Roman"/>
                <w:color w:val="auto"/>
                <w:highlight w:val="none"/>
                <w:vertAlign w:val="baseline"/>
              </w:rPr>
            </w:pPr>
          </w:p>
        </w:tc>
        <w:tc>
          <w:tcPr>
            <w:tcW w:w="1583" w:type="dxa"/>
          </w:tcPr>
          <w:p w14:paraId="0FB1B339">
            <w:pPr>
              <w:spacing w:line="440" w:lineRule="exact"/>
              <w:rPr>
                <w:rFonts w:ascii="Times New Roman" w:hAnsi="Times New Roman"/>
                <w:color w:val="auto"/>
                <w:highlight w:val="none"/>
                <w:vertAlign w:val="baseline"/>
              </w:rPr>
            </w:pPr>
          </w:p>
        </w:tc>
        <w:tc>
          <w:tcPr>
            <w:tcW w:w="1333" w:type="dxa"/>
          </w:tcPr>
          <w:p w14:paraId="64B5696E">
            <w:pPr>
              <w:spacing w:line="440" w:lineRule="exact"/>
              <w:rPr>
                <w:rFonts w:ascii="Times New Roman" w:hAnsi="Times New Roman"/>
                <w:color w:val="auto"/>
                <w:highlight w:val="none"/>
                <w:vertAlign w:val="baseline"/>
              </w:rPr>
            </w:pPr>
          </w:p>
        </w:tc>
        <w:tc>
          <w:tcPr>
            <w:tcW w:w="1586" w:type="dxa"/>
          </w:tcPr>
          <w:p w14:paraId="211306EB">
            <w:pPr>
              <w:spacing w:line="440" w:lineRule="exact"/>
              <w:rPr>
                <w:rFonts w:ascii="Times New Roman" w:hAnsi="Times New Roman"/>
                <w:color w:val="auto"/>
                <w:highlight w:val="none"/>
                <w:vertAlign w:val="baseline"/>
              </w:rPr>
            </w:pPr>
          </w:p>
        </w:tc>
        <w:tc>
          <w:tcPr>
            <w:tcW w:w="1319" w:type="dxa"/>
          </w:tcPr>
          <w:p w14:paraId="1F893F1B">
            <w:pPr>
              <w:spacing w:line="440" w:lineRule="exact"/>
              <w:rPr>
                <w:rFonts w:ascii="Times New Roman" w:hAnsi="Times New Roman"/>
                <w:color w:val="auto"/>
                <w:highlight w:val="none"/>
                <w:vertAlign w:val="baseline"/>
              </w:rPr>
            </w:pPr>
          </w:p>
        </w:tc>
        <w:tc>
          <w:tcPr>
            <w:tcW w:w="1662" w:type="dxa"/>
          </w:tcPr>
          <w:p w14:paraId="0A476214">
            <w:pPr>
              <w:spacing w:line="440" w:lineRule="exact"/>
              <w:rPr>
                <w:rFonts w:ascii="Times New Roman" w:hAnsi="Times New Roman"/>
                <w:color w:val="auto"/>
                <w:highlight w:val="none"/>
                <w:vertAlign w:val="baseline"/>
              </w:rPr>
            </w:pPr>
          </w:p>
        </w:tc>
        <w:tc>
          <w:tcPr>
            <w:tcW w:w="976" w:type="dxa"/>
          </w:tcPr>
          <w:p w14:paraId="7FAF28F7">
            <w:pPr>
              <w:spacing w:line="440" w:lineRule="exact"/>
              <w:rPr>
                <w:rFonts w:ascii="Times New Roman" w:hAnsi="Times New Roman"/>
                <w:color w:val="auto"/>
                <w:highlight w:val="none"/>
                <w:vertAlign w:val="baseline"/>
              </w:rPr>
            </w:pPr>
          </w:p>
        </w:tc>
      </w:tr>
    </w:tbl>
    <w:p w14:paraId="1506673F">
      <w:pPr>
        <w:spacing w:line="440" w:lineRule="exact"/>
        <w:rPr>
          <w:rFonts w:ascii="Times New Roman" w:hAnsi="Times New Roman"/>
          <w:color w:val="auto"/>
          <w:highlight w:val="none"/>
        </w:rPr>
      </w:pPr>
    </w:p>
    <w:p w14:paraId="084BFA63">
      <w:pPr>
        <w:spacing w:line="440" w:lineRule="exact"/>
        <w:rPr>
          <w:rFonts w:ascii="Times New Roman" w:hAnsi="Times New Roman"/>
          <w:color w:val="auto"/>
          <w:highlight w:val="none"/>
        </w:rPr>
      </w:pPr>
      <w:r>
        <w:rPr>
          <w:rFonts w:ascii="Times New Roman" w:hAnsi="Times New Roman"/>
          <w:color w:val="auto"/>
          <w:highlight w:val="none"/>
        </w:rPr>
        <w:t>注：</w:t>
      </w:r>
      <w:r>
        <w:rPr>
          <w:rFonts w:hint="eastAsia" w:ascii="Times New Roman" w:hAnsi="Times New Roman"/>
          <w:color w:val="auto"/>
          <w:highlight w:val="none"/>
          <w:lang w:val="en-US" w:eastAsia="zh-CN"/>
        </w:rPr>
        <w:t>按第三章评标办法</w:t>
      </w:r>
      <w:r>
        <w:rPr>
          <w:rFonts w:ascii="Times New Roman" w:hAnsi="Times New Roman"/>
          <w:color w:val="auto"/>
          <w:highlight w:val="none"/>
        </w:rPr>
        <w:t>在本表后附相关证明材料。</w:t>
      </w:r>
    </w:p>
    <w:p w14:paraId="41C790EE">
      <w:pPr>
        <w:spacing w:line="440" w:lineRule="exact"/>
        <w:rPr>
          <w:rFonts w:ascii="Times New Roman" w:hAnsi="Times New Roman"/>
          <w:color w:val="auto"/>
          <w:highlight w:val="none"/>
        </w:rPr>
      </w:pPr>
    </w:p>
    <w:p w14:paraId="5ADA0C10">
      <w:pPr>
        <w:rPr>
          <w:rFonts w:hint="eastAsia" w:ascii="Times New Roman" w:hAnsi="Times New Roman"/>
          <w:color w:val="auto"/>
          <w:highlight w:val="none"/>
        </w:rPr>
      </w:pPr>
      <w:bookmarkStart w:id="1110" w:name="_Toc3779"/>
      <w:bookmarkStart w:id="1111" w:name="_Toc12633"/>
      <w:bookmarkStart w:id="1112" w:name="_Toc79"/>
      <w:r>
        <w:rPr>
          <w:rFonts w:hint="eastAsia" w:ascii="Times New Roman" w:hAnsi="Times New Roman"/>
          <w:color w:val="auto"/>
          <w:highlight w:val="none"/>
        </w:rPr>
        <w:br w:type="page"/>
      </w:r>
    </w:p>
    <w:p w14:paraId="45FEFEE0">
      <w:pPr>
        <w:pStyle w:val="5"/>
        <w:keepNext w:val="0"/>
        <w:keepLines w:val="0"/>
        <w:ind w:firstLine="137"/>
        <w:jc w:val="center"/>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二</w:t>
      </w:r>
      <w:r>
        <w:rPr>
          <w:rFonts w:hint="eastAsia" w:ascii="Times New Roman" w:hAnsi="Times New Roman"/>
          <w:color w:val="auto"/>
          <w:highlight w:val="none"/>
        </w:rPr>
        <w:t>）</w:t>
      </w:r>
      <w:r>
        <w:rPr>
          <w:rFonts w:hint="eastAsia" w:ascii="Times New Roman" w:hAnsi="Times New Roman"/>
          <w:color w:val="auto"/>
          <w:highlight w:val="none"/>
          <w:lang w:val="en-US" w:eastAsia="zh-CN"/>
        </w:rPr>
        <w:t>拟投入本项目主要技术人员一览表</w:t>
      </w:r>
      <w:r>
        <w:rPr>
          <w:rFonts w:ascii="Times New Roman" w:hAnsi="Times New Roman"/>
          <w:color w:val="auto"/>
          <w:highlight w:val="none"/>
        </w:rPr>
        <w:t>（格式可自定）</w:t>
      </w:r>
      <w:bookmarkEnd w:id="1110"/>
      <w:bookmarkEnd w:id="1111"/>
      <w:bookmarkEnd w:id="1112"/>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1318"/>
        <w:gridCol w:w="1319"/>
        <w:gridCol w:w="1319"/>
        <w:gridCol w:w="1319"/>
        <w:gridCol w:w="1319"/>
        <w:gridCol w:w="1319"/>
      </w:tblGrid>
      <w:tr w14:paraId="464C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14:paraId="0C1E429D">
            <w:pPr>
              <w:spacing w:line="440" w:lineRule="exact"/>
              <w:rPr>
                <w:rFonts w:hint="eastAsia" w:ascii="Times New Roman" w:hAnsi="Times New Roman" w:eastAsia="宋体"/>
                <w:color w:val="auto"/>
                <w:highlight w:val="none"/>
                <w:vertAlign w:val="baseline"/>
                <w:lang w:val="en-US" w:eastAsia="zh-CN"/>
              </w:rPr>
            </w:pPr>
            <w:r>
              <w:rPr>
                <w:rFonts w:hint="eastAsia" w:ascii="Times New Roman" w:hAnsi="Times New Roman"/>
                <w:color w:val="auto"/>
                <w:highlight w:val="none"/>
                <w:vertAlign w:val="baseline"/>
                <w:lang w:val="en-US" w:eastAsia="zh-CN"/>
              </w:rPr>
              <w:t>序号</w:t>
            </w:r>
          </w:p>
        </w:tc>
        <w:tc>
          <w:tcPr>
            <w:tcW w:w="1318" w:type="dxa"/>
          </w:tcPr>
          <w:p w14:paraId="59F4B6F7">
            <w:pPr>
              <w:spacing w:line="440" w:lineRule="exact"/>
              <w:rPr>
                <w:rFonts w:hint="default" w:ascii="Times New Roman" w:hAnsi="Times New Roman" w:eastAsia="宋体"/>
                <w:color w:val="auto"/>
                <w:highlight w:val="none"/>
                <w:vertAlign w:val="baseline"/>
                <w:lang w:val="en-US" w:eastAsia="zh-CN"/>
              </w:rPr>
            </w:pPr>
            <w:r>
              <w:rPr>
                <w:rFonts w:hint="eastAsia" w:ascii="Times New Roman" w:hAnsi="Times New Roman"/>
                <w:color w:val="auto"/>
                <w:highlight w:val="none"/>
                <w:vertAlign w:val="baseline"/>
                <w:lang w:val="en-US" w:eastAsia="zh-CN"/>
              </w:rPr>
              <w:t>拟在本项目任职</w:t>
            </w:r>
          </w:p>
        </w:tc>
        <w:tc>
          <w:tcPr>
            <w:tcW w:w="1319" w:type="dxa"/>
          </w:tcPr>
          <w:p w14:paraId="05813838">
            <w:pPr>
              <w:spacing w:line="440" w:lineRule="exact"/>
              <w:rPr>
                <w:rFonts w:hint="eastAsia" w:ascii="Times New Roman" w:hAnsi="Times New Roman" w:eastAsia="宋体"/>
                <w:color w:val="auto"/>
                <w:highlight w:val="none"/>
                <w:vertAlign w:val="baseline"/>
                <w:lang w:val="en-US" w:eastAsia="zh-CN"/>
              </w:rPr>
            </w:pPr>
            <w:r>
              <w:rPr>
                <w:rFonts w:hint="eastAsia" w:ascii="Times New Roman" w:hAnsi="Times New Roman"/>
                <w:color w:val="auto"/>
                <w:highlight w:val="none"/>
                <w:vertAlign w:val="baseline"/>
                <w:lang w:val="en-US" w:eastAsia="zh-CN"/>
              </w:rPr>
              <w:t>姓名</w:t>
            </w:r>
          </w:p>
        </w:tc>
        <w:tc>
          <w:tcPr>
            <w:tcW w:w="1319" w:type="dxa"/>
          </w:tcPr>
          <w:p w14:paraId="18A243B0">
            <w:pPr>
              <w:spacing w:line="440" w:lineRule="exact"/>
              <w:rPr>
                <w:rFonts w:hint="default" w:ascii="Times New Roman" w:hAnsi="Times New Roman" w:eastAsia="宋体"/>
                <w:color w:val="auto"/>
                <w:highlight w:val="none"/>
                <w:vertAlign w:val="baseline"/>
                <w:lang w:val="en-US" w:eastAsia="zh-CN"/>
              </w:rPr>
            </w:pPr>
            <w:r>
              <w:rPr>
                <w:rFonts w:hint="eastAsia" w:ascii="Times New Roman" w:hAnsi="Times New Roman"/>
                <w:color w:val="auto"/>
                <w:highlight w:val="none"/>
                <w:vertAlign w:val="baseline"/>
                <w:lang w:val="en-US" w:eastAsia="zh-CN"/>
              </w:rPr>
              <w:t>学历/专业</w:t>
            </w:r>
          </w:p>
        </w:tc>
        <w:tc>
          <w:tcPr>
            <w:tcW w:w="1319" w:type="dxa"/>
          </w:tcPr>
          <w:p w14:paraId="1F6A8A0C">
            <w:pPr>
              <w:spacing w:line="440" w:lineRule="exact"/>
              <w:rPr>
                <w:rFonts w:hint="default" w:ascii="Times New Roman" w:hAnsi="Times New Roman" w:eastAsia="宋体"/>
                <w:color w:val="auto"/>
                <w:highlight w:val="none"/>
                <w:vertAlign w:val="baseline"/>
                <w:lang w:val="en-US" w:eastAsia="zh-CN"/>
              </w:rPr>
            </w:pPr>
            <w:r>
              <w:rPr>
                <w:rFonts w:hint="eastAsia" w:ascii="Times New Roman" w:hAnsi="Times New Roman"/>
                <w:color w:val="auto"/>
                <w:highlight w:val="none"/>
                <w:vertAlign w:val="baseline"/>
                <w:lang w:val="en-US" w:eastAsia="zh-CN"/>
              </w:rPr>
              <w:t>职称/专业</w:t>
            </w:r>
          </w:p>
        </w:tc>
        <w:tc>
          <w:tcPr>
            <w:tcW w:w="1319" w:type="dxa"/>
          </w:tcPr>
          <w:p w14:paraId="27423DAE">
            <w:pPr>
              <w:spacing w:line="440" w:lineRule="exact"/>
              <w:rPr>
                <w:rFonts w:hint="default" w:ascii="Times New Roman" w:hAnsi="Times New Roman" w:eastAsia="宋体"/>
                <w:color w:val="auto"/>
                <w:highlight w:val="none"/>
                <w:vertAlign w:val="baseline"/>
                <w:lang w:val="en-US" w:eastAsia="zh-CN"/>
              </w:rPr>
            </w:pPr>
            <w:r>
              <w:rPr>
                <w:rFonts w:hint="eastAsia" w:ascii="Times New Roman" w:hAnsi="Times New Roman"/>
                <w:color w:val="auto"/>
                <w:highlight w:val="none"/>
                <w:vertAlign w:val="baseline"/>
                <w:lang w:val="en-US" w:eastAsia="zh-CN"/>
              </w:rPr>
              <w:t>工作年限</w:t>
            </w:r>
          </w:p>
        </w:tc>
        <w:tc>
          <w:tcPr>
            <w:tcW w:w="1319" w:type="dxa"/>
          </w:tcPr>
          <w:p w14:paraId="7653BED0">
            <w:pPr>
              <w:spacing w:line="440" w:lineRule="exact"/>
              <w:rPr>
                <w:rFonts w:hint="eastAsia" w:ascii="Times New Roman" w:hAnsi="Times New Roman" w:eastAsia="宋体"/>
                <w:color w:val="auto"/>
                <w:highlight w:val="none"/>
                <w:vertAlign w:val="baseline"/>
                <w:lang w:val="en-US" w:eastAsia="zh-CN"/>
              </w:rPr>
            </w:pPr>
            <w:r>
              <w:rPr>
                <w:rFonts w:hint="eastAsia" w:ascii="Times New Roman" w:hAnsi="Times New Roman"/>
                <w:color w:val="auto"/>
                <w:highlight w:val="none"/>
                <w:vertAlign w:val="baseline"/>
                <w:lang w:val="en-US" w:eastAsia="zh-CN"/>
              </w:rPr>
              <w:t>备注</w:t>
            </w:r>
          </w:p>
        </w:tc>
      </w:tr>
      <w:tr w14:paraId="2535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14:paraId="241D6EDC">
            <w:pPr>
              <w:spacing w:line="440" w:lineRule="exact"/>
              <w:rPr>
                <w:rFonts w:ascii="Times New Roman" w:hAnsi="Times New Roman"/>
                <w:color w:val="auto"/>
                <w:highlight w:val="none"/>
                <w:vertAlign w:val="baseline"/>
              </w:rPr>
            </w:pPr>
          </w:p>
        </w:tc>
        <w:tc>
          <w:tcPr>
            <w:tcW w:w="1318" w:type="dxa"/>
          </w:tcPr>
          <w:p w14:paraId="3A9D0438">
            <w:pPr>
              <w:spacing w:line="440" w:lineRule="exact"/>
              <w:rPr>
                <w:rFonts w:ascii="Times New Roman" w:hAnsi="Times New Roman"/>
                <w:color w:val="auto"/>
                <w:highlight w:val="none"/>
                <w:vertAlign w:val="baseline"/>
              </w:rPr>
            </w:pPr>
          </w:p>
        </w:tc>
        <w:tc>
          <w:tcPr>
            <w:tcW w:w="1319" w:type="dxa"/>
          </w:tcPr>
          <w:p w14:paraId="549716CF">
            <w:pPr>
              <w:spacing w:line="440" w:lineRule="exact"/>
              <w:rPr>
                <w:rFonts w:ascii="Times New Roman" w:hAnsi="Times New Roman"/>
                <w:color w:val="auto"/>
                <w:highlight w:val="none"/>
                <w:vertAlign w:val="baseline"/>
              </w:rPr>
            </w:pPr>
          </w:p>
        </w:tc>
        <w:tc>
          <w:tcPr>
            <w:tcW w:w="1319" w:type="dxa"/>
          </w:tcPr>
          <w:p w14:paraId="7CF9EE02">
            <w:pPr>
              <w:spacing w:line="440" w:lineRule="exact"/>
              <w:rPr>
                <w:rFonts w:ascii="Times New Roman" w:hAnsi="Times New Roman"/>
                <w:color w:val="auto"/>
                <w:highlight w:val="none"/>
                <w:vertAlign w:val="baseline"/>
              </w:rPr>
            </w:pPr>
          </w:p>
        </w:tc>
        <w:tc>
          <w:tcPr>
            <w:tcW w:w="1319" w:type="dxa"/>
          </w:tcPr>
          <w:p w14:paraId="1EAAB853">
            <w:pPr>
              <w:spacing w:line="440" w:lineRule="exact"/>
              <w:rPr>
                <w:rFonts w:ascii="Times New Roman" w:hAnsi="Times New Roman"/>
                <w:color w:val="auto"/>
                <w:highlight w:val="none"/>
                <w:vertAlign w:val="baseline"/>
              </w:rPr>
            </w:pPr>
          </w:p>
        </w:tc>
        <w:tc>
          <w:tcPr>
            <w:tcW w:w="1319" w:type="dxa"/>
          </w:tcPr>
          <w:p w14:paraId="59660DE6">
            <w:pPr>
              <w:spacing w:line="440" w:lineRule="exact"/>
              <w:rPr>
                <w:rFonts w:ascii="Times New Roman" w:hAnsi="Times New Roman"/>
                <w:color w:val="auto"/>
                <w:highlight w:val="none"/>
                <w:vertAlign w:val="baseline"/>
              </w:rPr>
            </w:pPr>
          </w:p>
        </w:tc>
        <w:tc>
          <w:tcPr>
            <w:tcW w:w="1319" w:type="dxa"/>
          </w:tcPr>
          <w:p w14:paraId="04C5785E">
            <w:pPr>
              <w:spacing w:line="440" w:lineRule="exact"/>
              <w:rPr>
                <w:rFonts w:ascii="Times New Roman" w:hAnsi="Times New Roman"/>
                <w:color w:val="auto"/>
                <w:highlight w:val="none"/>
                <w:vertAlign w:val="baseline"/>
              </w:rPr>
            </w:pPr>
          </w:p>
        </w:tc>
      </w:tr>
      <w:tr w14:paraId="4D8B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14:paraId="08901AA7">
            <w:pPr>
              <w:spacing w:line="440" w:lineRule="exact"/>
              <w:rPr>
                <w:rFonts w:ascii="Times New Roman" w:hAnsi="Times New Roman"/>
                <w:color w:val="auto"/>
                <w:highlight w:val="none"/>
                <w:vertAlign w:val="baseline"/>
              </w:rPr>
            </w:pPr>
          </w:p>
        </w:tc>
        <w:tc>
          <w:tcPr>
            <w:tcW w:w="1318" w:type="dxa"/>
          </w:tcPr>
          <w:p w14:paraId="7104A647">
            <w:pPr>
              <w:spacing w:line="440" w:lineRule="exact"/>
              <w:rPr>
                <w:rFonts w:ascii="Times New Roman" w:hAnsi="Times New Roman"/>
                <w:color w:val="auto"/>
                <w:highlight w:val="none"/>
                <w:vertAlign w:val="baseline"/>
              </w:rPr>
            </w:pPr>
          </w:p>
        </w:tc>
        <w:tc>
          <w:tcPr>
            <w:tcW w:w="1319" w:type="dxa"/>
          </w:tcPr>
          <w:p w14:paraId="13281E1E">
            <w:pPr>
              <w:spacing w:line="440" w:lineRule="exact"/>
              <w:rPr>
                <w:rFonts w:ascii="Times New Roman" w:hAnsi="Times New Roman"/>
                <w:color w:val="auto"/>
                <w:highlight w:val="none"/>
                <w:vertAlign w:val="baseline"/>
              </w:rPr>
            </w:pPr>
          </w:p>
        </w:tc>
        <w:tc>
          <w:tcPr>
            <w:tcW w:w="1319" w:type="dxa"/>
          </w:tcPr>
          <w:p w14:paraId="430C79B4">
            <w:pPr>
              <w:spacing w:line="440" w:lineRule="exact"/>
              <w:rPr>
                <w:rFonts w:ascii="Times New Roman" w:hAnsi="Times New Roman"/>
                <w:color w:val="auto"/>
                <w:highlight w:val="none"/>
                <w:vertAlign w:val="baseline"/>
              </w:rPr>
            </w:pPr>
          </w:p>
        </w:tc>
        <w:tc>
          <w:tcPr>
            <w:tcW w:w="1319" w:type="dxa"/>
          </w:tcPr>
          <w:p w14:paraId="51484479">
            <w:pPr>
              <w:spacing w:line="440" w:lineRule="exact"/>
              <w:rPr>
                <w:rFonts w:ascii="Times New Roman" w:hAnsi="Times New Roman"/>
                <w:color w:val="auto"/>
                <w:highlight w:val="none"/>
                <w:vertAlign w:val="baseline"/>
              </w:rPr>
            </w:pPr>
          </w:p>
        </w:tc>
        <w:tc>
          <w:tcPr>
            <w:tcW w:w="1319" w:type="dxa"/>
          </w:tcPr>
          <w:p w14:paraId="7156D28C">
            <w:pPr>
              <w:spacing w:line="440" w:lineRule="exact"/>
              <w:rPr>
                <w:rFonts w:ascii="Times New Roman" w:hAnsi="Times New Roman"/>
                <w:color w:val="auto"/>
                <w:highlight w:val="none"/>
                <w:vertAlign w:val="baseline"/>
              </w:rPr>
            </w:pPr>
          </w:p>
        </w:tc>
        <w:tc>
          <w:tcPr>
            <w:tcW w:w="1319" w:type="dxa"/>
          </w:tcPr>
          <w:p w14:paraId="44482D71">
            <w:pPr>
              <w:spacing w:line="440" w:lineRule="exact"/>
              <w:rPr>
                <w:rFonts w:ascii="Times New Roman" w:hAnsi="Times New Roman"/>
                <w:color w:val="auto"/>
                <w:highlight w:val="none"/>
                <w:vertAlign w:val="baseline"/>
              </w:rPr>
            </w:pPr>
          </w:p>
        </w:tc>
      </w:tr>
      <w:tr w14:paraId="03C4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14:paraId="4DCEB5D3">
            <w:pPr>
              <w:spacing w:line="440" w:lineRule="exact"/>
              <w:rPr>
                <w:rFonts w:ascii="Times New Roman" w:hAnsi="Times New Roman"/>
                <w:color w:val="auto"/>
                <w:highlight w:val="none"/>
                <w:vertAlign w:val="baseline"/>
              </w:rPr>
            </w:pPr>
          </w:p>
        </w:tc>
        <w:tc>
          <w:tcPr>
            <w:tcW w:w="1318" w:type="dxa"/>
          </w:tcPr>
          <w:p w14:paraId="4EC2A536">
            <w:pPr>
              <w:spacing w:line="440" w:lineRule="exact"/>
              <w:rPr>
                <w:rFonts w:ascii="Times New Roman" w:hAnsi="Times New Roman"/>
                <w:color w:val="auto"/>
                <w:highlight w:val="none"/>
                <w:vertAlign w:val="baseline"/>
              </w:rPr>
            </w:pPr>
          </w:p>
        </w:tc>
        <w:tc>
          <w:tcPr>
            <w:tcW w:w="1319" w:type="dxa"/>
          </w:tcPr>
          <w:p w14:paraId="3EE16788">
            <w:pPr>
              <w:spacing w:line="440" w:lineRule="exact"/>
              <w:rPr>
                <w:rFonts w:ascii="Times New Roman" w:hAnsi="Times New Roman"/>
                <w:color w:val="auto"/>
                <w:highlight w:val="none"/>
                <w:vertAlign w:val="baseline"/>
              </w:rPr>
            </w:pPr>
          </w:p>
        </w:tc>
        <w:tc>
          <w:tcPr>
            <w:tcW w:w="1319" w:type="dxa"/>
          </w:tcPr>
          <w:p w14:paraId="0A8432EB">
            <w:pPr>
              <w:spacing w:line="440" w:lineRule="exact"/>
              <w:rPr>
                <w:rFonts w:ascii="Times New Roman" w:hAnsi="Times New Roman"/>
                <w:color w:val="auto"/>
                <w:highlight w:val="none"/>
                <w:vertAlign w:val="baseline"/>
              </w:rPr>
            </w:pPr>
          </w:p>
        </w:tc>
        <w:tc>
          <w:tcPr>
            <w:tcW w:w="1319" w:type="dxa"/>
          </w:tcPr>
          <w:p w14:paraId="4156A3F1">
            <w:pPr>
              <w:spacing w:line="440" w:lineRule="exact"/>
              <w:rPr>
                <w:rFonts w:ascii="Times New Roman" w:hAnsi="Times New Roman"/>
                <w:color w:val="auto"/>
                <w:highlight w:val="none"/>
                <w:vertAlign w:val="baseline"/>
              </w:rPr>
            </w:pPr>
          </w:p>
        </w:tc>
        <w:tc>
          <w:tcPr>
            <w:tcW w:w="1319" w:type="dxa"/>
          </w:tcPr>
          <w:p w14:paraId="6996B287">
            <w:pPr>
              <w:spacing w:line="440" w:lineRule="exact"/>
              <w:rPr>
                <w:rFonts w:ascii="Times New Roman" w:hAnsi="Times New Roman"/>
                <w:color w:val="auto"/>
                <w:highlight w:val="none"/>
                <w:vertAlign w:val="baseline"/>
              </w:rPr>
            </w:pPr>
          </w:p>
        </w:tc>
        <w:tc>
          <w:tcPr>
            <w:tcW w:w="1319" w:type="dxa"/>
          </w:tcPr>
          <w:p w14:paraId="52CA19A6">
            <w:pPr>
              <w:spacing w:line="440" w:lineRule="exact"/>
              <w:rPr>
                <w:rFonts w:ascii="Times New Roman" w:hAnsi="Times New Roman"/>
                <w:color w:val="auto"/>
                <w:highlight w:val="none"/>
                <w:vertAlign w:val="baseline"/>
              </w:rPr>
            </w:pPr>
          </w:p>
        </w:tc>
      </w:tr>
      <w:tr w14:paraId="02D2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14:paraId="6DC5F870">
            <w:pPr>
              <w:spacing w:line="440" w:lineRule="exact"/>
              <w:rPr>
                <w:rFonts w:ascii="Times New Roman" w:hAnsi="Times New Roman"/>
                <w:color w:val="auto"/>
                <w:highlight w:val="none"/>
                <w:vertAlign w:val="baseline"/>
              </w:rPr>
            </w:pPr>
          </w:p>
        </w:tc>
        <w:tc>
          <w:tcPr>
            <w:tcW w:w="1318" w:type="dxa"/>
          </w:tcPr>
          <w:p w14:paraId="6583F8C0">
            <w:pPr>
              <w:spacing w:line="440" w:lineRule="exact"/>
              <w:rPr>
                <w:rFonts w:ascii="Times New Roman" w:hAnsi="Times New Roman"/>
                <w:color w:val="auto"/>
                <w:highlight w:val="none"/>
                <w:vertAlign w:val="baseline"/>
              </w:rPr>
            </w:pPr>
          </w:p>
        </w:tc>
        <w:tc>
          <w:tcPr>
            <w:tcW w:w="1319" w:type="dxa"/>
          </w:tcPr>
          <w:p w14:paraId="3EB8C5E6">
            <w:pPr>
              <w:spacing w:line="440" w:lineRule="exact"/>
              <w:rPr>
                <w:rFonts w:ascii="Times New Roman" w:hAnsi="Times New Roman"/>
                <w:color w:val="auto"/>
                <w:highlight w:val="none"/>
                <w:vertAlign w:val="baseline"/>
              </w:rPr>
            </w:pPr>
          </w:p>
        </w:tc>
        <w:tc>
          <w:tcPr>
            <w:tcW w:w="1319" w:type="dxa"/>
          </w:tcPr>
          <w:p w14:paraId="274F3795">
            <w:pPr>
              <w:spacing w:line="440" w:lineRule="exact"/>
              <w:rPr>
                <w:rFonts w:ascii="Times New Roman" w:hAnsi="Times New Roman"/>
                <w:color w:val="auto"/>
                <w:highlight w:val="none"/>
                <w:vertAlign w:val="baseline"/>
              </w:rPr>
            </w:pPr>
          </w:p>
        </w:tc>
        <w:tc>
          <w:tcPr>
            <w:tcW w:w="1319" w:type="dxa"/>
          </w:tcPr>
          <w:p w14:paraId="31F0C317">
            <w:pPr>
              <w:spacing w:line="440" w:lineRule="exact"/>
              <w:rPr>
                <w:rFonts w:ascii="Times New Roman" w:hAnsi="Times New Roman"/>
                <w:color w:val="auto"/>
                <w:highlight w:val="none"/>
                <w:vertAlign w:val="baseline"/>
              </w:rPr>
            </w:pPr>
          </w:p>
        </w:tc>
        <w:tc>
          <w:tcPr>
            <w:tcW w:w="1319" w:type="dxa"/>
          </w:tcPr>
          <w:p w14:paraId="45AA0D0C">
            <w:pPr>
              <w:spacing w:line="440" w:lineRule="exact"/>
              <w:rPr>
                <w:rFonts w:ascii="Times New Roman" w:hAnsi="Times New Roman"/>
                <w:color w:val="auto"/>
                <w:highlight w:val="none"/>
                <w:vertAlign w:val="baseline"/>
              </w:rPr>
            </w:pPr>
          </w:p>
        </w:tc>
        <w:tc>
          <w:tcPr>
            <w:tcW w:w="1319" w:type="dxa"/>
          </w:tcPr>
          <w:p w14:paraId="5E95BB1C">
            <w:pPr>
              <w:spacing w:line="440" w:lineRule="exact"/>
              <w:rPr>
                <w:rFonts w:ascii="Times New Roman" w:hAnsi="Times New Roman"/>
                <w:color w:val="auto"/>
                <w:highlight w:val="none"/>
                <w:vertAlign w:val="baseline"/>
              </w:rPr>
            </w:pPr>
          </w:p>
        </w:tc>
      </w:tr>
    </w:tbl>
    <w:p w14:paraId="213522D3">
      <w:pPr>
        <w:spacing w:line="440" w:lineRule="exact"/>
        <w:rPr>
          <w:rFonts w:ascii="Times New Roman" w:hAnsi="Times New Roman"/>
          <w:color w:val="auto"/>
          <w:highlight w:val="none"/>
        </w:rPr>
      </w:pPr>
    </w:p>
    <w:p w14:paraId="3759986E">
      <w:pPr>
        <w:spacing w:line="440" w:lineRule="exact"/>
        <w:rPr>
          <w:rFonts w:ascii="Times New Roman" w:hAnsi="Times New Roman"/>
          <w:color w:val="auto"/>
          <w:highlight w:val="none"/>
        </w:rPr>
      </w:pPr>
      <w:r>
        <w:rPr>
          <w:rFonts w:ascii="Times New Roman" w:hAnsi="Times New Roman"/>
          <w:color w:val="auto"/>
          <w:highlight w:val="none"/>
        </w:rPr>
        <w:t>注：</w:t>
      </w:r>
      <w:r>
        <w:rPr>
          <w:rFonts w:hint="eastAsia" w:ascii="Times New Roman" w:hAnsi="Times New Roman"/>
          <w:color w:val="auto"/>
          <w:highlight w:val="none"/>
          <w:lang w:val="en-US" w:eastAsia="zh-CN"/>
        </w:rPr>
        <w:t>按第三章评标办法</w:t>
      </w:r>
      <w:r>
        <w:rPr>
          <w:rFonts w:ascii="Times New Roman" w:hAnsi="Times New Roman"/>
          <w:color w:val="auto"/>
          <w:highlight w:val="none"/>
        </w:rPr>
        <w:t>在本表后附相关证明材料。</w:t>
      </w:r>
    </w:p>
    <w:p w14:paraId="5B14011B">
      <w:pPr>
        <w:pStyle w:val="5"/>
        <w:keepNext w:val="0"/>
        <w:keepLines w:val="0"/>
        <w:ind w:firstLine="137"/>
        <w:rPr>
          <w:rFonts w:ascii="Times New Roman" w:hAnsi="Times New Roman"/>
          <w:color w:val="auto"/>
          <w:highlight w:val="none"/>
        </w:rPr>
      </w:pPr>
    </w:p>
    <w:p w14:paraId="062FB155">
      <w:pPr>
        <w:rPr>
          <w:rFonts w:ascii="Times New Roman" w:hAnsi="Times New Roman"/>
          <w:color w:val="auto"/>
          <w:highlight w:val="none"/>
        </w:rPr>
      </w:pPr>
    </w:p>
    <w:p w14:paraId="49E5B3D2">
      <w:pPr>
        <w:pStyle w:val="11"/>
        <w:rPr>
          <w:rFonts w:ascii="Times New Roman" w:hAnsi="Times New Roman"/>
          <w:color w:val="auto"/>
          <w:highlight w:val="none"/>
        </w:rPr>
      </w:pPr>
    </w:p>
    <w:p w14:paraId="181785C6">
      <w:pPr>
        <w:rPr>
          <w:rFonts w:ascii="Times New Roman" w:hAnsi="Times New Roman"/>
          <w:color w:val="auto"/>
          <w:highlight w:val="none"/>
        </w:rPr>
      </w:pPr>
    </w:p>
    <w:p w14:paraId="758D7A8D">
      <w:pPr>
        <w:pStyle w:val="11"/>
        <w:rPr>
          <w:color w:val="auto"/>
          <w:highlight w:val="none"/>
        </w:rPr>
      </w:pPr>
    </w:p>
    <w:p w14:paraId="61EED63C">
      <w:pPr>
        <w:rPr>
          <w:rFonts w:hint="eastAsia" w:ascii="Times New Roman" w:hAnsi="Times New Roman"/>
          <w:color w:val="auto"/>
          <w:highlight w:val="none"/>
        </w:rPr>
      </w:pPr>
      <w:bookmarkStart w:id="1113" w:name="_Toc388"/>
      <w:bookmarkStart w:id="1114" w:name="_Toc24451"/>
      <w:bookmarkStart w:id="1115" w:name="_Toc18804"/>
      <w:r>
        <w:rPr>
          <w:rFonts w:hint="eastAsia" w:ascii="Times New Roman" w:hAnsi="Times New Roman"/>
          <w:color w:val="auto"/>
          <w:highlight w:val="none"/>
        </w:rPr>
        <w:br w:type="page"/>
      </w:r>
    </w:p>
    <w:p w14:paraId="3AFF9A89">
      <w:pPr>
        <w:pStyle w:val="5"/>
        <w:keepNext w:val="0"/>
        <w:keepLines w:val="0"/>
        <w:ind w:firstLine="137"/>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三</w:t>
      </w:r>
      <w:r>
        <w:rPr>
          <w:rFonts w:hint="eastAsia" w:ascii="Times New Roman" w:hAnsi="Times New Roman"/>
          <w:color w:val="auto"/>
          <w:highlight w:val="none"/>
        </w:rPr>
        <w:t>）拟投入本项目的</w:t>
      </w:r>
      <w:r>
        <w:rPr>
          <w:rFonts w:hint="eastAsia" w:ascii="Times New Roman" w:hAnsi="Times New Roman"/>
          <w:color w:val="auto"/>
          <w:highlight w:val="none"/>
          <w:lang w:val="en-US" w:eastAsia="zh-CN"/>
        </w:rPr>
        <w:t>主要的仪器</w:t>
      </w:r>
      <w:r>
        <w:rPr>
          <w:rFonts w:hint="eastAsia" w:ascii="Times New Roman" w:hAnsi="Times New Roman"/>
          <w:color w:val="auto"/>
          <w:highlight w:val="none"/>
        </w:rPr>
        <w:t>设备</w:t>
      </w:r>
      <w:r>
        <w:rPr>
          <w:rFonts w:hint="eastAsia" w:ascii="Times New Roman" w:hAnsi="Times New Roman"/>
          <w:color w:val="auto"/>
          <w:highlight w:val="none"/>
          <w:lang w:val="en-US" w:eastAsia="zh-CN"/>
        </w:rPr>
        <w:t>一览表</w:t>
      </w:r>
      <w:r>
        <w:rPr>
          <w:rFonts w:ascii="Times New Roman" w:hAnsi="Times New Roman"/>
          <w:color w:val="auto"/>
          <w:highlight w:val="none"/>
        </w:rPr>
        <w:t>（格式可自定）</w:t>
      </w:r>
      <w:bookmarkEnd w:id="1113"/>
      <w:bookmarkEnd w:id="1114"/>
      <w:bookmarkEnd w:id="1115"/>
    </w:p>
    <w:tbl>
      <w:tblPr>
        <w:tblStyle w:val="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2335"/>
        <w:gridCol w:w="2183"/>
        <w:gridCol w:w="2100"/>
        <w:gridCol w:w="1405"/>
      </w:tblGrid>
      <w:tr w14:paraId="6F3F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51" w:type="pct"/>
            <w:vAlign w:val="center"/>
          </w:tcPr>
          <w:p w14:paraId="766E58FE">
            <w:pPr>
              <w:spacing w:line="440" w:lineRule="exact"/>
              <w:rPr>
                <w:rFonts w:ascii="Times New Roman" w:hAnsi="Times New Roman"/>
                <w:color w:val="auto"/>
                <w:szCs w:val="21"/>
                <w:highlight w:val="none"/>
              </w:rPr>
            </w:pPr>
            <w:r>
              <w:rPr>
                <w:rFonts w:ascii="Times New Roman" w:hAnsi="Times New Roman"/>
                <w:color w:val="auto"/>
                <w:szCs w:val="21"/>
                <w:highlight w:val="none"/>
              </w:rPr>
              <w:t>序号</w:t>
            </w:r>
          </w:p>
        </w:tc>
        <w:tc>
          <w:tcPr>
            <w:tcW w:w="1265" w:type="pct"/>
            <w:vAlign w:val="center"/>
          </w:tcPr>
          <w:p w14:paraId="4A580DC4">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仪器设备名称</w:t>
            </w:r>
          </w:p>
        </w:tc>
        <w:tc>
          <w:tcPr>
            <w:tcW w:w="1183" w:type="pct"/>
            <w:vAlign w:val="center"/>
          </w:tcPr>
          <w:p w14:paraId="7641F1DA">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型号规格</w:t>
            </w:r>
          </w:p>
        </w:tc>
        <w:tc>
          <w:tcPr>
            <w:tcW w:w="1138" w:type="pct"/>
            <w:vAlign w:val="center"/>
          </w:tcPr>
          <w:p w14:paraId="077BC54F">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数量</w:t>
            </w:r>
          </w:p>
        </w:tc>
        <w:tc>
          <w:tcPr>
            <w:tcW w:w="761" w:type="pct"/>
            <w:vAlign w:val="center"/>
          </w:tcPr>
          <w:p w14:paraId="7C552D73">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备注</w:t>
            </w:r>
          </w:p>
        </w:tc>
      </w:tr>
      <w:tr w14:paraId="68BE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51" w:type="pct"/>
            <w:vAlign w:val="center"/>
          </w:tcPr>
          <w:p w14:paraId="41D70994">
            <w:pPr>
              <w:spacing w:line="440" w:lineRule="exact"/>
              <w:jc w:val="center"/>
              <w:rPr>
                <w:rFonts w:ascii="Times New Roman" w:hAnsi="Times New Roman"/>
                <w:color w:val="auto"/>
                <w:szCs w:val="21"/>
                <w:highlight w:val="none"/>
              </w:rPr>
            </w:pPr>
          </w:p>
        </w:tc>
        <w:tc>
          <w:tcPr>
            <w:tcW w:w="1265" w:type="pct"/>
            <w:vAlign w:val="center"/>
          </w:tcPr>
          <w:p w14:paraId="69CC8E87">
            <w:pPr>
              <w:spacing w:line="440" w:lineRule="exact"/>
              <w:jc w:val="center"/>
              <w:rPr>
                <w:rFonts w:ascii="Times New Roman" w:hAnsi="Times New Roman"/>
                <w:color w:val="auto"/>
                <w:szCs w:val="21"/>
                <w:highlight w:val="none"/>
              </w:rPr>
            </w:pPr>
          </w:p>
        </w:tc>
        <w:tc>
          <w:tcPr>
            <w:tcW w:w="1183" w:type="pct"/>
            <w:vAlign w:val="center"/>
          </w:tcPr>
          <w:p w14:paraId="0D824B94">
            <w:pPr>
              <w:spacing w:line="440" w:lineRule="exact"/>
              <w:jc w:val="center"/>
              <w:rPr>
                <w:rFonts w:ascii="Times New Roman" w:hAnsi="Times New Roman"/>
                <w:color w:val="auto"/>
                <w:szCs w:val="21"/>
                <w:highlight w:val="none"/>
              </w:rPr>
            </w:pPr>
          </w:p>
        </w:tc>
        <w:tc>
          <w:tcPr>
            <w:tcW w:w="1138" w:type="pct"/>
            <w:vAlign w:val="center"/>
          </w:tcPr>
          <w:p w14:paraId="75580056">
            <w:pPr>
              <w:spacing w:line="440" w:lineRule="exact"/>
              <w:jc w:val="center"/>
              <w:rPr>
                <w:rFonts w:ascii="Times New Roman" w:hAnsi="Times New Roman"/>
                <w:color w:val="auto"/>
                <w:szCs w:val="21"/>
                <w:highlight w:val="none"/>
              </w:rPr>
            </w:pPr>
          </w:p>
        </w:tc>
        <w:tc>
          <w:tcPr>
            <w:tcW w:w="761" w:type="pct"/>
            <w:vAlign w:val="center"/>
          </w:tcPr>
          <w:p w14:paraId="645FE6AD">
            <w:pPr>
              <w:spacing w:line="440" w:lineRule="exact"/>
              <w:jc w:val="center"/>
              <w:rPr>
                <w:rFonts w:ascii="Times New Roman" w:hAnsi="Times New Roman"/>
                <w:color w:val="auto"/>
                <w:szCs w:val="21"/>
                <w:highlight w:val="none"/>
              </w:rPr>
            </w:pPr>
          </w:p>
        </w:tc>
      </w:tr>
      <w:tr w14:paraId="7452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51" w:type="pct"/>
            <w:vAlign w:val="center"/>
          </w:tcPr>
          <w:p w14:paraId="6733CA5C">
            <w:pPr>
              <w:spacing w:line="440" w:lineRule="exact"/>
              <w:jc w:val="center"/>
              <w:rPr>
                <w:rFonts w:ascii="Times New Roman" w:hAnsi="Times New Roman"/>
                <w:color w:val="auto"/>
                <w:szCs w:val="21"/>
                <w:highlight w:val="none"/>
              </w:rPr>
            </w:pPr>
          </w:p>
        </w:tc>
        <w:tc>
          <w:tcPr>
            <w:tcW w:w="1265" w:type="pct"/>
            <w:vAlign w:val="center"/>
          </w:tcPr>
          <w:p w14:paraId="6266B833">
            <w:pPr>
              <w:spacing w:line="440" w:lineRule="exact"/>
              <w:jc w:val="center"/>
              <w:rPr>
                <w:rFonts w:ascii="Times New Roman" w:hAnsi="Times New Roman"/>
                <w:color w:val="auto"/>
                <w:szCs w:val="21"/>
                <w:highlight w:val="none"/>
              </w:rPr>
            </w:pPr>
          </w:p>
        </w:tc>
        <w:tc>
          <w:tcPr>
            <w:tcW w:w="1183" w:type="pct"/>
            <w:vAlign w:val="center"/>
          </w:tcPr>
          <w:p w14:paraId="09952D65">
            <w:pPr>
              <w:spacing w:line="440" w:lineRule="exact"/>
              <w:jc w:val="center"/>
              <w:rPr>
                <w:rFonts w:ascii="Times New Roman" w:hAnsi="Times New Roman"/>
                <w:color w:val="auto"/>
                <w:szCs w:val="21"/>
                <w:highlight w:val="none"/>
              </w:rPr>
            </w:pPr>
          </w:p>
        </w:tc>
        <w:tc>
          <w:tcPr>
            <w:tcW w:w="1138" w:type="pct"/>
            <w:vAlign w:val="center"/>
          </w:tcPr>
          <w:p w14:paraId="537012AC">
            <w:pPr>
              <w:spacing w:line="440" w:lineRule="exact"/>
              <w:jc w:val="center"/>
              <w:rPr>
                <w:rFonts w:ascii="Times New Roman" w:hAnsi="Times New Roman"/>
                <w:color w:val="auto"/>
                <w:szCs w:val="21"/>
                <w:highlight w:val="none"/>
              </w:rPr>
            </w:pPr>
          </w:p>
        </w:tc>
        <w:tc>
          <w:tcPr>
            <w:tcW w:w="761" w:type="pct"/>
            <w:vAlign w:val="center"/>
          </w:tcPr>
          <w:p w14:paraId="46669247">
            <w:pPr>
              <w:spacing w:line="440" w:lineRule="exact"/>
              <w:jc w:val="center"/>
              <w:rPr>
                <w:rFonts w:ascii="Times New Roman" w:hAnsi="Times New Roman"/>
                <w:color w:val="auto"/>
                <w:szCs w:val="21"/>
                <w:highlight w:val="none"/>
              </w:rPr>
            </w:pPr>
          </w:p>
        </w:tc>
      </w:tr>
      <w:tr w14:paraId="40F4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51" w:type="pct"/>
          </w:tcPr>
          <w:p w14:paraId="7BB7E993">
            <w:pPr>
              <w:spacing w:line="440" w:lineRule="exact"/>
              <w:jc w:val="center"/>
              <w:rPr>
                <w:rFonts w:ascii="Times New Roman" w:hAnsi="Times New Roman"/>
                <w:color w:val="auto"/>
                <w:szCs w:val="21"/>
                <w:highlight w:val="none"/>
              </w:rPr>
            </w:pPr>
          </w:p>
        </w:tc>
        <w:tc>
          <w:tcPr>
            <w:tcW w:w="1265" w:type="pct"/>
          </w:tcPr>
          <w:p w14:paraId="2DB65103">
            <w:pPr>
              <w:spacing w:line="440" w:lineRule="exact"/>
              <w:jc w:val="center"/>
              <w:rPr>
                <w:rFonts w:ascii="Times New Roman" w:hAnsi="Times New Roman"/>
                <w:color w:val="auto"/>
                <w:szCs w:val="21"/>
                <w:highlight w:val="none"/>
              </w:rPr>
            </w:pPr>
          </w:p>
        </w:tc>
        <w:tc>
          <w:tcPr>
            <w:tcW w:w="1183" w:type="pct"/>
          </w:tcPr>
          <w:p w14:paraId="424109BD">
            <w:pPr>
              <w:spacing w:line="440" w:lineRule="exact"/>
              <w:jc w:val="center"/>
              <w:rPr>
                <w:rFonts w:ascii="Times New Roman" w:hAnsi="Times New Roman"/>
                <w:color w:val="auto"/>
                <w:szCs w:val="21"/>
                <w:highlight w:val="none"/>
              </w:rPr>
            </w:pPr>
          </w:p>
        </w:tc>
        <w:tc>
          <w:tcPr>
            <w:tcW w:w="1138" w:type="pct"/>
          </w:tcPr>
          <w:p w14:paraId="51790CA8">
            <w:pPr>
              <w:spacing w:line="440" w:lineRule="exact"/>
              <w:jc w:val="center"/>
              <w:rPr>
                <w:rFonts w:ascii="Times New Roman" w:hAnsi="Times New Roman"/>
                <w:color w:val="auto"/>
                <w:szCs w:val="21"/>
                <w:highlight w:val="none"/>
              </w:rPr>
            </w:pPr>
          </w:p>
        </w:tc>
        <w:tc>
          <w:tcPr>
            <w:tcW w:w="761" w:type="pct"/>
          </w:tcPr>
          <w:p w14:paraId="30F234B3">
            <w:pPr>
              <w:spacing w:line="440" w:lineRule="exact"/>
              <w:jc w:val="center"/>
              <w:rPr>
                <w:rFonts w:ascii="Times New Roman" w:hAnsi="Times New Roman"/>
                <w:color w:val="auto"/>
                <w:szCs w:val="21"/>
                <w:highlight w:val="none"/>
              </w:rPr>
            </w:pPr>
          </w:p>
        </w:tc>
      </w:tr>
      <w:tr w14:paraId="35B1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51" w:type="pct"/>
          </w:tcPr>
          <w:p w14:paraId="3B9A42C0">
            <w:pPr>
              <w:spacing w:line="440" w:lineRule="exact"/>
              <w:jc w:val="center"/>
              <w:rPr>
                <w:rFonts w:ascii="Times New Roman" w:hAnsi="Times New Roman"/>
                <w:color w:val="auto"/>
                <w:szCs w:val="21"/>
                <w:highlight w:val="none"/>
              </w:rPr>
            </w:pPr>
          </w:p>
        </w:tc>
        <w:tc>
          <w:tcPr>
            <w:tcW w:w="1265" w:type="pct"/>
          </w:tcPr>
          <w:p w14:paraId="00F83645">
            <w:pPr>
              <w:spacing w:line="440" w:lineRule="exact"/>
              <w:jc w:val="center"/>
              <w:rPr>
                <w:rFonts w:ascii="Times New Roman" w:hAnsi="Times New Roman"/>
                <w:color w:val="auto"/>
                <w:szCs w:val="21"/>
                <w:highlight w:val="none"/>
              </w:rPr>
            </w:pPr>
          </w:p>
        </w:tc>
        <w:tc>
          <w:tcPr>
            <w:tcW w:w="1183" w:type="pct"/>
          </w:tcPr>
          <w:p w14:paraId="049E663F">
            <w:pPr>
              <w:spacing w:line="440" w:lineRule="exact"/>
              <w:jc w:val="center"/>
              <w:rPr>
                <w:rFonts w:ascii="Times New Roman" w:hAnsi="Times New Roman"/>
                <w:color w:val="auto"/>
                <w:szCs w:val="21"/>
                <w:highlight w:val="none"/>
              </w:rPr>
            </w:pPr>
          </w:p>
        </w:tc>
        <w:tc>
          <w:tcPr>
            <w:tcW w:w="1138" w:type="pct"/>
          </w:tcPr>
          <w:p w14:paraId="0BFECBEE">
            <w:pPr>
              <w:spacing w:line="440" w:lineRule="exact"/>
              <w:jc w:val="center"/>
              <w:rPr>
                <w:rFonts w:ascii="Times New Roman" w:hAnsi="Times New Roman"/>
                <w:color w:val="auto"/>
                <w:szCs w:val="21"/>
                <w:highlight w:val="none"/>
              </w:rPr>
            </w:pPr>
          </w:p>
        </w:tc>
        <w:tc>
          <w:tcPr>
            <w:tcW w:w="761" w:type="pct"/>
          </w:tcPr>
          <w:p w14:paraId="6974F2DB">
            <w:pPr>
              <w:spacing w:line="440" w:lineRule="exact"/>
              <w:jc w:val="center"/>
              <w:rPr>
                <w:rFonts w:ascii="Times New Roman" w:hAnsi="Times New Roman"/>
                <w:color w:val="auto"/>
                <w:szCs w:val="21"/>
                <w:highlight w:val="none"/>
              </w:rPr>
            </w:pPr>
          </w:p>
        </w:tc>
      </w:tr>
      <w:tr w14:paraId="33B7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1" w:type="pct"/>
          </w:tcPr>
          <w:p w14:paraId="5313F329">
            <w:pPr>
              <w:spacing w:line="440" w:lineRule="exact"/>
              <w:jc w:val="center"/>
              <w:rPr>
                <w:rFonts w:ascii="Times New Roman" w:hAnsi="Times New Roman"/>
                <w:color w:val="auto"/>
                <w:szCs w:val="21"/>
                <w:highlight w:val="none"/>
              </w:rPr>
            </w:pPr>
          </w:p>
        </w:tc>
        <w:tc>
          <w:tcPr>
            <w:tcW w:w="1265" w:type="pct"/>
          </w:tcPr>
          <w:p w14:paraId="646A90EA">
            <w:pPr>
              <w:spacing w:line="440" w:lineRule="exact"/>
              <w:jc w:val="center"/>
              <w:rPr>
                <w:rFonts w:ascii="Times New Roman" w:hAnsi="Times New Roman"/>
                <w:color w:val="auto"/>
                <w:szCs w:val="21"/>
                <w:highlight w:val="none"/>
              </w:rPr>
            </w:pPr>
          </w:p>
        </w:tc>
        <w:tc>
          <w:tcPr>
            <w:tcW w:w="1183" w:type="pct"/>
          </w:tcPr>
          <w:p w14:paraId="38994921">
            <w:pPr>
              <w:spacing w:line="440" w:lineRule="exact"/>
              <w:jc w:val="center"/>
              <w:rPr>
                <w:rFonts w:ascii="Times New Roman" w:hAnsi="Times New Roman"/>
                <w:color w:val="auto"/>
                <w:szCs w:val="21"/>
                <w:highlight w:val="none"/>
              </w:rPr>
            </w:pPr>
          </w:p>
        </w:tc>
        <w:tc>
          <w:tcPr>
            <w:tcW w:w="1138" w:type="pct"/>
          </w:tcPr>
          <w:p w14:paraId="0F7F4794">
            <w:pPr>
              <w:spacing w:line="440" w:lineRule="exact"/>
              <w:jc w:val="center"/>
              <w:rPr>
                <w:rFonts w:ascii="Times New Roman" w:hAnsi="Times New Roman"/>
                <w:color w:val="auto"/>
                <w:szCs w:val="21"/>
                <w:highlight w:val="none"/>
              </w:rPr>
            </w:pPr>
          </w:p>
        </w:tc>
        <w:tc>
          <w:tcPr>
            <w:tcW w:w="761" w:type="pct"/>
          </w:tcPr>
          <w:p w14:paraId="396A5A64">
            <w:pPr>
              <w:spacing w:line="440" w:lineRule="exact"/>
              <w:jc w:val="center"/>
              <w:rPr>
                <w:rFonts w:ascii="Times New Roman" w:hAnsi="Times New Roman"/>
                <w:color w:val="auto"/>
                <w:szCs w:val="21"/>
                <w:highlight w:val="none"/>
              </w:rPr>
            </w:pPr>
          </w:p>
        </w:tc>
      </w:tr>
      <w:tr w14:paraId="35C0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51" w:type="pct"/>
          </w:tcPr>
          <w:p w14:paraId="350D1F3C">
            <w:pPr>
              <w:spacing w:line="440" w:lineRule="exact"/>
              <w:jc w:val="center"/>
              <w:rPr>
                <w:rFonts w:ascii="Times New Roman" w:hAnsi="Times New Roman"/>
                <w:color w:val="auto"/>
                <w:szCs w:val="21"/>
                <w:highlight w:val="none"/>
              </w:rPr>
            </w:pPr>
          </w:p>
        </w:tc>
        <w:tc>
          <w:tcPr>
            <w:tcW w:w="1265" w:type="pct"/>
          </w:tcPr>
          <w:p w14:paraId="3680D17B">
            <w:pPr>
              <w:spacing w:line="440" w:lineRule="exact"/>
              <w:jc w:val="center"/>
              <w:rPr>
                <w:rFonts w:ascii="Times New Roman" w:hAnsi="Times New Roman"/>
                <w:color w:val="auto"/>
                <w:szCs w:val="21"/>
                <w:highlight w:val="none"/>
              </w:rPr>
            </w:pPr>
          </w:p>
        </w:tc>
        <w:tc>
          <w:tcPr>
            <w:tcW w:w="1183" w:type="pct"/>
          </w:tcPr>
          <w:p w14:paraId="7CFE13CA">
            <w:pPr>
              <w:spacing w:line="440" w:lineRule="exact"/>
              <w:jc w:val="center"/>
              <w:rPr>
                <w:rFonts w:ascii="Times New Roman" w:hAnsi="Times New Roman"/>
                <w:color w:val="auto"/>
                <w:szCs w:val="21"/>
                <w:highlight w:val="none"/>
              </w:rPr>
            </w:pPr>
          </w:p>
        </w:tc>
        <w:tc>
          <w:tcPr>
            <w:tcW w:w="1138" w:type="pct"/>
          </w:tcPr>
          <w:p w14:paraId="0F32146C">
            <w:pPr>
              <w:spacing w:line="440" w:lineRule="exact"/>
              <w:jc w:val="center"/>
              <w:rPr>
                <w:rFonts w:ascii="Times New Roman" w:hAnsi="Times New Roman"/>
                <w:color w:val="auto"/>
                <w:szCs w:val="21"/>
                <w:highlight w:val="none"/>
              </w:rPr>
            </w:pPr>
          </w:p>
        </w:tc>
        <w:tc>
          <w:tcPr>
            <w:tcW w:w="761" w:type="pct"/>
          </w:tcPr>
          <w:p w14:paraId="3912B105">
            <w:pPr>
              <w:spacing w:line="440" w:lineRule="exact"/>
              <w:jc w:val="center"/>
              <w:rPr>
                <w:rFonts w:ascii="Times New Roman" w:hAnsi="Times New Roman"/>
                <w:color w:val="auto"/>
                <w:szCs w:val="21"/>
                <w:highlight w:val="none"/>
              </w:rPr>
            </w:pPr>
          </w:p>
        </w:tc>
      </w:tr>
      <w:tr w14:paraId="4359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51" w:type="pct"/>
          </w:tcPr>
          <w:p w14:paraId="1DE659DD">
            <w:pPr>
              <w:spacing w:line="440" w:lineRule="exact"/>
              <w:jc w:val="center"/>
              <w:rPr>
                <w:rFonts w:ascii="Times New Roman" w:hAnsi="Times New Roman"/>
                <w:color w:val="auto"/>
                <w:szCs w:val="21"/>
                <w:highlight w:val="none"/>
              </w:rPr>
            </w:pPr>
          </w:p>
        </w:tc>
        <w:tc>
          <w:tcPr>
            <w:tcW w:w="1265" w:type="pct"/>
          </w:tcPr>
          <w:p w14:paraId="2394CF31">
            <w:pPr>
              <w:spacing w:line="440" w:lineRule="exact"/>
              <w:jc w:val="center"/>
              <w:rPr>
                <w:rFonts w:ascii="Times New Roman" w:hAnsi="Times New Roman"/>
                <w:color w:val="auto"/>
                <w:szCs w:val="21"/>
                <w:highlight w:val="none"/>
              </w:rPr>
            </w:pPr>
          </w:p>
        </w:tc>
        <w:tc>
          <w:tcPr>
            <w:tcW w:w="1183" w:type="pct"/>
          </w:tcPr>
          <w:p w14:paraId="0E4459F7">
            <w:pPr>
              <w:spacing w:line="440" w:lineRule="exact"/>
              <w:jc w:val="center"/>
              <w:rPr>
                <w:rFonts w:ascii="Times New Roman" w:hAnsi="Times New Roman"/>
                <w:color w:val="auto"/>
                <w:szCs w:val="21"/>
                <w:highlight w:val="none"/>
              </w:rPr>
            </w:pPr>
          </w:p>
        </w:tc>
        <w:tc>
          <w:tcPr>
            <w:tcW w:w="1138" w:type="pct"/>
          </w:tcPr>
          <w:p w14:paraId="0D1259F9">
            <w:pPr>
              <w:spacing w:line="440" w:lineRule="exact"/>
              <w:jc w:val="center"/>
              <w:rPr>
                <w:rFonts w:ascii="Times New Roman" w:hAnsi="Times New Roman"/>
                <w:color w:val="auto"/>
                <w:szCs w:val="21"/>
                <w:highlight w:val="none"/>
              </w:rPr>
            </w:pPr>
          </w:p>
        </w:tc>
        <w:tc>
          <w:tcPr>
            <w:tcW w:w="761" w:type="pct"/>
          </w:tcPr>
          <w:p w14:paraId="37B0DD75">
            <w:pPr>
              <w:spacing w:line="440" w:lineRule="exact"/>
              <w:jc w:val="center"/>
              <w:rPr>
                <w:rFonts w:ascii="Times New Roman" w:hAnsi="Times New Roman"/>
                <w:color w:val="auto"/>
                <w:szCs w:val="21"/>
                <w:highlight w:val="none"/>
              </w:rPr>
            </w:pPr>
          </w:p>
        </w:tc>
      </w:tr>
      <w:tr w14:paraId="6A94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51" w:type="pct"/>
          </w:tcPr>
          <w:p w14:paraId="5B2623E7">
            <w:pPr>
              <w:spacing w:line="440" w:lineRule="exact"/>
              <w:jc w:val="center"/>
              <w:rPr>
                <w:rFonts w:ascii="Times New Roman" w:hAnsi="Times New Roman"/>
                <w:color w:val="auto"/>
                <w:szCs w:val="21"/>
                <w:highlight w:val="none"/>
              </w:rPr>
            </w:pPr>
          </w:p>
        </w:tc>
        <w:tc>
          <w:tcPr>
            <w:tcW w:w="1265" w:type="pct"/>
          </w:tcPr>
          <w:p w14:paraId="4137AD4C">
            <w:pPr>
              <w:spacing w:line="440" w:lineRule="exact"/>
              <w:jc w:val="center"/>
              <w:rPr>
                <w:rFonts w:ascii="Times New Roman" w:hAnsi="Times New Roman"/>
                <w:color w:val="auto"/>
                <w:szCs w:val="21"/>
                <w:highlight w:val="none"/>
              </w:rPr>
            </w:pPr>
          </w:p>
        </w:tc>
        <w:tc>
          <w:tcPr>
            <w:tcW w:w="1183" w:type="pct"/>
          </w:tcPr>
          <w:p w14:paraId="1F75750D">
            <w:pPr>
              <w:spacing w:line="440" w:lineRule="exact"/>
              <w:jc w:val="center"/>
              <w:rPr>
                <w:rFonts w:ascii="Times New Roman" w:hAnsi="Times New Roman"/>
                <w:color w:val="auto"/>
                <w:szCs w:val="21"/>
                <w:highlight w:val="none"/>
              </w:rPr>
            </w:pPr>
          </w:p>
        </w:tc>
        <w:tc>
          <w:tcPr>
            <w:tcW w:w="1138" w:type="pct"/>
          </w:tcPr>
          <w:p w14:paraId="0EE07658">
            <w:pPr>
              <w:spacing w:line="440" w:lineRule="exact"/>
              <w:jc w:val="center"/>
              <w:rPr>
                <w:rFonts w:ascii="Times New Roman" w:hAnsi="Times New Roman"/>
                <w:color w:val="auto"/>
                <w:szCs w:val="21"/>
                <w:highlight w:val="none"/>
              </w:rPr>
            </w:pPr>
          </w:p>
        </w:tc>
        <w:tc>
          <w:tcPr>
            <w:tcW w:w="761" w:type="pct"/>
          </w:tcPr>
          <w:p w14:paraId="20E75963">
            <w:pPr>
              <w:spacing w:line="440" w:lineRule="exact"/>
              <w:jc w:val="center"/>
              <w:rPr>
                <w:rFonts w:ascii="Times New Roman" w:hAnsi="Times New Roman"/>
                <w:color w:val="auto"/>
                <w:szCs w:val="21"/>
                <w:highlight w:val="none"/>
              </w:rPr>
            </w:pPr>
          </w:p>
        </w:tc>
      </w:tr>
      <w:tr w14:paraId="5B14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51" w:type="pct"/>
          </w:tcPr>
          <w:p w14:paraId="48647986">
            <w:pPr>
              <w:spacing w:line="440" w:lineRule="exact"/>
              <w:jc w:val="center"/>
              <w:rPr>
                <w:rFonts w:ascii="Times New Roman" w:hAnsi="Times New Roman"/>
                <w:color w:val="auto"/>
                <w:szCs w:val="21"/>
                <w:highlight w:val="none"/>
              </w:rPr>
            </w:pPr>
          </w:p>
        </w:tc>
        <w:tc>
          <w:tcPr>
            <w:tcW w:w="1265" w:type="pct"/>
          </w:tcPr>
          <w:p w14:paraId="07C2D9F7">
            <w:pPr>
              <w:spacing w:line="440" w:lineRule="exact"/>
              <w:jc w:val="center"/>
              <w:rPr>
                <w:rFonts w:ascii="Times New Roman" w:hAnsi="Times New Roman"/>
                <w:color w:val="auto"/>
                <w:szCs w:val="21"/>
                <w:highlight w:val="none"/>
              </w:rPr>
            </w:pPr>
          </w:p>
        </w:tc>
        <w:tc>
          <w:tcPr>
            <w:tcW w:w="1183" w:type="pct"/>
          </w:tcPr>
          <w:p w14:paraId="52F0E66E">
            <w:pPr>
              <w:spacing w:line="440" w:lineRule="exact"/>
              <w:jc w:val="center"/>
              <w:rPr>
                <w:rFonts w:ascii="Times New Roman" w:hAnsi="Times New Roman"/>
                <w:color w:val="auto"/>
                <w:szCs w:val="21"/>
                <w:highlight w:val="none"/>
              </w:rPr>
            </w:pPr>
          </w:p>
        </w:tc>
        <w:tc>
          <w:tcPr>
            <w:tcW w:w="1138" w:type="pct"/>
          </w:tcPr>
          <w:p w14:paraId="0EBC17EE">
            <w:pPr>
              <w:spacing w:line="440" w:lineRule="exact"/>
              <w:jc w:val="center"/>
              <w:rPr>
                <w:rFonts w:ascii="Times New Roman" w:hAnsi="Times New Roman"/>
                <w:color w:val="auto"/>
                <w:szCs w:val="21"/>
                <w:highlight w:val="none"/>
              </w:rPr>
            </w:pPr>
          </w:p>
        </w:tc>
        <w:tc>
          <w:tcPr>
            <w:tcW w:w="761" w:type="pct"/>
          </w:tcPr>
          <w:p w14:paraId="4E735D91">
            <w:pPr>
              <w:spacing w:line="440" w:lineRule="exact"/>
              <w:jc w:val="center"/>
              <w:rPr>
                <w:rFonts w:ascii="Times New Roman" w:hAnsi="Times New Roman"/>
                <w:color w:val="auto"/>
                <w:szCs w:val="21"/>
                <w:highlight w:val="none"/>
              </w:rPr>
            </w:pPr>
          </w:p>
        </w:tc>
      </w:tr>
      <w:tr w14:paraId="3361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51" w:type="pct"/>
          </w:tcPr>
          <w:p w14:paraId="3DB177A6">
            <w:pPr>
              <w:spacing w:line="440" w:lineRule="exact"/>
              <w:jc w:val="center"/>
              <w:rPr>
                <w:rFonts w:ascii="Times New Roman" w:hAnsi="Times New Roman"/>
                <w:color w:val="auto"/>
                <w:szCs w:val="21"/>
                <w:highlight w:val="none"/>
              </w:rPr>
            </w:pPr>
          </w:p>
        </w:tc>
        <w:tc>
          <w:tcPr>
            <w:tcW w:w="1265" w:type="pct"/>
          </w:tcPr>
          <w:p w14:paraId="52D4419F">
            <w:pPr>
              <w:spacing w:line="440" w:lineRule="exact"/>
              <w:jc w:val="center"/>
              <w:rPr>
                <w:rFonts w:ascii="Times New Roman" w:hAnsi="Times New Roman"/>
                <w:color w:val="auto"/>
                <w:szCs w:val="21"/>
                <w:highlight w:val="none"/>
              </w:rPr>
            </w:pPr>
          </w:p>
        </w:tc>
        <w:tc>
          <w:tcPr>
            <w:tcW w:w="1183" w:type="pct"/>
          </w:tcPr>
          <w:p w14:paraId="40BB7066">
            <w:pPr>
              <w:spacing w:line="440" w:lineRule="exact"/>
              <w:jc w:val="center"/>
              <w:rPr>
                <w:rFonts w:ascii="Times New Roman" w:hAnsi="Times New Roman"/>
                <w:color w:val="auto"/>
                <w:szCs w:val="21"/>
                <w:highlight w:val="none"/>
              </w:rPr>
            </w:pPr>
          </w:p>
        </w:tc>
        <w:tc>
          <w:tcPr>
            <w:tcW w:w="1138" w:type="pct"/>
          </w:tcPr>
          <w:p w14:paraId="237D473D">
            <w:pPr>
              <w:spacing w:line="440" w:lineRule="exact"/>
              <w:jc w:val="center"/>
              <w:rPr>
                <w:rFonts w:ascii="Times New Roman" w:hAnsi="Times New Roman"/>
                <w:color w:val="auto"/>
                <w:szCs w:val="21"/>
                <w:highlight w:val="none"/>
              </w:rPr>
            </w:pPr>
          </w:p>
        </w:tc>
        <w:tc>
          <w:tcPr>
            <w:tcW w:w="761" w:type="pct"/>
          </w:tcPr>
          <w:p w14:paraId="6BCCAADF">
            <w:pPr>
              <w:spacing w:line="440" w:lineRule="exact"/>
              <w:jc w:val="center"/>
              <w:rPr>
                <w:rFonts w:ascii="Times New Roman" w:hAnsi="Times New Roman"/>
                <w:color w:val="auto"/>
                <w:szCs w:val="21"/>
                <w:highlight w:val="none"/>
              </w:rPr>
            </w:pPr>
          </w:p>
        </w:tc>
      </w:tr>
      <w:tr w14:paraId="4C94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51" w:type="pct"/>
          </w:tcPr>
          <w:p w14:paraId="0F509EAE">
            <w:pPr>
              <w:spacing w:line="440" w:lineRule="exact"/>
              <w:jc w:val="center"/>
              <w:rPr>
                <w:rFonts w:ascii="Times New Roman" w:hAnsi="Times New Roman"/>
                <w:color w:val="auto"/>
                <w:szCs w:val="21"/>
                <w:highlight w:val="none"/>
              </w:rPr>
            </w:pPr>
          </w:p>
        </w:tc>
        <w:tc>
          <w:tcPr>
            <w:tcW w:w="1265" w:type="pct"/>
          </w:tcPr>
          <w:p w14:paraId="18BECAAE">
            <w:pPr>
              <w:spacing w:line="440" w:lineRule="exact"/>
              <w:jc w:val="center"/>
              <w:rPr>
                <w:rFonts w:ascii="Times New Roman" w:hAnsi="Times New Roman"/>
                <w:color w:val="auto"/>
                <w:szCs w:val="21"/>
                <w:highlight w:val="none"/>
              </w:rPr>
            </w:pPr>
          </w:p>
        </w:tc>
        <w:tc>
          <w:tcPr>
            <w:tcW w:w="1183" w:type="pct"/>
          </w:tcPr>
          <w:p w14:paraId="590CF302">
            <w:pPr>
              <w:spacing w:line="440" w:lineRule="exact"/>
              <w:jc w:val="center"/>
              <w:rPr>
                <w:rFonts w:ascii="Times New Roman" w:hAnsi="Times New Roman"/>
                <w:color w:val="auto"/>
                <w:szCs w:val="21"/>
                <w:highlight w:val="none"/>
              </w:rPr>
            </w:pPr>
          </w:p>
        </w:tc>
        <w:tc>
          <w:tcPr>
            <w:tcW w:w="1138" w:type="pct"/>
          </w:tcPr>
          <w:p w14:paraId="7CABD419">
            <w:pPr>
              <w:spacing w:line="440" w:lineRule="exact"/>
              <w:jc w:val="center"/>
              <w:rPr>
                <w:rFonts w:ascii="Times New Roman" w:hAnsi="Times New Roman"/>
                <w:color w:val="auto"/>
                <w:szCs w:val="21"/>
                <w:highlight w:val="none"/>
              </w:rPr>
            </w:pPr>
          </w:p>
        </w:tc>
        <w:tc>
          <w:tcPr>
            <w:tcW w:w="761" w:type="pct"/>
          </w:tcPr>
          <w:p w14:paraId="260E6EC7">
            <w:pPr>
              <w:spacing w:line="440" w:lineRule="exact"/>
              <w:jc w:val="center"/>
              <w:rPr>
                <w:rFonts w:ascii="Times New Roman" w:hAnsi="Times New Roman"/>
                <w:color w:val="auto"/>
                <w:szCs w:val="21"/>
                <w:highlight w:val="none"/>
              </w:rPr>
            </w:pPr>
          </w:p>
        </w:tc>
      </w:tr>
    </w:tbl>
    <w:p w14:paraId="662CFAEB">
      <w:pPr>
        <w:rPr>
          <w:rFonts w:ascii="Times New Roman" w:hAnsi="Times New Roman"/>
          <w:color w:val="auto"/>
          <w:highlight w:val="none"/>
        </w:rPr>
      </w:pPr>
    </w:p>
    <w:p w14:paraId="2F748D98">
      <w:pPr>
        <w:pStyle w:val="4"/>
        <w:keepNext w:val="0"/>
        <w:keepLines w:val="0"/>
        <w:spacing w:after="0"/>
        <w:jc w:val="center"/>
        <w:rPr>
          <w:color w:val="auto"/>
          <w:highlight w:val="none"/>
        </w:rPr>
      </w:pPr>
    </w:p>
    <w:p w14:paraId="0E36B8D5">
      <w:pPr>
        <w:rPr>
          <w:color w:val="auto"/>
          <w:highlight w:val="none"/>
        </w:rPr>
      </w:pPr>
    </w:p>
    <w:p w14:paraId="0EB45DAB">
      <w:pPr>
        <w:rPr>
          <w:color w:val="auto"/>
          <w:highlight w:val="none"/>
        </w:rPr>
      </w:pPr>
    </w:p>
    <w:p w14:paraId="17D69A54">
      <w:pPr>
        <w:pStyle w:val="15"/>
        <w:rPr>
          <w:color w:val="auto"/>
          <w:highlight w:val="none"/>
        </w:rPr>
      </w:pPr>
    </w:p>
    <w:p w14:paraId="20ED7D8A">
      <w:pPr>
        <w:rPr>
          <w:color w:val="auto"/>
          <w:highlight w:val="none"/>
        </w:rPr>
      </w:pPr>
      <w:r>
        <w:rPr>
          <w:color w:val="auto"/>
          <w:highlight w:val="none"/>
        </w:rPr>
        <w:br w:type="page"/>
      </w:r>
    </w:p>
    <w:p w14:paraId="12EA417D">
      <w:pPr>
        <w:pStyle w:val="5"/>
        <w:keepNext w:val="0"/>
        <w:keepLines w:val="0"/>
        <w:ind w:firstLine="1254" w:firstLineChars="448"/>
        <w:rPr>
          <w:color w:val="auto"/>
          <w:highlight w:val="none"/>
        </w:rPr>
      </w:pPr>
      <w:bookmarkStart w:id="1116" w:name="_Toc29926"/>
      <w:bookmarkStart w:id="1117" w:name="_Toc3146"/>
      <w:bookmarkStart w:id="1118" w:name="_Toc32135"/>
      <w:r>
        <w:rPr>
          <w:rFonts w:hint="eastAsia" w:ascii="Times New Roman" w:hAnsi="Times New Roman"/>
          <w:color w:val="auto"/>
          <w:highlight w:val="none"/>
        </w:rPr>
        <w:t>（</w:t>
      </w:r>
      <w:r>
        <w:rPr>
          <w:rFonts w:hint="eastAsia" w:ascii="Times New Roman" w:hAnsi="Times New Roman"/>
          <w:color w:val="auto"/>
          <w:highlight w:val="none"/>
          <w:lang w:val="en-US" w:eastAsia="zh-CN"/>
        </w:rPr>
        <w:t>四</w:t>
      </w:r>
      <w:r>
        <w:rPr>
          <w:rFonts w:hint="eastAsia" w:ascii="Times New Roman" w:hAnsi="Times New Roman"/>
          <w:color w:val="auto"/>
          <w:highlight w:val="none"/>
        </w:rPr>
        <w:t>）投标人认为需要提供的资料（如有</w:t>
      </w:r>
      <w:bookmarkEnd w:id="1116"/>
      <w:bookmarkEnd w:id="1117"/>
      <w:bookmarkEnd w:id="1118"/>
      <w:r>
        <w:rPr>
          <w:rFonts w:hint="eastAsia" w:ascii="Times New Roman" w:hAnsi="Times New Roman"/>
          <w:color w:val="auto"/>
          <w:highlight w:val="none"/>
          <w:lang w:eastAsia="zh-CN"/>
        </w:rPr>
        <w:t>）</w:t>
      </w:r>
    </w:p>
    <w:sectPr>
      <w:footerReference r:id="rId4" w:type="default"/>
      <w:pgSz w:w="12240" w:h="15840"/>
      <w:pgMar w:top="1440" w:right="1425" w:bottom="1160" w:left="1800"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altName w:val="黑体"/>
    <w:panose1 w:val="03000509000000000000"/>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6BF22">
    <w:pPr>
      <w:pStyle w:val="12"/>
      <w:jc w:val="center"/>
    </w:pPr>
    <w:r>
      <w:fldChar w:fldCharType="begin"/>
    </w:r>
    <w:r>
      <w:instrText xml:space="preserve"> PAGE   \* MERGEFORMAT </w:instrText>
    </w:r>
    <w:r>
      <w:fldChar w:fldCharType="separate"/>
    </w:r>
    <w:r>
      <w:rPr>
        <w:lang w:val="zh-CN"/>
      </w:rPr>
      <w:t>2</w:t>
    </w:r>
    <w:r>
      <w:rPr>
        <w:lang w:val="zh-CN"/>
      </w:rPr>
      <w:fldChar w:fldCharType="end"/>
    </w:r>
  </w:p>
  <w:p w14:paraId="37273DA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B6E97">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1770" cy="1492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1770" cy="149225"/>
                      </a:xfrm>
                      <a:prstGeom prst="rect">
                        <a:avLst/>
                      </a:prstGeom>
                      <a:noFill/>
                      <a:ln>
                        <a:noFill/>
                      </a:ln>
                    </wps:spPr>
                    <wps:txbx>
                      <w:txbxContent>
                        <w:p w14:paraId="11893E31">
                          <w:pPr>
                            <w:pStyle w:val="12"/>
                            <w:jc w:val="center"/>
                          </w:pPr>
                          <w:r>
                            <w:fldChar w:fldCharType="begin"/>
                          </w:r>
                          <w:r>
                            <w:instrText xml:space="preserve"> PAGE   \* MERGEFORMAT </w:instrText>
                          </w:r>
                          <w:r>
                            <w:fldChar w:fldCharType="separate"/>
                          </w:r>
                          <w:r>
                            <w:rPr>
                              <w:lang w:val="zh-CN"/>
                            </w:rPr>
                            <w:t>36</w:t>
                          </w:r>
                          <w:r>
                            <w:rPr>
                              <w:lang w:val="zh-CN"/>
                            </w:rPr>
                            <w:fldChar w:fldCharType="end"/>
                          </w:r>
                        </w:p>
                      </w:txbxContent>
                    </wps:txbx>
                    <wps:bodyPr lIns="0" tIns="0" rIns="0" bIns="0"/>
                  </wps:wsp>
                </a:graphicData>
              </a:graphic>
            </wp:anchor>
          </w:drawing>
        </mc:Choice>
        <mc:Fallback>
          <w:pict>
            <v:shape id="_x0000_s1026" o:spid="_x0000_s1026" o:spt="202" type="#_x0000_t202" style="position:absolute;left:0pt;margin-top:0pt;height:11.75pt;width:15.1pt;mso-position-horizontal:center;mso-position-horizontal-relative:margin;z-index:251659264;mso-width-relative:page;mso-height-relative:page;" filled="f" stroked="f" coordsize="21600,21600" o:gfxdata="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xs+U7&#10;1AAAAAMBAAAPAAAAAAAAAAEAIAAAACIAAABkcnMvZG93bnJldi54bWxQSwECFAAUAAAACACHTuJA&#10;aMB08bMBAABlAwAADgAAAAAAAAABACAAAAAjAQAAZHJzL2Uyb0RvYy54bWxQSwUGAAAAAAYABgBZ&#10;AQAASAUAAAAA&#10;">
              <v:fill on="f" focussize="0,0"/>
              <v:stroke on="f"/>
              <v:imagedata o:title=""/>
              <o:lock v:ext="edit" aspectratio="f"/>
              <v:textbox inset="0mm,0mm,0mm,0mm">
                <w:txbxContent>
                  <w:p w14:paraId="11893E31">
                    <w:pPr>
                      <w:pStyle w:val="12"/>
                      <w:jc w:val="center"/>
                    </w:pPr>
                    <w:r>
                      <w:fldChar w:fldCharType="begin"/>
                    </w:r>
                    <w:r>
                      <w:instrText xml:space="preserve"> PAGE   \* MERGEFORMAT </w:instrText>
                    </w:r>
                    <w:r>
                      <w:fldChar w:fldCharType="separate"/>
                    </w:r>
                    <w:r>
                      <w:rPr>
                        <w:lang w:val="zh-CN"/>
                      </w:rPr>
                      <w:t>36</w:t>
                    </w:r>
                    <w:r>
                      <w:rPr>
                        <w:lang w:val="zh-CN"/>
                      </w:rPr>
                      <w:fldChar w:fldCharType="end"/>
                    </w:r>
                  </w:p>
                </w:txbxContent>
              </v:textbox>
            </v:shape>
          </w:pict>
        </mc:Fallback>
      </mc:AlternateContent>
    </w:r>
  </w:p>
  <w:p w14:paraId="383EF218"/>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AA44F7"/>
    <w:multiLevelType w:val="singleLevel"/>
    <w:tmpl w:val="6FAA44F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7D6B9F"/>
    <w:rsid w:val="004652FA"/>
    <w:rsid w:val="004A669E"/>
    <w:rsid w:val="018A7679"/>
    <w:rsid w:val="023B6BC5"/>
    <w:rsid w:val="02A46519"/>
    <w:rsid w:val="03196F07"/>
    <w:rsid w:val="03D1333D"/>
    <w:rsid w:val="04272E41"/>
    <w:rsid w:val="043438CC"/>
    <w:rsid w:val="043C3E3E"/>
    <w:rsid w:val="049D76C3"/>
    <w:rsid w:val="04FD0162"/>
    <w:rsid w:val="056106F1"/>
    <w:rsid w:val="056D52E8"/>
    <w:rsid w:val="05924D4E"/>
    <w:rsid w:val="06023C82"/>
    <w:rsid w:val="06856661"/>
    <w:rsid w:val="07372051"/>
    <w:rsid w:val="07675083"/>
    <w:rsid w:val="08E65ADD"/>
    <w:rsid w:val="090C3F9D"/>
    <w:rsid w:val="09390FE4"/>
    <w:rsid w:val="096B1B3E"/>
    <w:rsid w:val="09B96D4E"/>
    <w:rsid w:val="0A195A3E"/>
    <w:rsid w:val="0A8A27F5"/>
    <w:rsid w:val="0AE918B4"/>
    <w:rsid w:val="0AF10769"/>
    <w:rsid w:val="0BD87233"/>
    <w:rsid w:val="0BE627C0"/>
    <w:rsid w:val="0D49663A"/>
    <w:rsid w:val="0D6B7A3F"/>
    <w:rsid w:val="0F45271E"/>
    <w:rsid w:val="0FAC4C5F"/>
    <w:rsid w:val="102313C5"/>
    <w:rsid w:val="102B2027"/>
    <w:rsid w:val="120E7E53"/>
    <w:rsid w:val="136F4921"/>
    <w:rsid w:val="13F56BD4"/>
    <w:rsid w:val="14ED1FA1"/>
    <w:rsid w:val="155913E5"/>
    <w:rsid w:val="1598015F"/>
    <w:rsid w:val="15B900D5"/>
    <w:rsid w:val="16111CBF"/>
    <w:rsid w:val="162C3563"/>
    <w:rsid w:val="163E2804"/>
    <w:rsid w:val="16A86180"/>
    <w:rsid w:val="16AB2114"/>
    <w:rsid w:val="190B4A31"/>
    <w:rsid w:val="196C5B8A"/>
    <w:rsid w:val="1A7867B1"/>
    <w:rsid w:val="1B2129A5"/>
    <w:rsid w:val="1B60171F"/>
    <w:rsid w:val="1B8A404B"/>
    <w:rsid w:val="1B8F790E"/>
    <w:rsid w:val="1C297D63"/>
    <w:rsid w:val="1CB02232"/>
    <w:rsid w:val="1CB17D58"/>
    <w:rsid w:val="1CCE090A"/>
    <w:rsid w:val="1D214EDE"/>
    <w:rsid w:val="1DA85E78"/>
    <w:rsid w:val="1E764DB5"/>
    <w:rsid w:val="1E7D6144"/>
    <w:rsid w:val="1EDC0D98"/>
    <w:rsid w:val="1EE77A61"/>
    <w:rsid w:val="1FB042F7"/>
    <w:rsid w:val="1FB35BE2"/>
    <w:rsid w:val="20666622"/>
    <w:rsid w:val="20672C08"/>
    <w:rsid w:val="2136082C"/>
    <w:rsid w:val="21621621"/>
    <w:rsid w:val="225A37DA"/>
    <w:rsid w:val="23D86E95"/>
    <w:rsid w:val="24156E1F"/>
    <w:rsid w:val="2492046F"/>
    <w:rsid w:val="24973CD7"/>
    <w:rsid w:val="24C90335"/>
    <w:rsid w:val="25A91F14"/>
    <w:rsid w:val="25DF1492"/>
    <w:rsid w:val="26F0165E"/>
    <w:rsid w:val="274A5031"/>
    <w:rsid w:val="278C73F8"/>
    <w:rsid w:val="27EC7737"/>
    <w:rsid w:val="28433F5A"/>
    <w:rsid w:val="288B76AF"/>
    <w:rsid w:val="29491A44"/>
    <w:rsid w:val="29E4170D"/>
    <w:rsid w:val="2A215120"/>
    <w:rsid w:val="2A2E4796"/>
    <w:rsid w:val="2B0117B3"/>
    <w:rsid w:val="2B261911"/>
    <w:rsid w:val="2B836D64"/>
    <w:rsid w:val="2BB4516F"/>
    <w:rsid w:val="2BFF6C3E"/>
    <w:rsid w:val="2D332F5B"/>
    <w:rsid w:val="2E384620"/>
    <w:rsid w:val="2E4E18AB"/>
    <w:rsid w:val="2F614237"/>
    <w:rsid w:val="31A33CBC"/>
    <w:rsid w:val="322546D1"/>
    <w:rsid w:val="32877139"/>
    <w:rsid w:val="33B73A4E"/>
    <w:rsid w:val="33FF638A"/>
    <w:rsid w:val="34714439"/>
    <w:rsid w:val="34FB796B"/>
    <w:rsid w:val="35460218"/>
    <w:rsid w:val="35675000"/>
    <w:rsid w:val="35E328D9"/>
    <w:rsid w:val="36592A97"/>
    <w:rsid w:val="36606D30"/>
    <w:rsid w:val="36A77DAA"/>
    <w:rsid w:val="3757357E"/>
    <w:rsid w:val="377D6B9F"/>
    <w:rsid w:val="37FC2378"/>
    <w:rsid w:val="38FD0155"/>
    <w:rsid w:val="398E0DAD"/>
    <w:rsid w:val="3A2A1F43"/>
    <w:rsid w:val="3A663AD8"/>
    <w:rsid w:val="3AC60BDB"/>
    <w:rsid w:val="3BC431AC"/>
    <w:rsid w:val="3CC52D38"/>
    <w:rsid w:val="3D470F36"/>
    <w:rsid w:val="3D65276D"/>
    <w:rsid w:val="3DE5069A"/>
    <w:rsid w:val="3DE90CA8"/>
    <w:rsid w:val="3E151A9D"/>
    <w:rsid w:val="3F487C50"/>
    <w:rsid w:val="3FD15E98"/>
    <w:rsid w:val="3FF57DD8"/>
    <w:rsid w:val="3FF73B50"/>
    <w:rsid w:val="400A14C9"/>
    <w:rsid w:val="40CB7AD8"/>
    <w:rsid w:val="40ED6D01"/>
    <w:rsid w:val="410A318F"/>
    <w:rsid w:val="417411D1"/>
    <w:rsid w:val="41F90141"/>
    <w:rsid w:val="421102D0"/>
    <w:rsid w:val="42562684"/>
    <w:rsid w:val="428471F1"/>
    <w:rsid w:val="42D544BD"/>
    <w:rsid w:val="43657023"/>
    <w:rsid w:val="44BD4C3D"/>
    <w:rsid w:val="44DA711D"/>
    <w:rsid w:val="44F67FFD"/>
    <w:rsid w:val="4631143E"/>
    <w:rsid w:val="46D06EA9"/>
    <w:rsid w:val="47E0311C"/>
    <w:rsid w:val="486E0728"/>
    <w:rsid w:val="4890058F"/>
    <w:rsid w:val="48B620CF"/>
    <w:rsid w:val="49891591"/>
    <w:rsid w:val="4A6F69D9"/>
    <w:rsid w:val="4A7B35D0"/>
    <w:rsid w:val="4B6844C2"/>
    <w:rsid w:val="4C2F01CE"/>
    <w:rsid w:val="4C536E11"/>
    <w:rsid w:val="4C5D11DF"/>
    <w:rsid w:val="4CE92A73"/>
    <w:rsid w:val="4DAE37F9"/>
    <w:rsid w:val="4E9B22F9"/>
    <w:rsid w:val="4EDE5EDB"/>
    <w:rsid w:val="4F1A6156"/>
    <w:rsid w:val="4F8C5937"/>
    <w:rsid w:val="50F11EF6"/>
    <w:rsid w:val="51226553"/>
    <w:rsid w:val="521A722A"/>
    <w:rsid w:val="523F4EE3"/>
    <w:rsid w:val="524A3FB4"/>
    <w:rsid w:val="52A35472"/>
    <w:rsid w:val="53073C53"/>
    <w:rsid w:val="54060DDF"/>
    <w:rsid w:val="54104D89"/>
    <w:rsid w:val="54931516"/>
    <w:rsid w:val="54B07CC7"/>
    <w:rsid w:val="54BC0A6D"/>
    <w:rsid w:val="54F975CB"/>
    <w:rsid w:val="55306D65"/>
    <w:rsid w:val="554051FA"/>
    <w:rsid w:val="55DA564E"/>
    <w:rsid w:val="57560D05"/>
    <w:rsid w:val="575925A3"/>
    <w:rsid w:val="583E3580"/>
    <w:rsid w:val="588536E4"/>
    <w:rsid w:val="58E93DFA"/>
    <w:rsid w:val="5A601E9A"/>
    <w:rsid w:val="5B04316E"/>
    <w:rsid w:val="5BDB5C7C"/>
    <w:rsid w:val="5CB85FBE"/>
    <w:rsid w:val="5CF36ADD"/>
    <w:rsid w:val="5E0F095E"/>
    <w:rsid w:val="5E3C677A"/>
    <w:rsid w:val="5E6463FD"/>
    <w:rsid w:val="5ECF1755"/>
    <w:rsid w:val="5F1C0A86"/>
    <w:rsid w:val="60C50CA9"/>
    <w:rsid w:val="61B34FA6"/>
    <w:rsid w:val="61F47A98"/>
    <w:rsid w:val="62C44768"/>
    <w:rsid w:val="62FF4946"/>
    <w:rsid w:val="6311467A"/>
    <w:rsid w:val="632176C7"/>
    <w:rsid w:val="633C3D27"/>
    <w:rsid w:val="6424218B"/>
    <w:rsid w:val="6455463A"/>
    <w:rsid w:val="64A95D2E"/>
    <w:rsid w:val="651D2E62"/>
    <w:rsid w:val="65BE2C6C"/>
    <w:rsid w:val="670544F5"/>
    <w:rsid w:val="67D86D04"/>
    <w:rsid w:val="67E46F50"/>
    <w:rsid w:val="67F87BB6"/>
    <w:rsid w:val="686239A9"/>
    <w:rsid w:val="68EC14C9"/>
    <w:rsid w:val="69A00505"/>
    <w:rsid w:val="69BD1B68"/>
    <w:rsid w:val="69DA187A"/>
    <w:rsid w:val="6A5C7067"/>
    <w:rsid w:val="6B282560"/>
    <w:rsid w:val="6B7C465A"/>
    <w:rsid w:val="6BD61FBC"/>
    <w:rsid w:val="6C67530A"/>
    <w:rsid w:val="6CC462B9"/>
    <w:rsid w:val="6D413DAD"/>
    <w:rsid w:val="6D5835D1"/>
    <w:rsid w:val="6D940381"/>
    <w:rsid w:val="6DBB76BC"/>
    <w:rsid w:val="6DDC237A"/>
    <w:rsid w:val="6DE23AD2"/>
    <w:rsid w:val="6F92081F"/>
    <w:rsid w:val="6FFD4F62"/>
    <w:rsid w:val="706C3B53"/>
    <w:rsid w:val="70877D29"/>
    <w:rsid w:val="70E84C6C"/>
    <w:rsid w:val="714238D8"/>
    <w:rsid w:val="71CD5C10"/>
    <w:rsid w:val="71FC3878"/>
    <w:rsid w:val="720820D8"/>
    <w:rsid w:val="727D3192"/>
    <w:rsid w:val="728E539F"/>
    <w:rsid w:val="735F4F8D"/>
    <w:rsid w:val="739E0321"/>
    <w:rsid w:val="73C31078"/>
    <w:rsid w:val="73E86D31"/>
    <w:rsid w:val="75311A84"/>
    <w:rsid w:val="75656558"/>
    <w:rsid w:val="759929D8"/>
    <w:rsid w:val="75A90F84"/>
    <w:rsid w:val="763C15B6"/>
    <w:rsid w:val="773B0FFD"/>
    <w:rsid w:val="775C056B"/>
    <w:rsid w:val="77866F8C"/>
    <w:rsid w:val="77996CC0"/>
    <w:rsid w:val="788039DC"/>
    <w:rsid w:val="78B1667E"/>
    <w:rsid w:val="78C87131"/>
    <w:rsid w:val="79202AC9"/>
    <w:rsid w:val="793D7BA8"/>
    <w:rsid w:val="7A4153ED"/>
    <w:rsid w:val="7A480529"/>
    <w:rsid w:val="7AAF67FA"/>
    <w:rsid w:val="7ACC3A7A"/>
    <w:rsid w:val="7B256ABC"/>
    <w:rsid w:val="7B613075"/>
    <w:rsid w:val="7B6770D5"/>
    <w:rsid w:val="7CA37C99"/>
    <w:rsid w:val="7CCB2DB0"/>
    <w:rsid w:val="7CDE6F23"/>
    <w:rsid w:val="7CFE1373"/>
    <w:rsid w:val="7D2D3A06"/>
    <w:rsid w:val="7DB163E5"/>
    <w:rsid w:val="7DD862A9"/>
    <w:rsid w:val="7E3029C5"/>
    <w:rsid w:val="7E8A7362"/>
    <w:rsid w:val="7F132824"/>
    <w:rsid w:val="7F8C0299"/>
    <w:rsid w:val="7FB34697"/>
    <w:rsid w:val="7FCE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6">
    <w:name w:val="Normal Indent"/>
    <w:basedOn w:val="1"/>
    <w:next w:val="1"/>
    <w:qFormat/>
    <w:uiPriority w:val="0"/>
    <w:pPr>
      <w:ind w:firstLine="420"/>
    </w:pPr>
    <w:rPr>
      <w:kern w:val="0"/>
      <w:sz w:val="20"/>
      <w:szCs w:val="20"/>
    </w:rPr>
  </w:style>
  <w:style w:type="paragraph" w:styleId="7">
    <w:name w:val="annotation text"/>
    <w:basedOn w:val="1"/>
    <w:qFormat/>
    <w:uiPriority w:val="0"/>
    <w:pPr>
      <w:jc w:val="left"/>
    </w:pPr>
  </w:style>
  <w:style w:type="paragraph" w:styleId="8">
    <w:name w:val="Body Text 3"/>
    <w:basedOn w:val="1"/>
    <w:qFormat/>
    <w:uiPriority w:val="0"/>
    <w:rPr>
      <w:rFonts w:ascii="宋体"/>
      <w:sz w:val="24"/>
      <w:szCs w:val="20"/>
    </w:rPr>
  </w:style>
  <w:style w:type="paragraph" w:styleId="9">
    <w:name w:val="Body Text"/>
    <w:basedOn w:val="1"/>
    <w:unhideWhenUsed/>
    <w:qFormat/>
    <w:uiPriority w:val="0"/>
    <w:pPr>
      <w:spacing w:after="120"/>
    </w:pPr>
    <w:rPr>
      <w:rFonts w:ascii="Times New Roman" w:hAnsi="Times New Roman"/>
      <w:szCs w:val="20"/>
    </w:rPr>
  </w:style>
  <w:style w:type="paragraph" w:styleId="10">
    <w:name w:val="Body Text Indent"/>
    <w:basedOn w:val="1"/>
    <w:qFormat/>
    <w:uiPriority w:val="0"/>
    <w:pPr>
      <w:spacing w:after="120"/>
      <w:ind w:left="420" w:leftChars="200"/>
    </w:pPr>
    <w:rPr>
      <w:rFonts w:ascii="Times New Roman" w:hAnsi="Times New Roman"/>
      <w:szCs w:val="20"/>
    </w:rPr>
  </w:style>
  <w:style w:type="paragraph" w:styleId="11">
    <w:name w:val="Plain Text"/>
    <w:basedOn w:val="1"/>
    <w:next w:val="1"/>
    <w:qFormat/>
    <w:uiPriority w:val="99"/>
    <w:rPr>
      <w:rFonts w:ascii="宋体"/>
    </w:rPr>
  </w:style>
  <w:style w:type="paragraph" w:styleId="12">
    <w:name w:val="footer"/>
    <w:basedOn w:val="1"/>
    <w:qFormat/>
    <w:uiPriority w:val="0"/>
    <w:pPr>
      <w:tabs>
        <w:tab w:val="center" w:pos="4153"/>
        <w:tab w:val="right" w:pos="8306"/>
      </w:tabs>
      <w:snapToGrid w:val="0"/>
      <w:jc w:val="left"/>
    </w:pPr>
    <w:rPr>
      <w:sz w:val="18"/>
    </w:rPr>
  </w:style>
  <w:style w:type="paragraph" w:styleId="13">
    <w:name w:val="toc 1"/>
    <w:basedOn w:val="1"/>
    <w:next w:val="1"/>
    <w:qFormat/>
    <w:uiPriority w:val="39"/>
  </w:style>
  <w:style w:type="paragraph" w:styleId="14">
    <w:name w:val="Title"/>
    <w:basedOn w:val="1"/>
    <w:next w:val="1"/>
    <w:qFormat/>
    <w:uiPriority w:val="0"/>
    <w:pPr>
      <w:spacing w:before="240" w:after="60"/>
      <w:jc w:val="center"/>
      <w:outlineLvl w:val="0"/>
    </w:pPr>
    <w:rPr>
      <w:rFonts w:ascii="Calibri Light" w:hAnsi="Calibri Light"/>
      <w:b/>
      <w:bCs/>
      <w:sz w:val="32"/>
      <w:szCs w:val="32"/>
    </w:rPr>
  </w:style>
  <w:style w:type="paragraph" w:styleId="15">
    <w:name w:val="Body Text First Indent"/>
    <w:basedOn w:val="9"/>
    <w:qFormat/>
    <w:uiPriority w:val="0"/>
    <w:pPr>
      <w:spacing w:line="312" w:lineRule="auto"/>
      <w:ind w:firstLine="420"/>
    </w:pPr>
    <w:rPr>
      <w:szCs w:val="24"/>
    </w:rPr>
  </w:style>
  <w:style w:type="paragraph" w:styleId="16">
    <w:name w:val="Body Text First Indent 2"/>
    <w:basedOn w:val="10"/>
    <w:unhideWhenUsed/>
    <w:qFormat/>
    <w:uiPriority w:val="99"/>
    <w:pPr>
      <w:widowControl/>
      <w:spacing w:line="256" w:lineRule="auto"/>
      <w:ind w:firstLine="420" w:firstLineChars="200"/>
      <w:jc w:val="left"/>
    </w:pPr>
    <w:rPr>
      <w:rFonts w:eastAsia="Calibri"/>
      <w:color w:val="000000"/>
      <w:sz w:val="2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qFormat/>
    <w:uiPriority w:val="0"/>
    <w:rPr>
      <w:sz w:val="21"/>
    </w:rPr>
  </w:style>
  <w:style w:type="paragraph" w:customStyle="1" w:styleId="21">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23">
    <w:name w:val="Table Paragraph"/>
    <w:basedOn w:val="1"/>
    <w:unhideWhenUsed/>
    <w:qFormat/>
    <w:uiPriority w:val="99"/>
    <w:rPr>
      <w:rFonts w:hint="eastAsia"/>
    </w:rPr>
  </w:style>
  <w:style w:type="paragraph" w:customStyle="1" w:styleId="24">
    <w:name w:val="表格文字"/>
    <w:basedOn w:val="1"/>
    <w:next w:val="1"/>
    <w:qFormat/>
    <w:uiPriority w:val="0"/>
    <w:pPr>
      <w:adjustRightInd w:val="0"/>
      <w:spacing w:line="420" w:lineRule="atLeast"/>
      <w:jc w:val="left"/>
    </w:pPr>
    <w:rPr>
      <w:rFonts w:ascii="Times New Roman" w:hAnsi="Times New Roman" w:cs="Calibri"/>
      <w:kern w:val="0"/>
      <w:szCs w:val="20"/>
    </w:rPr>
  </w:style>
  <w:style w:type="paragraph" w:customStyle="1" w:styleId="25">
    <w:name w:val="样式 宋体 行距: 1.5 倍行距"/>
    <w:basedOn w:val="1"/>
    <w:qFormat/>
    <w:uiPriority w:val="99"/>
    <w:pPr>
      <w:jc w:val="center"/>
    </w:pPr>
    <w:rPr>
      <w:b/>
      <w:bCs/>
    </w:rPr>
  </w:style>
  <w:style w:type="character" w:customStyle="1" w:styleId="26">
    <w:name w:val="font21"/>
    <w:basedOn w:val="19"/>
    <w:qFormat/>
    <w:uiPriority w:val="0"/>
    <w:rPr>
      <w:rFonts w:hint="eastAsia" w:ascii="宋体" w:hAnsi="宋体" w:eastAsia="宋体" w:cs="宋体"/>
      <w:b/>
      <w:bCs/>
      <w:color w:val="000000"/>
      <w:sz w:val="21"/>
      <w:szCs w:val="21"/>
      <w:u w:val="none"/>
    </w:rPr>
  </w:style>
  <w:style w:type="character" w:customStyle="1" w:styleId="27">
    <w:name w:val="font41"/>
    <w:basedOn w:val="19"/>
    <w:qFormat/>
    <w:uiPriority w:val="0"/>
    <w:rPr>
      <w:rFonts w:hint="default" w:ascii="Times New Roman" w:hAnsi="Times New Roman" w:cs="Times New Roman"/>
      <w:color w:val="000000"/>
      <w:sz w:val="21"/>
      <w:szCs w:val="21"/>
      <w:u w:val="none"/>
    </w:rPr>
  </w:style>
  <w:style w:type="character" w:customStyle="1" w:styleId="28">
    <w:name w:val="font5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558</Words>
  <Characters>654</Characters>
  <Lines>0</Lines>
  <Paragraphs>0</Paragraphs>
  <TotalTime>9</TotalTime>
  <ScaleCrop>false</ScaleCrop>
  <LinksUpToDate>false</LinksUpToDate>
  <CharactersWithSpaces>681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2024-05-14T07:40:00Z</dcterms:created>
  <dc:creator>吴嘉鹏</dc:creator>
  <cp:lastModifiedBy>USER</cp:lastModifiedBy>
  <cp:lastPrinted>2025-08-07T07:51:00Z</cp:lastPrinted>
  <dcterms:modified xsi:type="dcterms:W3CDTF">2025-08-21T03:30:31Z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17D7F44A4FD94835B30E8C80C0230CB0</vt:lpwstr>
  </property>
  <property fmtid="{D5CDD505-2E9C-101B-9397-08002B2CF9AE}" pid="4" name="KSOTemplateDocerSaveRecord">
    <vt:lpwstr>eyJoZGlkIjoiYzFmM2UyNmExMGFkOTdkNDE4YTQyNjA4NjVjNTk1ODciLCJ1c2VySWQiOiIyODM1MzYwNDEifQ==</vt:lpwstr>
  </property>
</Properties>
</file>