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89BAB2">
      <w:pPr>
        <w:spacing w:line="360" w:lineRule="auto"/>
        <w:rPr>
          <w:rFonts w:ascii="华文仿宋" w:hAnsi="华文仿宋" w:eastAsia="华文仿宋" w:cs="宋体"/>
          <w:color w:val="auto"/>
          <w:kern w:val="1"/>
          <w:sz w:val="24"/>
          <w:highlight w:val="none"/>
        </w:rPr>
      </w:pPr>
    </w:p>
    <w:p w14:paraId="6ACBF642">
      <w:pPr>
        <w:spacing w:line="360" w:lineRule="auto"/>
        <w:jc w:val="center"/>
        <w:rPr>
          <w:rFonts w:ascii="华文仿宋" w:hAnsi="华文仿宋" w:eastAsia="华文仿宋"/>
          <w:b/>
          <w:color w:val="auto"/>
          <w:kern w:val="1"/>
          <w:sz w:val="44"/>
          <w:szCs w:val="44"/>
          <w:highlight w:val="none"/>
        </w:rPr>
      </w:pPr>
    </w:p>
    <w:p w14:paraId="2DB339A3">
      <w:pPr>
        <w:spacing w:line="360" w:lineRule="auto"/>
        <w:jc w:val="center"/>
        <w:rPr>
          <w:rFonts w:ascii="华文仿宋" w:hAnsi="华文仿宋" w:eastAsia="华文仿宋"/>
          <w:b/>
          <w:color w:val="auto"/>
          <w:kern w:val="1"/>
          <w:sz w:val="44"/>
          <w:szCs w:val="44"/>
          <w:highlight w:val="none"/>
        </w:rPr>
      </w:pPr>
    </w:p>
    <w:p w14:paraId="4FB6FF33">
      <w:pPr>
        <w:spacing w:line="360" w:lineRule="auto"/>
        <w:jc w:val="center"/>
        <w:rPr>
          <w:rFonts w:asciiTheme="minorEastAsia" w:hAnsiTheme="minorEastAsia" w:eastAsiaTheme="minorEastAsia"/>
          <w:b/>
          <w:bCs/>
          <w:color w:val="auto"/>
          <w:w w:val="66"/>
          <w:sz w:val="52"/>
          <w:szCs w:val="52"/>
          <w:highlight w:val="none"/>
        </w:rPr>
      </w:pPr>
      <w:r>
        <w:rPr>
          <w:rFonts w:hint="eastAsia" w:asciiTheme="minorEastAsia" w:hAnsiTheme="minorEastAsia" w:eastAsiaTheme="minorEastAsia"/>
          <w:b/>
          <w:bCs/>
          <w:color w:val="auto"/>
          <w:spacing w:val="-20"/>
          <w:sz w:val="52"/>
          <w:szCs w:val="52"/>
          <w:highlight w:val="none"/>
        </w:rPr>
        <w:t>广州市新材料产业创新基地项目续建工程施工总承包</w:t>
      </w:r>
      <w:r>
        <w:rPr>
          <w:rFonts w:hint="eastAsia" w:asciiTheme="minorEastAsia" w:hAnsiTheme="minorEastAsia" w:eastAsiaTheme="minorEastAsia"/>
          <w:b/>
          <w:bCs/>
          <w:color w:val="auto"/>
          <w:sz w:val="52"/>
          <w:szCs w:val="52"/>
          <w:highlight w:val="none"/>
        </w:rPr>
        <w:t>合同</w:t>
      </w:r>
    </w:p>
    <w:p w14:paraId="3A693154">
      <w:pPr>
        <w:spacing w:line="360" w:lineRule="auto"/>
        <w:rPr>
          <w:rFonts w:ascii="华文仿宋" w:hAnsi="华文仿宋" w:eastAsia="华文仿宋"/>
          <w:color w:val="auto"/>
          <w:kern w:val="1"/>
          <w:sz w:val="32"/>
          <w:highlight w:val="none"/>
        </w:rPr>
      </w:pPr>
    </w:p>
    <w:p w14:paraId="70962945">
      <w:pPr>
        <w:tabs>
          <w:tab w:val="left" w:pos="1800"/>
        </w:tabs>
        <w:spacing w:line="360" w:lineRule="auto"/>
        <w:rPr>
          <w:rFonts w:ascii="华文仿宋" w:hAnsi="华文仿宋" w:eastAsia="华文仿宋" w:cs="Arial"/>
          <w:color w:val="auto"/>
          <w:kern w:val="1"/>
          <w:sz w:val="30"/>
          <w:highlight w:val="none"/>
        </w:rPr>
      </w:pPr>
    </w:p>
    <w:p w14:paraId="4BBA4064">
      <w:pPr>
        <w:tabs>
          <w:tab w:val="left" w:pos="1800"/>
        </w:tabs>
        <w:spacing w:line="360" w:lineRule="auto"/>
        <w:rPr>
          <w:rFonts w:ascii="华文仿宋" w:hAnsi="华文仿宋" w:eastAsia="华文仿宋" w:cs="Arial"/>
          <w:color w:val="auto"/>
          <w:kern w:val="1"/>
          <w:sz w:val="30"/>
          <w:highlight w:val="none"/>
        </w:rPr>
      </w:pPr>
    </w:p>
    <w:p w14:paraId="43450DC6">
      <w:pPr>
        <w:tabs>
          <w:tab w:val="left" w:pos="1800"/>
        </w:tabs>
        <w:spacing w:line="360" w:lineRule="auto"/>
        <w:rPr>
          <w:rFonts w:ascii="华文仿宋" w:hAnsi="华文仿宋" w:eastAsia="华文仿宋" w:cs="Arial"/>
          <w:color w:val="auto"/>
          <w:kern w:val="1"/>
          <w:sz w:val="30"/>
          <w:highlight w:val="none"/>
        </w:rPr>
      </w:pPr>
    </w:p>
    <w:p w14:paraId="4B2E4FC7">
      <w:pPr>
        <w:tabs>
          <w:tab w:val="left" w:pos="1800"/>
        </w:tabs>
        <w:spacing w:line="360" w:lineRule="auto"/>
        <w:rPr>
          <w:rFonts w:ascii="华文仿宋" w:hAnsi="华文仿宋" w:eastAsia="华文仿宋" w:cs="Arial"/>
          <w:color w:val="auto"/>
          <w:kern w:val="1"/>
          <w:sz w:val="30"/>
          <w:highlight w:val="none"/>
        </w:rPr>
      </w:pPr>
    </w:p>
    <w:p w14:paraId="4AB75FE2">
      <w:pPr>
        <w:tabs>
          <w:tab w:val="left" w:pos="1800"/>
        </w:tabs>
        <w:spacing w:line="360" w:lineRule="auto"/>
        <w:rPr>
          <w:rFonts w:ascii="华文仿宋" w:hAnsi="华文仿宋" w:eastAsia="华文仿宋" w:cs="Arial"/>
          <w:color w:val="auto"/>
          <w:kern w:val="1"/>
          <w:sz w:val="30"/>
          <w:highlight w:val="none"/>
        </w:rPr>
      </w:pPr>
    </w:p>
    <w:p w14:paraId="77E62BBA">
      <w:pPr>
        <w:spacing w:line="360" w:lineRule="auto"/>
        <w:ind w:firstLine="1597"/>
        <w:rPr>
          <w:rFonts w:ascii="华文仿宋" w:hAnsi="华文仿宋" w:eastAsia="华文仿宋"/>
          <w:color w:val="auto"/>
          <w:kern w:val="1"/>
          <w:sz w:val="32"/>
          <w:highlight w:val="none"/>
        </w:rPr>
      </w:pPr>
      <w:r>
        <w:rPr>
          <w:rFonts w:ascii="华文仿宋" w:hAnsi="华文仿宋" w:eastAsia="华文仿宋"/>
          <w:color w:val="auto"/>
          <w:kern w:val="1"/>
          <w:sz w:val="32"/>
          <w:highlight w:val="none"/>
        </w:rPr>
        <w:t xml:space="preserve">发包人： </w:t>
      </w:r>
    </w:p>
    <w:p w14:paraId="54287B7A">
      <w:pPr>
        <w:spacing w:line="360" w:lineRule="auto"/>
        <w:ind w:firstLine="1597"/>
        <w:rPr>
          <w:rFonts w:ascii="华文仿宋" w:hAnsi="华文仿宋" w:eastAsia="华文仿宋"/>
          <w:color w:val="auto"/>
          <w:kern w:val="1"/>
          <w:sz w:val="32"/>
          <w:highlight w:val="none"/>
        </w:rPr>
      </w:pPr>
      <w:r>
        <w:rPr>
          <w:rFonts w:ascii="华文仿宋" w:hAnsi="华文仿宋" w:eastAsia="华文仿宋"/>
          <w:color w:val="auto"/>
          <w:kern w:val="1"/>
          <w:sz w:val="32"/>
          <w:highlight w:val="none"/>
        </w:rPr>
        <w:t xml:space="preserve">承包人： </w:t>
      </w:r>
    </w:p>
    <w:p w14:paraId="3015C95E">
      <w:pPr>
        <w:spacing w:line="360" w:lineRule="auto"/>
        <w:ind w:firstLine="1597"/>
        <w:rPr>
          <w:rFonts w:ascii="华文仿宋" w:hAnsi="华文仿宋" w:eastAsia="华文仿宋"/>
          <w:color w:val="auto"/>
          <w:kern w:val="1"/>
          <w:sz w:val="32"/>
          <w:highlight w:val="none"/>
        </w:rPr>
      </w:pPr>
      <w:r>
        <w:rPr>
          <w:rFonts w:ascii="华文仿宋" w:hAnsi="华文仿宋" w:eastAsia="华文仿宋"/>
          <w:color w:val="auto"/>
          <w:kern w:val="1"/>
          <w:sz w:val="32"/>
          <w:highlight w:val="none"/>
        </w:rPr>
        <w:t xml:space="preserve">合同编号： </w:t>
      </w:r>
    </w:p>
    <w:p w14:paraId="4EDAF104">
      <w:pPr>
        <w:spacing w:line="360" w:lineRule="auto"/>
        <w:ind w:firstLine="1600"/>
        <w:jc w:val="left"/>
        <w:rPr>
          <w:rFonts w:ascii="华文仿宋" w:hAnsi="华文仿宋" w:eastAsia="华文仿宋"/>
          <w:color w:val="auto"/>
          <w:kern w:val="1"/>
          <w:sz w:val="32"/>
          <w:highlight w:val="none"/>
        </w:rPr>
      </w:pPr>
      <w:r>
        <w:rPr>
          <w:rFonts w:ascii="华文仿宋" w:hAnsi="华文仿宋" w:eastAsia="华文仿宋" w:cs="宋体"/>
          <w:color w:val="auto"/>
          <w:kern w:val="1"/>
          <w:sz w:val="32"/>
          <w:highlight w:val="none"/>
        </w:rPr>
        <w:t>成立日期：20</w:t>
      </w:r>
      <w:r>
        <w:rPr>
          <w:rFonts w:hint="eastAsia" w:ascii="华文仿宋" w:hAnsi="华文仿宋" w:eastAsia="华文仿宋" w:cs="宋体"/>
          <w:color w:val="auto"/>
          <w:kern w:val="1"/>
          <w:sz w:val="32"/>
          <w:highlight w:val="none"/>
        </w:rPr>
        <w:t>2</w:t>
      </w:r>
      <w:r>
        <w:rPr>
          <w:rFonts w:ascii="华文仿宋" w:hAnsi="华文仿宋" w:eastAsia="华文仿宋" w:cs="宋体"/>
          <w:color w:val="auto"/>
          <w:kern w:val="1"/>
          <w:sz w:val="32"/>
          <w:highlight w:val="none"/>
        </w:rPr>
        <w:t>5年</w:t>
      </w:r>
      <w:r>
        <w:rPr>
          <w:rFonts w:hint="eastAsia" w:ascii="华文仿宋" w:hAnsi="华文仿宋" w:eastAsia="华文仿宋" w:cs="宋体"/>
          <w:color w:val="auto"/>
          <w:kern w:val="1"/>
          <w:sz w:val="32"/>
          <w:highlight w:val="none"/>
        </w:rPr>
        <w:t xml:space="preserve">  </w:t>
      </w:r>
      <w:r>
        <w:rPr>
          <w:rFonts w:ascii="华文仿宋" w:hAnsi="华文仿宋" w:eastAsia="华文仿宋" w:cs="宋体"/>
          <w:color w:val="auto"/>
          <w:kern w:val="1"/>
          <w:sz w:val="32"/>
          <w:highlight w:val="none"/>
        </w:rPr>
        <w:t xml:space="preserve">月  日 </w:t>
      </w:r>
    </w:p>
    <w:p w14:paraId="405D0670">
      <w:pPr>
        <w:spacing w:line="360" w:lineRule="auto"/>
        <w:ind w:firstLine="1600" w:firstLineChars="500"/>
        <w:rPr>
          <w:rFonts w:ascii="华文仿宋" w:hAnsi="华文仿宋" w:eastAsia="华文仿宋" w:cs="宋体"/>
          <w:b/>
          <w:color w:val="auto"/>
          <w:kern w:val="1"/>
          <w:sz w:val="32"/>
          <w:highlight w:val="none"/>
        </w:rPr>
      </w:pPr>
      <w:r>
        <w:rPr>
          <w:rFonts w:ascii="华文仿宋" w:hAnsi="华文仿宋" w:eastAsia="华文仿宋"/>
          <w:color w:val="auto"/>
          <w:kern w:val="1"/>
          <w:sz w:val="32"/>
          <w:highlight w:val="none"/>
        </w:rPr>
        <w:t>签约地点：广州市</w:t>
      </w:r>
    </w:p>
    <w:p w14:paraId="4BCCC450">
      <w:pPr>
        <w:spacing w:line="360" w:lineRule="auto"/>
        <w:jc w:val="center"/>
        <w:rPr>
          <w:rFonts w:ascii="华文仿宋" w:hAnsi="华文仿宋" w:eastAsia="华文仿宋" w:cs="宋体"/>
          <w:b/>
          <w:color w:val="auto"/>
          <w:kern w:val="1"/>
          <w:sz w:val="32"/>
          <w:highlight w:val="none"/>
        </w:rPr>
      </w:pPr>
    </w:p>
    <w:p w14:paraId="099411CC">
      <w:pPr>
        <w:spacing w:line="360" w:lineRule="auto"/>
        <w:jc w:val="center"/>
        <w:rPr>
          <w:rFonts w:ascii="华文仿宋" w:hAnsi="华文仿宋" w:eastAsia="华文仿宋" w:cs="宋体"/>
          <w:b/>
          <w:color w:val="auto"/>
          <w:kern w:val="1"/>
          <w:sz w:val="32"/>
          <w:highlight w:val="none"/>
        </w:rPr>
      </w:pPr>
    </w:p>
    <w:p w14:paraId="107B85B2">
      <w:pPr>
        <w:spacing w:line="360" w:lineRule="auto"/>
        <w:jc w:val="center"/>
        <w:rPr>
          <w:rFonts w:ascii="华文仿宋" w:hAnsi="华文仿宋" w:eastAsia="华文仿宋" w:cs="宋体"/>
          <w:b/>
          <w:color w:val="auto"/>
          <w:kern w:val="1"/>
          <w:sz w:val="32"/>
          <w:highlight w:val="none"/>
        </w:rPr>
      </w:pPr>
    </w:p>
    <w:p w14:paraId="6DC4B52F">
      <w:pPr>
        <w:spacing w:line="360" w:lineRule="auto"/>
        <w:jc w:val="center"/>
        <w:rPr>
          <w:rFonts w:ascii="华文仿宋" w:hAnsi="华文仿宋" w:eastAsia="华文仿宋" w:cs="宋体"/>
          <w:b/>
          <w:color w:val="auto"/>
          <w:kern w:val="1"/>
          <w:sz w:val="32"/>
          <w:highlight w:val="none"/>
        </w:rPr>
      </w:pPr>
      <w:r>
        <w:rPr>
          <w:rFonts w:hint="eastAsia" w:ascii="华文仿宋" w:hAnsi="华文仿宋" w:eastAsia="华文仿宋" w:cs="宋体"/>
          <w:b/>
          <w:color w:val="auto"/>
          <w:kern w:val="1"/>
          <w:sz w:val="32"/>
          <w:highlight w:val="none"/>
        </w:rPr>
        <w:t>第一部分  合同协议书</w:t>
      </w:r>
    </w:p>
    <w:p w14:paraId="2E67BCC5">
      <w:pPr>
        <w:spacing w:line="360" w:lineRule="auto"/>
        <w:rPr>
          <w:rFonts w:ascii="华文仿宋" w:hAnsi="华文仿宋" w:eastAsia="华文仿宋" w:cs="宋体"/>
          <w:b/>
          <w:color w:val="auto"/>
          <w:kern w:val="1"/>
          <w:sz w:val="32"/>
          <w:highlight w:val="none"/>
        </w:rPr>
      </w:pPr>
      <w:r>
        <w:rPr>
          <w:rFonts w:ascii="华文仿宋" w:hAnsi="华文仿宋" w:eastAsia="华文仿宋" w:cs="宋体"/>
          <w:b/>
          <w:color w:val="auto"/>
          <w:kern w:val="1"/>
          <w:sz w:val="32"/>
          <w:highlight w:val="none"/>
        </w:rPr>
        <w:t xml:space="preserve"> </w:t>
      </w:r>
    </w:p>
    <w:p w14:paraId="5CC18C3C">
      <w:pPr>
        <w:spacing w:line="360" w:lineRule="auto"/>
        <w:ind w:left="2661" w:leftChars="267" w:hanging="2100" w:hangingChars="750"/>
        <w:rPr>
          <w:rFonts w:ascii="华文仿宋" w:hAnsi="华文仿宋" w:eastAsia="华文仿宋" w:cs="仿宋"/>
          <w:color w:val="auto"/>
          <w:kern w:val="1"/>
          <w:sz w:val="28"/>
          <w:szCs w:val="28"/>
          <w:highlight w:val="none"/>
          <w:u w:val="single"/>
        </w:rPr>
      </w:pPr>
      <w:r>
        <w:rPr>
          <w:rFonts w:hint="eastAsia" w:ascii="华文仿宋" w:hAnsi="华文仿宋" w:eastAsia="华文仿宋" w:cs="仿宋"/>
          <w:color w:val="auto"/>
          <w:kern w:val="1"/>
          <w:sz w:val="28"/>
          <w:szCs w:val="28"/>
          <w:highlight w:val="none"/>
        </w:rPr>
        <w:t>发包人（全称）：</w:t>
      </w:r>
      <w:r>
        <w:rPr>
          <w:rFonts w:hint="eastAsia" w:ascii="华文仿宋" w:hAnsi="华文仿宋" w:eastAsia="华文仿宋" w:cs="仿宋"/>
          <w:color w:val="auto"/>
          <w:kern w:val="1"/>
          <w:sz w:val="28"/>
          <w:szCs w:val="28"/>
          <w:highlight w:val="none"/>
          <w:u w:val="single"/>
        </w:rPr>
        <w:t xml:space="preserve">              </w:t>
      </w:r>
    </w:p>
    <w:p w14:paraId="082DBC42">
      <w:pPr>
        <w:spacing w:line="360" w:lineRule="auto"/>
        <w:ind w:firstLine="560"/>
        <w:rPr>
          <w:rFonts w:ascii="华文仿宋" w:hAnsi="华文仿宋" w:eastAsia="华文仿宋" w:cs="仿宋"/>
          <w:color w:val="auto"/>
          <w:kern w:val="1"/>
          <w:sz w:val="28"/>
          <w:szCs w:val="28"/>
          <w:highlight w:val="none"/>
          <w:u w:val="single"/>
        </w:rPr>
      </w:pPr>
      <w:r>
        <w:rPr>
          <w:rFonts w:ascii="华文仿宋" w:hAnsi="华文仿宋" w:eastAsia="华文仿宋" w:cs="仿宋"/>
          <w:color w:val="auto"/>
          <w:kern w:val="1"/>
          <w:sz w:val="28"/>
          <w:szCs w:val="28"/>
          <w:highlight w:val="none"/>
        </w:rPr>
        <w:t>承包人（全称）：</w:t>
      </w:r>
      <w:r>
        <w:rPr>
          <w:rFonts w:hint="eastAsia" w:ascii="华文仿宋" w:hAnsi="华文仿宋" w:eastAsia="华文仿宋" w:cs="仿宋"/>
          <w:color w:val="auto"/>
          <w:kern w:val="1"/>
          <w:sz w:val="28"/>
          <w:szCs w:val="28"/>
          <w:highlight w:val="none"/>
          <w:u w:val="single"/>
        </w:rPr>
        <w:t xml:space="preserve">              </w:t>
      </w:r>
    </w:p>
    <w:p w14:paraId="5D9BD703">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依照《中华人民共和国民法典》、《中华人民共和国建筑法》及其他有关法律、行政法规，遵循平等、自愿、公平和诚实信用的原则，双方就本建设工程施工事项协商一致，订立本合同。</w:t>
      </w:r>
    </w:p>
    <w:p w14:paraId="3E948048">
      <w:pPr>
        <w:spacing w:line="360" w:lineRule="auto"/>
        <w:ind w:firstLine="562"/>
        <w:outlineLvl w:val="0"/>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一、工程概况</w:t>
      </w:r>
    </w:p>
    <w:p w14:paraId="620A1D1A">
      <w:pPr>
        <w:spacing w:line="360" w:lineRule="auto"/>
        <w:ind w:firstLine="560" w:firstLineChars="20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工程名称：</w:t>
      </w:r>
      <w:r>
        <w:rPr>
          <w:rFonts w:hint="eastAsia" w:ascii="华文仿宋" w:hAnsi="华文仿宋" w:eastAsia="华文仿宋" w:cs="仿宋"/>
          <w:color w:val="auto"/>
          <w:kern w:val="1"/>
          <w:sz w:val="28"/>
          <w:szCs w:val="28"/>
          <w:highlight w:val="none"/>
          <w:u w:val="single"/>
        </w:rPr>
        <w:t>广州市新材料产业创新基地项目续建工程施工总承包</w:t>
      </w:r>
    </w:p>
    <w:p w14:paraId="390B4B35">
      <w:pPr>
        <w:spacing w:line="360" w:lineRule="auto"/>
        <w:ind w:firstLine="560" w:firstLineChars="20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项目名称：广</w:t>
      </w:r>
      <w:r>
        <w:rPr>
          <w:rFonts w:hint="eastAsia" w:ascii="华文仿宋" w:hAnsi="华文仿宋" w:eastAsia="华文仿宋" w:cs="仿宋"/>
          <w:color w:val="auto"/>
          <w:kern w:val="1"/>
          <w:sz w:val="28"/>
          <w:szCs w:val="28"/>
          <w:highlight w:val="none"/>
          <w:u w:val="single"/>
        </w:rPr>
        <w:t>州市新材料产业创新基地项目</w:t>
      </w:r>
    </w:p>
    <w:p w14:paraId="01510527">
      <w:pPr>
        <w:spacing w:line="360" w:lineRule="auto"/>
        <w:ind w:firstLine="560"/>
        <w:rPr>
          <w:rFonts w:ascii="华文仿宋" w:hAnsi="华文仿宋" w:eastAsia="华文仿宋" w:cs="仿宋"/>
          <w:bCs/>
          <w:color w:val="auto"/>
          <w:sz w:val="28"/>
          <w:szCs w:val="28"/>
          <w:highlight w:val="none"/>
          <w:u w:val="single"/>
        </w:rPr>
      </w:pPr>
      <w:r>
        <w:rPr>
          <w:rFonts w:ascii="华文仿宋" w:hAnsi="华文仿宋" w:eastAsia="华文仿宋" w:cs="仿宋"/>
          <w:color w:val="auto"/>
          <w:kern w:val="1"/>
          <w:sz w:val="28"/>
          <w:szCs w:val="28"/>
          <w:highlight w:val="none"/>
        </w:rPr>
        <w:t>工程地点：</w:t>
      </w:r>
      <w:r>
        <w:rPr>
          <w:rFonts w:hint="eastAsia" w:ascii="华文仿宋" w:hAnsi="华文仿宋" w:eastAsia="华文仿宋" w:cs="仿宋"/>
          <w:bCs/>
          <w:color w:val="auto"/>
          <w:sz w:val="28"/>
          <w:szCs w:val="28"/>
          <w:highlight w:val="none"/>
          <w:u w:val="single"/>
        </w:rPr>
        <w:t>广州市白云区太和镇大源村AB2201024、AB2201136地块。</w:t>
      </w:r>
    </w:p>
    <w:p w14:paraId="1C3F54EE">
      <w:pPr>
        <w:spacing w:line="360" w:lineRule="auto"/>
        <w:ind w:firstLine="560"/>
        <w:rPr>
          <w:rFonts w:ascii="华文仿宋" w:hAnsi="华文仿宋" w:eastAsia="华文仿宋" w:cs="仿宋"/>
          <w:color w:val="auto"/>
          <w:kern w:val="1"/>
          <w:sz w:val="28"/>
          <w:szCs w:val="28"/>
          <w:highlight w:val="none"/>
          <w:u w:val="single"/>
        </w:rPr>
      </w:pPr>
      <w:r>
        <w:rPr>
          <w:rFonts w:hint="eastAsia" w:ascii="华文仿宋" w:hAnsi="华文仿宋" w:eastAsia="华文仿宋" w:cs="仿宋"/>
          <w:color w:val="auto"/>
          <w:kern w:val="1"/>
          <w:sz w:val="28"/>
          <w:szCs w:val="28"/>
          <w:highlight w:val="none"/>
        </w:rPr>
        <w:t>工程立项批准文号：</w:t>
      </w:r>
      <w:r>
        <w:rPr>
          <w:rFonts w:hint="eastAsia" w:ascii="华文仿宋" w:hAnsi="华文仿宋" w:eastAsia="华文仿宋" w:cs="仿宋"/>
          <w:color w:val="auto"/>
          <w:kern w:val="1"/>
          <w:sz w:val="28"/>
          <w:szCs w:val="28"/>
          <w:highlight w:val="none"/>
          <w:u w:val="single"/>
        </w:rPr>
        <w:t xml:space="preserve"> </w:t>
      </w:r>
      <w:r>
        <w:rPr>
          <w:rFonts w:ascii="华文仿宋" w:hAnsi="华文仿宋" w:eastAsia="华文仿宋" w:cs="仿宋"/>
          <w:color w:val="auto"/>
          <w:kern w:val="1"/>
          <w:sz w:val="28"/>
          <w:szCs w:val="28"/>
          <w:highlight w:val="none"/>
          <w:u w:val="single"/>
        </w:rPr>
        <w:t xml:space="preserve">         </w:t>
      </w:r>
      <w:r>
        <w:rPr>
          <w:rFonts w:hint="eastAsia" w:ascii="华文仿宋" w:hAnsi="华文仿宋" w:eastAsia="华文仿宋" w:cs="仿宋"/>
          <w:color w:val="auto"/>
          <w:kern w:val="1"/>
          <w:sz w:val="28"/>
          <w:szCs w:val="28"/>
          <w:highlight w:val="none"/>
          <w:u w:val="single"/>
        </w:rPr>
        <w:t>\</w:t>
      </w:r>
      <w:r>
        <w:rPr>
          <w:rFonts w:ascii="华文仿宋" w:hAnsi="华文仿宋" w:eastAsia="华文仿宋" w:cs="仿宋"/>
          <w:color w:val="auto"/>
          <w:kern w:val="1"/>
          <w:sz w:val="28"/>
          <w:szCs w:val="28"/>
          <w:highlight w:val="none"/>
          <w:u w:val="single"/>
        </w:rPr>
        <w:t xml:space="preserve">          </w:t>
      </w:r>
    </w:p>
    <w:p w14:paraId="44A9E4EF">
      <w:pPr>
        <w:spacing w:line="360" w:lineRule="auto"/>
        <w:ind w:firstLine="560"/>
        <w:rPr>
          <w:rFonts w:ascii="华文仿宋" w:hAnsi="华文仿宋" w:eastAsia="华文仿宋" w:cs="仿宋"/>
          <w:color w:val="auto"/>
          <w:kern w:val="1"/>
          <w:sz w:val="28"/>
          <w:szCs w:val="28"/>
          <w:highlight w:val="none"/>
          <w:u w:val="single"/>
        </w:rPr>
      </w:pPr>
      <w:r>
        <w:rPr>
          <w:rFonts w:ascii="华文仿宋" w:hAnsi="华文仿宋" w:eastAsia="华文仿宋" w:cs="仿宋"/>
          <w:color w:val="auto"/>
          <w:kern w:val="1"/>
          <w:sz w:val="28"/>
          <w:szCs w:val="28"/>
          <w:highlight w:val="none"/>
        </w:rPr>
        <w:t>工程</w:t>
      </w:r>
      <w:r>
        <w:rPr>
          <w:rFonts w:hint="eastAsia" w:ascii="华文仿宋" w:hAnsi="华文仿宋" w:eastAsia="华文仿宋" w:cs="仿宋"/>
          <w:color w:val="auto"/>
          <w:kern w:val="1"/>
          <w:sz w:val="28"/>
          <w:szCs w:val="28"/>
          <w:highlight w:val="none"/>
        </w:rPr>
        <w:t>投资项目代码</w:t>
      </w:r>
      <w:r>
        <w:rPr>
          <w:rFonts w:ascii="华文仿宋" w:hAnsi="华文仿宋" w:eastAsia="华文仿宋" w:cs="仿宋"/>
          <w:color w:val="auto"/>
          <w:kern w:val="1"/>
          <w:sz w:val="28"/>
          <w:szCs w:val="28"/>
          <w:highlight w:val="none"/>
        </w:rPr>
        <w:t>：</w:t>
      </w:r>
      <w:r>
        <w:rPr>
          <w:rFonts w:ascii="华文仿宋" w:hAnsi="华文仿宋" w:eastAsia="华文仿宋" w:cs="仿宋"/>
          <w:color w:val="auto"/>
          <w:kern w:val="1"/>
          <w:sz w:val="28"/>
          <w:szCs w:val="28"/>
          <w:highlight w:val="none"/>
          <w:u w:val="single"/>
        </w:rPr>
        <w:t>2020</w:t>
      </w:r>
      <w:r>
        <w:rPr>
          <w:rFonts w:hint="eastAsia" w:ascii="华文仿宋" w:hAnsi="华文仿宋" w:eastAsia="华文仿宋" w:cs="仿宋"/>
          <w:color w:val="auto"/>
          <w:kern w:val="1"/>
          <w:sz w:val="28"/>
          <w:szCs w:val="28"/>
          <w:highlight w:val="none"/>
          <w:u w:val="single"/>
        </w:rPr>
        <w:t>-440</w:t>
      </w:r>
      <w:r>
        <w:rPr>
          <w:rFonts w:ascii="华文仿宋" w:hAnsi="华文仿宋" w:eastAsia="华文仿宋" w:cs="仿宋"/>
          <w:color w:val="auto"/>
          <w:kern w:val="1"/>
          <w:sz w:val="28"/>
          <w:szCs w:val="28"/>
          <w:highlight w:val="none"/>
          <w:u w:val="single"/>
        </w:rPr>
        <w:t>111</w:t>
      </w:r>
      <w:r>
        <w:rPr>
          <w:rFonts w:hint="eastAsia" w:ascii="华文仿宋" w:hAnsi="华文仿宋" w:eastAsia="华文仿宋" w:cs="仿宋"/>
          <w:color w:val="auto"/>
          <w:kern w:val="1"/>
          <w:sz w:val="28"/>
          <w:szCs w:val="28"/>
          <w:highlight w:val="none"/>
          <w:u w:val="single"/>
        </w:rPr>
        <w:t>-70-03-0</w:t>
      </w:r>
      <w:r>
        <w:rPr>
          <w:rFonts w:ascii="华文仿宋" w:hAnsi="华文仿宋" w:eastAsia="华文仿宋" w:cs="仿宋"/>
          <w:color w:val="auto"/>
          <w:kern w:val="1"/>
          <w:sz w:val="28"/>
          <w:szCs w:val="28"/>
          <w:highlight w:val="none"/>
          <w:u w:val="single"/>
        </w:rPr>
        <w:t>57345</w:t>
      </w:r>
    </w:p>
    <w:p w14:paraId="44C08C30">
      <w:pPr>
        <w:spacing w:line="360" w:lineRule="auto"/>
        <w:ind w:firstLine="560"/>
        <w:rPr>
          <w:rFonts w:ascii="华文仿宋" w:hAnsi="华文仿宋" w:eastAsia="华文仿宋" w:cs="仿宋"/>
          <w:color w:val="auto"/>
          <w:kern w:val="1"/>
          <w:sz w:val="28"/>
          <w:szCs w:val="28"/>
          <w:highlight w:val="none"/>
          <w:u w:val="single"/>
        </w:rPr>
      </w:pPr>
      <w:r>
        <w:rPr>
          <w:rFonts w:ascii="华文仿宋" w:hAnsi="华文仿宋" w:eastAsia="华文仿宋" w:cs="仿宋"/>
          <w:color w:val="auto"/>
          <w:kern w:val="1"/>
          <w:sz w:val="28"/>
          <w:szCs w:val="28"/>
          <w:highlight w:val="none"/>
        </w:rPr>
        <w:t>资金来源：</w:t>
      </w:r>
      <w:r>
        <w:rPr>
          <w:rFonts w:hint="eastAsia" w:ascii="华文仿宋" w:hAnsi="华文仿宋" w:eastAsia="华文仿宋" w:cs="仿宋"/>
          <w:color w:val="auto"/>
          <w:kern w:val="1"/>
          <w:sz w:val="28"/>
          <w:szCs w:val="28"/>
          <w:highlight w:val="none"/>
          <w:u w:val="single"/>
        </w:rPr>
        <w:t>自筹资金</w:t>
      </w:r>
    </w:p>
    <w:p w14:paraId="29CEEA0D">
      <w:pPr>
        <w:spacing w:line="360" w:lineRule="auto"/>
        <w:ind w:firstLine="562"/>
        <w:outlineLvl w:val="0"/>
        <w:rPr>
          <w:rFonts w:ascii="华文仿宋" w:hAnsi="华文仿宋" w:eastAsia="华文仿宋" w:cs="仿宋"/>
          <w:b/>
          <w:color w:val="auto"/>
          <w:spacing w:val="-8"/>
          <w:kern w:val="28"/>
          <w:sz w:val="28"/>
          <w:szCs w:val="28"/>
          <w:highlight w:val="none"/>
        </w:rPr>
      </w:pPr>
      <w:r>
        <w:rPr>
          <w:rFonts w:hint="eastAsia" w:ascii="华文仿宋" w:hAnsi="华文仿宋" w:eastAsia="华文仿宋" w:cs="仿宋"/>
          <w:b/>
          <w:color w:val="auto"/>
          <w:kern w:val="1"/>
          <w:sz w:val="28"/>
          <w:szCs w:val="28"/>
          <w:highlight w:val="none"/>
        </w:rPr>
        <w:t>二、工程承包范围及施工范围界面</w:t>
      </w:r>
    </w:p>
    <w:p w14:paraId="14FFFF81">
      <w:pPr>
        <w:widowControl/>
        <w:spacing w:line="360" w:lineRule="auto"/>
        <w:ind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 xml:space="preserve">依据招标文件、招标图纸（包括技术要求）、工程量清单及有关资料及说明，对广州市新材料产业创新基地BCDE区的商业办公、配套进行施工建设，本次招标专业主要包括但不限于：土石方工程、地基与基础工程、基坑支护工程、结构工程、建筑装饰工程、防水工程、给排水工程、消防工程、电气工程、防雷工程、通风空调工程、智能化工程、电梯工程、永水工程、柴油发电机组及环保工程、抗震支架工程、室外市政配套工程、人防工程、光纤工程、白蚁工程、优化提升工程等内容。 </w:t>
      </w:r>
    </w:p>
    <w:p w14:paraId="3BF9BF92">
      <w:pPr>
        <w:widowControl/>
        <w:spacing w:line="360" w:lineRule="auto"/>
        <w:ind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以上承包范围为续建工程，承包人需完成剩余工程（项目现状详见附件：广州市新材料产业创新基地形象进度确认表）。</w:t>
      </w:r>
    </w:p>
    <w:p w14:paraId="3973CF7E">
      <w:pPr>
        <w:spacing w:line="360" w:lineRule="auto"/>
        <w:ind w:right="11"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1.土石方工程</w:t>
      </w:r>
    </w:p>
    <w:p w14:paraId="2AEBE852">
      <w:pPr>
        <w:spacing w:line="360" w:lineRule="auto"/>
        <w:ind w:right="11"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（1）承包人必须按项目现状（详见附件：广州市新材料产业创新基地形象进度确认表）完成剩余工作内容：</w:t>
      </w:r>
    </w:p>
    <w:p w14:paraId="373C5992">
      <w:pPr>
        <w:spacing w:line="360" w:lineRule="auto"/>
        <w:ind w:right="11"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1）土方开挖：基础开挖放线和标高控制，土石方开挖至垫层底标高以上100mm（包含挖桩间土）、垫层底以上10cm厚（±10cm偏差）人工捡底；挡土墙土方开挖；集水坑、电梯坑、基础梁、承台、设备基坑开挖；清理基槽、垫层。</w:t>
      </w:r>
    </w:p>
    <w:p w14:paraId="21451054">
      <w:pPr>
        <w:spacing w:line="360" w:lineRule="auto"/>
        <w:ind w:right="11"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2）土方外运：自行解决土方外运(土方消纳及外运)、场内二次转运。</w:t>
      </w:r>
    </w:p>
    <w:p w14:paraId="71903BA2">
      <w:pPr>
        <w:spacing w:line="360" w:lineRule="auto"/>
        <w:ind w:right="11"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3）土方回填：①基坑、基槽土方、室外地下挡墙外的土方回填；②房心回填；③室外地坪设计标高下300mm (不含土坡造型，具体以后期甲方书面通知标高为准)后移交给景观单位修坡、造型；④挡土墙工程。</w:t>
      </w:r>
    </w:p>
    <w:p w14:paraId="454C9CE1">
      <w:pPr>
        <w:spacing w:line="360" w:lineRule="auto"/>
        <w:ind w:right="11"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4）基坑排水、降水。</w:t>
      </w:r>
    </w:p>
    <w:p w14:paraId="272B344A">
      <w:pPr>
        <w:spacing w:line="360" w:lineRule="auto"/>
        <w:ind w:right="11"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5）裸土覆盖、扬尘喷雾等。</w:t>
      </w:r>
    </w:p>
    <w:p w14:paraId="3F81B879">
      <w:pPr>
        <w:spacing w:line="360" w:lineRule="auto"/>
        <w:ind w:right="11"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6）施工现场场地平整、场地硬化，施工道路铺设、施工现场的排污废水及硬化道路的拆除等。</w:t>
      </w:r>
    </w:p>
    <w:p w14:paraId="6E8EDFA2">
      <w:pPr>
        <w:spacing w:line="360" w:lineRule="auto"/>
        <w:ind w:right="11"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7）完成临时围墙(已有围墙日常修复及迁改、拆除、新增围墙安拆)、板房搭建(含红线外板房租地)、生活排污管道铺设、洗车槽、三级沉淀池(含日常清理)、视频监控装置安装及其相应迁移和拆除。</w:t>
      </w:r>
    </w:p>
    <w:p w14:paraId="7A263658">
      <w:pPr>
        <w:spacing w:line="360" w:lineRule="auto"/>
        <w:ind w:right="11"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2.地基与基础工程</w:t>
      </w:r>
    </w:p>
    <w:p w14:paraId="26FFCEC6">
      <w:pPr>
        <w:spacing w:line="360" w:lineRule="auto"/>
        <w:ind w:right="11"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按图纸内容完成全部内容，包含筏板、防水板、基础底板及桩基础、抗浮锚杆、凿桩头、承台、桩帽、垫层等工程，具体以图纸和工程界面清单为准。</w:t>
      </w:r>
    </w:p>
    <w:p w14:paraId="3EAC3EB2">
      <w:pPr>
        <w:spacing w:line="360" w:lineRule="auto"/>
        <w:ind w:right="11"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3.基坑支护工程</w:t>
      </w:r>
    </w:p>
    <w:p w14:paraId="792B8DF8">
      <w:pPr>
        <w:spacing w:line="360" w:lineRule="auto"/>
        <w:ind w:right="11"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按基坑支护图纸内容完成全部内容，包括但不限于基坑支护及止水帷幕、边坡土方修整、边坡挂网喷锚、坑底排水沟、坑顶截水沟(沉沙池)、基坑支护范围内降排水、满足基坑支护施工的砖渣回填、土石方外运等。</w:t>
      </w:r>
    </w:p>
    <w:p w14:paraId="16F25FDA">
      <w:pPr>
        <w:spacing w:line="360" w:lineRule="auto"/>
        <w:ind w:right="11"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4.结构工程</w:t>
      </w:r>
    </w:p>
    <w:p w14:paraId="6B53F24E">
      <w:pPr>
        <w:spacing w:line="360" w:lineRule="auto"/>
        <w:ind w:right="11"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（1）按图纸完成全部结构工程：含钢筋混凝土结构、钢结构、室外散水及配合装修或者其他专业预埋留槽及预埋套管、设备基础、结构接茬处理等。</w:t>
      </w:r>
    </w:p>
    <w:p w14:paraId="0E837873">
      <w:pPr>
        <w:spacing w:line="360" w:lineRule="auto"/>
        <w:ind w:right="11"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2）按图纸完成全部砌筑抹灰工程：含外墙、分户墙、内隔墙、围护结构、设备基础、所有井道（含通风井、水电井、电梯井、管井等）、电井层间封堵、土建洞口收口、屋面隔墙、风帽砌筑、预留孔洞（包括配合预留室外给排水施工所需的孔洞及所有孔洞封堵、空调孔、燃气热水器排气孔，厨房、卫生间排风孔预留及止回阀安装）、接茬处处理或二次搭接处理等。</w:t>
      </w:r>
    </w:p>
    <w:p w14:paraId="64B08CA5">
      <w:pPr>
        <w:spacing w:line="360" w:lineRule="auto"/>
        <w:ind w:right="11"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（3）按提升图纸完成其余提升施工。</w:t>
      </w:r>
    </w:p>
    <w:p w14:paraId="641090F9">
      <w:pPr>
        <w:spacing w:line="360" w:lineRule="auto"/>
        <w:ind w:right="11"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5.建筑装饰工程</w:t>
      </w:r>
    </w:p>
    <w:p w14:paraId="6A968409">
      <w:pPr>
        <w:spacing w:line="360" w:lineRule="auto"/>
        <w:ind w:right="11"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（1）地下建筑装饰工程</w:t>
      </w:r>
    </w:p>
    <w:p w14:paraId="2B543678">
      <w:pPr>
        <w:spacing w:line="360" w:lineRule="auto"/>
        <w:ind w:right="11"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按图纸完成全部内容，含设备房装修，含车库地坪工程（不含划线）；其中电梯厅及前室、标识、充电桩工程（低压柜出线端至末端所有内容）不在本次招标范围。</w:t>
      </w:r>
    </w:p>
    <w:p w14:paraId="58BA7455">
      <w:pPr>
        <w:spacing w:line="360" w:lineRule="auto"/>
        <w:ind w:right="11"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（2）地上建筑装饰工程</w:t>
      </w:r>
    </w:p>
    <w:p w14:paraId="040DB973">
      <w:pPr>
        <w:spacing w:line="360" w:lineRule="auto"/>
        <w:ind w:right="11"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1)按图纸完成全部外立面工程，包括但不限于基层找平(含不同材料墙体交界处按规范张挂钢丝网及墙面垂直度、平整度不满足规范要求的基层找补)、界面砂浆、保温层及抗裂层施工；外墙抹灰，外墙防水，外墙油漆，贴瓷砖，搭骨架、挂外饰面；排水立管油漆(如有)、填缝、清洗。修复栏杆安装及其他外立面装饰施工引起的保温层防水层破坏（外立面破坏修复）；栏杆、门窗安装完成后的土建及装饰收口、固定点破坏处的土建维修恢复；外墙淋水试验；提供轴线、标高控制线，门窗及百叶洞口的预留预埋（根据工程需要）、安装后洞口修补；承担洞口尺寸不符导致的门窗与主体的水泥砂浆封堵或剔凿。幕墙四性试验、抗拉拔试验由承包人负责，配合泛光照明（若有）施工。</w:t>
      </w:r>
    </w:p>
    <w:p w14:paraId="1D9018B7">
      <w:pPr>
        <w:spacing w:line="360" w:lineRule="auto"/>
        <w:ind w:right="11"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2)首层（入户大堂除外）、楼梯及楼梯间、架空层、所有井道（包括强弱电井、水井等）、设备用房（包括消防控制室、监控室等、发电机房、风机房等设备用房，但公变房、专变房、高低压配电房除外）装修在本次招标范围，按图纸完成。</w:t>
      </w:r>
    </w:p>
    <w:p w14:paraId="3C10F734">
      <w:pPr>
        <w:spacing w:line="360" w:lineRule="auto"/>
        <w:ind w:right="11"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3)商业、公建配套及套内装修（天地墙装修）工程仅完成天面结构面、地面结构面、墙面至抹灰面（含挂网，不含装配式预制构件、铝模现浇墙面），其余装修工程界面纳入后续精装修范围。</w:t>
      </w:r>
    </w:p>
    <w:p w14:paraId="71E84DBE">
      <w:pPr>
        <w:spacing w:line="360" w:lineRule="auto"/>
        <w:ind w:right="11"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4)BCDE区竣备前完成首层入户大堂、架空层、电梯厅及前室、公共走道走廊工程完成天面和墙面两遍腻子打磨，地面完成防滑砖铺贴，其余装修工程界面纳入后续精装修范围。</w:t>
      </w:r>
    </w:p>
    <w:p w14:paraId="77FB79A4">
      <w:pPr>
        <w:spacing w:line="360" w:lineRule="auto"/>
        <w:ind w:right="11"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 xml:space="preserve">5)按图纸完成门窗工程，包含铝合金门窗、百叶的制作、安装，钢附框制作、安装，洞口尺寸及标高复核，门窗及百叶安装后的木楔剔除，主体与门窗框间防水（水泥）砂浆塞缝、洞口侧边防水，五金件安装、室内外打胶；主体防雷接地的预埋安装及验收（确保验收通过），完成本专业防雷接地与主体防雷接地连接；铝合金门窗成品保护（含二次保护）；外窗淋水试验；门窗检测，包括型材、五金等材料的检测，也包括五性检测；包铝合金门窗的施工图深化设计。入户门及所有户内门不在本次招标范围。 </w:t>
      </w:r>
    </w:p>
    <w:p w14:paraId="05768018">
      <w:pPr>
        <w:spacing w:line="360" w:lineRule="auto"/>
        <w:ind w:right="11"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6)按图纸完成全部栏杆工程（含优化提升后栏杆工程），含阳台、露台栏杆，屋面栏杆，低窗栏杆，飘窗栏杆，外廊栏杆，楼梯栏杆等制作、安装及成品保护；配合主体防雷接地的预埋安装及验收（确保验收通过）,完成本专业防雷接地与主体防雷接地连接；预埋件制作安装；成品保护。</w:t>
      </w:r>
    </w:p>
    <w:p w14:paraId="2E1CC168">
      <w:pPr>
        <w:spacing w:line="360" w:lineRule="auto"/>
        <w:ind w:right="11"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7)按图完成全部幕墙工程，包含玻璃、干挂石、幕墙等材料供应及安装，预埋件安装及调整、龙骨安装（含防锈处理）、五金件采购安装；层间防火封堵；幕墙层间封闭装修，打胶收口；配合主体防雷接地的预埋安装及验收（确保验收通过）,完成本专业防雷接地与主体防雷接地连接；外立面防水层破坏的修复。淋水试验，承担幕墙渗水责任；幕墙检测（含检测样板制作费）,包括幕墙石材、五金等材料的检测，也包括四性检测；幕墙与其他外立面装饰的打胶收口；存在玻璃、石材、金属等多种幕墙工程，幕墙交接面后施工单位负责打胶收口；包幕墙的深化设计。</w:t>
      </w:r>
    </w:p>
    <w:p w14:paraId="20347E76">
      <w:pPr>
        <w:spacing w:line="360" w:lineRule="auto"/>
        <w:ind w:right="11"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6.防水工程</w:t>
      </w:r>
    </w:p>
    <w:p w14:paraId="18E439E1">
      <w:pPr>
        <w:spacing w:line="360" w:lineRule="auto"/>
        <w:ind w:right="11"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按图纸完成地下室底板、承台、地下室顶板、外墙、露台、各级屋面等图纸范围内的全部防水工程（含优化提升后防水工程）；完成卫生间沉箱防水、地面防水、墙面上翻30cm高防水并向卫生间门洞外延伸50cm及两侧各延展20cm，仅施工至防水层。阳台、厨房、入户花园、泳池、泡池防水工程均不在本次招标范围。</w:t>
      </w:r>
    </w:p>
    <w:p w14:paraId="068D2B62">
      <w:pPr>
        <w:spacing w:line="360" w:lineRule="auto"/>
        <w:ind w:right="11"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7.给排水工程</w:t>
      </w:r>
    </w:p>
    <w:p w14:paraId="70C5FC61">
      <w:pPr>
        <w:spacing w:line="360" w:lineRule="auto"/>
        <w:ind w:right="11"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1）给水工程：按图纸完成给水工程，从市政水表组（不含市政水表组及相应配套阀门）或生活泵房阀门（不含阀门）开始至户内第一个接驳点之间的所有管道及设备均在本次招标范围，设备、给水管、分户水表、阀门、管井等，并负责预留水管接驳口作封堵（堵头）处理（含每户一个末端试水龙头）。预留给排水孔、楼板处给水管（开槽位置）用砂浆封堵覆盖，覆盖厚度不低于20mm。除上述外其他内容均不在本次招标范围。</w:t>
      </w:r>
    </w:p>
    <w:p w14:paraId="767014C3">
      <w:pPr>
        <w:spacing w:line="360" w:lineRule="auto"/>
        <w:ind w:right="11"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（2）排水工程：</w:t>
      </w:r>
    </w:p>
    <w:p w14:paraId="44D98309">
      <w:pPr>
        <w:spacing w:line="360" w:lineRule="auto"/>
        <w:ind w:right="11"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按图纸完成至市政接驳井，地漏及洁具安装不在本次范围。地漏管预留高度为完成面以上200mm，并用标准封堵盖封堵。</w:t>
      </w:r>
    </w:p>
    <w:p w14:paraId="6784D665">
      <w:pPr>
        <w:spacing w:line="360" w:lineRule="auto"/>
        <w:ind w:right="11"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8.消防工程</w:t>
      </w:r>
    </w:p>
    <w:p w14:paraId="6E21D0A2">
      <w:pPr>
        <w:spacing w:line="360" w:lineRule="auto"/>
        <w:ind w:right="11"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室外消防全包施工安装：由市政给水表组(含水表组)后至外接消防栓的给水管道(含市政消防栓)室外消防环管、外接消防栓的施工。</w:t>
      </w:r>
    </w:p>
    <w:p w14:paraId="224DBEEE">
      <w:pPr>
        <w:spacing w:line="360" w:lineRule="auto"/>
        <w:ind w:right="11"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室内消防全包施工安装：红线内消火栓、喷淋给水灭火系统采购安装(含消防泵);消防火灾自动报警及联动控制系统采购安装;消防广播、消防电话系统采购安装;漏电火灾报警系统采购安装;气体灭火系统采购安装;消防控制室报警主机及相关设备的采购安装;防火卷帘安装、检测、调试及验收;通排风系统、防排烟系统制作、采购和安装(应包含商业餐饮的排油烟)；消防报建、检测、验收；按发包人要求的施工范围完成本专业工程预留砼结构预埋管道、套管及孔洞:负责本专业套管内的封堵，如发生二次拆改则负责相关孔洞及套管内、外封堵。</w:t>
      </w:r>
    </w:p>
    <w:p w14:paraId="1BA26F7A">
      <w:pPr>
        <w:spacing w:line="360" w:lineRule="auto"/>
        <w:ind w:right="11"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所有防火门、防火窗的制作、安装、收口，包含相应检测费用。</w:t>
      </w:r>
    </w:p>
    <w:p w14:paraId="419B6BF2">
      <w:pPr>
        <w:spacing w:line="360" w:lineRule="auto"/>
        <w:ind w:right="11"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9.电气工程</w:t>
      </w:r>
    </w:p>
    <w:p w14:paraId="0288E77A">
      <w:pPr>
        <w:spacing w:line="360" w:lineRule="auto"/>
        <w:ind w:right="11"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（1）地下室电气工程</w:t>
      </w:r>
    </w:p>
    <w:p w14:paraId="5924EE83">
      <w:pPr>
        <w:spacing w:line="360" w:lineRule="auto"/>
        <w:ind w:right="11"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按图纸完成从低压配电柜（不含低压配电柜）下端至所有公共区域动力、照明(含主材、设备)，户内至总开（含户内总开）配电系统采购和安装。</w:t>
      </w:r>
    </w:p>
    <w:p w14:paraId="78DF0476">
      <w:pPr>
        <w:spacing w:line="360" w:lineRule="auto"/>
        <w:ind w:right="11"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（2）地上室内电气工程</w:t>
      </w:r>
    </w:p>
    <w:p w14:paraId="1EBB10CA">
      <w:pPr>
        <w:spacing w:line="360" w:lineRule="auto"/>
        <w:ind w:right="11"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1)架空层、首层（入户大堂除外）、楼梯间、设备房、公建配套用房：低压柜（不含低压柜）出线至配电箱至开关、灯具等末端的电气工程（动力、照明）配电系统采购和安装。</w:t>
      </w:r>
    </w:p>
    <w:p w14:paraId="097FDAD8">
      <w:pPr>
        <w:spacing w:line="360" w:lineRule="auto"/>
        <w:ind w:right="11"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2)公共走道走廊、合用前室、电梯间、首层入户大堂：低压柜（不含低压柜）出线至配电箱后埋管（不穿线）至末端开关盒（不含面板）配电系统采购和安装。</w:t>
      </w:r>
    </w:p>
    <w:p w14:paraId="08FB528F">
      <w:pPr>
        <w:spacing w:line="360" w:lineRule="auto"/>
        <w:ind w:right="11"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3)商铺：低压柜（不含低压柜）出线至商铺内配电箱或总开关组（含配电箱或总开关组）配电系统采购和安装，配电箱后的电气工程不在本次范围。</w:t>
      </w:r>
    </w:p>
    <w:p w14:paraId="2C9AF35E">
      <w:pPr>
        <w:spacing w:line="360" w:lineRule="auto"/>
        <w:ind w:right="11"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4)户内：低压柜（不含低压柜）至分户电表箱，电表箱（含电表箱、电表）出线至户内总开关组（含总开关组）在本次招标范围内，户内的预埋管（不含穿线）及线盒（不含面板）配电系统采购和安装，户内总开关组后的穿线、末端设备不在本次范围。需保证户内通线，移交给小业主，如不通线需重新敷设一切费用由总包承担。</w:t>
      </w:r>
    </w:p>
    <w:p w14:paraId="4F77388F">
      <w:pPr>
        <w:spacing w:line="360" w:lineRule="auto"/>
        <w:ind w:right="11"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5)其他区域按图纸完成。</w:t>
      </w:r>
    </w:p>
    <w:p w14:paraId="2BC1B6DE">
      <w:pPr>
        <w:spacing w:line="360" w:lineRule="auto"/>
        <w:ind w:right="11"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10.防雷工程</w:t>
      </w:r>
    </w:p>
    <w:p w14:paraId="41913239">
      <w:pPr>
        <w:spacing w:line="360" w:lineRule="auto"/>
        <w:ind w:right="11"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防雷接地系统采购安装，包括桩承台接地、基础接地网、引下线、均压环、</w:t>
      </w:r>
    </w:p>
    <w:p w14:paraId="7A408ACC">
      <w:pPr>
        <w:spacing w:line="360" w:lineRule="auto"/>
        <w:ind w:right="11"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铝合金门窗、百叶、幕墙和栏杆接地点位预留、天面突出建筑物以外所有金属部件的连接件、避雷网、等电位连接(含等电位端子和端子箱等)、卫生间局部等电位端子盒预埋安装（含优化提升部分）、高低压房、强弱电井、桥架接地扁钢、电梯机房接地等；防雷接地系统所有相关调试。</w:t>
      </w:r>
    </w:p>
    <w:p w14:paraId="1919A900">
      <w:pPr>
        <w:spacing w:line="360" w:lineRule="auto"/>
        <w:ind w:right="11"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包含防雷报建、检测、审图、验收等第三方相关工作，出具防雷检测报告、风险评估报告，满足当地验收要求。如后期单位无法找出接入点，应无偿配合找出接入点或重新敷设。</w:t>
      </w:r>
    </w:p>
    <w:p w14:paraId="08752644">
      <w:pPr>
        <w:spacing w:line="360" w:lineRule="auto"/>
        <w:ind w:right="11"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11.通风空调工程</w:t>
      </w:r>
    </w:p>
    <w:p w14:paraId="1149BA33">
      <w:pPr>
        <w:spacing w:line="360" w:lineRule="auto"/>
        <w:ind w:right="11"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按图纸完成全部施工内容，其中套内新风系统、空调系统仅预留孔洞，其余均不在本次招标范围。</w:t>
      </w:r>
    </w:p>
    <w:p w14:paraId="5478F28B">
      <w:pPr>
        <w:spacing w:line="360" w:lineRule="auto"/>
        <w:ind w:right="11"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12.智能化工程</w:t>
      </w:r>
    </w:p>
    <w:p w14:paraId="3EFDAB4B">
      <w:pPr>
        <w:spacing w:line="360" w:lineRule="auto"/>
        <w:ind w:right="11"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在本次招标范围，包含但不限于智能化工程的深化设计；室外弱电管网施工，并接入市政管网和小区配电房、弱电机房、车库配电间施工；综合布线系统；电话、网络、有线电视系统管道及末端底盒预留（不含穿线、面板）；视频安防监控系统采购安装；停车场管理系统采购安装；可视对讲系统采购安装（仅完成管道预埋、穿线及底盒安装。可视对讲门口机等设备不在本次招标范围）；门禁系统采购安装(含人行通道闸机和车辆交通道闸系统)；消防控制中心机房安装工程(含机房设备接地、天花、墙面饰面及防静电地板安装)；按发包人要求的施工范围完成本专业工程预留砼结构预埋管道、套管及孔洞；负责本专业套管内的封堵，如发生二次拆改则负责相关孔洞及套管内、外封堵；户内全屋智能化系统根据深化图及方案单独委托施工，应配合预埋管线及调试工作。上述系统如涉及户内的，则需施工至户内弱电箱并负责其后的预埋管（含智能家居预埋管）。</w:t>
      </w:r>
    </w:p>
    <w:p w14:paraId="24A12C32">
      <w:pPr>
        <w:spacing w:line="360" w:lineRule="auto"/>
        <w:ind w:right="11"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13.电梯工程</w:t>
      </w:r>
    </w:p>
    <w:p w14:paraId="56294CBC">
      <w:pPr>
        <w:spacing w:line="360" w:lineRule="auto"/>
        <w:ind w:right="11"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电梯工程在本次招标范围，承包人委托专业电梯公司根据设计要求的技术参数对电梯设备及安装工程进行深化设计，深化设计方案经参建各方确认后实施，垂直电梯包括轿厢内标准装修。包含永久电梯机房配电箱后的配电系统采购安装(包括电梯井照明系统安装)；井道内所有弱电系统，包括 IC卡控制、视频监控及设备监控，网络信号覆盖在机房及电梯井道的施工配合协调；配合消防联动系统安装及调试；包电梯验收、取证；电梯保修维护；电梯使用协议；交付前检修和零部件更换等。所有样板房所在塔楼的电梯（含机房）的施工、维修及拆除均包含在本次招标范围内。预留电梯二次装修空间和荷载，电梯轿厢二次装修不在本次招标范围。</w:t>
      </w:r>
    </w:p>
    <w:p w14:paraId="0971A895">
      <w:pPr>
        <w:spacing w:line="360" w:lineRule="auto"/>
        <w:ind w:right="11"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14.燃气工程</w:t>
      </w:r>
    </w:p>
    <w:p w14:paraId="685D1F43">
      <w:pPr>
        <w:spacing w:line="360" w:lineRule="auto"/>
        <w:ind w:right="11"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不在本次招标范围，但承包人须无偿提供包括但不限于燃气单位进退场、配合深化设计、用水用电、施工材料场内运输及堆放场地、整体验收及档案接收等所有涉及燃气工程的一切配合工作。包含燃气工程所涉及的开孔、收口工作（费用包含在投标报价）。</w:t>
      </w:r>
    </w:p>
    <w:p w14:paraId="578543F3">
      <w:pPr>
        <w:spacing w:line="360" w:lineRule="auto"/>
        <w:ind w:right="11"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15.永电工程</w:t>
      </w:r>
    </w:p>
    <w:p w14:paraId="2E8CAFB9">
      <w:pPr>
        <w:spacing w:line="360" w:lineRule="auto"/>
        <w:ind w:right="11"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不在本次招标范围，但承包人须无偿提供包括但不限于永电单位进退场、用水用电、施工材料场内运输及堆放场地、整体验收及档案接收等所有涉及永电工程的一切配合工作。</w:t>
      </w:r>
    </w:p>
    <w:p w14:paraId="663E1C01">
      <w:pPr>
        <w:spacing w:line="360" w:lineRule="auto"/>
        <w:ind w:right="11"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16.</w:t>
      </w:r>
      <w:r>
        <w:rPr>
          <w:rFonts w:hint="eastAsia" w:ascii="仿宋" w:hAnsi="仿宋" w:eastAsia="仿宋"/>
          <w:bCs/>
          <w:color w:val="auto"/>
          <w:sz w:val="28"/>
          <w:szCs w:val="28"/>
          <w:highlight w:val="none"/>
        </w:rPr>
        <w:tab/>
      </w:r>
      <w:r>
        <w:rPr>
          <w:rFonts w:hint="eastAsia" w:ascii="仿宋" w:hAnsi="仿宋" w:eastAsia="仿宋"/>
          <w:bCs/>
          <w:color w:val="auto"/>
          <w:sz w:val="28"/>
          <w:szCs w:val="28"/>
          <w:highlight w:val="none"/>
        </w:rPr>
        <w:t>永水工程</w:t>
      </w:r>
    </w:p>
    <w:p w14:paraId="77C53D5C">
      <w:pPr>
        <w:spacing w:line="360" w:lineRule="auto"/>
        <w:ind w:right="11"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 xml:space="preserve">   在本次招标范围。包含红线内外所有供水工程的设备材料采购、安装、调试、验收，包含泵房深化设装修及空调。市政接驳口至市政给水表组(含水表组)的管道、设备、管井施工；给水系统采购安装(含泵房),  由市政给水表组(含表组)至泵房的所有管道、设备、管井的施工。办理项目新装永久用水表的一切申报手续及费用，并根据供水部门批复的表前(含表)供水方案办理表前市政供水管道设计、报建、施工、试压、水质检测、办理并通过竣工验收直至装表供水；办理项目红线外至红线内接驳口安装接驳工程各相关行政管理部门(公安、规划、市政、沿线村委会、地铁公司等)相应的市政路面开挖、报批、占用、修复及路面下穿管手续；可能发生电力电缆、电信、光纤(包括军用光纤)、燃气管、水管等所有地上和地下管线、树木的保护、迁移或赔偿等工作以及其他不可预计的工作。</w:t>
      </w:r>
    </w:p>
    <w:p w14:paraId="64CFDAF2">
      <w:pPr>
        <w:spacing w:line="360" w:lineRule="auto"/>
        <w:ind w:right="11"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17.柴油发电机组及环保工程</w:t>
      </w:r>
    </w:p>
    <w:p w14:paraId="150F5EBE">
      <w:pPr>
        <w:spacing w:line="360" w:lineRule="auto"/>
        <w:ind w:right="11"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在本次招标范围，包含但不限于图纸深化设计，按图纸完成发电机房的施工、发电机房烟道的安装、与市电停电切换的电缆安装(包括信号线)、发电机供货、安装及发电机房的环保消音工程，配合消防联动系统安装及调试，完成本专业内防雷接地系统采购安装并与主体防雷连接确保验收通过，完成环保工程并包验收通过。</w:t>
      </w:r>
    </w:p>
    <w:p w14:paraId="09B256EC">
      <w:pPr>
        <w:spacing w:line="360" w:lineRule="auto"/>
        <w:ind w:right="11"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18.泛光照明工程</w:t>
      </w:r>
    </w:p>
    <w:p w14:paraId="19BD628B">
      <w:pPr>
        <w:spacing w:line="360" w:lineRule="auto"/>
        <w:ind w:right="11"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不在本次招标范围。</w:t>
      </w:r>
    </w:p>
    <w:p w14:paraId="117A3AED">
      <w:pPr>
        <w:spacing w:line="360" w:lineRule="auto"/>
        <w:ind w:right="11"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19.抗震支架工程</w:t>
      </w:r>
    </w:p>
    <w:p w14:paraId="19335411">
      <w:pPr>
        <w:spacing w:line="360" w:lineRule="auto"/>
        <w:ind w:right="11"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抗震支架工程按招标图纸、技术需求书及国家相关规范规程完成深化设计，并按发包人审批同意的深化设计图纸完成相应工程内容。包含消防、给排水、电气、智能化、通风空调所有专业工程抗震支架的设计、采购、安装及通过政府有关部门的验收。</w:t>
      </w:r>
    </w:p>
    <w:p w14:paraId="612CCBF8">
      <w:pPr>
        <w:spacing w:line="360" w:lineRule="auto"/>
        <w:ind w:right="11"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20.室外市政配套工程</w:t>
      </w:r>
    </w:p>
    <w:p w14:paraId="0E99C0FD">
      <w:pPr>
        <w:spacing w:line="360" w:lineRule="auto"/>
        <w:ind w:right="11"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按图纸完成全部施工内容，包括但不限于建筑物外第一个排水井(含排水井)到市政雨污废排水接入点的排水管网施工(含化粪池)及排水排污许可证的办理及验收。</w:t>
      </w:r>
    </w:p>
    <w:p w14:paraId="3B8D5FDC">
      <w:pPr>
        <w:spacing w:line="360" w:lineRule="auto"/>
        <w:ind w:right="11"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21.海绵城市工程</w:t>
      </w:r>
    </w:p>
    <w:p w14:paraId="39A34C5F">
      <w:pPr>
        <w:spacing w:line="360" w:lineRule="auto"/>
        <w:ind w:right="11"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不在本次招标范围，但承包人须无偿配合园林单位完成海绵城市评估及验收等工作。</w:t>
      </w:r>
    </w:p>
    <w:p w14:paraId="48B59CFF">
      <w:pPr>
        <w:spacing w:line="360" w:lineRule="auto"/>
        <w:ind w:right="11"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22.园林景观工程</w:t>
      </w:r>
    </w:p>
    <w:p w14:paraId="7A54BD39">
      <w:pPr>
        <w:spacing w:line="360" w:lineRule="auto"/>
        <w:ind w:right="11"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不在本次招标范围。也不包含庭院结构。需配合园林完成电源接驳点和园林给水点深化。</w:t>
      </w:r>
    </w:p>
    <w:p w14:paraId="1FEC24B4">
      <w:pPr>
        <w:spacing w:line="360" w:lineRule="auto"/>
        <w:ind w:right="11"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23.人防工程</w:t>
      </w:r>
    </w:p>
    <w:p w14:paraId="4148BD92">
      <w:pPr>
        <w:spacing w:line="360" w:lineRule="auto"/>
        <w:ind w:right="11"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1）人防设备的管线预留预埋，人防设施设备(含人防门、战时封堵、防化设备等)的预留预埋及安装；通风工程的人防口部风管套管、预埋件安装，测压管、测量管预埋及安装；人防口部内风管(含防爆地漏的安装)、阀门安装；人防检测、牵涉人防设备工程的所有验收及备案，成品保护。</w:t>
      </w:r>
    </w:p>
    <w:p w14:paraId="1E9D5C03">
      <w:pPr>
        <w:spacing w:line="360" w:lineRule="auto"/>
        <w:ind w:right="11"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（2）人防门的供货及安装，人防门的预留预埋及安装，门框与墙体水泥砂浆封堵、发泡胶、密封胶塞缝牵，涉人防门的所有验收及备案，成品保护。</w:t>
      </w:r>
    </w:p>
    <w:p w14:paraId="15DFADFE">
      <w:pPr>
        <w:spacing w:line="360" w:lineRule="auto"/>
        <w:ind w:right="11"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24.信报箱工程：不在本次招标范围。</w:t>
      </w:r>
    </w:p>
    <w:p w14:paraId="6FC7944F">
      <w:pPr>
        <w:pStyle w:val="142"/>
        <w:ind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2</w:t>
      </w:r>
      <w:r>
        <w:rPr>
          <w:rFonts w:ascii="仿宋" w:hAnsi="仿宋" w:eastAsia="仿宋"/>
          <w:bCs/>
          <w:color w:val="auto"/>
          <w:sz w:val="28"/>
          <w:szCs w:val="28"/>
          <w:highlight w:val="none"/>
        </w:rPr>
        <w:t>5.</w:t>
      </w:r>
      <w:r>
        <w:rPr>
          <w:rFonts w:hint="eastAsia" w:ascii="仿宋" w:hAnsi="仿宋" w:eastAsia="仿宋"/>
          <w:bCs/>
          <w:color w:val="auto"/>
          <w:sz w:val="28"/>
          <w:szCs w:val="28"/>
          <w:highlight w:val="none"/>
        </w:rPr>
        <w:t>光纤（网络、电话、有线电视）工程：</w:t>
      </w:r>
    </w:p>
    <w:p w14:paraId="4253BE16">
      <w:pPr>
        <w:pStyle w:val="142"/>
        <w:ind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w:t>
      </w:r>
      <w:r>
        <w:rPr>
          <w:rFonts w:ascii="仿宋" w:hAnsi="仿宋" w:eastAsia="仿宋"/>
          <w:bCs/>
          <w:color w:val="auto"/>
          <w:sz w:val="28"/>
          <w:szCs w:val="28"/>
          <w:highlight w:val="none"/>
        </w:rPr>
        <w:t>1</w:t>
      </w:r>
      <w:r>
        <w:rPr>
          <w:rFonts w:hint="eastAsia" w:ascii="仿宋" w:hAnsi="仿宋" w:eastAsia="仿宋"/>
          <w:bCs/>
          <w:color w:val="auto"/>
          <w:sz w:val="28"/>
          <w:szCs w:val="28"/>
          <w:highlight w:val="none"/>
        </w:rPr>
        <w:t>）网络、电话工程按图纸完成，包含光纤工程的深化设计，由市政接入点至弱电机柜、弱电机柜至户内弱电箱</w:t>
      </w:r>
      <w:r>
        <w:rPr>
          <w:rFonts w:ascii="仿宋" w:hAnsi="仿宋" w:eastAsia="仿宋"/>
          <w:bCs/>
          <w:color w:val="auto"/>
          <w:sz w:val="28"/>
          <w:szCs w:val="28"/>
          <w:highlight w:val="none"/>
        </w:rPr>
        <w:t>(</w:t>
      </w:r>
      <w:r>
        <w:rPr>
          <w:rFonts w:hint="eastAsia" w:ascii="仿宋" w:hAnsi="仿宋" w:eastAsia="仿宋"/>
          <w:bCs/>
          <w:color w:val="auto"/>
          <w:sz w:val="28"/>
          <w:szCs w:val="28"/>
          <w:highlight w:val="none"/>
        </w:rPr>
        <w:t>含弱电箱</w:t>
      </w:r>
      <w:r>
        <w:rPr>
          <w:rFonts w:ascii="仿宋" w:hAnsi="仿宋" w:eastAsia="仿宋"/>
          <w:bCs/>
          <w:color w:val="auto"/>
          <w:sz w:val="28"/>
          <w:szCs w:val="28"/>
          <w:highlight w:val="none"/>
        </w:rPr>
        <w:t>)</w:t>
      </w:r>
      <w:r>
        <w:rPr>
          <w:rFonts w:hint="eastAsia" w:ascii="仿宋" w:hAnsi="仿宋" w:eastAsia="仿宋"/>
          <w:bCs/>
          <w:color w:val="auto"/>
          <w:sz w:val="28"/>
          <w:szCs w:val="28"/>
          <w:highlight w:val="none"/>
        </w:rPr>
        <w:t>的设备、线路设等施工</w:t>
      </w:r>
      <w:r>
        <w:rPr>
          <w:rFonts w:ascii="仿宋" w:hAnsi="仿宋" w:eastAsia="仿宋"/>
          <w:bCs/>
          <w:color w:val="auto"/>
          <w:sz w:val="28"/>
          <w:szCs w:val="28"/>
          <w:highlight w:val="none"/>
        </w:rPr>
        <w:t>(</w:t>
      </w:r>
      <w:r>
        <w:rPr>
          <w:rFonts w:hint="eastAsia" w:ascii="仿宋" w:hAnsi="仿宋" w:eastAsia="仿宋"/>
          <w:bCs/>
          <w:color w:val="auto"/>
          <w:sz w:val="28"/>
          <w:szCs w:val="28"/>
          <w:highlight w:val="none"/>
        </w:rPr>
        <w:t>含弱电箱内模块安装</w:t>
      </w:r>
      <w:r>
        <w:rPr>
          <w:rFonts w:ascii="仿宋" w:hAnsi="仿宋" w:eastAsia="仿宋"/>
          <w:bCs/>
          <w:color w:val="auto"/>
          <w:sz w:val="28"/>
          <w:szCs w:val="28"/>
          <w:highlight w:val="none"/>
        </w:rPr>
        <w:t>);</w:t>
      </w:r>
      <w:r>
        <w:rPr>
          <w:rFonts w:hint="eastAsia" w:ascii="仿宋" w:hAnsi="仿宋" w:eastAsia="仿宋"/>
          <w:bCs/>
          <w:color w:val="auto"/>
          <w:sz w:val="28"/>
          <w:szCs w:val="28"/>
          <w:highlight w:val="none"/>
        </w:rPr>
        <w:t>负责光纤的相关检测并出具符合政府要求的检测报告</w:t>
      </w:r>
      <w:r>
        <w:rPr>
          <w:rFonts w:ascii="仿宋" w:hAnsi="仿宋" w:eastAsia="仿宋"/>
          <w:bCs/>
          <w:color w:val="auto"/>
          <w:sz w:val="28"/>
          <w:szCs w:val="28"/>
          <w:highlight w:val="none"/>
        </w:rPr>
        <w:t>;</w:t>
      </w:r>
      <w:r>
        <w:rPr>
          <w:rFonts w:hint="eastAsia" w:ascii="仿宋" w:hAnsi="仿宋" w:eastAsia="仿宋"/>
          <w:bCs/>
          <w:color w:val="auto"/>
          <w:sz w:val="28"/>
          <w:szCs w:val="28"/>
          <w:highlight w:val="none"/>
        </w:rPr>
        <w:t>负责办理竣工联合验收并一次性通过。</w:t>
      </w:r>
    </w:p>
    <w:p w14:paraId="21B01B59">
      <w:pPr>
        <w:pStyle w:val="142"/>
        <w:ind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w:t>
      </w:r>
      <w:r>
        <w:rPr>
          <w:rFonts w:ascii="仿宋" w:hAnsi="仿宋" w:eastAsia="仿宋"/>
          <w:bCs/>
          <w:color w:val="auto"/>
          <w:sz w:val="28"/>
          <w:szCs w:val="28"/>
          <w:highlight w:val="none"/>
        </w:rPr>
        <w:t>2</w:t>
      </w:r>
      <w:r>
        <w:rPr>
          <w:rFonts w:hint="eastAsia" w:ascii="仿宋" w:hAnsi="仿宋" w:eastAsia="仿宋"/>
          <w:bCs/>
          <w:color w:val="auto"/>
          <w:sz w:val="28"/>
          <w:szCs w:val="28"/>
          <w:highlight w:val="none"/>
        </w:rPr>
        <w:t>）有线电视工程：弱电间仅预留有线电视系统设备安装空间（不含设备安装），负责弱电间至户内弱电箱（不含弱电箱）、弱电箱（不含弱电箱）至户内末端的线管、底盒预埋（不含穿线、面板），该系统的所有设备及穿线、面板安装均由运营商负责深化设计、施工。</w:t>
      </w:r>
    </w:p>
    <w:p w14:paraId="696E11B4">
      <w:pPr>
        <w:spacing w:line="360" w:lineRule="auto"/>
        <w:ind w:right="11"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26.信号覆盖工程：不在本次招标范围。需承包人完成相应电源接驳点预留。</w:t>
      </w:r>
    </w:p>
    <w:p w14:paraId="3EAA0AA5">
      <w:pPr>
        <w:spacing w:line="360" w:lineRule="auto"/>
        <w:ind w:right="11"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27.白蚁工程：负责本项目的白蚁防治工作，包括但不限于以下内容：</w:t>
      </w:r>
    </w:p>
    <w:p w14:paraId="1C673722">
      <w:pPr>
        <w:spacing w:line="360" w:lineRule="auto"/>
        <w:ind w:right="11"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（1）地下室及各楼层室内墙基药物处理</w:t>
      </w:r>
    </w:p>
    <w:p w14:paraId="3EBAC900">
      <w:pPr>
        <w:spacing w:line="360" w:lineRule="auto"/>
        <w:ind w:right="11"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（2）基础与室外地坪（包括建筑外墙与室外地坪接缝处）的药物处理；</w:t>
      </w:r>
    </w:p>
    <w:p w14:paraId="1EBDE0F0">
      <w:pPr>
        <w:spacing w:line="360" w:lineRule="auto"/>
        <w:ind w:right="11"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（3）室内地坪药物处理；</w:t>
      </w:r>
    </w:p>
    <w:p w14:paraId="756B2C27">
      <w:pPr>
        <w:spacing w:line="360" w:lineRule="auto"/>
        <w:ind w:right="11"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（4）各楼层墙体药物处理；</w:t>
      </w:r>
    </w:p>
    <w:p w14:paraId="2B89D39F">
      <w:pPr>
        <w:spacing w:line="360" w:lineRule="auto"/>
        <w:ind w:right="11"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（5）柱基础与室内地坪、墙体与室内外地坪接缝处的药物处理；</w:t>
      </w:r>
    </w:p>
    <w:p w14:paraId="6188538D">
      <w:pPr>
        <w:spacing w:line="360" w:lineRule="auto"/>
        <w:ind w:right="11"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（6）各楼层所有门洞、窗洞、管道井、管道出入口药物处理；</w:t>
      </w:r>
    </w:p>
    <w:p w14:paraId="45FA2B6D">
      <w:pPr>
        <w:spacing w:line="360" w:lineRule="auto"/>
        <w:ind w:right="11"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（7）室内所有沟管道和伸缩缝、沉降缝、电缆沟药物处理；</w:t>
      </w:r>
    </w:p>
    <w:p w14:paraId="2960E152">
      <w:pPr>
        <w:spacing w:line="360" w:lineRule="auto"/>
        <w:ind w:right="11"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（8）建筑物外墙边四周防蚁线药物处理；</w:t>
      </w:r>
    </w:p>
    <w:p w14:paraId="04B0CFC6">
      <w:pPr>
        <w:spacing w:line="360" w:lineRule="auto"/>
        <w:ind w:right="11"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（9）各类木构件的白蚁预防处理；</w:t>
      </w:r>
    </w:p>
    <w:p w14:paraId="0E1F8F43">
      <w:pPr>
        <w:spacing w:line="360" w:lineRule="auto"/>
        <w:ind w:right="11"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（10）室内二次装修所涉及的白蚁防治工作内容。</w:t>
      </w:r>
    </w:p>
    <w:p w14:paraId="6BC7B6E2">
      <w:pPr>
        <w:spacing w:line="360" w:lineRule="auto"/>
        <w:ind w:right="11"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（11）负责白蚁防治工程验收通过及配合甲方到建设管理部门完成白蚁防治工程竣工验收备案工作；</w:t>
      </w:r>
    </w:p>
    <w:p w14:paraId="67BFE91F">
      <w:pPr>
        <w:spacing w:line="360" w:lineRule="auto"/>
        <w:ind w:right="11"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 xml:space="preserve">（12）规范要求的其他白蚁防治工作； </w:t>
      </w:r>
    </w:p>
    <w:p w14:paraId="485F2F31">
      <w:pPr>
        <w:spacing w:line="360" w:lineRule="auto"/>
        <w:ind w:right="11"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（13）本工程尚未明确及建设各方要求需进行白蚁防治的工程部位。</w:t>
      </w:r>
    </w:p>
    <w:p w14:paraId="06A237FB">
      <w:pPr>
        <w:spacing w:line="360" w:lineRule="auto"/>
        <w:ind w:right="11"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28.优化提升工程：</w:t>
      </w:r>
    </w:p>
    <w:p w14:paraId="184A4F1C">
      <w:pPr>
        <w:spacing w:after="160" w:line="360" w:lineRule="auto"/>
        <w:ind w:firstLine="560" w:firstLineChars="200"/>
        <w:jc w:val="left"/>
        <w:outlineLvl w:val="0"/>
        <w:rPr>
          <w:rFonts w:ascii="仿宋" w:hAnsi="仿宋" w:eastAsia="仿宋"/>
          <w:bCs/>
          <w:color w:val="auto"/>
          <w:sz w:val="28"/>
          <w:szCs w:val="28"/>
          <w:highlight w:val="none"/>
        </w:rPr>
      </w:pPr>
      <w:r>
        <w:rPr>
          <w:rFonts w:hint="eastAsia" w:ascii="仿宋" w:hAnsi="仿宋" w:eastAsia="仿宋"/>
          <w:bCs/>
          <w:color w:val="auto"/>
          <w:sz w:val="28"/>
          <w:szCs w:val="28"/>
          <w:highlight w:val="none"/>
        </w:rPr>
        <w:t>在本次招标范围，按图纸完成项目优化提升工作。</w:t>
      </w:r>
    </w:p>
    <w:p w14:paraId="75C99E1D">
      <w:pPr>
        <w:spacing w:after="160" w:line="360" w:lineRule="auto"/>
        <w:ind w:firstLine="560" w:firstLineChars="200"/>
        <w:jc w:val="left"/>
        <w:outlineLvl w:val="0"/>
        <w:rPr>
          <w:rFonts w:ascii="仿宋" w:hAnsi="仿宋" w:eastAsia="仿宋"/>
          <w:bCs/>
          <w:color w:val="auto"/>
          <w:sz w:val="28"/>
          <w:szCs w:val="28"/>
          <w:highlight w:val="none"/>
        </w:rPr>
      </w:pPr>
      <w:r>
        <w:rPr>
          <w:rFonts w:hint="eastAsia" w:ascii="仿宋" w:hAnsi="仿宋" w:eastAsia="仿宋"/>
          <w:bCs/>
          <w:color w:val="auto"/>
          <w:sz w:val="28"/>
          <w:szCs w:val="28"/>
          <w:highlight w:val="none"/>
        </w:rPr>
        <w:t>29.报建及验收</w:t>
      </w:r>
    </w:p>
    <w:p w14:paraId="52C3C089">
      <w:pPr>
        <w:spacing w:after="160" w:line="360" w:lineRule="auto"/>
        <w:ind w:firstLine="560" w:firstLineChars="200"/>
        <w:jc w:val="left"/>
        <w:outlineLvl w:val="0"/>
        <w:rPr>
          <w:rFonts w:ascii="仿宋" w:hAnsi="仿宋" w:eastAsia="仿宋"/>
          <w:bCs/>
          <w:color w:val="auto"/>
          <w:sz w:val="28"/>
          <w:szCs w:val="28"/>
          <w:highlight w:val="none"/>
        </w:rPr>
      </w:pPr>
      <w:r>
        <w:rPr>
          <w:rFonts w:hint="eastAsia" w:ascii="仿宋" w:hAnsi="仿宋" w:eastAsia="仿宋"/>
          <w:bCs/>
          <w:color w:val="auto"/>
          <w:sz w:val="28"/>
          <w:szCs w:val="28"/>
          <w:highlight w:val="none"/>
        </w:rPr>
        <w:t>(1) 承包人负责施工许可证、淤泥排放证、临时及永久排水排污证、夜间施工许可证、施工占道许可证、人防报监等与施工相关的证照办理，发包人提供资料配合；如未完成办理导致承包人及发包人蒙受经济及名誉损失，均有承包人承担；</w:t>
      </w:r>
    </w:p>
    <w:p w14:paraId="3ABE274E">
      <w:pPr>
        <w:spacing w:after="160" w:line="360" w:lineRule="auto"/>
        <w:ind w:firstLine="560" w:firstLineChars="200"/>
        <w:jc w:val="left"/>
        <w:outlineLvl w:val="0"/>
        <w:rPr>
          <w:rFonts w:ascii="仿宋" w:hAnsi="仿宋" w:eastAsia="仿宋"/>
          <w:bCs/>
          <w:color w:val="auto"/>
          <w:sz w:val="28"/>
          <w:szCs w:val="28"/>
          <w:highlight w:val="none"/>
        </w:rPr>
      </w:pPr>
      <w:r>
        <w:rPr>
          <w:rFonts w:hint="eastAsia" w:ascii="仿宋" w:hAnsi="仿宋" w:eastAsia="仿宋"/>
          <w:bCs/>
          <w:color w:val="auto"/>
          <w:sz w:val="28"/>
          <w:szCs w:val="28"/>
          <w:highlight w:val="none"/>
        </w:rPr>
        <w:t>(2) 承包人负责本项目消防、防雷、装配式、节能、环保、人防、质量、安全、档案、卫生防疫、规划等专项验收工作，负责办理项目联合验收。</w:t>
      </w:r>
    </w:p>
    <w:p w14:paraId="2BF6A584">
      <w:pPr>
        <w:spacing w:after="160" w:line="360" w:lineRule="auto"/>
        <w:ind w:firstLine="560" w:firstLineChars="200"/>
        <w:jc w:val="left"/>
        <w:outlineLvl w:val="0"/>
        <w:rPr>
          <w:rFonts w:ascii="仿宋" w:hAnsi="仿宋" w:eastAsia="仿宋"/>
          <w:bCs/>
          <w:color w:val="auto"/>
          <w:sz w:val="28"/>
          <w:szCs w:val="28"/>
          <w:highlight w:val="none"/>
        </w:rPr>
      </w:pPr>
      <w:r>
        <w:rPr>
          <w:rFonts w:hint="eastAsia" w:ascii="仿宋" w:hAnsi="仿宋" w:eastAsia="仿宋"/>
          <w:bCs/>
          <w:color w:val="auto"/>
          <w:sz w:val="28"/>
          <w:szCs w:val="28"/>
          <w:highlight w:val="none"/>
        </w:rPr>
        <w:t>30.工程检测监测（此部分作为清单计价说明内容）</w:t>
      </w:r>
    </w:p>
    <w:p w14:paraId="30388C0D">
      <w:pPr>
        <w:spacing w:after="160" w:line="360" w:lineRule="auto"/>
        <w:ind w:firstLine="560" w:firstLineChars="200"/>
        <w:jc w:val="left"/>
        <w:outlineLvl w:val="0"/>
        <w:rPr>
          <w:rFonts w:ascii="仿宋" w:hAnsi="仿宋" w:eastAsia="仿宋"/>
          <w:bCs/>
          <w:color w:val="auto"/>
          <w:sz w:val="28"/>
          <w:szCs w:val="28"/>
          <w:highlight w:val="none"/>
        </w:rPr>
      </w:pPr>
      <w:r>
        <w:rPr>
          <w:rFonts w:hint="eastAsia" w:ascii="仿宋" w:hAnsi="仿宋" w:eastAsia="仿宋"/>
          <w:bCs/>
          <w:color w:val="auto"/>
          <w:sz w:val="28"/>
          <w:szCs w:val="28"/>
          <w:highlight w:val="none"/>
        </w:rPr>
        <w:t>（1）承包人负责消防系统、弱电系统、防雷系统、节能检测、人防检测、水质检测、室内空气检测、光纤入户检测、实体检测、节能检测、隔声检测等第三方检测费用，单位由发包人委托，费用由承包人承担。</w:t>
      </w:r>
    </w:p>
    <w:p w14:paraId="04619310">
      <w:pPr>
        <w:spacing w:after="160" w:line="360" w:lineRule="auto"/>
        <w:ind w:firstLine="560" w:firstLineChars="200"/>
        <w:jc w:val="left"/>
        <w:outlineLvl w:val="0"/>
        <w:rPr>
          <w:rFonts w:ascii="仿宋" w:hAnsi="仿宋" w:eastAsia="仿宋"/>
          <w:bCs/>
          <w:color w:val="auto"/>
          <w:sz w:val="28"/>
          <w:szCs w:val="28"/>
          <w:highlight w:val="none"/>
        </w:rPr>
      </w:pPr>
      <w:r>
        <w:rPr>
          <w:rFonts w:hint="eastAsia" w:ascii="仿宋" w:hAnsi="仿宋" w:eastAsia="仿宋"/>
          <w:bCs/>
          <w:color w:val="auto"/>
          <w:sz w:val="28"/>
          <w:szCs w:val="28"/>
          <w:highlight w:val="none"/>
        </w:rPr>
        <w:t>（2）承包人负责所有材料检测费用，包括但不限于所有门窗三性试验、幕墙四性试验，钢筋、混凝土、砌体、砂浆、电线电缆、管件管材、开关面板、节能、防火材料等施工合同范围内需要的各种材料试验；负责混凝土结构实体检测，单位由发包人委托，费用由承包人承担；</w:t>
      </w:r>
    </w:p>
    <w:p w14:paraId="2E53731A">
      <w:pPr>
        <w:spacing w:after="160" w:line="360" w:lineRule="auto"/>
        <w:ind w:firstLine="560" w:firstLineChars="200"/>
        <w:jc w:val="left"/>
        <w:outlineLvl w:val="0"/>
        <w:rPr>
          <w:rFonts w:ascii="仿宋" w:hAnsi="仿宋" w:eastAsia="仿宋"/>
          <w:bCs/>
          <w:color w:val="auto"/>
          <w:sz w:val="28"/>
          <w:szCs w:val="28"/>
          <w:highlight w:val="none"/>
        </w:rPr>
      </w:pPr>
      <w:r>
        <w:rPr>
          <w:rFonts w:hint="eastAsia" w:ascii="仿宋" w:hAnsi="仿宋" w:eastAsia="仿宋"/>
          <w:bCs/>
          <w:color w:val="auto"/>
          <w:sz w:val="28"/>
          <w:szCs w:val="28"/>
          <w:highlight w:val="none"/>
        </w:rPr>
        <w:t>（3）基坑监测、高支模监测、主体沉降观测、地基(含基坑支护)材料检测、基础(含基坑支护及土力学)检测、土壤氡检测等第三方检测由发包人负责委托并承担费用。</w:t>
      </w:r>
    </w:p>
    <w:p w14:paraId="52737F51">
      <w:pPr>
        <w:spacing w:after="160" w:line="360" w:lineRule="auto"/>
        <w:ind w:firstLine="560" w:firstLineChars="200"/>
        <w:jc w:val="left"/>
        <w:outlineLvl w:val="0"/>
        <w:rPr>
          <w:rFonts w:ascii="仿宋" w:hAnsi="仿宋" w:eastAsia="仿宋"/>
          <w:bCs/>
          <w:color w:val="auto"/>
          <w:sz w:val="28"/>
          <w:szCs w:val="28"/>
          <w:highlight w:val="none"/>
        </w:rPr>
      </w:pPr>
      <w:r>
        <w:rPr>
          <w:rFonts w:hint="eastAsia" w:ascii="仿宋" w:hAnsi="仿宋" w:eastAsia="仿宋"/>
          <w:bCs/>
          <w:color w:val="auto"/>
          <w:sz w:val="28"/>
          <w:szCs w:val="28"/>
          <w:highlight w:val="none"/>
        </w:rPr>
        <w:t>（4）发包人委托的检测、监测工作，承包人须无条件按发包人要求提供场地、人力、物力进行配合，如承包人拒不配合，发包人有权另行委托第三方配合，且费用由承包人承担。</w:t>
      </w:r>
    </w:p>
    <w:p w14:paraId="33E81C38">
      <w:pPr>
        <w:spacing w:after="160" w:line="360" w:lineRule="auto"/>
        <w:ind w:firstLine="560" w:firstLineChars="200"/>
        <w:jc w:val="left"/>
        <w:outlineLvl w:val="0"/>
        <w:rPr>
          <w:rFonts w:ascii="仿宋" w:hAnsi="仿宋" w:eastAsia="仿宋"/>
          <w:bCs/>
          <w:color w:val="auto"/>
          <w:sz w:val="28"/>
          <w:szCs w:val="28"/>
          <w:highlight w:val="none"/>
        </w:rPr>
      </w:pPr>
      <w:r>
        <w:rPr>
          <w:rFonts w:hint="eastAsia" w:ascii="仿宋" w:hAnsi="仿宋" w:eastAsia="仿宋"/>
          <w:bCs/>
          <w:color w:val="auto"/>
          <w:sz w:val="28"/>
          <w:szCs w:val="28"/>
          <w:highlight w:val="none"/>
        </w:rPr>
        <w:t>31.竣工资料与竣工图</w:t>
      </w:r>
    </w:p>
    <w:p w14:paraId="6A8F695B">
      <w:pPr>
        <w:spacing w:after="160" w:line="360" w:lineRule="auto"/>
        <w:ind w:firstLine="560" w:firstLineChars="200"/>
        <w:jc w:val="left"/>
        <w:outlineLvl w:val="0"/>
        <w:rPr>
          <w:rFonts w:ascii="仿宋" w:hAnsi="仿宋" w:eastAsia="仿宋"/>
          <w:bCs/>
          <w:color w:val="auto"/>
          <w:sz w:val="28"/>
          <w:szCs w:val="28"/>
          <w:highlight w:val="none"/>
        </w:rPr>
      </w:pPr>
      <w:r>
        <w:rPr>
          <w:rFonts w:hint="eastAsia" w:ascii="仿宋" w:hAnsi="仿宋" w:eastAsia="仿宋"/>
          <w:bCs/>
          <w:color w:val="auto"/>
          <w:sz w:val="28"/>
          <w:szCs w:val="28"/>
          <w:highlight w:val="none"/>
        </w:rPr>
        <w:t>(1) 本项目范围内（含前期总承包单位已施工部分）各专业竣工图由承包人编制或自行委托本项目设计单位编制。</w:t>
      </w:r>
    </w:p>
    <w:p w14:paraId="1AC9C02C">
      <w:pPr>
        <w:spacing w:after="160" w:line="360" w:lineRule="auto"/>
        <w:ind w:firstLine="560" w:firstLineChars="200"/>
        <w:jc w:val="left"/>
        <w:outlineLvl w:val="0"/>
        <w:rPr>
          <w:rFonts w:ascii="仿宋" w:hAnsi="仿宋" w:eastAsia="仿宋"/>
          <w:bCs/>
          <w:color w:val="auto"/>
          <w:sz w:val="28"/>
          <w:szCs w:val="28"/>
          <w:highlight w:val="none"/>
        </w:rPr>
      </w:pPr>
      <w:r>
        <w:rPr>
          <w:rFonts w:hint="eastAsia" w:ascii="仿宋" w:hAnsi="仿宋" w:eastAsia="仿宋"/>
          <w:bCs/>
          <w:color w:val="auto"/>
          <w:sz w:val="28"/>
          <w:szCs w:val="28"/>
          <w:highlight w:val="none"/>
        </w:rPr>
        <w:t>(2) 承包人负责承担发包人分包单位（含前期总承包单位）的资料收集及整理归档工作。</w:t>
      </w:r>
    </w:p>
    <w:p w14:paraId="48DE11FB">
      <w:pPr>
        <w:spacing w:after="160" w:line="360" w:lineRule="auto"/>
        <w:ind w:firstLine="560" w:firstLineChars="200"/>
        <w:jc w:val="left"/>
        <w:outlineLvl w:val="0"/>
        <w:rPr>
          <w:rFonts w:ascii="仿宋" w:hAnsi="仿宋" w:eastAsia="仿宋"/>
          <w:bCs/>
          <w:color w:val="auto"/>
          <w:sz w:val="28"/>
          <w:szCs w:val="28"/>
          <w:highlight w:val="none"/>
        </w:rPr>
      </w:pPr>
      <w:r>
        <w:rPr>
          <w:rFonts w:hint="eastAsia" w:ascii="仿宋" w:hAnsi="仿宋" w:eastAsia="仿宋"/>
          <w:bCs/>
          <w:color w:val="auto"/>
          <w:sz w:val="28"/>
          <w:szCs w:val="28"/>
          <w:highlight w:val="none"/>
        </w:rPr>
        <w:t>(3) 配合发包人永久供电、燃气、供水等专业工程施工及调试，配合永久供电、燃气、供水验收。</w:t>
      </w:r>
    </w:p>
    <w:p w14:paraId="0A64944B">
      <w:pPr>
        <w:spacing w:after="160" w:line="360" w:lineRule="auto"/>
        <w:ind w:firstLine="560" w:firstLineChars="200"/>
        <w:jc w:val="left"/>
        <w:outlineLvl w:val="0"/>
        <w:rPr>
          <w:rFonts w:ascii="仿宋" w:hAnsi="仿宋" w:eastAsia="仿宋"/>
          <w:bCs/>
          <w:color w:val="auto"/>
          <w:sz w:val="28"/>
          <w:szCs w:val="28"/>
          <w:highlight w:val="none"/>
        </w:rPr>
      </w:pPr>
      <w:r>
        <w:rPr>
          <w:rFonts w:hint="eastAsia" w:ascii="仿宋" w:hAnsi="仿宋" w:eastAsia="仿宋"/>
          <w:bCs/>
          <w:color w:val="auto"/>
          <w:sz w:val="28"/>
          <w:szCs w:val="28"/>
          <w:highlight w:val="none"/>
        </w:rPr>
        <w:t>（4）上述所涉及的费用已综合考虑在合同总价内，不另行计取。</w:t>
      </w:r>
    </w:p>
    <w:p w14:paraId="4F99A702">
      <w:pPr>
        <w:spacing w:after="160" w:line="360" w:lineRule="auto"/>
        <w:ind w:firstLine="560" w:firstLineChars="200"/>
        <w:jc w:val="left"/>
        <w:outlineLvl w:val="0"/>
        <w:rPr>
          <w:rFonts w:ascii="仿宋" w:hAnsi="仿宋" w:eastAsia="仿宋"/>
          <w:bCs/>
          <w:color w:val="auto"/>
          <w:sz w:val="28"/>
          <w:szCs w:val="28"/>
          <w:highlight w:val="none"/>
        </w:rPr>
      </w:pPr>
      <w:r>
        <w:rPr>
          <w:rFonts w:hint="eastAsia" w:ascii="仿宋" w:hAnsi="仿宋" w:eastAsia="仿宋"/>
          <w:bCs/>
          <w:color w:val="auto"/>
          <w:sz w:val="28"/>
          <w:szCs w:val="28"/>
          <w:highlight w:val="none"/>
        </w:rPr>
        <w:t>32.总包配合</w:t>
      </w:r>
    </w:p>
    <w:p w14:paraId="54A8E68B">
      <w:pPr>
        <w:spacing w:after="160" w:line="360" w:lineRule="auto"/>
        <w:ind w:firstLine="560" w:firstLineChars="200"/>
        <w:jc w:val="left"/>
        <w:outlineLvl w:val="0"/>
        <w:rPr>
          <w:rFonts w:ascii="仿宋" w:hAnsi="仿宋" w:eastAsia="仿宋"/>
          <w:bCs/>
          <w:color w:val="auto"/>
          <w:sz w:val="28"/>
          <w:szCs w:val="28"/>
          <w:highlight w:val="none"/>
        </w:rPr>
      </w:pPr>
      <w:r>
        <w:rPr>
          <w:rFonts w:hint="eastAsia" w:ascii="仿宋" w:hAnsi="仿宋" w:eastAsia="仿宋"/>
          <w:bCs/>
          <w:color w:val="auto"/>
          <w:sz w:val="28"/>
          <w:szCs w:val="28"/>
          <w:highlight w:val="none"/>
        </w:rPr>
        <w:t xml:space="preserve">发包人另行招标发包的专业分包单位，由专业分包单位向承包人支付总包配合费（永电、燃气、样板房单位除外），总包配合费不高于专业分包合同价的1.5%，除水电费外，承包人不得以任何形式向专业分包单位收取其它费用，总包配合内容包括但不限于： </w:t>
      </w:r>
    </w:p>
    <w:p w14:paraId="6EA15522">
      <w:pPr>
        <w:spacing w:after="160" w:line="360" w:lineRule="auto"/>
        <w:ind w:firstLine="560" w:firstLineChars="200"/>
        <w:jc w:val="left"/>
        <w:outlineLvl w:val="0"/>
        <w:rPr>
          <w:rFonts w:ascii="仿宋" w:hAnsi="仿宋" w:eastAsia="仿宋"/>
          <w:bCs/>
          <w:color w:val="auto"/>
          <w:sz w:val="28"/>
          <w:szCs w:val="28"/>
          <w:highlight w:val="none"/>
        </w:rPr>
      </w:pPr>
      <w:r>
        <w:rPr>
          <w:rFonts w:hint="eastAsia" w:ascii="仿宋" w:hAnsi="仿宋" w:eastAsia="仿宋"/>
          <w:bCs/>
          <w:color w:val="auto"/>
          <w:sz w:val="28"/>
          <w:szCs w:val="28"/>
          <w:highlight w:val="none"/>
        </w:rPr>
        <w:t>（1）在工程范围内提供临水、临电接驳电，水电费按表收费，除必要的水电耗损外，水电费价格应与自来水公司及供电局收取的水电费单价一致；</w:t>
      </w:r>
    </w:p>
    <w:p w14:paraId="3E4BF61C">
      <w:pPr>
        <w:spacing w:after="160" w:line="360" w:lineRule="auto"/>
        <w:ind w:firstLine="560" w:firstLineChars="200"/>
        <w:jc w:val="left"/>
        <w:outlineLvl w:val="0"/>
        <w:rPr>
          <w:rFonts w:ascii="仿宋" w:hAnsi="仿宋" w:eastAsia="仿宋"/>
          <w:bCs/>
          <w:color w:val="auto"/>
          <w:sz w:val="28"/>
          <w:szCs w:val="28"/>
          <w:highlight w:val="none"/>
        </w:rPr>
      </w:pPr>
      <w:r>
        <w:rPr>
          <w:rFonts w:hint="eastAsia" w:ascii="仿宋" w:hAnsi="仿宋" w:eastAsia="仿宋"/>
          <w:bCs/>
          <w:color w:val="auto"/>
          <w:sz w:val="28"/>
          <w:szCs w:val="28"/>
          <w:highlight w:val="none"/>
        </w:rPr>
        <w:t>（2）向分包单位提供塔吊、人货梯使用；</w:t>
      </w:r>
    </w:p>
    <w:p w14:paraId="032D5449">
      <w:pPr>
        <w:spacing w:after="160" w:line="360" w:lineRule="auto"/>
        <w:ind w:firstLine="560" w:firstLineChars="200"/>
        <w:jc w:val="left"/>
        <w:outlineLvl w:val="0"/>
        <w:rPr>
          <w:rFonts w:ascii="仿宋" w:hAnsi="仿宋" w:eastAsia="仿宋"/>
          <w:bCs/>
          <w:color w:val="auto"/>
          <w:sz w:val="28"/>
          <w:szCs w:val="28"/>
          <w:highlight w:val="none"/>
        </w:rPr>
      </w:pPr>
      <w:r>
        <w:rPr>
          <w:rFonts w:hint="eastAsia" w:ascii="仿宋" w:hAnsi="仿宋" w:eastAsia="仿宋"/>
          <w:bCs/>
          <w:color w:val="auto"/>
          <w:sz w:val="28"/>
          <w:szCs w:val="28"/>
          <w:highlight w:val="none"/>
        </w:rPr>
        <w:t>（3）向分包单位提供临时道路、材料堆场、加工场、仓库等场地；</w:t>
      </w:r>
    </w:p>
    <w:p w14:paraId="7D072C43">
      <w:pPr>
        <w:spacing w:after="160" w:line="360" w:lineRule="auto"/>
        <w:ind w:firstLine="560" w:firstLineChars="200"/>
        <w:jc w:val="left"/>
        <w:outlineLvl w:val="0"/>
        <w:rPr>
          <w:rFonts w:ascii="仿宋" w:hAnsi="仿宋" w:eastAsia="仿宋"/>
          <w:bCs/>
          <w:color w:val="auto"/>
          <w:sz w:val="28"/>
          <w:szCs w:val="28"/>
          <w:highlight w:val="none"/>
        </w:rPr>
      </w:pPr>
      <w:r>
        <w:rPr>
          <w:rFonts w:hint="eastAsia" w:ascii="仿宋" w:hAnsi="仿宋" w:eastAsia="仿宋"/>
          <w:bCs/>
          <w:color w:val="auto"/>
          <w:sz w:val="28"/>
          <w:szCs w:val="28"/>
          <w:highlight w:val="none"/>
        </w:rPr>
        <w:t>（4）负责分包单位的安全、文明施工管理，指定垃圾堆放处，由总承包人统一外运；</w:t>
      </w:r>
    </w:p>
    <w:p w14:paraId="173A0BF1">
      <w:pPr>
        <w:spacing w:after="160" w:line="360" w:lineRule="auto"/>
        <w:ind w:firstLine="560" w:firstLineChars="200"/>
        <w:jc w:val="left"/>
        <w:outlineLvl w:val="0"/>
        <w:rPr>
          <w:rFonts w:ascii="仿宋" w:hAnsi="仿宋" w:eastAsia="仿宋"/>
          <w:bCs/>
          <w:color w:val="auto"/>
          <w:sz w:val="28"/>
          <w:szCs w:val="28"/>
          <w:highlight w:val="none"/>
        </w:rPr>
      </w:pPr>
      <w:r>
        <w:rPr>
          <w:rFonts w:hint="eastAsia" w:ascii="仿宋" w:hAnsi="仿宋" w:eastAsia="仿宋"/>
          <w:bCs/>
          <w:color w:val="auto"/>
          <w:sz w:val="28"/>
          <w:szCs w:val="28"/>
          <w:highlight w:val="none"/>
        </w:rPr>
        <w:t>（5）负责分包单位的实名制信息及农民工工资分账账户办理及管理；</w:t>
      </w:r>
    </w:p>
    <w:p w14:paraId="28E8E1DC">
      <w:pPr>
        <w:spacing w:after="160" w:line="360" w:lineRule="auto"/>
        <w:ind w:firstLine="560" w:firstLineChars="200"/>
        <w:jc w:val="left"/>
        <w:outlineLvl w:val="0"/>
        <w:rPr>
          <w:rFonts w:ascii="仿宋" w:hAnsi="仿宋" w:eastAsia="仿宋"/>
          <w:bCs/>
          <w:color w:val="auto"/>
          <w:sz w:val="28"/>
          <w:szCs w:val="28"/>
          <w:highlight w:val="none"/>
        </w:rPr>
      </w:pPr>
      <w:r>
        <w:rPr>
          <w:rFonts w:hint="eastAsia" w:ascii="仿宋" w:hAnsi="仿宋" w:eastAsia="仿宋"/>
          <w:bCs/>
          <w:color w:val="auto"/>
          <w:sz w:val="28"/>
          <w:szCs w:val="28"/>
          <w:highlight w:val="none"/>
        </w:rPr>
        <w:t>（6）和分包单位签署总分包协议及安全管理协议；</w:t>
      </w:r>
    </w:p>
    <w:p w14:paraId="092D8F70">
      <w:pPr>
        <w:spacing w:after="160" w:line="360" w:lineRule="auto"/>
        <w:ind w:firstLine="560" w:firstLineChars="200"/>
        <w:jc w:val="left"/>
        <w:outlineLvl w:val="0"/>
        <w:rPr>
          <w:rFonts w:ascii="仿宋" w:hAnsi="仿宋" w:eastAsia="仿宋"/>
          <w:bCs/>
          <w:color w:val="auto"/>
          <w:sz w:val="28"/>
          <w:szCs w:val="28"/>
          <w:highlight w:val="none"/>
        </w:rPr>
      </w:pPr>
      <w:r>
        <w:rPr>
          <w:rFonts w:hint="eastAsia" w:ascii="仿宋" w:hAnsi="仿宋" w:eastAsia="仿宋"/>
          <w:bCs/>
          <w:color w:val="auto"/>
          <w:sz w:val="28"/>
          <w:szCs w:val="28"/>
          <w:highlight w:val="none"/>
        </w:rPr>
        <w:t>（7）其它总包应承担的配合责任。</w:t>
      </w:r>
    </w:p>
    <w:p w14:paraId="33E47F59">
      <w:pPr>
        <w:spacing w:after="160" w:line="360" w:lineRule="auto"/>
        <w:ind w:firstLine="560" w:firstLineChars="200"/>
        <w:jc w:val="left"/>
        <w:outlineLvl w:val="0"/>
        <w:rPr>
          <w:rFonts w:ascii="仿宋" w:hAnsi="仿宋" w:eastAsia="仿宋"/>
          <w:bCs/>
          <w:color w:val="auto"/>
          <w:sz w:val="28"/>
          <w:szCs w:val="28"/>
          <w:highlight w:val="none"/>
        </w:rPr>
      </w:pPr>
      <w:r>
        <w:rPr>
          <w:rFonts w:hint="eastAsia" w:ascii="仿宋" w:hAnsi="仿宋" w:eastAsia="仿宋"/>
          <w:bCs/>
          <w:color w:val="auto"/>
          <w:sz w:val="28"/>
          <w:szCs w:val="28"/>
          <w:highlight w:val="none"/>
        </w:rPr>
        <w:t>33.其他</w:t>
      </w:r>
    </w:p>
    <w:p w14:paraId="5FF653FE">
      <w:pPr>
        <w:spacing w:after="160" w:line="360" w:lineRule="auto"/>
        <w:ind w:firstLine="560" w:firstLineChars="200"/>
        <w:jc w:val="left"/>
        <w:outlineLvl w:val="0"/>
        <w:rPr>
          <w:rFonts w:ascii="仿宋" w:hAnsi="仿宋" w:eastAsia="仿宋"/>
          <w:bCs/>
          <w:color w:val="auto"/>
          <w:sz w:val="28"/>
          <w:szCs w:val="28"/>
          <w:highlight w:val="none"/>
        </w:rPr>
      </w:pPr>
      <w:r>
        <w:rPr>
          <w:rFonts w:hint="eastAsia" w:ascii="仿宋" w:hAnsi="仿宋" w:eastAsia="仿宋"/>
          <w:bCs/>
          <w:color w:val="auto"/>
          <w:sz w:val="28"/>
          <w:szCs w:val="28"/>
          <w:highlight w:val="none"/>
        </w:rPr>
        <w:t>（1）涉及高支模、外脚手架、施工作业平台、大型设备吊装、幕墙等超过一定规模且危险性较大的分部分项工程需按建设主管部门要求编制专项施工方案、组织专家论证（费用已含在投标总价）。</w:t>
      </w:r>
    </w:p>
    <w:p w14:paraId="08012F3D">
      <w:pPr>
        <w:spacing w:after="160" w:line="360" w:lineRule="auto"/>
        <w:ind w:firstLine="560" w:firstLineChars="200"/>
        <w:jc w:val="left"/>
        <w:outlineLvl w:val="0"/>
        <w:rPr>
          <w:rFonts w:ascii="仿宋" w:hAnsi="仿宋" w:eastAsia="仿宋"/>
          <w:bCs/>
          <w:color w:val="auto"/>
          <w:sz w:val="28"/>
          <w:szCs w:val="28"/>
          <w:highlight w:val="none"/>
        </w:rPr>
      </w:pPr>
      <w:r>
        <w:rPr>
          <w:rFonts w:hint="eastAsia" w:ascii="仿宋" w:hAnsi="仿宋" w:eastAsia="仿宋"/>
          <w:bCs/>
          <w:color w:val="auto"/>
          <w:sz w:val="28"/>
          <w:szCs w:val="28"/>
          <w:highlight w:val="none"/>
        </w:rPr>
        <w:t>（2）承包人新建的围墙、施工道路、加工场、材料堆场、临时办公场地、临时宿舍、门禁、监控系统等设施，必须符合建设主管部门、城投集团及发包人即时发布的最新要求。</w:t>
      </w:r>
    </w:p>
    <w:p w14:paraId="307DE338">
      <w:pPr>
        <w:spacing w:after="160" w:line="360" w:lineRule="auto"/>
        <w:ind w:firstLine="560" w:firstLineChars="200"/>
        <w:jc w:val="left"/>
        <w:outlineLvl w:val="0"/>
        <w:rPr>
          <w:rFonts w:ascii="仿宋" w:hAnsi="仿宋" w:eastAsia="仿宋"/>
          <w:bCs/>
          <w:color w:val="auto"/>
          <w:sz w:val="28"/>
          <w:szCs w:val="28"/>
          <w:highlight w:val="none"/>
        </w:rPr>
      </w:pPr>
      <w:r>
        <w:rPr>
          <w:rFonts w:hint="eastAsia" w:ascii="仿宋" w:hAnsi="仿宋" w:eastAsia="仿宋"/>
          <w:bCs/>
          <w:color w:val="auto"/>
          <w:sz w:val="28"/>
          <w:szCs w:val="28"/>
          <w:highlight w:val="none"/>
        </w:rPr>
        <w:t>（3）所有过墙的管线、设备管线竖井、幕墙与结构的层间缝隙按相关规范要求进行防火封堵，所有设备的基础（高、低压配电柜、变压器、公共开关房除外）由承包人深化设计，报设计、监理、建设单位确认后实施。所有设备房的基础由承包方施工。</w:t>
      </w:r>
    </w:p>
    <w:p w14:paraId="6882ADB0">
      <w:pPr>
        <w:spacing w:after="160" w:line="360" w:lineRule="auto"/>
        <w:ind w:firstLine="560" w:firstLineChars="200"/>
        <w:jc w:val="left"/>
        <w:outlineLvl w:val="0"/>
        <w:rPr>
          <w:rFonts w:ascii="仿宋" w:hAnsi="仿宋" w:eastAsia="仿宋"/>
          <w:bCs/>
          <w:color w:val="auto"/>
          <w:sz w:val="28"/>
          <w:szCs w:val="28"/>
          <w:highlight w:val="none"/>
        </w:rPr>
      </w:pPr>
      <w:r>
        <w:rPr>
          <w:rFonts w:hint="eastAsia" w:ascii="仿宋" w:hAnsi="仿宋" w:eastAsia="仿宋"/>
          <w:bCs/>
          <w:color w:val="auto"/>
          <w:sz w:val="28"/>
          <w:szCs w:val="28"/>
          <w:highlight w:val="none"/>
        </w:rPr>
        <w:t>（4）负责合同范围内的系统深化设计，按发包方要求提供深化设计图纸。</w:t>
      </w:r>
    </w:p>
    <w:p w14:paraId="784E2AAD">
      <w:pPr>
        <w:spacing w:after="160" w:line="360" w:lineRule="auto"/>
        <w:ind w:firstLine="560" w:firstLineChars="200"/>
        <w:jc w:val="left"/>
        <w:outlineLvl w:val="0"/>
        <w:rPr>
          <w:rFonts w:ascii="仿宋" w:hAnsi="仿宋" w:eastAsia="仿宋"/>
          <w:bCs/>
          <w:color w:val="auto"/>
          <w:sz w:val="28"/>
          <w:szCs w:val="28"/>
          <w:highlight w:val="none"/>
        </w:rPr>
      </w:pPr>
      <w:r>
        <w:rPr>
          <w:rFonts w:hint="eastAsia" w:ascii="仿宋" w:hAnsi="仿宋" w:eastAsia="仿宋"/>
          <w:bCs/>
          <w:color w:val="auto"/>
          <w:sz w:val="28"/>
          <w:szCs w:val="28"/>
          <w:highlight w:val="none"/>
        </w:rPr>
        <w:t>（5）负责统筹项目管线综合平衡，出具综合管线平衡图。</w:t>
      </w:r>
    </w:p>
    <w:p w14:paraId="69C824B5">
      <w:pPr>
        <w:spacing w:after="160" w:line="360" w:lineRule="auto"/>
        <w:ind w:firstLine="560" w:firstLineChars="200"/>
        <w:jc w:val="left"/>
        <w:outlineLvl w:val="0"/>
        <w:rPr>
          <w:rFonts w:ascii="仿宋" w:hAnsi="仿宋" w:eastAsia="仿宋"/>
          <w:bCs/>
          <w:color w:val="auto"/>
          <w:sz w:val="28"/>
          <w:szCs w:val="28"/>
          <w:highlight w:val="none"/>
        </w:rPr>
      </w:pPr>
      <w:r>
        <w:rPr>
          <w:rFonts w:hint="eastAsia" w:ascii="仿宋" w:hAnsi="仿宋" w:eastAsia="仿宋"/>
          <w:bCs/>
          <w:color w:val="auto"/>
          <w:sz w:val="28"/>
          <w:szCs w:val="28"/>
          <w:highlight w:val="none"/>
        </w:rPr>
        <w:t>（6）负责统筹整个项目各专业各系统技术和施工协调，保证各专业各系统无缝对接，按要求实现建筑各项功能，并负责调试、资料收集，完成验收所需全部工作内容。</w:t>
      </w:r>
    </w:p>
    <w:p w14:paraId="3E352951">
      <w:pPr>
        <w:spacing w:after="160" w:line="360" w:lineRule="auto"/>
        <w:ind w:firstLine="560" w:firstLineChars="200"/>
        <w:jc w:val="left"/>
        <w:outlineLvl w:val="0"/>
        <w:rPr>
          <w:rFonts w:ascii="仿宋" w:hAnsi="仿宋" w:eastAsia="仿宋"/>
          <w:bCs/>
          <w:color w:val="auto"/>
          <w:sz w:val="28"/>
          <w:szCs w:val="28"/>
          <w:highlight w:val="none"/>
        </w:rPr>
      </w:pPr>
      <w:r>
        <w:rPr>
          <w:rFonts w:hint="eastAsia" w:ascii="仿宋" w:hAnsi="仿宋" w:eastAsia="仿宋"/>
          <w:bCs/>
          <w:color w:val="auto"/>
          <w:sz w:val="28"/>
          <w:szCs w:val="28"/>
          <w:highlight w:val="none"/>
        </w:rPr>
        <w:t>（7）为各个系统预留孔洞、沟槽等（包含承包人自行施工机电部分所有预埋电管/水管的预埋、开槽、修补；其他专业分包单位在现场砌块、砖墙内的开槽及修补由专业分包单位各自负责完成）。</w:t>
      </w:r>
    </w:p>
    <w:p w14:paraId="187EE20B">
      <w:pPr>
        <w:spacing w:after="160" w:line="360" w:lineRule="auto"/>
        <w:ind w:firstLine="560" w:firstLineChars="200"/>
        <w:jc w:val="left"/>
        <w:outlineLvl w:val="0"/>
        <w:rPr>
          <w:rFonts w:ascii="仿宋" w:hAnsi="仿宋" w:eastAsia="仿宋"/>
          <w:bCs/>
          <w:color w:val="auto"/>
          <w:sz w:val="28"/>
          <w:szCs w:val="28"/>
          <w:highlight w:val="none"/>
        </w:rPr>
      </w:pPr>
      <w:r>
        <w:rPr>
          <w:rFonts w:hint="eastAsia" w:ascii="仿宋" w:hAnsi="仿宋" w:eastAsia="仿宋"/>
          <w:bCs/>
          <w:color w:val="auto"/>
          <w:sz w:val="28"/>
          <w:szCs w:val="28"/>
          <w:highlight w:val="none"/>
        </w:rPr>
        <w:t>（8）各种套管、线缆、管道等与楼板/墙壁间的混凝土或水泥砂浆封堵。</w:t>
      </w:r>
    </w:p>
    <w:p w14:paraId="18692A98">
      <w:pPr>
        <w:spacing w:line="360" w:lineRule="auto"/>
        <w:ind w:right="11" w:firstLine="560" w:firstLineChars="20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承包方式：</w:t>
      </w:r>
      <w:r>
        <w:rPr>
          <w:rFonts w:hint="eastAsia" w:ascii="华文仿宋" w:hAnsi="华文仿宋" w:eastAsia="华文仿宋" w:cs="仿宋"/>
          <w:color w:val="auto"/>
          <w:kern w:val="1"/>
          <w:sz w:val="28"/>
          <w:szCs w:val="28"/>
          <w:highlight w:val="none"/>
        </w:rPr>
        <w:t>承包人根据招标文件、合同文件、设计图纸、工程管理技术标准等有关资料、施工场地条件及投标报价说明等对本项目实施施工总承包：包括但不限于包临时设施、包施工期间用水用电费用、包材料、包人工、包施工、包质量、包工期、包联合调试、包实测实量、包绿色施工安全防护、包淋水试验、包垂直运输、包建筑垃圾清理及外运、包成品保护、包调试与检测、配合第三方检测及监测、包试运行、包税费、包保险、包通讯、竣工图编制（须满足规划等各专项验收要求）、包验收合格、包结算、包培训、包质保期内工程质量保修、包现场组织和协调、包移交的组织实施工作和资料整理、包工程备案、包竣工验收及备案资料、包配合整体竣工验收（含相关工程资料收集整理）、包因验收（报价范围内）不能通过所需要发生的整改费用，包总承包管理及协调、包竣工验收后优化提升工程和二次专项配合工程、包报批报建及其它相关服务内容等。</w:t>
      </w:r>
    </w:p>
    <w:p w14:paraId="1593D653">
      <w:pPr>
        <w:spacing w:line="360" w:lineRule="auto"/>
        <w:ind w:right="11" w:firstLine="560"/>
        <w:rPr>
          <w:rFonts w:ascii="华文仿宋" w:hAnsi="华文仿宋" w:eastAsia="华文仿宋" w:cs="仿宋"/>
          <w:b/>
          <w:color w:val="auto"/>
          <w:kern w:val="1"/>
          <w:sz w:val="28"/>
          <w:szCs w:val="28"/>
          <w:highlight w:val="none"/>
        </w:rPr>
      </w:pPr>
      <w:r>
        <w:rPr>
          <w:rFonts w:ascii="华文仿宋" w:hAnsi="华文仿宋" w:eastAsia="华文仿宋" w:cs="仿宋"/>
          <w:b/>
          <w:color w:val="auto"/>
          <w:kern w:val="1"/>
          <w:sz w:val="28"/>
          <w:szCs w:val="28"/>
          <w:highlight w:val="none"/>
        </w:rPr>
        <w:t>三、合同工期</w:t>
      </w:r>
      <w:r>
        <w:rPr>
          <w:rFonts w:hint="eastAsia" w:ascii="华文仿宋" w:hAnsi="华文仿宋" w:eastAsia="华文仿宋" w:cs="仿宋"/>
          <w:b/>
          <w:color w:val="auto"/>
          <w:kern w:val="1"/>
          <w:sz w:val="28"/>
          <w:szCs w:val="28"/>
          <w:highlight w:val="none"/>
        </w:rPr>
        <w:t xml:space="preserve"> </w:t>
      </w:r>
    </w:p>
    <w:p w14:paraId="7213F297">
      <w:pPr>
        <w:pStyle w:val="19"/>
        <w:spacing w:line="360" w:lineRule="auto"/>
        <w:ind w:left="0" w:firstLine="560" w:firstLineChars="20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本工程总工期</w:t>
      </w:r>
      <w:r>
        <w:rPr>
          <w:rFonts w:ascii="华文仿宋" w:hAnsi="华文仿宋" w:eastAsia="华文仿宋" w:cs="仿宋"/>
          <w:color w:val="auto"/>
          <w:sz w:val="28"/>
          <w:szCs w:val="28"/>
          <w:highlight w:val="none"/>
        </w:rPr>
        <w:t>为</w:t>
      </w:r>
      <w:r>
        <w:rPr>
          <w:rFonts w:hint="eastAsia" w:ascii="华文仿宋" w:hAnsi="华文仿宋" w:eastAsia="华文仿宋" w:cs="仿宋"/>
          <w:color w:val="auto"/>
          <w:sz w:val="28"/>
          <w:szCs w:val="28"/>
          <w:highlight w:val="none"/>
          <w:u w:val="single"/>
        </w:rPr>
        <w:t xml:space="preserve"> </w:t>
      </w:r>
      <w:r>
        <w:rPr>
          <w:rFonts w:ascii="华文仿宋" w:hAnsi="华文仿宋" w:eastAsia="华文仿宋" w:cs="仿宋"/>
          <w:color w:val="auto"/>
          <w:sz w:val="28"/>
          <w:szCs w:val="28"/>
          <w:highlight w:val="none"/>
          <w:u w:val="single"/>
        </w:rPr>
        <w:t>500</w:t>
      </w:r>
      <w:r>
        <w:rPr>
          <w:rFonts w:hint="eastAsia" w:ascii="华文仿宋" w:hAnsi="华文仿宋" w:eastAsia="华文仿宋" w:cs="仿宋"/>
          <w:color w:val="auto"/>
          <w:sz w:val="28"/>
          <w:szCs w:val="28"/>
          <w:highlight w:val="none"/>
          <w:u w:val="single"/>
        </w:rPr>
        <w:t xml:space="preserve"> </w:t>
      </w:r>
      <w:r>
        <w:rPr>
          <w:rFonts w:ascii="华文仿宋" w:hAnsi="华文仿宋" w:eastAsia="华文仿宋" w:cs="仿宋"/>
          <w:color w:val="auto"/>
          <w:sz w:val="28"/>
          <w:szCs w:val="28"/>
          <w:highlight w:val="none"/>
        </w:rPr>
        <w:t>个日历天</w:t>
      </w:r>
      <w:r>
        <w:rPr>
          <w:rFonts w:ascii="华文仿宋" w:hAnsi="华文仿宋" w:eastAsia="华文仿宋" w:cs="仿宋"/>
          <w:color w:val="auto"/>
          <w:sz w:val="28"/>
          <w:szCs w:val="28"/>
          <w:highlight w:val="none"/>
        </w:rPr>
        <w:t>（具体开工日期以</w:t>
      </w:r>
      <w:r>
        <w:rPr>
          <w:rFonts w:hint="eastAsia" w:ascii="华文仿宋" w:hAnsi="华文仿宋" w:eastAsia="华文仿宋" w:cs="仿宋"/>
          <w:color w:val="auto"/>
          <w:sz w:val="28"/>
          <w:szCs w:val="28"/>
          <w:highlight w:val="none"/>
        </w:rPr>
        <w:t>发包人</w:t>
      </w:r>
      <w:r>
        <w:rPr>
          <w:rFonts w:ascii="华文仿宋" w:hAnsi="华文仿宋" w:eastAsia="华文仿宋" w:cs="仿宋"/>
          <w:color w:val="auto"/>
          <w:sz w:val="28"/>
          <w:szCs w:val="28"/>
          <w:highlight w:val="none"/>
        </w:rPr>
        <w:t>或总监理工程师发出的开工令为准）</w:t>
      </w:r>
      <w:r>
        <w:rPr>
          <w:rFonts w:hint="eastAsia" w:ascii="华文仿宋" w:hAnsi="华文仿宋" w:eastAsia="华文仿宋" w:cs="仿宋"/>
          <w:color w:val="auto"/>
          <w:sz w:val="28"/>
          <w:szCs w:val="28"/>
          <w:highlight w:val="none"/>
        </w:rPr>
        <w:t>。</w:t>
      </w:r>
    </w:p>
    <w:p w14:paraId="628790FB">
      <w:pPr>
        <w:pStyle w:val="19"/>
        <w:spacing w:line="360" w:lineRule="auto"/>
        <w:ind w:left="0" w:firstLine="560" w:firstLineChars="20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1.新建8栋楼[D2、D4、D5、D6（地下室、±0.00以上），E3、E4、E6、E7（地下室、±0.00以上)]，计划开工日期为2025年10月15日（实际开工日期从签发中标通知书之日起第10个日历天开始起计），计划完工日期为2027年2月27日（优化提升完工并验收合格）。</w:t>
      </w:r>
    </w:p>
    <w:p w14:paraId="26381003">
      <w:pPr>
        <w:pStyle w:val="19"/>
        <w:spacing w:line="360" w:lineRule="auto"/>
        <w:ind w:left="0" w:firstLine="560" w:firstLineChars="20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2.已建未完楼栋[B区、C区、D1、D3、E2、E5、E8~10、G3（地下室、±0.00以上）]，计划开工日期为2025年10月15日（实际开工日期从签发中标通知书之日起第10个日历天开始起计），计划完工日期为2027年2月27日（优化提升完工并验收合格）。</w:t>
      </w:r>
    </w:p>
    <w:p w14:paraId="477E7626">
      <w:pPr>
        <w:pStyle w:val="19"/>
        <w:spacing w:line="360" w:lineRule="auto"/>
        <w:ind w:left="0" w:firstLine="560" w:firstLineChars="20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3.计划联合竣工验收完成时间：2026年7月30日。</w:t>
      </w:r>
    </w:p>
    <w:p w14:paraId="5E8B43BD">
      <w:pPr>
        <w:pStyle w:val="19"/>
        <w:spacing w:line="360" w:lineRule="auto"/>
        <w:ind w:left="0" w:firstLine="560" w:firstLineChars="20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4</w:t>
      </w:r>
      <w:r>
        <w:rPr>
          <w:rFonts w:ascii="华文仿宋" w:hAnsi="华文仿宋" w:eastAsia="华文仿宋" w:cs="仿宋"/>
          <w:color w:val="auto"/>
          <w:sz w:val="28"/>
          <w:szCs w:val="28"/>
          <w:highlight w:val="none"/>
        </w:rPr>
        <w:t>.</w:t>
      </w:r>
      <w:r>
        <w:rPr>
          <w:rFonts w:hint="eastAsia" w:ascii="华文仿宋" w:hAnsi="华文仿宋" w:eastAsia="华文仿宋" w:cs="仿宋"/>
          <w:color w:val="auto"/>
          <w:sz w:val="28"/>
          <w:szCs w:val="28"/>
          <w:highlight w:val="none"/>
        </w:rPr>
        <w:t>关键节点工期</w:t>
      </w:r>
    </w:p>
    <w:tbl>
      <w:tblPr>
        <w:tblStyle w:val="37"/>
        <w:tblW w:w="10351" w:type="dxa"/>
        <w:jc w:val="center"/>
        <w:tblLayout w:type="autofit"/>
        <w:tblCellMar>
          <w:top w:w="0" w:type="dxa"/>
          <w:left w:w="108" w:type="dxa"/>
          <w:bottom w:w="0" w:type="dxa"/>
          <w:right w:w="108" w:type="dxa"/>
        </w:tblCellMar>
      </w:tblPr>
      <w:tblGrid>
        <w:gridCol w:w="832"/>
        <w:gridCol w:w="2135"/>
        <w:gridCol w:w="1774"/>
        <w:gridCol w:w="1934"/>
        <w:gridCol w:w="1933"/>
        <w:gridCol w:w="1743"/>
      </w:tblGrid>
      <w:tr w14:paraId="39CD526F">
        <w:tblPrEx>
          <w:tblCellMar>
            <w:top w:w="0" w:type="dxa"/>
            <w:left w:w="108" w:type="dxa"/>
            <w:bottom w:w="0" w:type="dxa"/>
            <w:right w:w="108" w:type="dxa"/>
          </w:tblCellMar>
        </w:tblPrEx>
        <w:trPr>
          <w:trHeight w:val="596" w:hRule="atLeast"/>
          <w:jc w:val="center"/>
        </w:trPr>
        <w:tc>
          <w:tcPr>
            <w:tcW w:w="10351" w:type="dxa"/>
            <w:gridSpan w:val="6"/>
            <w:tcBorders>
              <w:top w:val="single" w:color="auto" w:sz="4" w:space="0"/>
              <w:left w:val="single" w:color="auto" w:sz="4" w:space="0"/>
              <w:bottom w:val="single" w:color="auto" w:sz="4" w:space="0"/>
              <w:right w:val="single" w:color="auto" w:sz="4" w:space="0"/>
            </w:tcBorders>
            <w:shd w:val="clear" w:color="auto" w:fill="D7D7D7"/>
            <w:vAlign w:val="center"/>
          </w:tcPr>
          <w:p w14:paraId="65EFC109">
            <w:pPr>
              <w:widowControl/>
              <w:jc w:val="left"/>
              <w:rPr>
                <w:rFonts w:ascii="宋体" w:hAnsi="宋体" w:cs="宋体"/>
                <w:color w:val="auto"/>
                <w:sz w:val="20"/>
                <w:highlight w:val="none"/>
              </w:rPr>
            </w:pPr>
            <w:r>
              <w:rPr>
                <w:rFonts w:hint="eastAsia" w:ascii="宋体" w:hAnsi="宋体" w:cs="宋体"/>
                <w:b/>
                <w:bCs/>
                <w:color w:val="auto"/>
                <w:sz w:val="24"/>
                <w:highlight w:val="none"/>
              </w:rPr>
              <w:t>一、新建8栋楼[D2、D4、D5、D6（地下室、±0.00以上），E3、E4、E6、E7（地下室、±0.00以上)]</w:t>
            </w:r>
          </w:p>
        </w:tc>
      </w:tr>
      <w:tr w14:paraId="17B86457">
        <w:tblPrEx>
          <w:tblCellMar>
            <w:top w:w="0" w:type="dxa"/>
            <w:left w:w="108" w:type="dxa"/>
            <w:bottom w:w="0" w:type="dxa"/>
            <w:right w:w="108" w:type="dxa"/>
          </w:tblCellMar>
        </w:tblPrEx>
        <w:trPr>
          <w:trHeight w:val="480" w:hRule="atLeast"/>
          <w:jc w:val="center"/>
        </w:trPr>
        <w:tc>
          <w:tcPr>
            <w:tcW w:w="832" w:type="dxa"/>
            <w:tcBorders>
              <w:top w:val="nil"/>
              <w:left w:val="single" w:color="auto" w:sz="4" w:space="0"/>
              <w:bottom w:val="single" w:color="auto" w:sz="4" w:space="0"/>
              <w:right w:val="single" w:color="auto" w:sz="4" w:space="0"/>
            </w:tcBorders>
            <w:vAlign w:val="center"/>
          </w:tcPr>
          <w:p w14:paraId="14E02FD6">
            <w:pPr>
              <w:widowControl/>
              <w:jc w:val="center"/>
              <w:rPr>
                <w:rFonts w:hint="eastAsia" w:ascii="宋体" w:hAnsi="宋体" w:cs="宋体"/>
                <w:color w:val="auto"/>
                <w:sz w:val="20"/>
                <w:highlight w:val="none"/>
              </w:rPr>
            </w:pPr>
            <w:r>
              <w:rPr>
                <w:rFonts w:hint="eastAsia" w:ascii="宋体" w:hAnsi="宋体" w:cs="宋体"/>
                <w:color w:val="auto"/>
                <w:sz w:val="20"/>
                <w:highlight w:val="none"/>
              </w:rPr>
              <w:t>序号</w:t>
            </w:r>
          </w:p>
        </w:tc>
        <w:tc>
          <w:tcPr>
            <w:tcW w:w="2135" w:type="dxa"/>
            <w:tcBorders>
              <w:top w:val="nil"/>
              <w:left w:val="nil"/>
              <w:bottom w:val="single" w:color="auto" w:sz="4" w:space="0"/>
              <w:right w:val="single" w:color="auto" w:sz="4" w:space="0"/>
            </w:tcBorders>
            <w:vAlign w:val="center"/>
          </w:tcPr>
          <w:p w14:paraId="7797F177">
            <w:pPr>
              <w:widowControl/>
              <w:jc w:val="center"/>
              <w:rPr>
                <w:rFonts w:hint="eastAsia" w:ascii="宋体" w:hAnsi="宋体" w:cs="宋体"/>
                <w:color w:val="auto"/>
                <w:sz w:val="20"/>
                <w:highlight w:val="none"/>
              </w:rPr>
            </w:pPr>
            <w:r>
              <w:rPr>
                <w:rFonts w:hint="eastAsia" w:ascii="宋体" w:hAnsi="宋体" w:cs="宋体"/>
                <w:color w:val="auto"/>
                <w:sz w:val="20"/>
                <w:highlight w:val="none"/>
              </w:rPr>
              <w:t>节点名称</w:t>
            </w:r>
          </w:p>
        </w:tc>
        <w:tc>
          <w:tcPr>
            <w:tcW w:w="1774" w:type="dxa"/>
            <w:tcBorders>
              <w:top w:val="nil"/>
              <w:left w:val="nil"/>
              <w:bottom w:val="single" w:color="auto" w:sz="4" w:space="0"/>
              <w:right w:val="single" w:color="auto" w:sz="4" w:space="0"/>
            </w:tcBorders>
            <w:vAlign w:val="center"/>
          </w:tcPr>
          <w:p w14:paraId="1B17626F">
            <w:pPr>
              <w:widowControl/>
              <w:jc w:val="center"/>
              <w:rPr>
                <w:rFonts w:hint="eastAsia" w:ascii="宋体" w:hAnsi="宋体" w:cs="宋体"/>
                <w:color w:val="auto"/>
                <w:sz w:val="20"/>
                <w:highlight w:val="none"/>
              </w:rPr>
            </w:pPr>
            <w:r>
              <w:rPr>
                <w:rFonts w:hint="eastAsia" w:ascii="宋体" w:hAnsi="宋体" w:cs="宋体"/>
                <w:color w:val="auto"/>
                <w:sz w:val="20"/>
                <w:highlight w:val="none"/>
              </w:rPr>
              <w:t>工期</w:t>
            </w:r>
          </w:p>
        </w:tc>
        <w:tc>
          <w:tcPr>
            <w:tcW w:w="1934" w:type="dxa"/>
            <w:tcBorders>
              <w:top w:val="nil"/>
              <w:left w:val="nil"/>
              <w:bottom w:val="single" w:color="auto" w:sz="4" w:space="0"/>
              <w:right w:val="single" w:color="auto" w:sz="4" w:space="0"/>
            </w:tcBorders>
            <w:vAlign w:val="center"/>
          </w:tcPr>
          <w:p w14:paraId="6B280E12">
            <w:pPr>
              <w:widowControl/>
              <w:jc w:val="center"/>
              <w:rPr>
                <w:rFonts w:hint="eastAsia" w:ascii="宋体" w:hAnsi="宋体" w:cs="宋体"/>
                <w:color w:val="auto"/>
                <w:sz w:val="20"/>
                <w:highlight w:val="none"/>
              </w:rPr>
            </w:pPr>
            <w:r>
              <w:rPr>
                <w:rFonts w:hint="eastAsia" w:ascii="宋体" w:hAnsi="宋体" w:cs="宋体"/>
                <w:color w:val="auto"/>
                <w:sz w:val="20"/>
                <w:highlight w:val="none"/>
              </w:rPr>
              <w:t>计划开工日期</w:t>
            </w:r>
          </w:p>
        </w:tc>
        <w:tc>
          <w:tcPr>
            <w:tcW w:w="1933" w:type="dxa"/>
            <w:tcBorders>
              <w:top w:val="nil"/>
              <w:left w:val="nil"/>
              <w:bottom w:val="single" w:color="auto" w:sz="4" w:space="0"/>
              <w:right w:val="single" w:color="auto" w:sz="4" w:space="0"/>
            </w:tcBorders>
            <w:vAlign w:val="center"/>
          </w:tcPr>
          <w:p w14:paraId="7AB0A8E5">
            <w:pPr>
              <w:widowControl/>
              <w:jc w:val="center"/>
              <w:rPr>
                <w:rFonts w:hint="eastAsia" w:ascii="宋体" w:hAnsi="宋体" w:cs="宋体"/>
                <w:color w:val="auto"/>
                <w:sz w:val="20"/>
                <w:highlight w:val="none"/>
              </w:rPr>
            </w:pPr>
            <w:r>
              <w:rPr>
                <w:rFonts w:hint="eastAsia" w:ascii="宋体" w:hAnsi="宋体" w:cs="宋体"/>
                <w:color w:val="auto"/>
                <w:sz w:val="20"/>
                <w:highlight w:val="none"/>
              </w:rPr>
              <w:t>计划完工日期</w:t>
            </w:r>
          </w:p>
        </w:tc>
        <w:tc>
          <w:tcPr>
            <w:tcW w:w="1743" w:type="dxa"/>
            <w:tcBorders>
              <w:top w:val="nil"/>
              <w:left w:val="nil"/>
              <w:bottom w:val="single" w:color="auto" w:sz="4" w:space="0"/>
              <w:right w:val="single" w:color="auto" w:sz="4" w:space="0"/>
            </w:tcBorders>
            <w:vAlign w:val="center"/>
          </w:tcPr>
          <w:p w14:paraId="664C49CE">
            <w:pPr>
              <w:widowControl/>
              <w:jc w:val="center"/>
              <w:rPr>
                <w:rFonts w:hint="eastAsia" w:ascii="宋体" w:hAnsi="宋体" w:cs="宋体"/>
                <w:color w:val="auto"/>
                <w:sz w:val="20"/>
                <w:highlight w:val="none"/>
              </w:rPr>
            </w:pPr>
            <w:r>
              <w:rPr>
                <w:rFonts w:hint="eastAsia" w:ascii="宋体" w:hAnsi="宋体" w:cs="宋体"/>
                <w:color w:val="auto"/>
                <w:sz w:val="20"/>
                <w:highlight w:val="none"/>
              </w:rPr>
              <w:t>备注</w:t>
            </w:r>
          </w:p>
        </w:tc>
      </w:tr>
      <w:tr w14:paraId="7E2E2BEA">
        <w:tblPrEx>
          <w:tblCellMar>
            <w:top w:w="0" w:type="dxa"/>
            <w:left w:w="108" w:type="dxa"/>
            <w:bottom w:w="0" w:type="dxa"/>
            <w:right w:w="108" w:type="dxa"/>
          </w:tblCellMar>
        </w:tblPrEx>
        <w:trPr>
          <w:trHeight w:val="480" w:hRule="atLeast"/>
          <w:jc w:val="center"/>
        </w:trPr>
        <w:tc>
          <w:tcPr>
            <w:tcW w:w="832" w:type="dxa"/>
            <w:tcBorders>
              <w:top w:val="nil"/>
              <w:left w:val="single" w:color="auto" w:sz="4" w:space="0"/>
              <w:bottom w:val="single" w:color="auto" w:sz="4" w:space="0"/>
              <w:right w:val="single" w:color="auto" w:sz="4" w:space="0"/>
            </w:tcBorders>
            <w:vAlign w:val="center"/>
          </w:tcPr>
          <w:p w14:paraId="17EE24CA">
            <w:pPr>
              <w:widowControl/>
              <w:jc w:val="center"/>
              <w:rPr>
                <w:rFonts w:hint="eastAsia" w:ascii="宋体" w:hAnsi="宋体" w:cs="宋体"/>
                <w:color w:val="auto"/>
                <w:sz w:val="20"/>
                <w:highlight w:val="none"/>
              </w:rPr>
            </w:pPr>
            <w:r>
              <w:rPr>
                <w:rFonts w:hint="eastAsia" w:ascii="宋体" w:hAnsi="宋体" w:cs="宋体"/>
                <w:color w:val="auto"/>
                <w:sz w:val="20"/>
                <w:highlight w:val="none"/>
              </w:rPr>
              <w:t>1</w:t>
            </w:r>
          </w:p>
        </w:tc>
        <w:tc>
          <w:tcPr>
            <w:tcW w:w="2135" w:type="dxa"/>
            <w:tcBorders>
              <w:top w:val="nil"/>
              <w:left w:val="nil"/>
              <w:bottom w:val="single" w:color="auto" w:sz="4" w:space="0"/>
              <w:right w:val="single" w:color="auto" w:sz="4" w:space="0"/>
            </w:tcBorders>
            <w:vAlign w:val="center"/>
          </w:tcPr>
          <w:p w14:paraId="2606224A">
            <w:pPr>
              <w:widowControl/>
              <w:jc w:val="center"/>
              <w:rPr>
                <w:rFonts w:hint="eastAsia" w:ascii="宋体" w:hAnsi="宋体" w:cs="宋体"/>
                <w:color w:val="auto"/>
                <w:sz w:val="20"/>
                <w:highlight w:val="none"/>
              </w:rPr>
            </w:pPr>
            <w:r>
              <w:rPr>
                <w:rFonts w:hint="eastAsia" w:ascii="宋体" w:hAnsi="宋体" w:cs="宋体"/>
                <w:color w:val="auto"/>
                <w:sz w:val="20"/>
                <w:highlight w:val="none"/>
              </w:rPr>
              <w:t>正负零结构完成</w:t>
            </w:r>
          </w:p>
        </w:tc>
        <w:tc>
          <w:tcPr>
            <w:tcW w:w="1774" w:type="dxa"/>
            <w:tcBorders>
              <w:top w:val="nil"/>
              <w:left w:val="nil"/>
              <w:bottom w:val="single" w:color="auto" w:sz="4" w:space="0"/>
              <w:right w:val="single" w:color="auto" w:sz="4" w:space="0"/>
            </w:tcBorders>
            <w:vAlign w:val="center"/>
          </w:tcPr>
          <w:p w14:paraId="545E409B">
            <w:pPr>
              <w:widowControl/>
              <w:jc w:val="center"/>
              <w:rPr>
                <w:rFonts w:hint="eastAsia" w:ascii="宋体" w:hAnsi="宋体" w:cs="宋体"/>
                <w:color w:val="auto"/>
                <w:sz w:val="20"/>
                <w:highlight w:val="none"/>
              </w:rPr>
            </w:pPr>
            <w:r>
              <w:rPr>
                <w:rFonts w:ascii="宋体" w:hAnsi="宋体" w:cs="宋体"/>
                <w:color w:val="auto"/>
                <w:sz w:val="20"/>
                <w:highlight w:val="none"/>
              </w:rPr>
              <w:t>66</w:t>
            </w:r>
            <w:r>
              <w:rPr>
                <w:rFonts w:hint="eastAsia" w:ascii="宋体" w:hAnsi="宋体" w:cs="宋体"/>
                <w:color w:val="auto"/>
                <w:sz w:val="20"/>
                <w:highlight w:val="none"/>
              </w:rPr>
              <w:t>天，开工日起计</w:t>
            </w:r>
            <w:r>
              <w:rPr>
                <w:rFonts w:ascii="宋体" w:hAnsi="宋体" w:cs="宋体"/>
                <w:color w:val="auto"/>
                <w:sz w:val="20"/>
                <w:highlight w:val="none"/>
                <w:u w:val="single"/>
              </w:rPr>
              <w:t>66</w:t>
            </w:r>
            <w:r>
              <w:rPr>
                <w:rFonts w:hint="eastAsia" w:ascii="宋体" w:hAnsi="宋体" w:cs="宋体"/>
                <w:color w:val="auto"/>
                <w:sz w:val="20"/>
                <w:highlight w:val="none"/>
              </w:rPr>
              <w:t>日历天</w:t>
            </w:r>
          </w:p>
        </w:tc>
        <w:tc>
          <w:tcPr>
            <w:tcW w:w="1934" w:type="dxa"/>
            <w:tcBorders>
              <w:top w:val="nil"/>
              <w:left w:val="nil"/>
              <w:bottom w:val="single" w:color="auto" w:sz="4" w:space="0"/>
              <w:right w:val="single" w:color="auto" w:sz="4" w:space="0"/>
            </w:tcBorders>
            <w:vAlign w:val="center"/>
          </w:tcPr>
          <w:p w14:paraId="3EE15E57">
            <w:pPr>
              <w:widowControl/>
              <w:jc w:val="center"/>
              <w:rPr>
                <w:rFonts w:hint="eastAsia" w:ascii="宋体" w:hAnsi="宋体" w:cs="宋体"/>
                <w:color w:val="auto"/>
                <w:sz w:val="20"/>
                <w:highlight w:val="none"/>
              </w:rPr>
            </w:pPr>
            <w:r>
              <w:rPr>
                <w:rFonts w:hint="eastAsia" w:ascii="宋体" w:hAnsi="宋体" w:cs="宋体"/>
                <w:color w:val="auto"/>
                <w:sz w:val="20"/>
                <w:highlight w:val="none"/>
              </w:rPr>
              <w:t>2025年10月15日</w:t>
            </w:r>
          </w:p>
        </w:tc>
        <w:tc>
          <w:tcPr>
            <w:tcW w:w="1933" w:type="dxa"/>
            <w:tcBorders>
              <w:top w:val="nil"/>
              <w:left w:val="nil"/>
              <w:bottom w:val="single" w:color="auto" w:sz="4" w:space="0"/>
              <w:right w:val="single" w:color="auto" w:sz="4" w:space="0"/>
            </w:tcBorders>
            <w:vAlign w:val="center"/>
          </w:tcPr>
          <w:p w14:paraId="66ECF5E3">
            <w:pPr>
              <w:widowControl/>
              <w:jc w:val="center"/>
              <w:rPr>
                <w:rFonts w:hint="eastAsia" w:ascii="宋体" w:hAnsi="宋体" w:cs="宋体"/>
                <w:color w:val="auto"/>
                <w:sz w:val="20"/>
                <w:highlight w:val="none"/>
              </w:rPr>
            </w:pPr>
            <w:r>
              <w:rPr>
                <w:rFonts w:hint="eastAsia" w:ascii="宋体" w:hAnsi="宋体" w:cs="宋体"/>
                <w:color w:val="auto"/>
                <w:sz w:val="20"/>
                <w:highlight w:val="none"/>
              </w:rPr>
              <w:t>2025年1</w:t>
            </w:r>
            <w:r>
              <w:rPr>
                <w:rFonts w:ascii="宋体" w:hAnsi="宋体" w:cs="宋体"/>
                <w:color w:val="auto"/>
                <w:sz w:val="20"/>
                <w:highlight w:val="none"/>
              </w:rPr>
              <w:t>2</w:t>
            </w:r>
            <w:r>
              <w:rPr>
                <w:rFonts w:hint="eastAsia" w:ascii="宋体" w:hAnsi="宋体" w:cs="宋体"/>
                <w:color w:val="auto"/>
                <w:sz w:val="20"/>
                <w:highlight w:val="none"/>
              </w:rPr>
              <w:t>月</w:t>
            </w:r>
            <w:r>
              <w:rPr>
                <w:rFonts w:ascii="宋体" w:hAnsi="宋体" w:cs="宋体"/>
                <w:color w:val="auto"/>
                <w:sz w:val="20"/>
                <w:highlight w:val="none"/>
              </w:rPr>
              <w:t>20</w:t>
            </w:r>
            <w:r>
              <w:rPr>
                <w:rFonts w:hint="eastAsia" w:ascii="宋体" w:hAnsi="宋体" w:cs="宋体"/>
                <w:color w:val="auto"/>
                <w:sz w:val="20"/>
                <w:highlight w:val="none"/>
              </w:rPr>
              <w:t>日</w:t>
            </w:r>
          </w:p>
        </w:tc>
        <w:tc>
          <w:tcPr>
            <w:tcW w:w="1743" w:type="dxa"/>
            <w:tcBorders>
              <w:top w:val="nil"/>
              <w:left w:val="nil"/>
              <w:bottom w:val="single" w:color="auto" w:sz="4" w:space="0"/>
              <w:right w:val="single" w:color="auto" w:sz="4" w:space="0"/>
            </w:tcBorders>
            <w:vAlign w:val="center"/>
          </w:tcPr>
          <w:p w14:paraId="2BA1EDD7">
            <w:pPr>
              <w:widowControl/>
              <w:jc w:val="center"/>
              <w:rPr>
                <w:rFonts w:hint="eastAsia" w:ascii="宋体" w:hAnsi="宋体" w:cs="宋体"/>
                <w:color w:val="auto"/>
                <w:sz w:val="20"/>
                <w:highlight w:val="none"/>
              </w:rPr>
            </w:pPr>
          </w:p>
        </w:tc>
      </w:tr>
      <w:tr w14:paraId="462C832B">
        <w:tblPrEx>
          <w:tblCellMar>
            <w:top w:w="0" w:type="dxa"/>
            <w:left w:w="108" w:type="dxa"/>
            <w:bottom w:w="0" w:type="dxa"/>
            <w:right w:w="108" w:type="dxa"/>
          </w:tblCellMar>
        </w:tblPrEx>
        <w:trPr>
          <w:trHeight w:val="675" w:hRule="atLeast"/>
          <w:jc w:val="center"/>
        </w:trPr>
        <w:tc>
          <w:tcPr>
            <w:tcW w:w="832" w:type="dxa"/>
            <w:tcBorders>
              <w:top w:val="nil"/>
              <w:left w:val="single" w:color="auto" w:sz="4" w:space="0"/>
              <w:bottom w:val="single" w:color="auto" w:sz="4" w:space="0"/>
              <w:right w:val="single" w:color="auto" w:sz="4" w:space="0"/>
            </w:tcBorders>
            <w:vAlign w:val="center"/>
          </w:tcPr>
          <w:p w14:paraId="4C57B5E7">
            <w:pPr>
              <w:widowControl/>
              <w:jc w:val="center"/>
              <w:rPr>
                <w:rFonts w:hint="eastAsia" w:ascii="宋体" w:hAnsi="宋体" w:cs="宋体"/>
                <w:color w:val="auto"/>
                <w:sz w:val="20"/>
                <w:highlight w:val="none"/>
              </w:rPr>
            </w:pPr>
            <w:r>
              <w:rPr>
                <w:rFonts w:hint="eastAsia" w:ascii="宋体" w:hAnsi="宋体" w:cs="宋体"/>
                <w:color w:val="auto"/>
                <w:sz w:val="20"/>
                <w:highlight w:val="none"/>
              </w:rPr>
              <w:t>2</w:t>
            </w:r>
          </w:p>
        </w:tc>
        <w:tc>
          <w:tcPr>
            <w:tcW w:w="2135" w:type="dxa"/>
            <w:tcBorders>
              <w:top w:val="nil"/>
              <w:left w:val="nil"/>
              <w:bottom w:val="single" w:color="auto" w:sz="4" w:space="0"/>
              <w:right w:val="single" w:color="auto" w:sz="4" w:space="0"/>
            </w:tcBorders>
            <w:vAlign w:val="center"/>
          </w:tcPr>
          <w:p w14:paraId="5BEA4F89">
            <w:pPr>
              <w:widowControl/>
              <w:jc w:val="center"/>
              <w:rPr>
                <w:rFonts w:hint="eastAsia" w:ascii="宋体" w:hAnsi="宋体" w:cs="宋体"/>
                <w:color w:val="auto"/>
                <w:sz w:val="20"/>
                <w:highlight w:val="none"/>
              </w:rPr>
            </w:pPr>
            <w:r>
              <w:rPr>
                <w:rFonts w:hint="eastAsia" w:ascii="宋体" w:hAnsi="宋体" w:cs="宋体"/>
                <w:color w:val="auto"/>
                <w:sz w:val="20"/>
                <w:highlight w:val="none"/>
              </w:rPr>
              <w:t>结构封顶（含屋面花架层）</w:t>
            </w:r>
          </w:p>
        </w:tc>
        <w:tc>
          <w:tcPr>
            <w:tcW w:w="1774" w:type="dxa"/>
            <w:tcBorders>
              <w:top w:val="nil"/>
              <w:left w:val="nil"/>
              <w:bottom w:val="single" w:color="auto" w:sz="4" w:space="0"/>
              <w:right w:val="single" w:color="auto" w:sz="4" w:space="0"/>
            </w:tcBorders>
            <w:vAlign w:val="center"/>
          </w:tcPr>
          <w:p w14:paraId="46FA14D5">
            <w:pPr>
              <w:widowControl/>
              <w:jc w:val="left"/>
              <w:rPr>
                <w:rFonts w:hint="eastAsia" w:ascii="宋体" w:hAnsi="宋体" w:cs="宋体"/>
                <w:color w:val="auto"/>
                <w:sz w:val="20"/>
                <w:highlight w:val="none"/>
              </w:rPr>
            </w:pPr>
            <w:r>
              <w:rPr>
                <w:rFonts w:hint="eastAsia" w:ascii="宋体" w:hAnsi="宋体" w:cs="宋体"/>
                <w:color w:val="auto"/>
                <w:sz w:val="20"/>
                <w:highlight w:val="none"/>
              </w:rPr>
              <w:t>82天，开工日起计</w:t>
            </w:r>
            <w:r>
              <w:rPr>
                <w:rFonts w:hint="eastAsia" w:ascii="宋体" w:hAnsi="宋体" w:cs="宋体"/>
                <w:color w:val="auto"/>
                <w:sz w:val="20"/>
                <w:highlight w:val="none"/>
                <w:u w:val="single"/>
              </w:rPr>
              <w:t>123</w:t>
            </w:r>
            <w:r>
              <w:rPr>
                <w:rFonts w:hint="eastAsia" w:ascii="宋体" w:hAnsi="宋体" w:cs="宋体"/>
                <w:color w:val="auto"/>
                <w:sz w:val="20"/>
                <w:highlight w:val="none"/>
              </w:rPr>
              <w:t>日历天</w:t>
            </w:r>
          </w:p>
        </w:tc>
        <w:tc>
          <w:tcPr>
            <w:tcW w:w="1934" w:type="dxa"/>
            <w:tcBorders>
              <w:top w:val="nil"/>
              <w:left w:val="nil"/>
              <w:bottom w:val="single" w:color="auto" w:sz="4" w:space="0"/>
              <w:right w:val="single" w:color="auto" w:sz="4" w:space="0"/>
            </w:tcBorders>
            <w:vAlign w:val="center"/>
          </w:tcPr>
          <w:p w14:paraId="02FE15F6">
            <w:pPr>
              <w:widowControl/>
              <w:jc w:val="left"/>
              <w:rPr>
                <w:rFonts w:hint="eastAsia" w:ascii="宋体" w:hAnsi="宋体" w:cs="宋体"/>
                <w:color w:val="auto"/>
                <w:sz w:val="20"/>
                <w:highlight w:val="none"/>
              </w:rPr>
            </w:pPr>
            <w:r>
              <w:rPr>
                <w:rFonts w:hint="eastAsia" w:ascii="宋体" w:hAnsi="宋体" w:cs="宋体"/>
                <w:color w:val="auto"/>
                <w:sz w:val="20"/>
                <w:highlight w:val="none"/>
              </w:rPr>
              <w:t>2025年11月26日</w:t>
            </w:r>
          </w:p>
        </w:tc>
        <w:tc>
          <w:tcPr>
            <w:tcW w:w="1933" w:type="dxa"/>
            <w:tcBorders>
              <w:top w:val="nil"/>
              <w:left w:val="nil"/>
              <w:bottom w:val="single" w:color="auto" w:sz="4" w:space="0"/>
              <w:right w:val="single" w:color="auto" w:sz="4" w:space="0"/>
            </w:tcBorders>
            <w:vAlign w:val="center"/>
          </w:tcPr>
          <w:p w14:paraId="689D2507">
            <w:pPr>
              <w:widowControl/>
              <w:jc w:val="center"/>
              <w:rPr>
                <w:rFonts w:hint="eastAsia" w:ascii="宋体" w:hAnsi="宋体" w:cs="宋体"/>
                <w:color w:val="auto"/>
                <w:sz w:val="20"/>
                <w:highlight w:val="none"/>
              </w:rPr>
            </w:pPr>
            <w:r>
              <w:rPr>
                <w:rFonts w:hint="eastAsia" w:ascii="宋体" w:hAnsi="宋体" w:cs="宋体"/>
                <w:color w:val="auto"/>
                <w:sz w:val="20"/>
                <w:highlight w:val="none"/>
              </w:rPr>
              <w:t>2026年2月15日</w:t>
            </w:r>
          </w:p>
        </w:tc>
        <w:tc>
          <w:tcPr>
            <w:tcW w:w="1743" w:type="dxa"/>
            <w:tcBorders>
              <w:top w:val="nil"/>
              <w:left w:val="nil"/>
              <w:bottom w:val="single" w:color="auto" w:sz="4" w:space="0"/>
              <w:right w:val="single" w:color="auto" w:sz="4" w:space="0"/>
            </w:tcBorders>
            <w:vAlign w:val="center"/>
          </w:tcPr>
          <w:p w14:paraId="6FA27341">
            <w:pPr>
              <w:widowControl/>
              <w:jc w:val="center"/>
              <w:rPr>
                <w:rFonts w:hint="eastAsia" w:ascii="宋体" w:hAnsi="宋体" w:cs="宋体"/>
                <w:color w:val="auto"/>
                <w:sz w:val="20"/>
                <w:highlight w:val="none"/>
              </w:rPr>
            </w:pPr>
          </w:p>
        </w:tc>
      </w:tr>
      <w:tr w14:paraId="451BC599">
        <w:tblPrEx>
          <w:tblCellMar>
            <w:top w:w="0" w:type="dxa"/>
            <w:left w:w="108" w:type="dxa"/>
            <w:bottom w:w="0" w:type="dxa"/>
            <w:right w:w="108" w:type="dxa"/>
          </w:tblCellMar>
        </w:tblPrEx>
        <w:trPr>
          <w:trHeight w:val="480" w:hRule="atLeast"/>
          <w:jc w:val="center"/>
        </w:trPr>
        <w:tc>
          <w:tcPr>
            <w:tcW w:w="832" w:type="dxa"/>
            <w:tcBorders>
              <w:top w:val="nil"/>
              <w:left w:val="single" w:color="auto" w:sz="4" w:space="0"/>
              <w:bottom w:val="single" w:color="auto" w:sz="4" w:space="0"/>
              <w:right w:val="single" w:color="auto" w:sz="4" w:space="0"/>
            </w:tcBorders>
            <w:vAlign w:val="center"/>
          </w:tcPr>
          <w:p w14:paraId="34B0DA85">
            <w:pPr>
              <w:widowControl/>
              <w:jc w:val="center"/>
              <w:rPr>
                <w:rFonts w:hint="eastAsia" w:ascii="宋体" w:hAnsi="宋体" w:cs="宋体"/>
                <w:color w:val="auto"/>
                <w:sz w:val="20"/>
                <w:highlight w:val="none"/>
              </w:rPr>
            </w:pPr>
            <w:r>
              <w:rPr>
                <w:rFonts w:hint="eastAsia" w:ascii="宋体" w:hAnsi="宋体" w:cs="宋体"/>
                <w:color w:val="auto"/>
                <w:sz w:val="20"/>
                <w:highlight w:val="none"/>
              </w:rPr>
              <w:t>3</w:t>
            </w:r>
          </w:p>
        </w:tc>
        <w:tc>
          <w:tcPr>
            <w:tcW w:w="2135" w:type="dxa"/>
            <w:tcBorders>
              <w:top w:val="nil"/>
              <w:left w:val="nil"/>
              <w:bottom w:val="single" w:color="auto" w:sz="4" w:space="0"/>
              <w:right w:val="single" w:color="auto" w:sz="4" w:space="0"/>
            </w:tcBorders>
            <w:vAlign w:val="center"/>
          </w:tcPr>
          <w:p w14:paraId="7FBBE83E">
            <w:pPr>
              <w:widowControl/>
              <w:jc w:val="center"/>
              <w:rPr>
                <w:rFonts w:hint="eastAsia" w:ascii="宋体" w:hAnsi="宋体" w:cs="宋体"/>
                <w:color w:val="auto"/>
                <w:sz w:val="20"/>
                <w:highlight w:val="none"/>
              </w:rPr>
            </w:pPr>
            <w:r>
              <w:rPr>
                <w:rFonts w:hint="eastAsia" w:ascii="宋体" w:hAnsi="宋体" w:cs="宋体"/>
                <w:color w:val="auto"/>
                <w:sz w:val="20"/>
                <w:highlight w:val="none"/>
              </w:rPr>
              <w:t>外立面工程、室内二次结构、室内机电工程</w:t>
            </w:r>
          </w:p>
        </w:tc>
        <w:tc>
          <w:tcPr>
            <w:tcW w:w="1774" w:type="dxa"/>
            <w:tcBorders>
              <w:top w:val="nil"/>
              <w:left w:val="nil"/>
              <w:bottom w:val="single" w:color="auto" w:sz="4" w:space="0"/>
              <w:right w:val="single" w:color="auto" w:sz="4" w:space="0"/>
            </w:tcBorders>
            <w:vAlign w:val="center"/>
          </w:tcPr>
          <w:p w14:paraId="66C9A11C">
            <w:pPr>
              <w:widowControl/>
              <w:jc w:val="left"/>
              <w:rPr>
                <w:rFonts w:hint="eastAsia" w:ascii="宋体" w:hAnsi="宋体" w:cs="宋体"/>
                <w:color w:val="auto"/>
                <w:sz w:val="20"/>
                <w:highlight w:val="none"/>
              </w:rPr>
            </w:pPr>
            <w:r>
              <w:rPr>
                <w:rFonts w:ascii="宋体" w:hAnsi="宋体" w:cs="宋体"/>
                <w:color w:val="auto"/>
                <w:sz w:val="20"/>
                <w:highlight w:val="none"/>
              </w:rPr>
              <w:t>57</w:t>
            </w:r>
            <w:r>
              <w:rPr>
                <w:rFonts w:hint="eastAsia" w:ascii="宋体" w:hAnsi="宋体" w:cs="宋体"/>
                <w:color w:val="auto"/>
                <w:sz w:val="20"/>
                <w:highlight w:val="none"/>
              </w:rPr>
              <w:t>天，开工日起计</w:t>
            </w:r>
            <w:r>
              <w:rPr>
                <w:rFonts w:ascii="宋体" w:hAnsi="宋体" w:cs="宋体"/>
                <w:color w:val="auto"/>
                <w:sz w:val="20"/>
                <w:highlight w:val="none"/>
                <w:u w:val="single"/>
              </w:rPr>
              <w:t>197</w:t>
            </w:r>
            <w:r>
              <w:rPr>
                <w:rFonts w:hint="eastAsia" w:ascii="宋体" w:hAnsi="宋体" w:cs="宋体"/>
                <w:color w:val="auto"/>
                <w:sz w:val="20"/>
                <w:highlight w:val="none"/>
              </w:rPr>
              <w:t>日历天</w:t>
            </w:r>
          </w:p>
        </w:tc>
        <w:tc>
          <w:tcPr>
            <w:tcW w:w="1934" w:type="dxa"/>
            <w:tcBorders>
              <w:top w:val="nil"/>
              <w:left w:val="nil"/>
              <w:bottom w:val="single" w:color="auto" w:sz="4" w:space="0"/>
              <w:right w:val="single" w:color="auto" w:sz="4" w:space="0"/>
            </w:tcBorders>
            <w:vAlign w:val="center"/>
          </w:tcPr>
          <w:p w14:paraId="6036A27C">
            <w:pPr>
              <w:widowControl/>
              <w:jc w:val="left"/>
              <w:rPr>
                <w:rFonts w:hint="eastAsia" w:ascii="宋体" w:hAnsi="宋体" w:cs="宋体"/>
                <w:color w:val="auto"/>
                <w:sz w:val="20"/>
                <w:highlight w:val="none"/>
              </w:rPr>
            </w:pPr>
            <w:r>
              <w:rPr>
                <w:rFonts w:hint="eastAsia" w:ascii="宋体" w:hAnsi="宋体" w:cs="宋体"/>
                <w:color w:val="auto"/>
                <w:sz w:val="20"/>
                <w:highlight w:val="none"/>
              </w:rPr>
              <w:t>2026年3月</w:t>
            </w:r>
            <w:r>
              <w:rPr>
                <w:rFonts w:ascii="宋体" w:hAnsi="宋体" w:cs="宋体"/>
                <w:color w:val="auto"/>
                <w:sz w:val="20"/>
                <w:highlight w:val="none"/>
              </w:rPr>
              <w:t>4</w:t>
            </w:r>
            <w:r>
              <w:rPr>
                <w:rFonts w:hint="eastAsia" w:ascii="宋体" w:hAnsi="宋体" w:cs="宋体"/>
                <w:color w:val="auto"/>
                <w:sz w:val="20"/>
                <w:highlight w:val="none"/>
              </w:rPr>
              <w:t>日</w:t>
            </w:r>
          </w:p>
        </w:tc>
        <w:tc>
          <w:tcPr>
            <w:tcW w:w="1933" w:type="dxa"/>
            <w:tcBorders>
              <w:top w:val="nil"/>
              <w:left w:val="nil"/>
              <w:bottom w:val="single" w:color="auto" w:sz="4" w:space="0"/>
              <w:right w:val="single" w:color="auto" w:sz="4" w:space="0"/>
            </w:tcBorders>
            <w:vAlign w:val="center"/>
          </w:tcPr>
          <w:p w14:paraId="2B045DCB">
            <w:pPr>
              <w:widowControl/>
              <w:jc w:val="center"/>
              <w:rPr>
                <w:rFonts w:hint="eastAsia" w:ascii="宋体" w:hAnsi="宋体" w:cs="宋体"/>
                <w:color w:val="auto"/>
                <w:sz w:val="20"/>
                <w:highlight w:val="none"/>
              </w:rPr>
            </w:pPr>
            <w:r>
              <w:rPr>
                <w:rFonts w:hint="eastAsia" w:ascii="宋体" w:hAnsi="宋体" w:cs="宋体"/>
                <w:color w:val="auto"/>
                <w:sz w:val="20"/>
                <w:highlight w:val="none"/>
              </w:rPr>
              <w:t>2026年</w:t>
            </w:r>
            <w:r>
              <w:rPr>
                <w:rFonts w:ascii="宋体" w:hAnsi="宋体" w:cs="宋体"/>
                <w:color w:val="auto"/>
                <w:sz w:val="20"/>
                <w:highlight w:val="none"/>
              </w:rPr>
              <w:t>4</w:t>
            </w:r>
            <w:r>
              <w:rPr>
                <w:rFonts w:hint="eastAsia" w:ascii="宋体" w:hAnsi="宋体" w:cs="宋体"/>
                <w:color w:val="auto"/>
                <w:sz w:val="20"/>
                <w:highlight w:val="none"/>
              </w:rPr>
              <w:t>月</w:t>
            </w:r>
            <w:r>
              <w:rPr>
                <w:rFonts w:ascii="宋体" w:hAnsi="宋体" w:cs="宋体"/>
                <w:color w:val="auto"/>
                <w:sz w:val="20"/>
                <w:highlight w:val="none"/>
              </w:rPr>
              <w:t>30</w:t>
            </w:r>
            <w:r>
              <w:rPr>
                <w:rFonts w:hint="eastAsia" w:ascii="宋体" w:hAnsi="宋体" w:cs="宋体"/>
                <w:color w:val="auto"/>
                <w:sz w:val="20"/>
                <w:highlight w:val="none"/>
              </w:rPr>
              <w:t>日</w:t>
            </w:r>
          </w:p>
        </w:tc>
        <w:tc>
          <w:tcPr>
            <w:tcW w:w="1743" w:type="dxa"/>
            <w:tcBorders>
              <w:top w:val="nil"/>
              <w:left w:val="nil"/>
              <w:bottom w:val="single" w:color="auto" w:sz="4" w:space="0"/>
              <w:right w:val="single" w:color="auto" w:sz="4" w:space="0"/>
            </w:tcBorders>
            <w:vAlign w:val="center"/>
          </w:tcPr>
          <w:p w14:paraId="618EFA0E">
            <w:pPr>
              <w:widowControl/>
              <w:jc w:val="center"/>
              <w:rPr>
                <w:rFonts w:hint="eastAsia" w:ascii="宋体" w:hAnsi="宋体" w:cs="宋体"/>
                <w:color w:val="auto"/>
                <w:sz w:val="20"/>
                <w:highlight w:val="none"/>
              </w:rPr>
            </w:pPr>
          </w:p>
        </w:tc>
      </w:tr>
      <w:tr w14:paraId="26098C28">
        <w:tblPrEx>
          <w:tblCellMar>
            <w:top w:w="0" w:type="dxa"/>
            <w:left w:w="108" w:type="dxa"/>
            <w:bottom w:w="0" w:type="dxa"/>
            <w:right w:w="108" w:type="dxa"/>
          </w:tblCellMar>
        </w:tblPrEx>
        <w:trPr>
          <w:trHeight w:val="480" w:hRule="atLeast"/>
          <w:jc w:val="center"/>
        </w:trPr>
        <w:tc>
          <w:tcPr>
            <w:tcW w:w="832" w:type="dxa"/>
            <w:tcBorders>
              <w:top w:val="nil"/>
              <w:left w:val="single" w:color="auto" w:sz="4" w:space="0"/>
              <w:bottom w:val="single" w:color="auto" w:sz="4" w:space="0"/>
              <w:right w:val="single" w:color="auto" w:sz="4" w:space="0"/>
            </w:tcBorders>
            <w:vAlign w:val="center"/>
          </w:tcPr>
          <w:p w14:paraId="5578689B">
            <w:pPr>
              <w:widowControl/>
              <w:jc w:val="center"/>
              <w:rPr>
                <w:rFonts w:hint="eastAsia" w:ascii="宋体" w:hAnsi="宋体" w:cs="宋体"/>
                <w:color w:val="auto"/>
                <w:sz w:val="20"/>
                <w:highlight w:val="none"/>
              </w:rPr>
            </w:pPr>
            <w:r>
              <w:rPr>
                <w:rFonts w:hint="eastAsia" w:ascii="宋体" w:hAnsi="宋体" w:cs="宋体"/>
                <w:color w:val="auto"/>
                <w:sz w:val="20"/>
                <w:highlight w:val="none"/>
              </w:rPr>
              <w:t>4</w:t>
            </w:r>
          </w:p>
        </w:tc>
        <w:tc>
          <w:tcPr>
            <w:tcW w:w="2135" w:type="dxa"/>
            <w:tcBorders>
              <w:top w:val="nil"/>
              <w:left w:val="nil"/>
              <w:bottom w:val="single" w:color="auto" w:sz="4" w:space="0"/>
              <w:right w:val="single" w:color="auto" w:sz="4" w:space="0"/>
            </w:tcBorders>
            <w:vAlign w:val="center"/>
          </w:tcPr>
          <w:p w14:paraId="0751DCFA">
            <w:pPr>
              <w:widowControl/>
              <w:jc w:val="center"/>
              <w:rPr>
                <w:rFonts w:hint="eastAsia" w:ascii="宋体" w:hAnsi="宋体" w:cs="宋体"/>
                <w:color w:val="auto"/>
                <w:sz w:val="20"/>
                <w:highlight w:val="none"/>
              </w:rPr>
            </w:pPr>
            <w:r>
              <w:rPr>
                <w:rFonts w:hint="eastAsia" w:ascii="宋体" w:hAnsi="宋体" w:cs="宋体"/>
                <w:color w:val="auto"/>
                <w:sz w:val="20"/>
                <w:highlight w:val="none"/>
              </w:rPr>
              <w:t>竣工联合验收</w:t>
            </w:r>
          </w:p>
        </w:tc>
        <w:tc>
          <w:tcPr>
            <w:tcW w:w="1774" w:type="dxa"/>
            <w:tcBorders>
              <w:top w:val="nil"/>
              <w:left w:val="nil"/>
              <w:bottom w:val="single" w:color="auto" w:sz="4" w:space="0"/>
              <w:right w:val="single" w:color="auto" w:sz="4" w:space="0"/>
            </w:tcBorders>
            <w:vAlign w:val="center"/>
          </w:tcPr>
          <w:p w14:paraId="6A970E0D">
            <w:pPr>
              <w:widowControl/>
              <w:jc w:val="left"/>
              <w:rPr>
                <w:rFonts w:hint="eastAsia" w:ascii="宋体" w:hAnsi="宋体" w:cs="宋体"/>
                <w:color w:val="auto"/>
                <w:sz w:val="20"/>
                <w:highlight w:val="none"/>
              </w:rPr>
            </w:pPr>
            <w:r>
              <w:rPr>
                <w:rFonts w:hint="eastAsia" w:ascii="宋体" w:hAnsi="宋体" w:cs="宋体"/>
                <w:color w:val="auto"/>
                <w:sz w:val="20"/>
                <w:highlight w:val="none"/>
              </w:rPr>
              <w:t>开工日起计</w:t>
            </w:r>
            <w:r>
              <w:rPr>
                <w:rFonts w:hint="eastAsia" w:ascii="宋体" w:hAnsi="宋体" w:cs="宋体"/>
                <w:color w:val="auto"/>
                <w:sz w:val="20"/>
                <w:highlight w:val="none"/>
                <w:u w:val="single"/>
              </w:rPr>
              <w:t>288</w:t>
            </w:r>
            <w:r>
              <w:rPr>
                <w:rFonts w:hint="eastAsia" w:ascii="宋体" w:hAnsi="宋体" w:cs="宋体"/>
                <w:color w:val="auto"/>
                <w:sz w:val="20"/>
                <w:highlight w:val="none"/>
              </w:rPr>
              <w:t>日历天</w:t>
            </w:r>
          </w:p>
        </w:tc>
        <w:tc>
          <w:tcPr>
            <w:tcW w:w="1934" w:type="dxa"/>
            <w:tcBorders>
              <w:top w:val="nil"/>
              <w:left w:val="nil"/>
              <w:bottom w:val="single" w:color="auto" w:sz="4" w:space="0"/>
              <w:right w:val="single" w:color="auto" w:sz="4" w:space="0"/>
            </w:tcBorders>
            <w:vAlign w:val="center"/>
          </w:tcPr>
          <w:p w14:paraId="40030182">
            <w:pPr>
              <w:widowControl/>
              <w:jc w:val="left"/>
              <w:rPr>
                <w:rFonts w:hint="eastAsia" w:ascii="宋体" w:hAnsi="宋体" w:cs="宋体"/>
                <w:color w:val="auto"/>
                <w:sz w:val="20"/>
                <w:highlight w:val="none"/>
              </w:rPr>
            </w:pPr>
          </w:p>
        </w:tc>
        <w:tc>
          <w:tcPr>
            <w:tcW w:w="1933" w:type="dxa"/>
            <w:tcBorders>
              <w:top w:val="nil"/>
              <w:left w:val="nil"/>
              <w:bottom w:val="single" w:color="auto" w:sz="4" w:space="0"/>
              <w:right w:val="single" w:color="auto" w:sz="4" w:space="0"/>
            </w:tcBorders>
            <w:vAlign w:val="center"/>
          </w:tcPr>
          <w:p w14:paraId="4E5DAA92">
            <w:pPr>
              <w:widowControl/>
              <w:jc w:val="center"/>
              <w:rPr>
                <w:rFonts w:hint="eastAsia" w:ascii="宋体" w:hAnsi="宋体" w:cs="宋体"/>
                <w:color w:val="auto"/>
                <w:sz w:val="20"/>
                <w:highlight w:val="none"/>
              </w:rPr>
            </w:pPr>
            <w:r>
              <w:rPr>
                <w:rFonts w:hint="eastAsia" w:ascii="宋体" w:hAnsi="宋体" w:cs="宋体"/>
                <w:color w:val="auto"/>
                <w:sz w:val="20"/>
                <w:highlight w:val="none"/>
              </w:rPr>
              <w:t>2026年7月30日</w:t>
            </w:r>
          </w:p>
        </w:tc>
        <w:tc>
          <w:tcPr>
            <w:tcW w:w="1743" w:type="dxa"/>
            <w:tcBorders>
              <w:top w:val="nil"/>
              <w:left w:val="nil"/>
              <w:bottom w:val="single" w:color="auto" w:sz="4" w:space="0"/>
              <w:right w:val="single" w:color="auto" w:sz="4" w:space="0"/>
            </w:tcBorders>
            <w:vAlign w:val="center"/>
          </w:tcPr>
          <w:p w14:paraId="7A6594C7">
            <w:pPr>
              <w:widowControl/>
              <w:jc w:val="center"/>
              <w:rPr>
                <w:rFonts w:hint="eastAsia" w:ascii="宋体" w:hAnsi="宋体" w:cs="宋体"/>
                <w:color w:val="auto"/>
                <w:sz w:val="20"/>
                <w:highlight w:val="none"/>
              </w:rPr>
            </w:pPr>
          </w:p>
        </w:tc>
      </w:tr>
      <w:tr w14:paraId="094F1F77">
        <w:tblPrEx>
          <w:tblCellMar>
            <w:top w:w="0" w:type="dxa"/>
            <w:left w:w="108" w:type="dxa"/>
            <w:bottom w:w="0" w:type="dxa"/>
            <w:right w:w="108" w:type="dxa"/>
          </w:tblCellMar>
        </w:tblPrEx>
        <w:trPr>
          <w:trHeight w:val="480" w:hRule="atLeast"/>
          <w:jc w:val="center"/>
        </w:trPr>
        <w:tc>
          <w:tcPr>
            <w:tcW w:w="832" w:type="dxa"/>
            <w:tcBorders>
              <w:top w:val="nil"/>
              <w:left w:val="single" w:color="auto" w:sz="4" w:space="0"/>
              <w:bottom w:val="single" w:color="auto" w:sz="4" w:space="0"/>
              <w:right w:val="single" w:color="auto" w:sz="4" w:space="0"/>
            </w:tcBorders>
            <w:vAlign w:val="center"/>
          </w:tcPr>
          <w:p w14:paraId="5752A9BB">
            <w:pPr>
              <w:widowControl/>
              <w:jc w:val="center"/>
              <w:rPr>
                <w:rFonts w:hint="eastAsia" w:ascii="宋体" w:hAnsi="宋体" w:cs="宋体"/>
                <w:color w:val="auto"/>
                <w:sz w:val="20"/>
                <w:highlight w:val="none"/>
              </w:rPr>
            </w:pPr>
            <w:r>
              <w:rPr>
                <w:rFonts w:hint="eastAsia" w:ascii="宋体" w:hAnsi="宋体" w:cs="宋体"/>
                <w:color w:val="auto"/>
                <w:sz w:val="20"/>
                <w:highlight w:val="none"/>
              </w:rPr>
              <w:t>5</w:t>
            </w:r>
          </w:p>
        </w:tc>
        <w:tc>
          <w:tcPr>
            <w:tcW w:w="2135" w:type="dxa"/>
            <w:tcBorders>
              <w:top w:val="nil"/>
              <w:left w:val="nil"/>
              <w:bottom w:val="single" w:color="auto" w:sz="4" w:space="0"/>
              <w:right w:val="single" w:color="auto" w:sz="4" w:space="0"/>
            </w:tcBorders>
            <w:vAlign w:val="center"/>
          </w:tcPr>
          <w:p w14:paraId="1946448D">
            <w:pPr>
              <w:widowControl/>
              <w:jc w:val="center"/>
              <w:rPr>
                <w:rFonts w:hint="eastAsia" w:ascii="宋体" w:hAnsi="宋体" w:cs="宋体"/>
                <w:color w:val="auto"/>
                <w:sz w:val="20"/>
                <w:highlight w:val="none"/>
              </w:rPr>
            </w:pPr>
            <w:r>
              <w:rPr>
                <w:rFonts w:hint="eastAsia" w:ascii="宋体" w:hAnsi="宋体" w:cs="宋体"/>
                <w:color w:val="auto"/>
                <w:sz w:val="20"/>
                <w:highlight w:val="none"/>
              </w:rPr>
              <w:t>完成</w:t>
            </w:r>
            <w:r>
              <w:rPr>
                <w:rFonts w:hint="eastAsia"/>
                <w:color w:val="auto"/>
                <w:highlight w:val="none"/>
              </w:rPr>
              <w:t>优化提升</w:t>
            </w:r>
            <w:r>
              <w:rPr>
                <w:rFonts w:hint="eastAsia" w:ascii="宋体" w:hAnsi="宋体" w:cs="宋体"/>
                <w:color w:val="auto"/>
                <w:sz w:val="20"/>
                <w:highlight w:val="none"/>
              </w:rPr>
              <w:t>施工</w:t>
            </w:r>
          </w:p>
        </w:tc>
        <w:tc>
          <w:tcPr>
            <w:tcW w:w="1774" w:type="dxa"/>
            <w:tcBorders>
              <w:top w:val="nil"/>
              <w:left w:val="nil"/>
              <w:bottom w:val="single" w:color="auto" w:sz="4" w:space="0"/>
              <w:right w:val="single" w:color="auto" w:sz="4" w:space="0"/>
            </w:tcBorders>
            <w:vAlign w:val="center"/>
          </w:tcPr>
          <w:p w14:paraId="37C091FE">
            <w:pPr>
              <w:widowControl/>
              <w:jc w:val="left"/>
              <w:rPr>
                <w:rFonts w:hint="eastAsia" w:ascii="宋体" w:hAnsi="宋体" w:cs="宋体"/>
                <w:color w:val="auto"/>
                <w:sz w:val="20"/>
                <w:highlight w:val="none"/>
              </w:rPr>
            </w:pPr>
            <w:r>
              <w:rPr>
                <w:rFonts w:ascii="宋体" w:hAnsi="宋体" w:cs="宋体"/>
                <w:color w:val="auto"/>
                <w:sz w:val="20"/>
                <w:highlight w:val="none"/>
              </w:rPr>
              <w:t>212</w:t>
            </w:r>
            <w:r>
              <w:rPr>
                <w:rFonts w:hint="eastAsia" w:ascii="宋体" w:hAnsi="宋体" w:cs="宋体"/>
                <w:color w:val="auto"/>
                <w:sz w:val="20"/>
                <w:highlight w:val="none"/>
              </w:rPr>
              <w:t>天，开工日起计</w:t>
            </w:r>
            <w:r>
              <w:rPr>
                <w:rFonts w:ascii="宋体" w:hAnsi="宋体" w:cs="宋体"/>
                <w:color w:val="auto"/>
                <w:sz w:val="20"/>
                <w:highlight w:val="none"/>
                <w:u w:val="single"/>
              </w:rPr>
              <w:t>500</w:t>
            </w:r>
            <w:r>
              <w:rPr>
                <w:rFonts w:hint="eastAsia" w:ascii="宋体" w:hAnsi="宋体" w:cs="宋体"/>
                <w:color w:val="auto"/>
                <w:sz w:val="20"/>
                <w:highlight w:val="none"/>
              </w:rPr>
              <w:t>日历天</w:t>
            </w:r>
          </w:p>
        </w:tc>
        <w:tc>
          <w:tcPr>
            <w:tcW w:w="1934" w:type="dxa"/>
            <w:tcBorders>
              <w:top w:val="nil"/>
              <w:left w:val="nil"/>
              <w:bottom w:val="single" w:color="auto" w:sz="4" w:space="0"/>
              <w:right w:val="single" w:color="auto" w:sz="4" w:space="0"/>
            </w:tcBorders>
            <w:vAlign w:val="center"/>
          </w:tcPr>
          <w:p w14:paraId="71AD7CA9">
            <w:pPr>
              <w:widowControl/>
              <w:jc w:val="left"/>
              <w:rPr>
                <w:rFonts w:hint="eastAsia" w:ascii="宋体" w:hAnsi="宋体" w:cs="宋体"/>
                <w:color w:val="auto"/>
                <w:sz w:val="20"/>
                <w:highlight w:val="none"/>
              </w:rPr>
            </w:pPr>
            <w:r>
              <w:rPr>
                <w:rFonts w:hint="eastAsia" w:ascii="宋体" w:hAnsi="宋体" w:cs="宋体"/>
                <w:color w:val="auto"/>
                <w:sz w:val="20"/>
                <w:highlight w:val="none"/>
              </w:rPr>
              <w:t>2026年7月30日</w:t>
            </w:r>
          </w:p>
        </w:tc>
        <w:tc>
          <w:tcPr>
            <w:tcW w:w="1933" w:type="dxa"/>
            <w:tcBorders>
              <w:top w:val="nil"/>
              <w:left w:val="nil"/>
              <w:bottom w:val="single" w:color="auto" w:sz="4" w:space="0"/>
              <w:right w:val="single" w:color="auto" w:sz="4" w:space="0"/>
            </w:tcBorders>
            <w:vAlign w:val="center"/>
          </w:tcPr>
          <w:p w14:paraId="279452DC">
            <w:pPr>
              <w:widowControl/>
              <w:jc w:val="center"/>
              <w:rPr>
                <w:rFonts w:hint="eastAsia" w:ascii="宋体" w:hAnsi="宋体" w:cs="宋体"/>
                <w:color w:val="auto"/>
                <w:sz w:val="20"/>
                <w:highlight w:val="none"/>
              </w:rPr>
            </w:pPr>
            <w:r>
              <w:rPr>
                <w:rFonts w:hint="eastAsia" w:ascii="宋体" w:hAnsi="宋体" w:cs="宋体"/>
                <w:color w:val="auto"/>
                <w:sz w:val="20"/>
                <w:highlight w:val="none"/>
              </w:rPr>
              <w:t>2027年</w:t>
            </w:r>
            <w:r>
              <w:rPr>
                <w:rFonts w:ascii="宋体" w:hAnsi="宋体" w:cs="宋体"/>
                <w:color w:val="auto"/>
                <w:sz w:val="20"/>
                <w:highlight w:val="none"/>
              </w:rPr>
              <w:t>2</w:t>
            </w:r>
            <w:r>
              <w:rPr>
                <w:rFonts w:hint="eastAsia" w:ascii="宋体" w:hAnsi="宋体" w:cs="宋体"/>
                <w:color w:val="auto"/>
                <w:sz w:val="20"/>
                <w:highlight w:val="none"/>
              </w:rPr>
              <w:t>月</w:t>
            </w:r>
            <w:r>
              <w:rPr>
                <w:rFonts w:ascii="宋体" w:hAnsi="宋体" w:cs="宋体"/>
                <w:color w:val="auto"/>
                <w:sz w:val="20"/>
                <w:highlight w:val="none"/>
              </w:rPr>
              <w:t>27</w:t>
            </w:r>
            <w:r>
              <w:rPr>
                <w:rFonts w:hint="eastAsia" w:ascii="宋体" w:hAnsi="宋体" w:cs="宋体"/>
                <w:color w:val="auto"/>
                <w:sz w:val="20"/>
                <w:highlight w:val="none"/>
              </w:rPr>
              <w:t>日</w:t>
            </w:r>
          </w:p>
        </w:tc>
        <w:tc>
          <w:tcPr>
            <w:tcW w:w="1743" w:type="dxa"/>
            <w:tcBorders>
              <w:top w:val="nil"/>
              <w:left w:val="nil"/>
              <w:bottom w:val="single" w:color="auto" w:sz="4" w:space="0"/>
              <w:right w:val="single" w:color="auto" w:sz="4" w:space="0"/>
            </w:tcBorders>
            <w:vAlign w:val="center"/>
          </w:tcPr>
          <w:p w14:paraId="003B9852">
            <w:pPr>
              <w:widowControl/>
              <w:jc w:val="center"/>
              <w:rPr>
                <w:rFonts w:hint="eastAsia" w:ascii="宋体" w:hAnsi="宋体" w:cs="宋体"/>
                <w:color w:val="auto"/>
                <w:sz w:val="20"/>
                <w:highlight w:val="none"/>
              </w:rPr>
            </w:pPr>
          </w:p>
        </w:tc>
      </w:tr>
      <w:tr w14:paraId="570A4375">
        <w:tblPrEx>
          <w:tblCellMar>
            <w:top w:w="0" w:type="dxa"/>
            <w:left w:w="108" w:type="dxa"/>
            <w:bottom w:w="0" w:type="dxa"/>
            <w:right w:w="108" w:type="dxa"/>
          </w:tblCellMar>
        </w:tblPrEx>
        <w:trPr>
          <w:trHeight w:val="588" w:hRule="atLeast"/>
          <w:jc w:val="center"/>
        </w:trPr>
        <w:tc>
          <w:tcPr>
            <w:tcW w:w="10351" w:type="dxa"/>
            <w:gridSpan w:val="6"/>
            <w:tcBorders>
              <w:top w:val="single" w:color="auto" w:sz="4" w:space="0"/>
              <w:left w:val="single" w:color="auto" w:sz="4" w:space="0"/>
              <w:bottom w:val="single" w:color="auto" w:sz="4" w:space="0"/>
              <w:right w:val="single" w:color="auto" w:sz="4" w:space="0"/>
            </w:tcBorders>
            <w:shd w:val="clear" w:color="auto" w:fill="D7D7D7"/>
            <w:vAlign w:val="center"/>
          </w:tcPr>
          <w:p w14:paraId="3B76C903">
            <w:pPr>
              <w:widowControl/>
              <w:jc w:val="left"/>
              <w:rPr>
                <w:rFonts w:hint="eastAsia" w:ascii="宋体" w:hAnsi="宋体" w:cs="宋体"/>
                <w:color w:val="auto"/>
                <w:sz w:val="20"/>
                <w:highlight w:val="none"/>
              </w:rPr>
            </w:pPr>
            <w:r>
              <w:rPr>
                <w:rFonts w:hint="eastAsia" w:ascii="宋体" w:hAnsi="宋体" w:cs="宋体"/>
                <w:b/>
                <w:bCs/>
                <w:color w:val="auto"/>
                <w:sz w:val="24"/>
                <w:highlight w:val="none"/>
              </w:rPr>
              <w:t>二、已建未完楼栋[B区C区]</w:t>
            </w:r>
          </w:p>
        </w:tc>
      </w:tr>
      <w:tr w14:paraId="43B63C19">
        <w:tblPrEx>
          <w:tblCellMar>
            <w:top w:w="0" w:type="dxa"/>
            <w:left w:w="108" w:type="dxa"/>
            <w:bottom w:w="0" w:type="dxa"/>
            <w:right w:w="108" w:type="dxa"/>
          </w:tblCellMar>
        </w:tblPrEx>
        <w:trPr>
          <w:trHeight w:val="480" w:hRule="atLeast"/>
          <w:jc w:val="center"/>
        </w:trPr>
        <w:tc>
          <w:tcPr>
            <w:tcW w:w="832" w:type="dxa"/>
            <w:tcBorders>
              <w:top w:val="nil"/>
              <w:left w:val="single" w:color="auto" w:sz="4" w:space="0"/>
              <w:bottom w:val="single" w:color="auto" w:sz="4" w:space="0"/>
              <w:right w:val="single" w:color="auto" w:sz="4" w:space="0"/>
            </w:tcBorders>
            <w:vAlign w:val="center"/>
          </w:tcPr>
          <w:p w14:paraId="3FCAC615">
            <w:pPr>
              <w:widowControl/>
              <w:jc w:val="center"/>
              <w:rPr>
                <w:rFonts w:hint="eastAsia" w:ascii="宋体" w:hAnsi="宋体" w:cs="宋体"/>
                <w:color w:val="auto"/>
                <w:sz w:val="20"/>
                <w:highlight w:val="none"/>
              </w:rPr>
            </w:pPr>
            <w:r>
              <w:rPr>
                <w:rFonts w:hint="eastAsia" w:ascii="宋体" w:hAnsi="宋体" w:cs="宋体"/>
                <w:color w:val="auto"/>
                <w:sz w:val="20"/>
                <w:highlight w:val="none"/>
              </w:rPr>
              <w:t>序号</w:t>
            </w:r>
          </w:p>
        </w:tc>
        <w:tc>
          <w:tcPr>
            <w:tcW w:w="2135" w:type="dxa"/>
            <w:tcBorders>
              <w:top w:val="nil"/>
              <w:left w:val="nil"/>
              <w:bottom w:val="single" w:color="auto" w:sz="4" w:space="0"/>
              <w:right w:val="single" w:color="auto" w:sz="4" w:space="0"/>
            </w:tcBorders>
            <w:vAlign w:val="center"/>
          </w:tcPr>
          <w:p w14:paraId="611DE0A7">
            <w:pPr>
              <w:widowControl/>
              <w:jc w:val="center"/>
              <w:rPr>
                <w:rFonts w:hint="eastAsia" w:ascii="宋体" w:hAnsi="宋体" w:cs="宋体"/>
                <w:color w:val="auto"/>
                <w:sz w:val="20"/>
                <w:highlight w:val="none"/>
              </w:rPr>
            </w:pPr>
            <w:r>
              <w:rPr>
                <w:rFonts w:hint="eastAsia" w:ascii="宋体" w:hAnsi="宋体" w:cs="宋体"/>
                <w:color w:val="auto"/>
                <w:sz w:val="20"/>
                <w:highlight w:val="none"/>
              </w:rPr>
              <w:t>节点名称</w:t>
            </w:r>
          </w:p>
        </w:tc>
        <w:tc>
          <w:tcPr>
            <w:tcW w:w="1774" w:type="dxa"/>
            <w:tcBorders>
              <w:top w:val="nil"/>
              <w:left w:val="nil"/>
              <w:bottom w:val="single" w:color="auto" w:sz="4" w:space="0"/>
              <w:right w:val="single" w:color="auto" w:sz="4" w:space="0"/>
            </w:tcBorders>
            <w:vAlign w:val="center"/>
          </w:tcPr>
          <w:p w14:paraId="52405C61">
            <w:pPr>
              <w:widowControl/>
              <w:jc w:val="center"/>
              <w:rPr>
                <w:rFonts w:hint="eastAsia" w:ascii="宋体" w:hAnsi="宋体" w:cs="宋体"/>
                <w:color w:val="auto"/>
                <w:sz w:val="20"/>
                <w:highlight w:val="none"/>
              </w:rPr>
            </w:pPr>
            <w:r>
              <w:rPr>
                <w:rFonts w:hint="eastAsia" w:ascii="宋体" w:hAnsi="宋体" w:cs="宋体"/>
                <w:color w:val="auto"/>
                <w:sz w:val="20"/>
                <w:highlight w:val="none"/>
              </w:rPr>
              <w:t>工期</w:t>
            </w:r>
          </w:p>
        </w:tc>
        <w:tc>
          <w:tcPr>
            <w:tcW w:w="1934" w:type="dxa"/>
            <w:tcBorders>
              <w:top w:val="nil"/>
              <w:left w:val="nil"/>
              <w:bottom w:val="single" w:color="auto" w:sz="4" w:space="0"/>
              <w:right w:val="single" w:color="auto" w:sz="4" w:space="0"/>
            </w:tcBorders>
            <w:vAlign w:val="center"/>
          </w:tcPr>
          <w:p w14:paraId="0A24DCCB">
            <w:pPr>
              <w:widowControl/>
              <w:jc w:val="center"/>
              <w:rPr>
                <w:rFonts w:hint="eastAsia" w:ascii="宋体" w:hAnsi="宋体" w:cs="宋体"/>
                <w:color w:val="auto"/>
                <w:sz w:val="20"/>
                <w:highlight w:val="none"/>
              </w:rPr>
            </w:pPr>
            <w:r>
              <w:rPr>
                <w:rFonts w:hint="eastAsia" w:ascii="宋体" w:hAnsi="宋体" w:cs="宋体"/>
                <w:color w:val="auto"/>
                <w:sz w:val="20"/>
                <w:highlight w:val="none"/>
              </w:rPr>
              <w:t>计划开工日期</w:t>
            </w:r>
          </w:p>
        </w:tc>
        <w:tc>
          <w:tcPr>
            <w:tcW w:w="1933" w:type="dxa"/>
            <w:tcBorders>
              <w:top w:val="nil"/>
              <w:left w:val="nil"/>
              <w:bottom w:val="single" w:color="auto" w:sz="4" w:space="0"/>
              <w:right w:val="single" w:color="auto" w:sz="4" w:space="0"/>
            </w:tcBorders>
            <w:vAlign w:val="center"/>
          </w:tcPr>
          <w:p w14:paraId="43370C45">
            <w:pPr>
              <w:widowControl/>
              <w:jc w:val="center"/>
              <w:rPr>
                <w:rFonts w:hint="eastAsia" w:ascii="宋体" w:hAnsi="宋体" w:cs="宋体"/>
                <w:color w:val="auto"/>
                <w:sz w:val="20"/>
                <w:highlight w:val="none"/>
              </w:rPr>
            </w:pPr>
            <w:r>
              <w:rPr>
                <w:rFonts w:hint="eastAsia" w:ascii="宋体" w:hAnsi="宋体" w:cs="宋体"/>
                <w:color w:val="auto"/>
                <w:sz w:val="20"/>
                <w:highlight w:val="none"/>
              </w:rPr>
              <w:t>计划完工日期</w:t>
            </w:r>
          </w:p>
        </w:tc>
        <w:tc>
          <w:tcPr>
            <w:tcW w:w="1743" w:type="dxa"/>
            <w:tcBorders>
              <w:top w:val="nil"/>
              <w:left w:val="nil"/>
              <w:bottom w:val="single" w:color="auto" w:sz="4" w:space="0"/>
              <w:right w:val="single" w:color="auto" w:sz="4" w:space="0"/>
            </w:tcBorders>
            <w:vAlign w:val="center"/>
          </w:tcPr>
          <w:p w14:paraId="31DE9992">
            <w:pPr>
              <w:widowControl/>
              <w:jc w:val="center"/>
              <w:rPr>
                <w:rFonts w:hint="eastAsia" w:ascii="宋体" w:hAnsi="宋体" w:cs="宋体"/>
                <w:color w:val="auto"/>
                <w:sz w:val="20"/>
                <w:highlight w:val="none"/>
              </w:rPr>
            </w:pPr>
            <w:r>
              <w:rPr>
                <w:rFonts w:hint="eastAsia" w:ascii="宋体" w:hAnsi="宋体" w:cs="宋体"/>
                <w:color w:val="auto"/>
                <w:sz w:val="20"/>
                <w:highlight w:val="none"/>
              </w:rPr>
              <w:t>备注</w:t>
            </w:r>
          </w:p>
        </w:tc>
      </w:tr>
      <w:tr w14:paraId="3BE695E8">
        <w:tblPrEx>
          <w:tblCellMar>
            <w:top w:w="0" w:type="dxa"/>
            <w:left w:w="108" w:type="dxa"/>
            <w:bottom w:w="0" w:type="dxa"/>
            <w:right w:w="108" w:type="dxa"/>
          </w:tblCellMar>
        </w:tblPrEx>
        <w:trPr>
          <w:trHeight w:val="480" w:hRule="atLeast"/>
          <w:jc w:val="center"/>
        </w:trPr>
        <w:tc>
          <w:tcPr>
            <w:tcW w:w="832" w:type="dxa"/>
            <w:tcBorders>
              <w:top w:val="nil"/>
              <w:left w:val="single" w:color="auto" w:sz="4" w:space="0"/>
              <w:bottom w:val="single" w:color="auto" w:sz="4" w:space="0"/>
              <w:right w:val="single" w:color="auto" w:sz="4" w:space="0"/>
            </w:tcBorders>
            <w:vAlign w:val="center"/>
          </w:tcPr>
          <w:p w14:paraId="412C5E8D">
            <w:pPr>
              <w:widowControl/>
              <w:jc w:val="center"/>
              <w:rPr>
                <w:rFonts w:hint="eastAsia" w:ascii="宋体" w:hAnsi="宋体" w:cs="宋体"/>
                <w:color w:val="auto"/>
                <w:sz w:val="20"/>
                <w:highlight w:val="none"/>
              </w:rPr>
            </w:pPr>
            <w:r>
              <w:rPr>
                <w:rFonts w:hint="eastAsia" w:ascii="宋体" w:hAnsi="宋体" w:cs="宋体"/>
                <w:color w:val="auto"/>
                <w:sz w:val="20"/>
                <w:highlight w:val="none"/>
              </w:rPr>
              <w:t>1</w:t>
            </w:r>
          </w:p>
        </w:tc>
        <w:tc>
          <w:tcPr>
            <w:tcW w:w="2135" w:type="dxa"/>
            <w:tcBorders>
              <w:top w:val="nil"/>
              <w:left w:val="nil"/>
              <w:bottom w:val="single" w:color="auto" w:sz="4" w:space="0"/>
              <w:right w:val="single" w:color="auto" w:sz="4" w:space="0"/>
            </w:tcBorders>
            <w:vAlign w:val="center"/>
          </w:tcPr>
          <w:p w14:paraId="5E342E66">
            <w:pPr>
              <w:widowControl/>
              <w:jc w:val="center"/>
              <w:rPr>
                <w:rFonts w:hint="eastAsia" w:ascii="宋体" w:hAnsi="宋体" w:cs="宋体"/>
                <w:color w:val="auto"/>
                <w:sz w:val="20"/>
                <w:highlight w:val="none"/>
              </w:rPr>
            </w:pPr>
            <w:r>
              <w:rPr>
                <w:rFonts w:hint="eastAsia" w:ascii="宋体" w:hAnsi="宋体" w:cs="宋体"/>
                <w:color w:val="auto"/>
                <w:sz w:val="20"/>
                <w:highlight w:val="none"/>
              </w:rPr>
              <w:t>正负零结构完成</w:t>
            </w:r>
          </w:p>
        </w:tc>
        <w:tc>
          <w:tcPr>
            <w:tcW w:w="1774" w:type="dxa"/>
            <w:tcBorders>
              <w:top w:val="nil"/>
              <w:left w:val="nil"/>
              <w:bottom w:val="single" w:color="auto" w:sz="4" w:space="0"/>
              <w:right w:val="single" w:color="auto" w:sz="4" w:space="0"/>
            </w:tcBorders>
            <w:vAlign w:val="center"/>
          </w:tcPr>
          <w:p w14:paraId="12E4DD78">
            <w:pPr>
              <w:widowControl/>
              <w:jc w:val="center"/>
              <w:rPr>
                <w:rFonts w:hint="eastAsia" w:ascii="宋体" w:hAnsi="宋体" w:cs="宋体"/>
                <w:color w:val="auto"/>
                <w:sz w:val="20"/>
                <w:highlight w:val="none"/>
              </w:rPr>
            </w:pPr>
            <w:r>
              <w:rPr>
                <w:rFonts w:hint="eastAsia" w:ascii="宋体" w:hAnsi="宋体" w:cs="宋体"/>
                <w:color w:val="auto"/>
                <w:sz w:val="20"/>
                <w:highlight w:val="none"/>
              </w:rPr>
              <w:t>已完成</w:t>
            </w:r>
          </w:p>
        </w:tc>
        <w:tc>
          <w:tcPr>
            <w:tcW w:w="1934" w:type="dxa"/>
            <w:tcBorders>
              <w:top w:val="nil"/>
              <w:left w:val="nil"/>
              <w:bottom w:val="single" w:color="auto" w:sz="4" w:space="0"/>
              <w:right w:val="single" w:color="auto" w:sz="4" w:space="0"/>
            </w:tcBorders>
            <w:vAlign w:val="center"/>
          </w:tcPr>
          <w:p w14:paraId="7110F2F9">
            <w:pPr>
              <w:widowControl/>
              <w:jc w:val="center"/>
              <w:rPr>
                <w:rFonts w:hint="eastAsia" w:ascii="宋体" w:hAnsi="宋体" w:cs="宋体"/>
                <w:color w:val="auto"/>
                <w:sz w:val="20"/>
                <w:highlight w:val="none"/>
              </w:rPr>
            </w:pPr>
            <w:r>
              <w:rPr>
                <w:rFonts w:hint="eastAsia" w:ascii="宋体" w:hAnsi="宋体" w:cs="宋体"/>
                <w:color w:val="auto"/>
                <w:sz w:val="20"/>
                <w:highlight w:val="none"/>
              </w:rPr>
              <w:t>/</w:t>
            </w:r>
          </w:p>
        </w:tc>
        <w:tc>
          <w:tcPr>
            <w:tcW w:w="1933" w:type="dxa"/>
            <w:tcBorders>
              <w:top w:val="nil"/>
              <w:left w:val="nil"/>
              <w:bottom w:val="single" w:color="auto" w:sz="4" w:space="0"/>
              <w:right w:val="single" w:color="auto" w:sz="4" w:space="0"/>
            </w:tcBorders>
            <w:vAlign w:val="center"/>
          </w:tcPr>
          <w:p w14:paraId="32462502">
            <w:pPr>
              <w:widowControl/>
              <w:jc w:val="center"/>
              <w:rPr>
                <w:rFonts w:hint="eastAsia" w:ascii="宋体" w:hAnsi="宋体" w:cs="宋体"/>
                <w:color w:val="auto"/>
                <w:sz w:val="20"/>
                <w:highlight w:val="none"/>
              </w:rPr>
            </w:pPr>
            <w:r>
              <w:rPr>
                <w:rFonts w:hint="eastAsia" w:ascii="宋体" w:hAnsi="宋体" w:cs="宋体"/>
                <w:color w:val="auto"/>
                <w:sz w:val="20"/>
                <w:highlight w:val="none"/>
              </w:rPr>
              <w:t>/</w:t>
            </w:r>
          </w:p>
        </w:tc>
        <w:tc>
          <w:tcPr>
            <w:tcW w:w="1743" w:type="dxa"/>
            <w:tcBorders>
              <w:top w:val="nil"/>
              <w:left w:val="nil"/>
              <w:bottom w:val="single" w:color="auto" w:sz="4" w:space="0"/>
              <w:right w:val="single" w:color="auto" w:sz="4" w:space="0"/>
            </w:tcBorders>
            <w:vAlign w:val="center"/>
          </w:tcPr>
          <w:p w14:paraId="48067C97">
            <w:pPr>
              <w:widowControl/>
              <w:jc w:val="center"/>
              <w:rPr>
                <w:rFonts w:hint="eastAsia" w:ascii="宋体" w:hAnsi="宋体" w:cs="宋体"/>
                <w:color w:val="auto"/>
                <w:sz w:val="20"/>
                <w:highlight w:val="none"/>
              </w:rPr>
            </w:pPr>
          </w:p>
        </w:tc>
      </w:tr>
      <w:tr w14:paraId="4B24979A">
        <w:tblPrEx>
          <w:tblCellMar>
            <w:top w:w="0" w:type="dxa"/>
            <w:left w:w="108" w:type="dxa"/>
            <w:bottom w:w="0" w:type="dxa"/>
            <w:right w:w="108" w:type="dxa"/>
          </w:tblCellMar>
        </w:tblPrEx>
        <w:trPr>
          <w:trHeight w:val="675" w:hRule="atLeast"/>
          <w:jc w:val="center"/>
        </w:trPr>
        <w:tc>
          <w:tcPr>
            <w:tcW w:w="832" w:type="dxa"/>
            <w:tcBorders>
              <w:top w:val="nil"/>
              <w:left w:val="single" w:color="auto" w:sz="4" w:space="0"/>
              <w:bottom w:val="single" w:color="auto" w:sz="4" w:space="0"/>
              <w:right w:val="single" w:color="auto" w:sz="4" w:space="0"/>
            </w:tcBorders>
            <w:vAlign w:val="center"/>
          </w:tcPr>
          <w:p w14:paraId="1811B216">
            <w:pPr>
              <w:widowControl/>
              <w:jc w:val="center"/>
              <w:rPr>
                <w:rFonts w:hint="eastAsia" w:ascii="宋体" w:hAnsi="宋体" w:cs="宋体"/>
                <w:color w:val="auto"/>
                <w:sz w:val="20"/>
                <w:highlight w:val="none"/>
              </w:rPr>
            </w:pPr>
            <w:r>
              <w:rPr>
                <w:rFonts w:hint="eastAsia" w:ascii="宋体" w:hAnsi="宋体" w:cs="宋体"/>
                <w:color w:val="auto"/>
                <w:sz w:val="20"/>
                <w:highlight w:val="none"/>
              </w:rPr>
              <w:t>2</w:t>
            </w:r>
          </w:p>
        </w:tc>
        <w:tc>
          <w:tcPr>
            <w:tcW w:w="2135" w:type="dxa"/>
            <w:tcBorders>
              <w:top w:val="nil"/>
              <w:left w:val="nil"/>
              <w:bottom w:val="single" w:color="auto" w:sz="4" w:space="0"/>
              <w:right w:val="single" w:color="auto" w:sz="4" w:space="0"/>
            </w:tcBorders>
            <w:vAlign w:val="center"/>
          </w:tcPr>
          <w:p w14:paraId="79E9B06F">
            <w:pPr>
              <w:widowControl/>
              <w:jc w:val="center"/>
              <w:rPr>
                <w:rFonts w:hint="eastAsia" w:ascii="宋体" w:hAnsi="宋体" w:cs="宋体"/>
                <w:color w:val="auto"/>
                <w:sz w:val="20"/>
                <w:highlight w:val="none"/>
              </w:rPr>
            </w:pPr>
            <w:r>
              <w:rPr>
                <w:rFonts w:hint="eastAsia" w:ascii="宋体" w:hAnsi="宋体" w:cs="宋体"/>
                <w:color w:val="auto"/>
                <w:sz w:val="20"/>
                <w:highlight w:val="none"/>
              </w:rPr>
              <w:t>结构封顶（含屋面花架层）</w:t>
            </w:r>
          </w:p>
        </w:tc>
        <w:tc>
          <w:tcPr>
            <w:tcW w:w="1774" w:type="dxa"/>
            <w:tcBorders>
              <w:top w:val="nil"/>
              <w:left w:val="nil"/>
              <w:bottom w:val="single" w:color="auto" w:sz="4" w:space="0"/>
              <w:right w:val="single" w:color="auto" w:sz="4" w:space="0"/>
            </w:tcBorders>
            <w:vAlign w:val="center"/>
          </w:tcPr>
          <w:p w14:paraId="1522863E">
            <w:pPr>
              <w:widowControl/>
              <w:jc w:val="center"/>
              <w:rPr>
                <w:rFonts w:hint="eastAsia" w:ascii="宋体" w:hAnsi="宋体" w:cs="宋体"/>
                <w:color w:val="auto"/>
                <w:sz w:val="20"/>
                <w:highlight w:val="none"/>
              </w:rPr>
            </w:pPr>
            <w:r>
              <w:rPr>
                <w:rFonts w:hint="eastAsia" w:ascii="宋体" w:hAnsi="宋体" w:cs="宋体"/>
                <w:color w:val="auto"/>
                <w:sz w:val="20"/>
                <w:highlight w:val="none"/>
              </w:rPr>
              <w:t>已完成</w:t>
            </w:r>
          </w:p>
        </w:tc>
        <w:tc>
          <w:tcPr>
            <w:tcW w:w="1934" w:type="dxa"/>
            <w:tcBorders>
              <w:top w:val="nil"/>
              <w:left w:val="nil"/>
              <w:bottom w:val="single" w:color="auto" w:sz="4" w:space="0"/>
              <w:right w:val="single" w:color="auto" w:sz="4" w:space="0"/>
            </w:tcBorders>
            <w:vAlign w:val="center"/>
          </w:tcPr>
          <w:p w14:paraId="6884ABFF">
            <w:pPr>
              <w:widowControl/>
              <w:jc w:val="center"/>
              <w:rPr>
                <w:rFonts w:hint="eastAsia" w:ascii="宋体" w:hAnsi="宋体" w:cs="宋体"/>
                <w:color w:val="auto"/>
                <w:sz w:val="20"/>
                <w:highlight w:val="none"/>
              </w:rPr>
            </w:pPr>
            <w:r>
              <w:rPr>
                <w:rFonts w:hint="eastAsia" w:ascii="宋体" w:hAnsi="宋体" w:cs="宋体"/>
                <w:color w:val="auto"/>
                <w:sz w:val="20"/>
                <w:highlight w:val="none"/>
              </w:rPr>
              <w:t>/</w:t>
            </w:r>
          </w:p>
        </w:tc>
        <w:tc>
          <w:tcPr>
            <w:tcW w:w="1933" w:type="dxa"/>
            <w:tcBorders>
              <w:top w:val="nil"/>
              <w:left w:val="nil"/>
              <w:bottom w:val="single" w:color="auto" w:sz="4" w:space="0"/>
              <w:right w:val="single" w:color="auto" w:sz="4" w:space="0"/>
            </w:tcBorders>
            <w:vAlign w:val="center"/>
          </w:tcPr>
          <w:p w14:paraId="44C74DAC">
            <w:pPr>
              <w:widowControl/>
              <w:jc w:val="center"/>
              <w:rPr>
                <w:rFonts w:hint="eastAsia" w:ascii="宋体" w:hAnsi="宋体" w:cs="宋体"/>
                <w:color w:val="auto"/>
                <w:sz w:val="20"/>
                <w:highlight w:val="none"/>
              </w:rPr>
            </w:pPr>
            <w:r>
              <w:rPr>
                <w:rFonts w:hint="eastAsia" w:ascii="宋体" w:hAnsi="宋体" w:cs="宋体"/>
                <w:color w:val="auto"/>
                <w:sz w:val="20"/>
                <w:highlight w:val="none"/>
              </w:rPr>
              <w:t>/</w:t>
            </w:r>
          </w:p>
        </w:tc>
        <w:tc>
          <w:tcPr>
            <w:tcW w:w="1743" w:type="dxa"/>
            <w:tcBorders>
              <w:top w:val="nil"/>
              <w:left w:val="nil"/>
              <w:bottom w:val="single" w:color="auto" w:sz="4" w:space="0"/>
              <w:right w:val="single" w:color="auto" w:sz="4" w:space="0"/>
            </w:tcBorders>
            <w:vAlign w:val="center"/>
          </w:tcPr>
          <w:p w14:paraId="2CFB98E0">
            <w:pPr>
              <w:widowControl/>
              <w:jc w:val="center"/>
              <w:rPr>
                <w:rFonts w:hint="eastAsia" w:ascii="宋体" w:hAnsi="宋体" w:cs="宋体"/>
                <w:color w:val="auto"/>
                <w:sz w:val="20"/>
                <w:highlight w:val="none"/>
              </w:rPr>
            </w:pPr>
          </w:p>
        </w:tc>
      </w:tr>
      <w:tr w14:paraId="4D9E270A">
        <w:tblPrEx>
          <w:tblCellMar>
            <w:top w:w="0" w:type="dxa"/>
            <w:left w:w="108" w:type="dxa"/>
            <w:bottom w:w="0" w:type="dxa"/>
            <w:right w:w="108" w:type="dxa"/>
          </w:tblCellMar>
        </w:tblPrEx>
        <w:trPr>
          <w:trHeight w:val="480" w:hRule="atLeast"/>
          <w:jc w:val="center"/>
        </w:trPr>
        <w:tc>
          <w:tcPr>
            <w:tcW w:w="832" w:type="dxa"/>
            <w:tcBorders>
              <w:top w:val="nil"/>
              <w:left w:val="single" w:color="auto" w:sz="4" w:space="0"/>
              <w:bottom w:val="single" w:color="auto" w:sz="4" w:space="0"/>
              <w:right w:val="single" w:color="auto" w:sz="4" w:space="0"/>
            </w:tcBorders>
            <w:vAlign w:val="center"/>
          </w:tcPr>
          <w:p w14:paraId="55D8BAB2">
            <w:pPr>
              <w:widowControl/>
              <w:jc w:val="center"/>
              <w:rPr>
                <w:rFonts w:hint="eastAsia" w:ascii="宋体" w:hAnsi="宋体" w:cs="宋体"/>
                <w:color w:val="auto"/>
                <w:sz w:val="20"/>
                <w:highlight w:val="none"/>
              </w:rPr>
            </w:pPr>
            <w:r>
              <w:rPr>
                <w:rFonts w:hint="eastAsia" w:ascii="宋体" w:hAnsi="宋体" w:cs="宋体"/>
                <w:color w:val="auto"/>
                <w:sz w:val="20"/>
                <w:highlight w:val="none"/>
              </w:rPr>
              <w:t>3</w:t>
            </w:r>
          </w:p>
        </w:tc>
        <w:tc>
          <w:tcPr>
            <w:tcW w:w="2135" w:type="dxa"/>
            <w:tcBorders>
              <w:top w:val="nil"/>
              <w:left w:val="nil"/>
              <w:bottom w:val="single" w:color="auto" w:sz="4" w:space="0"/>
              <w:right w:val="single" w:color="auto" w:sz="4" w:space="0"/>
            </w:tcBorders>
            <w:vAlign w:val="center"/>
          </w:tcPr>
          <w:p w14:paraId="767F3100">
            <w:pPr>
              <w:widowControl/>
              <w:jc w:val="center"/>
              <w:rPr>
                <w:rFonts w:hint="eastAsia" w:ascii="宋体" w:hAnsi="宋体" w:cs="宋体"/>
                <w:color w:val="auto"/>
                <w:sz w:val="20"/>
                <w:highlight w:val="none"/>
              </w:rPr>
            </w:pPr>
            <w:r>
              <w:rPr>
                <w:rFonts w:hint="eastAsia" w:ascii="宋体" w:hAnsi="宋体" w:cs="宋体"/>
                <w:color w:val="auto"/>
                <w:sz w:val="20"/>
                <w:highlight w:val="none"/>
              </w:rPr>
              <w:t>外立面工程、室内二次结构、室内机电工程</w:t>
            </w:r>
          </w:p>
        </w:tc>
        <w:tc>
          <w:tcPr>
            <w:tcW w:w="1774" w:type="dxa"/>
            <w:tcBorders>
              <w:top w:val="nil"/>
              <w:left w:val="nil"/>
              <w:bottom w:val="single" w:color="auto" w:sz="4" w:space="0"/>
              <w:right w:val="single" w:color="auto" w:sz="4" w:space="0"/>
            </w:tcBorders>
            <w:vAlign w:val="center"/>
          </w:tcPr>
          <w:p w14:paraId="0887D440">
            <w:pPr>
              <w:widowControl/>
              <w:jc w:val="left"/>
              <w:rPr>
                <w:rFonts w:hint="eastAsia" w:ascii="宋体" w:hAnsi="宋体" w:cs="宋体"/>
                <w:color w:val="auto"/>
                <w:sz w:val="20"/>
                <w:highlight w:val="none"/>
              </w:rPr>
            </w:pPr>
            <w:r>
              <w:rPr>
                <w:rFonts w:hint="eastAsia" w:ascii="宋体" w:hAnsi="宋体" w:cs="宋体"/>
                <w:color w:val="auto"/>
                <w:sz w:val="20"/>
                <w:highlight w:val="none"/>
              </w:rPr>
              <w:t>107天，开工日起计</w:t>
            </w:r>
            <w:r>
              <w:rPr>
                <w:rFonts w:hint="eastAsia" w:ascii="宋体" w:hAnsi="宋体" w:cs="宋体"/>
                <w:color w:val="auto"/>
                <w:sz w:val="20"/>
                <w:highlight w:val="none"/>
                <w:u w:val="single"/>
              </w:rPr>
              <w:t>107</w:t>
            </w:r>
            <w:r>
              <w:rPr>
                <w:rFonts w:hint="eastAsia" w:ascii="宋体" w:hAnsi="宋体" w:cs="宋体"/>
                <w:color w:val="auto"/>
                <w:sz w:val="20"/>
                <w:highlight w:val="none"/>
              </w:rPr>
              <w:t>日历天</w:t>
            </w:r>
          </w:p>
        </w:tc>
        <w:tc>
          <w:tcPr>
            <w:tcW w:w="1934" w:type="dxa"/>
            <w:tcBorders>
              <w:top w:val="nil"/>
              <w:left w:val="nil"/>
              <w:bottom w:val="single" w:color="auto" w:sz="4" w:space="0"/>
              <w:right w:val="single" w:color="auto" w:sz="4" w:space="0"/>
            </w:tcBorders>
            <w:vAlign w:val="center"/>
          </w:tcPr>
          <w:p w14:paraId="5DE6497B">
            <w:pPr>
              <w:widowControl/>
              <w:jc w:val="left"/>
              <w:rPr>
                <w:rFonts w:hint="eastAsia" w:ascii="宋体" w:hAnsi="宋体" w:cs="宋体"/>
                <w:color w:val="auto"/>
                <w:sz w:val="20"/>
                <w:highlight w:val="none"/>
              </w:rPr>
            </w:pPr>
            <w:r>
              <w:rPr>
                <w:rFonts w:hint="eastAsia" w:ascii="宋体" w:hAnsi="宋体" w:cs="宋体"/>
                <w:color w:val="auto"/>
                <w:sz w:val="20"/>
                <w:highlight w:val="none"/>
              </w:rPr>
              <w:t>2025年10月15日</w:t>
            </w:r>
          </w:p>
        </w:tc>
        <w:tc>
          <w:tcPr>
            <w:tcW w:w="1933" w:type="dxa"/>
            <w:tcBorders>
              <w:top w:val="nil"/>
              <w:left w:val="nil"/>
              <w:bottom w:val="single" w:color="auto" w:sz="4" w:space="0"/>
              <w:right w:val="single" w:color="auto" w:sz="4" w:space="0"/>
            </w:tcBorders>
            <w:vAlign w:val="center"/>
          </w:tcPr>
          <w:p w14:paraId="669DD04B">
            <w:pPr>
              <w:widowControl/>
              <w:jc w:val="center"/>
              <w:rPr>
                <w:rFonts w:hint="eastAsia" w:ascii="宋体" w:hAnsi="宋体" w:cs="宋体"/>
                <w:color w:val="auto"/>
                <w:sz w:val="20"/>
                <w:highlight w:val="none"/>
              </w:rPr>
            </w:pPr>
            <w:r>
              <w:rPr>
                <w:rFonts w:hint="eastAsia" w:ascii="宋体" w:hAnsi="宋体" w:cs="宋体"/>
                <w:color w:val="auto"/>
                <w:sz w:val="20"/>
                <w:highlight w:val="none"/>
              </w:rPr>
              <w:t>2026年1月30日</w:t>
            </w:r>
          </w:p>
        </w:tc>
        <w:tc>
          <w:tcPr>
            <w:tcW w:w="1743" w:type="dxa"/>
            <w:tcBorders>
              <w:top w:val="nil"/>
              <w:left w:val="nil"/>
              <w:bottom w:val="single" w:color="auto" w:sz="4" w:space="0"/>
              <w:right w:val="single" w:color="auto" w:sz="4" w:space="0"/>
            </w:tcBorders>
            <w:vAlign w:val="center"/>
          </w:tcPr>
          <w:p w14:paraId="4F4CBA91">
            <w:pPr>
              <w:widowControl/>
              <w:jc w:val="center"/>
              <w:rPr>
                <w:rFonts w:hint="eastAsia" w:ascii="宋体" w:hAnsi="宋体" w:cs="宋体"/>
                <w:color w:val="auto"/>
                <w:sz w:val="20"/>
                <w:highlight w:val="none"/>
              </w:rPr>
            </w:pPr>
          </w:p>
        </w:tc>
      </w:tr>
      <w:tr w14:paraId="55C6A07A">
        <w:tblPrEx>
          <w:tblCellMar>
            <w:top w:w="0" w:type="dxa"/>
            <w:left w:w="108" w:type="dxa"/>
            <w:bottom w:w="0" w:type="dxa"/>
            <w:right w:w="108" w:type="dxa"/>
          </w:tblCellMar>
        </w:tblPrEx>
        <w:trPr>
          <w:trHeight w:val="480" w:hRule="atLeast"/>
          <w:jc w:val="center"/>
        </w:trPr>
        <w:tc>
          <w:tcPr>
            <w:tcW w:w="832" w:type="dxa"/>
            <w:tcBorders>
              <w:top w:val="nil"/>
              <w:left w:val="single" w:color="auto" w:sz="4" w:space="0"/>
              <w:bottom w:val="single" w:color="auto" w:sz="4" w:space="0"/>
              <w:right w:val="single" w:color="auto" w:sz="4" w:space="0"/>
            </w:tcBorders>
            <w:vAlign w:val="center"/>
          </w:tcPr>
          <w:p w14:paraId="474C86B8">
            <w:pPr>
              <w:widowControl/>
              <w:jc w:val="center"/>
              <w:rPr>
                <w:rFonts w:hint="eastAsia" w:ascii="宋体" w:hAnsi="宋体" w:cs="宋体"/>
                <w:color w:val="auto"/>
                <w:sz w:val="20"/>
                <w:highlight w:val="none"/>
              </w:rPr>
            </w:pPr>
            <w:r>
              <w:rPr>
                <w:rFonts w:hint="eastAsia" w:ascii="宋体" w:hAnsi="宋体" w:cs="宋体"/>
                <w:color w:val="auto"/>
                <w:sz w:val="20"/>
                <w:highlight w:val="none"/>
              </w:rPr>
              <w:t>4</w:t>
            </w:r>
          </w:p>
        </w:tc>
        <w:tc>
          <w:tcPr>
            <w:tcW w:w="2135" w:type="dxa"/>
            <w:tcBorders>
              <w:top w:val="nil"/>
              <w:left w:val="nil"/>
              <w:bottom w:val="single" w:color="auto" w:sz="4" w:space="0"/>
              <w:right w:val="single" w:color="auto" w:sz="4" w:space="0"/>
            </w:tcBorders>
            <w:vAlign w:val="center"/>
          </w:tcPr>
          <w:p w14:paraId="5DD923BF">
            <w:pPr>
              <w:widowControl/>
              <w:jc w:val="center"/>
              <w:rPr>
                <w:rFonts w:hint="eastAsia" w:ascii="宋体" w:hAnsi="宋体" w:cs="宋体"/>
                <w:color w:val="auto"/>
                <w:sz w:val="20"/>
                <w:highlight w:val="none"/>
              </w:rPr>
            </w:pPr>
            <w:r>
              <w:rPr>
                <w:rFonts w:hint="eastAsia" w:ascii="宋体" w:hAnsi="宋体" w:cs="宋体"/>
                <w:color w:val="auto"/>
                <w:sz w:val="20"/>
                <w:highlight w:val="none"/>
              </w:rPr>
              <w:t>竣工联合验收</w:t>
            </w:r>
          </w:p>
        </w:tc>
        <w:tc>
          <w:tcPr>
            <w:tcW w:w="1774" w:type="dxa"/>
            <w:tcBorders>
              <w:top w:val="nil"/>
              <w:left w:val="nil"/>
              <w:bottom w:val="single" w:color="auto" w:sz="4" w:space="0"/>
              <w:right w:val="single" w:color="auto" w:sz="4" w:space="0"/>
            </w:tcBorders>
            <w:vAlign w:val="center"/>
          </w:tcPr>
          <w:p w14:paraId="6E3D4D98">
            <w:pPr>
              <w:widowControl/>
              <w:jc w:val="left"/>
              <w:rPr>
                <w:rFonts w:hint="eastAsia" w:ascii="宋体" w:hAnsi="宋体" w:cs="宋体"/>
                <w:color w:val="auto"/>
                <w:sz w:val="20"/>
                <w:highlight w:val="none"/>
              </w:rPr>
            </w:pPr>
            <w:r>
              <w:rPr>
                <w:rFonts w:hint="eastAsia" w:ascii="宋体" w:hAnsi="宋体" w:cs="宋体"/>
                <w:color w:val="auto"/>
                <w:sz w:val="20"/>
                <w:highlight w:val="none"/>
              </w:rPr>
              <w:t>开工日起计</w:t>
            </w:r>
            <w:r>
              <w:rPr>
                <w:rFonts w:hint="eastAsia" w:ascii="宋体" w:hAnsi="宋体" w:cs="宋体"/>
                <w:color w:val="auto"/>
                <w:sz w:val="20"/>
                <w:highlight w:val="none"/>
                <w:u w:val="single"/>
              </w:rPr>
              <w:t>288</w:t>
            </w:r>
            <w:r>
              <w:rPr>
                <w:rFonts w:hint="eastAsia" w:ascii="宋体" w:hAnsi="宋体" w:cs="宋体"/>
                <w:color w:val="auto"/>
                <w:sz w:val="20"/>
                <w:highlight w:val="none"/>
              </w:rPr>
              <w:t>日历天</w:t>
            </w:r>
          </w:p>
        </w:tc>
        <w:tc>
          <w:tcPr>
            <w:tcW w:w="1934" w:type="dxa"/>
            <w:tcBorders>
              <w:top w:val="nil"/>
              <w:left w:val="nil"/>
              <w:bottom w:val="single" w:color="auto" w:sz="4" w:space="0"/>
              <w:right w:val="single" w:color="auto" w:sz="4" w:space="0"/>
            </w:tcBorders>
            <w:vAlign w:val="center"/>
          </w:tcPr>
          <w:p w14:paraId="40D6C00C">
            <w:pPr>
              <w:widowControl/>
              <w:jc w:val="left"/>
              <w:rPr>
                <w:rFonts w:hint="eastAsia" w:ascii="宋体" w:hAnsi="宋体" w:cs="宋体"/>
                <w:color w:val="auto"/>
                <w:sz w:val="20"/>
                <w:highlight w:val="none"/>
              </w:rPr>
            </w:pPr>
          </w:p>
        </w:tc>
        <w:tc>
          <w:tcPr>
            <w:tcW w:w="1933" w:type="dxa"/>
            <w:tcBorders>
              <w:top w:val="nil"/>
              <w:left w:val="nil"/>
              <w:bottom w:val="single" w:color="auto" w:sz="4" w:space="0"/>
              <w:right w:val="single" w:color="auto" w:sz="4" w:space="0"/>
            </w:tcBorders>
            <w:vAlign w:val="center"/>
          </w:tcPr>
          <w:p w14:paraId="099261B5">
            <w:pPr>
              <w:widowControl/>
              <w:jc w:val="center"/>
              <w:rPr>
                <w:rFonts w:hint="eastAsia" w:ascii="宋体" w:hAnsi="宋体" w:cs="宋体"/>
                <w:color w:val="auto"/>
                <w:sz w:val="20"/>
                <w:highlight w:val="none"/>
              </w:rPr>
            </w:pPr>
            <w:r>
              <w:rPr>
                <w:rFonts w:hint="eastAsia" w:ascii="宋体" w:hAnsi="宋体" w:cs="宋体"/>
                <w:color w:val="auto"/>
                <w:sz w:val="20"/>
                <w:highlight w:val="none"/>
              </w:rPr>
              <w:t>202</w:t>
            </w:r>
            <w:r>
              <w:rPr>
                <w:rFonts w:ascii="宋体" w:hAnsi="宋体" w:cs="宋体"/>
                <w:color w:val="auto"/>
                <w:sz w:val="20"/>
                <w:highlight w:val="none"/>
              </w:rPr>
              <w:t>6</w:t>
            </w:r>
            <w:r>
              <w:rPr>
                <w:rFonts w:hint="eastAsia" w:ascii="宋体" w:hAnsi="宋体" w:cs="宋体"/>
                <w:color w:val="auto"/>
                <w:sz w:val="20"/>
                <w:highlight w:val="none"/>
              </w:rPr>
              <w:t>年7月30日</w:t>
            </w:r>
          </w:p>
        </w:tc>
        <w:tc>
          <w:tcPr>
            <w:tcW w:w="1743" w:type="dxa"/>
            <w:tcBorders>
              <w:top w:val="nil"/>
              <w:left w:val="nil"/>
              <w:bottom w:val="single" w:color="auto" w:sz="4" w:space="0"/>
              <w:right w:val="single" w:color="auto" w:sz="4" w:space="0"/>
            </w:tcBorders>
            <w:vAlign w:val="center"/>
          </w:tcPr>
          <w:p w14:paraId="4FBB0BF5">
            <w:pPr>
              <w:widowControl/>
              <w:jc w:val="center"/>
              <w:rPr>
                <w:rFonts w:hint="eastAsia" w:ascii="宋体" w:hAnsi="宋体" w:cs="宋体"/>
                <w:color w:val="auto"/>
                <w:sz w:val="20"/>
                <w:highlight w:val="none"/>
              </w:rPr>
            </w:pPr>
          </w:p>
        </w:tc>
      </w:tr>
      <w:tr w14:paraId="4BD3F746">
        <w:tblPrEx>
          <w:tblCellMar>
            <w:top w:w="0" w:type="dxa"/>
            <w:left w:w="108" w:type="dxa"/>
            <w:bottom w:w="0" w:type="dxa"/>
            <w:right w:w="108" w:type="dxa"/>
          </w:tblCellMar>
        </w:tblPrEx>
        <w:trPr>
          <w:trHeight w:val="480" w:hRule="atLeast"/>
          <w:jc w:val="center"/>
        </w:trPr>
        <w:tc>
          <w:tcPr>
            <w:tcW w:w="832" w:type="dxa"/>
            <w:tcBorders>
              <w:top w:val="single" w:color="auto" w:sz="4" w:space="0"/>
              <w:left w:val="single" w:color="auto" w:sz="4" w:space="0"/>
              <w:bottom w:val="single" w:color="auto" w:sz="4" w:space="0"/>
              <w:right w:val="single" w:color="auto" w:sz="4" w:space="0"/>
            </w:tcBorders>
            <w:vAlign w:val="center"/>
          </w:tcPr>
          <w:p w14:paraId="4007466E">
            <w:pPr>
              <w:widowControl/>
              <w:jc w:val="center"/>
              <w:rPr>
                <w:rFonts w:hint="eastAsia" w:ascii="宋体" w:hAnsi="宋体" w:cs="宋体"/>
                <w:color w:val="auto"/>
                <w:sz w:val="20"/>
                <w:highlight w:val="none"/>
              </w:rPr>
            </w:pPr>
            <w:r>
              <w:rPr>
                <w:rFonts w:hint="eastAsia" w:ascii="宋体" w:hAnsi="宋体" w:cs="宋体"/>
                <w:color w:val="auto"/>
                <w:sz w:val="20"/>
                <w:highlight w:val="none"/>
              </w:rPr>
              <w:t>5</w:t>
            </w:r>
          </w:p>
        </w:tc>
        <w:tc>
          <w:tcPr>
            <w:tcW w:w="2135" w:type="dxa"/>
            <w:tcBorders>
              <w:top w:val="single" w:color="auto" w:sz="4" w:space="0"/>
              <w:left w:val="single" w:color="auto" w:sz="4" w:space="0"/>
              <w:bottom w:val="single" w:color="auto" w:sz="4" w:space="0"/>
              <w:right w:val="single" w:color="auto" w:sz="4" w:space="0"/>
            </w:tcBorders>
            <w:vAlign w:val="center"/>
          </w:tcPr>
          <w:p w14:paraId="7225C931">
            <w:pPr>
              <w:widowControl/>
              <w:jc w:val="center"/>
              <w:rPr>
                <w:rFonts w:hint="eastAsia" w:ascii="宋体" w:hAnsi="宋体" w:cs="宋体"/>
                <w:color w:val="auto"/>
                <w:sz w:val="20"/>
                <w:highlight w:val="none"/>
              </w:rPr>
            </w:pPr>
            <w:r>
              <w:rPr>
                <w:rFonts w:hint="eastAsia" w:ascii="宋体" w:hAnsi="宋体" w:cs="宋体"/>
                <w:color w:val="auto"/>
                <w:sz w:val="20"/>
                <w:highlight w:val="none"/>
              </w:rPr>
              <w:t>验收后按</w:t>
            </w:r>
            <w:r>
              <w:rPr>
                <w:rFonts w:hint="eastAsia"/>
                <w:color w:val="auto"/>
                <w:highlight w:val="none"/>
              </w:rPr>
              <w:t>优化提升</w:t>
            </w:r>
            <w:r>
              <w:rPr>
                <w:rFonts w:hint="eastAsia" w:ascii="宋体" w:hAnsi="宋体" w:cs="宋体"/>
                <w:color w:val="auto"/>
                <w:sz w:val="20"/>
                <w:highlight w:val="none"/>
              </w:rPr>
              <w:t>版图纸完成</w:t>
            </w:r>
            <w:r>
              <w:rPr>
                <w:rFonts w:hint="eastAsia"/>
                <w:color w:val="auto"/>
                <w:highlight w:val="none"/>
              </w:rPr>
              <w:t>优化提升</w:t>
            </w:r>
            <w:r>
              <w:rPr>
                <w:rFonts w:hint="eastAsia" w:ascii="宋体" w:hAnsi="宋体" w:cs="宋体"/>
                <w:color w:val="auto"/>
                <w:sz w:val="20"/>
                <w:highlight w:val="none"/>
              </w:rPr>
              <w:t>施工</w:t>
            </w:r>
          </w:p>
        </w:tc>
        <w:tc>
          <w:tcPr>
            <w:tcW w:w="1774" w:type="dxa"/>
            <w:tcBorders>
              <w:top w:val="single" w:color="auto" w:sz="4" w:space="0"/>
              <w:left w:val="single" w:color="auto" w:sz="4" w:space="0"/>
              <w:bottom w:val="single" w:color="auto" w:sz="4" w:space="0"/>
              <w:right w:val="single" w:color="auto" w:sz="4" w:space="0"/>
            </w:tcBorders>
            <w:vAlign w:val="center"/>
          </w:tcPr>
          <w:p w14:paraId="2EA457D6">
            <w:pPr>
              <w:widowControl/>
              <w:jc w:val="left"/>
              <w:rPr>
                <w:rFonts w:hint="eastAsia" w:ascii="宋体" w:hAnsi="宋体" w:cs="宋体"/>
                <w:color w:val="auto"/>
                <w:sz w:val="20"/>
                <w:highlight w:val="none"/>
              </w:rPr>
            </w:pPr>
            <w:r>
              <w:rPr>
                <w:rFonts w:ascii="宋体" w:hAnsi="宋体" w:cs="宋体"/>
                <w:color w:val="auto"/>
                <w:sz w:val="20"/>
                <w:highlight w:val="none"/>
              </w:rPr>
              <w:t>212</w:t>
            </w:r>
            <w:r>
              <w:rPr>
                <w:rFonts w:hint="eastAsia" w:ascii="宋体" w:hAnsi="宋体" w:cs="宋体"/>
                <w:color w:val="auto"/>
                <w:sz w:val="20"/>
                <w:highlight w:val="none"/>
              </w:rPr>
              <w:t>天，开工日起计</w:t>
            </w:r>
            <w:r>
              <w:rPr>
                <w:rFonts w:ascii="宋体" w:hAnsi="宋体" w:cs="宋体"/>
                <w:color w:val="auto"/>
                <w:sz w:val="20"/>
                <w:highlight w:val="none"/>
                <w:u w:val="single"/>
              </w:rPr>
              <w:t>500</w:t>
            </w:r>
            <w:r>
              <w:rPr>
                <w:rFonts w:hint="eastAsia" w:ascii="宋体" w:hAnsi="宋体" w:cs="宋体"/>
                <w:color w:val="auto"/>
                <w:sz w:val="20"/>
                <w:highlight w:val="none"/>
              </w:rPr>
              <w:t>日历天</w:t>
            </w:r>
          </w:p>
        </w:tc>
        <w:tc>
          <w:tcPr>
            <w:tcW w:w="1934" w:type="dxa"/>
            <w:tcBorders>
              <w:top w:val="single" w:color="auto" w:sz="4" w:space="0"/>
              <w:left w:val="single" w:color="auto" w:sz="4" w:space="0"/>
              <w:bottom w:val="single" w:color="auto" w:sz="4" w:space="0"/>
              <w:right w:val="single" w:color="auto" w:sz="4" w:space="0"/>
            </w:tcBorders>
            <w:vAlign w:val="center"/>
          </w:tcPr>
          <w:p w14:paraId="71CA6A1B">
            <w:pPr>
              <w:widowControl/>
              <w:jc w:val="left"/>
              <w:rPr>
                <w:rFonts w:hint="eastAsia" w:ascii="宋体" w:hAnsi="宋体" w:cs="宋体"/>
                <w:color w:val="auto"/>
                <w:sz w:val="20"/>
                <w:highlight w:val="none"/>
              </w:rPr>
            </w:pPr>
            <w:r>
              <w:rPr>
                <w:rFonts w:hint="eastAsia" w:ascii="宋体" w:hAnsi="宋体" w:cs="宋体"/>
                <w:color w:val="auto"/>
                <w:sz w:val="20"/>
                <w:highlight w:val="none"/>
              </w:rPr>
              <w:t>2026年7月30日</w:t>
            </w:r>
          </w:p>
        </w:tc>
        <w:tc>
          <w:tcPr>
            <w:tcW w:w="1933" w:type="dxa"/>
            <w:tcBorders>
              <w:top w:val="single" w:color="auto" w:sz="4" w:space="0"/>
              <w:left w:val="single" w:color="auto" w:sz="4" w:space="0"/>
              <w:bottom w:val="single" w:color="auto" w:sz="4" w:space="0"/>
              <w:right w:val="single" w:color="auto" w:sz="4" w:space="0"/>
            </w:tcBorders>
            <w:vAlign w:val="center"/>
          </w:tcPr>
          <w:p w14:paraId="7D5584F1">
            <w:pPr>
              <w:widowControl/>
              <w:jc w:val="center"/>
              <w:rPr>
                <w:rFonts w:hint="eastAsia" w:ascii="宋体" w:hAnsi="宋体" w:cs="宋体"/>
                <w:color w:val="auto"/>
                <w:sz w:val="20"/>
                <w:highlight w:val="none"/>
              </w:rPr>
            </w:pPr>
            <w:r>
              <w:rPr>
                <w:rFonts w:hint="eastAsia" w:ascii="宋体" w:hAnsi="宋体" w:cs="宋体"/>
                <w:color w:val="auto"/>
                <w:sz w:val="20"/>
                <w:highlight w:val="none"/>
              </w:rPr>
              <w:t>2027年</w:t>
            </w:r>
            <w:r>
              <w:rPr>
                <w:rFonts w:ascii="宋体" w:hAnsi="宋体" w:cs="宋体"/>
                <w:color w:val="auto"/>
                <w:sz w:val="20"/>
                <w:highlight w:val="none"/>
              </w:rPr>
              <w:t>2</w:t>
            </w:r>
            <w:r>
              <w:rPr>
                <w:rFonts w:hint="eastAsia" w:ascii="宋体" w:hAnsi="宋体" w:cs="宋体"/>
                <w:color w:val="auto"/>
                <w:sz w:val="20"/>
                <w:highlight w:val="none"/>
              </w:rPr>
              <w:t>月</w:t>
            </w:r>
            <w:r>
              <w:rPr>
                <w:rFonts w:ascii="宋体" w:hAnsi="宋体" w:cs="宋体"/>
                <w:color w:val="auto"/>
                <w:sz w:val="20"/>
                <w:highlight w:val="none"/>
              </w:rPr>
              <w:t>27</w:t>
            </w:r>
            <w:r>
              <w:rPr>
                <w:rFonts w:hint="eastAsia" w:ascii="宋体" w:hAnsi="宋体" w:cs="宋体"/>
                <w:color w:val="auto"/>
                <w:sz w:val="20"/>
                <w:highlight w:val="none"/>
              </w:rPr>
              <w:t>日</w:t>
            </w:r>
          </w:p>
        </w:tc>
        <w:tc>
          <w:tcPr>
            <w:tcW w:w="1743" w:type="dxa"/>
            <w:tcBorders>
              <w:top w:val="single" w:color="auto" w:sz="4" w:space="0"/>
              <w:left w:val="single" w:color="auto" w:sz="4" w:space="0"/>
              <w:bottom w:val="single" w:color="auto" w:sz="4" w:space="0"/>
              <w:right w:val="single" w:color="auto" w:sz="4" w:space="0"/>
            </w:tcBorders>
            <w:vAlign w:val="center"/>
          </w:tcPr>
          <w:p w14:paraId="54DA0A8F">
            <w:pPr>
              <w:widowControl/>
              <w:jc w:val="center"/>
              <w:rPr>
                <w:rFonts w:hint="eastAsia" w:ascii="宋体" w:hAnsi="宋体" w:cs="宋体"/>
                <w:color w:val="auto"/>
                <w:sz w:val="20"/>
                <w:highlight w:val="none"/>
              </w:rPr>
            </w:pPr>
          </w:p>
        </w:tc>
      </w:tr>
      <w:tr w14:paraId="02BDE109">
        <w:tblPrEx>
          <w:tblCellMar>
            <w:top w:w="0" w:type="dxa"/>
            <w:left w:w="108" w:type="dxa"/>
            <w:bottom w:w="0" w:type="dxa"/>
            <w:right w:w="108" w:type="dxa"/>
          </w:tblCellMar>
        </w:tblPrEx>
        <w:trPr>
          <w:trHeight w:val="480" w:hRule="atLeast"/>
          <w:jc w:val="center"/>
        </w:trPr>
        <w:tc>
          <w:tcPr>
            <w:tcW w:w="10351" w:type="dxa"/>
            <w:gridSpan w:val="6"/>
            <w:tcBorders>
              <w:top w:val="single" w:color="auto" w:sz="4" w:space="0"/>
              <w:left w:val="single" w:color="auto" w:sz="4" w:space="0"/>
              <w:bottom w:val="single" w:color="auto" w:sz="4" w:space="0"/>
              <w:right w:val="single" w:color="auto" w:sz="4" w:space="0"/>
            </w:tcBorders>
            <w:vAlign w:val="center"/>
          </w:tcPr>
          <w:tbl>
            <w:tblPr>
              <w:tblStyle w:val="37"/>
              <w:tblW w:w="10125" w:type="dxa"/>
              <w:jc w:val="center"/>
              <w:tblLayout w:type="autofit"/>
              <w:tblCellMar>
                <w:top w:w="0" w:type="dxa"/>
                <w:left w:w="108" w:type="dxa"/>
                <w:bottom w:w="0" w:type="dxa"/>
                <w:right w:w="108" w:type="dxa"/>
              </w:tblCellMar>
            </w:tblPr>
            <w:tblGrid>
              <w:gridCol w:w="10125"/>
            </w:tblGrid>
            <w:tr w14:paraId="3C09B2CC">
              <w:tblPrEx>
                <w:tblCellMar>
                  <w:top w:w="0" w:type="dxa"/>
                  <w:left w:w="108" w:type="dxa"/>
                  <w:bottom w:w="0" w:type="dxa"/>
                  <w:right w:w="108" w:type="dxa"/>
                </w:tblCellMar>
              </w:tblPrEx>
              <w:trPr>
                <w:trHeight w:val="588" w:hRule="atLeast"/>
                <w:jc w:val="center"/>
              </w:trPr>
              <w:tc>
                <w:tcPr>
                  <w:tcW w:w="10125" w:type="dxa"/>
                  <w:tcBorders>
                    <w:top w:val="single" w:color="auto" w:sz="4" w:space="0"/>
                    <w:left w:val="single" w:color="auto" w:sz="4" w:space="0"/>
                    <w:bottom w:val="single" w:color="auto" w:sz="4" w:space="0"/>
                    <w:right w:val="single" w:color="auto" w:sz="4" w:space="0"/>
                  </w:tcBorders>
                  <w:shd w:val="clear" w:color="auto" w:fill="D7D7D7"/>
                  <w:vAlign w:val="center"/>
                </w:tcPr>
                <w:p w14:paraId="1DC224C7">
                  <w:pPr>
                    <w:widowControl/>
                    <w:jc w:val="left"/>
                    <w:rPr>
                      <w:rFonts w:hint="eastAsia" w:ascii="宋体" w:hAnsi="宋体" w:cs="宋体"/>
                      <w:color w:val="auto"/>
                      <w:sz w:val="20"/>
                      <w:highlight w:val="none"/>
                    </w:rPr>
                  </w:pPr>
                  <w:r>
                    <w:rPr>
                      <w:rFonts w:hint="eastAsia" w:ascii="宋体" w:hAnsi="宋体" w:cs="宋体"/>
                      <w:b/>
                      <w:bCs/>
                      <w:color w:val="auto"/>
                      <w:sz w:val="24"/>
                      <w:highlight w:val="none"/>
                    </w:rPr>
                    <w:t>三、已建未完楼栋[D1、D3、E2、E5、E8~10、G3（地下室、±0.00以上）]</w:t>
                  </w:r>
                </w:p>
              </w:tc>
            </w:tr>
          </w:tbl>
          <w:p w14:paraId="5B1D010B">
            <w:pPr>
              <w:widowControl/>
              <w:jc w:val="center"/>
              <w:rPr>
                <w:rFonts w:hint="eastAsia" w:ascii="宋体" w:hAnsi="宋体" w:cs="宋体"/>
                <w:color w:val="auto"/>
                <w:sz w:val="20"/>
                <w:highlight w:val="none"/>
              </w:rPr>
            </w:pPr>
          </w:p>
        </w:tc>
      </w:tr>
      <w:tr w14:paraId="168642B8">
        <w:tblPrEx>
          <w:tblCellMar>
            <w:top w:w="0" w:type="dxa"/>
            <w:left w:w="108" w:type="dxa"/>
            <w:bottom w:w="0" w:type="dxa"/>
            <w:right w:w="108" w:type="dxa"/>
          </w:tblCellMar>
        </w:tblPrEx>
        <w:trPr>
          <w:trHeight w:val="480" w:hRule="atLeast"/>
          <w:jc w:val="center"/>
        </w:trPr>
        <w:tc>
          <w:tcPr>
            <w:tcW w:w="832" w:type="dxa"/>
            <w:tcBorders>
              <w:top w:val="single" w:color="auto" w:sz="4" w:space="0"/>
              <w:left w:val="single" w:color="auto" w:sz="4" w:space="0"/>
              <w:bottom w:val="single" w:color="auto" w:sz="4" w:space="0"/>
              <w:right w:val="single" w:color="auto" w:sz="4" w:space="0"/>
            </w:tcBorders>
            <w:vAlign w:val="center"/>
          </w:tcPr>
          <w:p w14:paraId="496EC82C">
            <w:pPr>
              <w:widowControl/>
              <w:jc w:val="center"/>
              <w:rPr>
                <w:rFonts w:hint="eastAsia" w:ascii="宋体" w:hAnsi="宋体" w:cs="宋体"/>
                <w:color w:val="auto"/>
                <w:sz w:val="20"/>
                <w:highlight w:val="none"/>
              </w:rPr>
            </w:pPr>
            <w:r>
              <w:rPr>
                <w:rFonts w:hint="eastAsia" w:ascii="宋体" w:hAnsi="宋体" w:cs="宋体"/>
                <w:color w:val="auto"/>
                <w:sz w:val="20"/>
                <w:highlight w:val="none"/>
              </w:rPr>
              <w:t>序号</w:t>
            </w:r>
          </w:p>
        </w:tc>
        <w:tc>
          <w:tcPr>
            <w:tcW w:w="2135" w:type="dxa"/>
            <w:tcBorders>
              <w:top w:val="single" w:color="auto" w:sz="4" w:space="0"/>
              <w:left w:val="single" w:color="auto" w:sz="4" w:space="0"/>
              <w:bottom w:val="single" w:color="auto" w:sz="4" w:space="0"/>
              <w:right w:val="single" w:color="auto" w:sz="4" w:space="0"/>
            </w:tcBorders>
            <w:vAlign w:val="center"/>
          </w:tcPr>
          <w:p w14:paraId="3A0218C7">
            <w:pPr>
              <w:widowControl/>
              <w:jc w:val="center"/>
              <w:rPr>
                <w:rFonts w:hint="eastAsia" w:ascii="宋体" w:hAnsi="宋体" w:cs="宋体"/>
                <w:color w:val="auto"/>
                <w:sz w:val="20"/>
                <w:highlight w:val="none"/>
              </w:rPr>
            </w:pPr>
            <w:r>
              <w:rPr>
                <w:rFonts w:hint="eastAsia" w:ascii="宋体" w:hAnsi="宋体" w:cs="宋体"/>
                <w:color w:val="auto"/>
                <w:sz w:val="20"/>
                <w:highlight w:val="none"/>
              </w:rPr>
              <w:t>节点名称</w:t>
            </w:r>
          </w:p>
        </w:tc>
        <w:tc>
          <w:tcPr>
            <w:tcW w:w="1774" w:type="dxa"/>
            <w:tcBorders>
              <w:top w:val="single" w:color="auto" w:sz="4" w:space="0"/>
              <w:left w:val="single" w:color="auto" w:sz="4" w:space="0"/>
              <w:bottom w:val="single" w:color="auto" w:sz="4" w:space="0"/>
              <w:right w:val="single" w:color="auto" w:sz="4" w:space="0"/>
            </w:tcBorders>
            <w:vAlign w:val="center"/>
          </w:tcPr>
          <w:p w14:paraId="7D7D5E22">
            <w:pPr>
              <w:widowControl/>
              <w:jc w:val="center"/>
              <w:rPr>
                <w:rFonts w:hint="eastAsia" w:ascii="宋体" w:hAnsi="宋体" w:cs="宋体"/>
                <w:color w:val="auto"/>
                <w:sz w:val="20"/>
                <w:highlight w:val="none"/>
              </w:rPr>
            </w:pPr>
            <w:r>
              <w:rPr>
                <w:rFonts w:hint="eastAsia" w:ascii="宋体" w:hAnsi="宋体" w:cs="宋体"/>
                <w:color w:val="auto"/>
                <w:sz w:val="20"/>
                <w:highlight w:val="none"/>
              </w:rPr>
              <w:t>工期</w:t>
            </w:r>
          </w:p>
        </w:tc>
        <w:tc>
          <w:tcPr>
            <w:tcW w:w="1934" w:type="dxa"/>
            <w:tcBorders>
              <w:top w:val="single" w:color="auto" w:sz="4" w:space="0"/>
              <w:left w:val="single" w:color="auto" w:sz="4" w:space="0"/>
              <w:bottom w:val="single" w:color="auto" w:sz="4" w:space="0"/>
              <w:right w:val="single" w:color="auto" w:sz="4" w:space="0"/>
            </w:tcBorders>
            <w:vAlign w:val="center"/>
          </w:tcPr>
          <w:p w14:paraId="4D91485E">
            <w:pPr>
              <w:widowControl/>
              <w:jc w:val="left"/>
              <w:rPr>
                <w:rFonts w:hint="eastAsia" w:ascii="宋体" w:hAnsi="宋体" w:cs="宋体"/>
                <w:color w:val="auto"/>
                <w:sz w:val="20"/>
                <w:highlight w:val="none"/>
              </w:rPr>
            </w:pPr>
            <w:r>
              <w:rPr>
                <w:rFonts w:hint="eastAsia" w:ascii="宋体" w:hAnsi="宋体" w:cs="宋体"/>
                <w:color w:val="auto"/>
                <w:sz w:val="20"/>
                <w:highlight w:val="none"/>
              </w:rPr>
              <w:t>计划开工日期</w:t>
            </w:r>
          </w:p>
        </w:tc>
        <w:tc>
          <w:tcPr>
            <w:tcW w:w="1933" w:type="dxa"/>
            <w:tcBorders>
              <w:top w:val="single" w:color="auto" w:sz="4" w:space="0"/>
              <w:left w:val="single" w:color="auto" w:sz="4" w:space="0"/>
              <w:bottom w:val="single" w:color="auto" w:sz="4" w:space="0"/>
              <w:right w:val="single" w:color="auto" w:sz="4" w:space="0"/>
            </w:tcBorders>
            <w:vAlign w:val="center"/>
          </w:tcPr>
          <w:p w14:paraId="59922E77">
            <w:pPr>
              <w:widowControl/>
              <w:jc w:val="center"/>
              <w:rPr>
                <w:rFonts w:hint="eastAsia" w:ascii="宋体" w:hAnsi="宋体" w:cs="宋体"/>
                <w:color w:val="auto"/>
                <w:sz w:val="20"/>
                <w:highlight w:val="none"/>
              </w:rPr>
            </w:pPr>
            <w:r>
              <w:rPr>
                <w:rFonts w:hint="eastAsia" w:ascii="宋体" w:hAnsi="宋体" w:cs="宋体"/>
                <w:color w:val="auto"/>
                <w:sz w:val="20"/>
                <w:highlight w:val="none"/>
              </w:rPr>
              <w:t>计划完工日期</w:t>
            </w:r>
          </w:p>
        </w:tc>
        <w:tc>
          <w:tcPr>
            <w:tcW w:w="1743" w:type="dxa"/>
            <w:tcBorders>
              <w:top w:val="single" w:color="auto" w:sz="4" w:space="0"/>
              <w:left w:val="single" w:color="auto" w:sz="4" w:space="0"/>
              <w:bottom w:val="single" w:color="auto" w:sz="4" w:space="0"/>
              <w:right w:val="single" w:color="auto" w:sz="4" w:space="0"/>
            </w:tcBorders>
            <w:vAlign w:val="center"/>
          </w:tcPr>
          <w:p w14:paraId="580D6FC8">
            <w:pPr>
              <w:widowControl/>
              <w:jc w:val="center"/>
              <w:rPr>
                <w:rFonts w:hint="eastAsia" w:ascii="宋体" w:hAnsi="宋体" w:cs="宋体"/>
                <w:color w:val="auto"/>
                <w:sz w:val="20"/>
                <w:highlight w:val="none"/>
              </w:rPr>
            </w:pPr>
            <w:r>
              <w:rPr>
                <w:rFonts w:hint="eastAsia" w:ascii="宋体" w:hAnsi="宋体" w:cs="宋体"/>
                <w:color w:val="auto"/>
                <w:sz w:val="20"/>
                <w:highlight w:val="none"/>
              </w:rPr>
              <w:t>备注</w:t>
            </w:r>
          </w:p>
        </w:tc>
      </w:tr>
      <w:tr w14:paraId="4758BE23">
        <w:tblPrEx>
          <w:tblCellMar>
            <w:top w:w="0" w:type="dxa"/>
            <w:left w:w="108" w:type="dxa"/>
            <w:bottom w:w="0" w:type="dxa"/>
            <w:right w:w="108" w:type="dxa"/>
          </w:tblCellMar>
        </w:tblPrEx>
        <w:trPr>
          <w:trHeight w:val="480" w:hRule="atLeast"/>
          <w:jc w:val="center"/>
        </w:trPr>
        <w:tc>
          <w:tcPr>
            <w:tcW w:w="832" w:type="dxa"/>
            <w:tcBorders>
              <w:top w:val="single" w:color="auto" w:sz="4" w:space="0"/>
              <w:left w:val="single" w:color="auto" w:sz="4" w:space="0"/>
              <w:bottom w:val="single" w:color="auto" w:sz="4" w:space="0"/>
              <w:right w:val="single" w:color="auto" w:sz="4" w:space="0"/>
            </w:tcBorders>
            <w:vAlign w:val="center"/>
          </w:tcPr>
          <w:p w14:paraId="37BA585F">
            <w:pPr>
              <w:widowControl/>
              <w:jc w:val="center"/>
              <w:rPr>
                <w:rFonts w:hint="eastAsia" w:ascii="宋体" w:hAnsi="宋体" w:cs="宋体"/>
                <w:color w:val="auto"/>
                <w:sz w:val="20"/>
                <w:highlight w:val="none"/>
              </w:rPr>
            </w:pPr>
            <w:r>
              <w:rPr>
                <w:rFonts w:hint="eastAsia" w:ascii="宋体" w:hAnsi="宋体" w:cs="宋体"/>
                <w:color w:val="auto"/>
                <w:sz w:val="20"/>
                <w:highlight w:val="none"/>
              </w:rPr>
              <w:t>1</w:t>
            </w:r>
          </w:p>
        </w:tc>
        <w:tc>
          <w:tcPr>
            <w:tcW w:w="2135" w:type="dxa"/>
            <w:tcBorders>
              <w:top w:val="single" w:color="auto" w:sz="4" w:space="0"/>
              <w:left w:val="single" w:color="auto" w:sz="4" w:space="0"/>
              <w:bottom w:val="single" w:color="auto" w:sz="4" w:space="0"/>
              <w:right w:val="single" w:color="auto" w:sz="4" w:space="0"/>
            </w:tcBorders>
            <w:vAlign w:val="center"/>
          </w:tcPr>
          <w:p w14:paraId="02DD11F4">
            <w:pPr>
              <w:widowControl/>
              <w:jc w:val="center"/>
              <w:rPr>
                <w:rFonts w:hint="eastAsia" w:ascii="宋体" w:hAnsi="宋体" w:cs="宋体"/>
                <w:color w:val="auto"/>
                <w:sz w:val="20"/>
                <w:highlight w:val="none"/>
              </w:rPr>
            </w:pPr>
            <w:r>
              <w:rPr>
                <w:rFonts w:hint="eastAsia" w:ascii="宋体" w:hAnsi="宋体" w:cs="宋体"/>
                <w:color w:val="auto"/>
                <w:sz w:val="20"/>
                <w:highlight w:val="none"/>
              </w:rPr>
              <w:t>正负零结构完成</w:t>
            </w:r>
          </w:p>
        </w:tc>
        <w:tc>
          <w:tcPr>
            <w:tcW w:w="1774" w:type="dxa"/>
            <w:tcBorders>
              <w:top w:val="single" w:color="auto" w:sz="4" w:space="0"/>
              <w:left w:val="single" w:color="auto" w:sz="4" w:space="0"/>
              <w:bottom w:val="single" w:color="auto" w:sz="4" w:space="0"/>
              <w:right w:val="single" w:color="auto" w:sz="4" w:space="0"/>
            </w:tcBorders>
            <w:vAlign w:val="center"/>
          </w:tcPr>
          <w:p w14:paraId="76065E28">
            <w:pPr>
              <w:widowControl/>
              <w:jc w:val="center"/>
              <w:rPr>
                <w:rFonts w:hint="eastAsia" w:ascii="宋体" w:hAnsi="宋体" w:cs="宋体"/>
                <w:color w:val="auto"/>
                <w:sz w:val="20"/>
                <w:highlight w:val="none"/>
              </w:rPr>
            </w:pPr>
            <w:r>
              <w:rPr>
                <w:rFonts w:hint="eastAsia" w:ascii="宋体" w:hAnsi="宋体" w:cs="宋体"/>
                <w:color w:val="auto"/>
                <w:sz w:val="20"/>
                <w:highlight w:val="none"/>
              </w:rPr>
              <w:t>已完成</w:t>
            </w:r>
          </w:p>
        </w:tc>
        <w:tc>
          <w:tcPr>
            <w:tcW w:w="1934" w:type="dxa"/>
            <w:tcBorders>
              <w:top w:val="single" w:color="auto" w:sz="4" w:space="0"/>
              <w:left w:val="single" w:color="auto" w:sz="4" w:space="0"/>
              <w:bottom w:val="single" w:color="auto" w:sz="4" w:space="0"/>
              <w:right w:val="single" w:color="auto" w:sz="4" w:space="0"/>
            </w:tcBorders>
            <w:vAlign w:val="center"/>
          </w:tcPr>
          <w:p w14:paraId="6D571E4A">
            <w:pPr>
              <w:widowControl/>
              <w:jc w:val="center"/>
              <w:rPr>
                <w:rFonts w:hint="eastAsia" w:ascii="宋体" w:hAnsi="宋体" w:cs="宋体"/>
                <w:color w:val="auto"/>
                <w:sz w:val="20"/>
                <w:highlight w:val="none"/>
              </w:rPr>
            </w:pPr>
            <w:r>
              <w:rPr>
                <w:rFonts w:hint="eastAsia" w:ascii="宋体" w:hAnsi="宋体" w:cs="宋体"/>
                <w:color w:val="auto"/>
                <w:sz w:val="20"/>
                <w:highlight w:val="none"/>
              </w:rPr>
              <w:t>/</w:t>
            </w:r>
          </w:p>
        </w:tc>
        <w:tc>
          <w:tcPr>
            <w:tcW w:w="1933" w:type="dxa"/>
            <w:tcBorders>
              <w:top w:val="single" w:color="auto" w:sz="4" w:space="0"/>
              <w:left w:val="single" w:color="auto" w:sz="4" w:space="0"/>
              <w:bottom w:val="single" w:color="auto" w:sz="4" w:space="0"/>
              <w:right w:val="single" w:color="auto" w:sz="4" w:space="0"/>
            </w:tcBorders>
            <w:vAlign w:val="center"/>
          </w:tcPr>
          <w:p w14:paraId="4231F418">
            <w:pPr>
              <w:widowControl/>
              <w:jc w:val="center"/>
              <w:rPr>
                <w:rFonts w:hint="eastAsia" w:ascii="宋体" w:hAnsi="宋体" w:cs="宋体"/>
                <w:color w:val="auto"/>
                <w:sz w:val="20"/>
                <w:highlight w:val="none"/>
              </w:rPr>
            </w:pPr>
            <w:r>
              <w:rPr>
                <w:rFonts w:hint="eastAsia" w:ascii="宋体" w:hAnsi="宋体" w:cs="宋体"/>
                <w:color w:val="auto"/>
                <w:sz w:val="20"/>
                <w:highlight w:val="none"/>
              </w:rPr>
              <w:t>/</w:t>
            </w:r>
          </w:p>
        </w:tc>
        <w:tc>
          <w:tcPr>
            <w:tcW w:w="1743" w:type="dxa"/>
            <w:tcBorders>
              <w:top w:val="single" w:color="auto" w:sz="4" w:space="0"/>
              <w:left w:val="single" w:color="auto" w:sz="4" w:space="0"/>
              <w:bottom w:val="single" w:color="auto" w:sz="4" w:space="0"/>
              <w:right w:val="single" w:color="auto" w:sz="4" w:space="0"/>
            </w:tcBorders>
            <w:vAlign w:val="center"/>
          </w:tcPr>
          <w:p w14:paraId="116E1643">
            <w:pPr>
              <w:widowControl/>
              <w:jc w:val="center"/>
              <w:rPr>
                <w:rFonts w:hint="eastAsia" w:ascii="宋体" w:hAnsi="宋体" w:cs="宋体"/>
                <w:color w:val="auto"/>
                <w:sz w:val="20"/>
                <w:highlight w:val="none"/>
              </w:rPr>
            </w:pPr>
          </w:p>
        </w:tc>
      </w:tr>
      <w:tr w14:paraId="11DF555F">
        <w:tblPrEx>
          <w:tblCellMar>
            <w:top w:w="0" w:type="dxa"/>
            <w:left w:w="108" w:type="dxa"/>
            <w:bottom w:w="0" w:type="dxa"/>
            <w:right w:w="108" w:type="dxa"/>
          </w:tblCellMar>
        </w:tblPrEx>
        <w:trPr>
          <w:trHeight w:val="480" w:hRule="atLeast"/>
          <w:jc w:val="center"/>
        </w:trPr>
        <w:tc>
          <w:tcPr>
            <w:tcW w:w="832" w:type="dxa"/>
            <w:tcBorders>
              <w:top w:val="single" w:color="auto" w:sz="4" w:space="0"/>
              <w:left w:val="single" w:color="auto" w:sz="4" w:space="0"/>
              <w:bottom w:val="single" w:color="auto" w:sz="4" w:space="0"/>
              <w:right w:val="single" w:color="auto" w:sz="4" w:space="0"/>
            </w:tcBorders>
            <w:vAlign w:val="center"/>
          </w:tcPr>
          <w:p w14:paraId="32832E97">
            <w:pPr>
              <w:widowControl/>
              <w:jc w:val="center"/>
              <w:rPr>
                <w:rFonts w:hint="eastAsia" w:ascii="宋体" w:hAnsi="宋体" w:cs="宋体"/>
                <w:color w:val="auto"/>
                <w:sz w:val="20"/>
                <w:highlight w:val="none"/>
              </w:rPr>
            </w:pPr>
            <w:r>
              <w:rPr>
                <w:rFonts w:hint="eastAsia" w:ascii="宋体" w:hAnsi="宋体" w:cs="宋体"/>
                <w:color w:val="auto"/>
                <w:sz w:val="20"/>
                <w:highlight w:val="none"/>
              </w:rPr>
              <w:t>2</w:t>
            </w:r>
          </w:p>
        </w:tc>
        <w:tc>
          <w:tcPr>
            <w:tcW w:w="2135" w:type="dxa"/>
            <w:tcBorders>
              <w:top w:val="single" w:color="auto" w:sz="4" w:space="0"/>
              <w:left w:val="single" w:color="auto" w:sz="4" w:space="0"/>
              <w:bottom w:val="single" w:color="auto" w:sz="4" w:space="0"/>
              <w:right w:val="single" w:color="auto" w:sz="4" w:space="0"/>
            </w:tcBorders>
            <w:vAlign w:val="center"/>
          </w:tcPr>
          <w:p w14:paraId="6D9F2394">
            <w:pPr>
              <w:widowControl/>
              <w:jc w:val="center"/>
              <w:rPr>
                <w:rFonts w:hint="eastAsia" w:ascii="宋体" w:hAnsi="宋体" w:cs="宋体"/>
                <w:color w:val="auto"/>
                <w:sz w:val="20"/>
                <w:highlight w:val="none"/>
              </w:rPr>
            </w:pPr>
            <w:r>
              <w:rPr>
                <w:rFonts w:hint="eastAsia" w:ascii="宋体" w:hAnsi="宋体" w:cs="宋体"/>
                <w:color w:val="auto"/>
                <w:sz w:val="20"/>
                <w:highlight w:val="none"/>
              </w:rPr>
              <w:t>结构封顶（含屋面花架层）</w:t>
            </w:r>
          </w:p>
        </w:tc>
        <w:tc>
          <w:tcPr>
            <w:tcW w:w="1774" w:type="dxa"/>
            <w:tcBorders>
              <w:top w:val="single" w:color="auto" w:sz="4" w:space="0"/>
              <w:left w:val="single" w:color="auto" w:sz="4" w:space="0"/>
              <w:bottom w:val="single" w:color="auto" w:sz="4" w:space="0"/>
              <w:right w:val="single" w:color="auto" w:sz="4" w:space="0"/>
            </w:tcBorders>
            <w:vAlign w:val="center"/>
          </w:tcPr>
          <w:p w14:paraId="0D24E4F9">
            <w:pPr>
              <w:widowControl/>
              <w:jc w:val="center"/>
              <w:rPr>
                <w:rFonts w:hint="eastAsia" w:ascii="宋体" w:hAnsi="宋体" w:cs="宋体"/>
                <w:color w:val="auto"/>
                <w:sz w:val="20"/>
                <w:highlight w:val="none"/>
              </w:rPr>
            </w:pPr>
            <w:r>
              <w:rPr>
                <w:rFonts w:hint="eastAsia" w:ascii="宋体" w:hAnsi="宋体" w:cs="宋体"/>
                <w:color w:val="auto"/>
                <w:sz w:val="20"/>
                <w:highlight w:val="none"/>
              </w:rPr>
              <w:t>已完成</w:t>
            </w:r>
          </w:p>
        </w:tc>
        <w:tc>
          <w:tcPr>
            <w:tcW w:w="1934" w:type="dxa"/>
            <w:tcBorders>
              <w:top w:val="single" w:color="auto" w:sz="4" w:space="0"/>
              <w:left w:val="single" w:color="auto" w:sz="4" w:space="0"/>
              <w:bottom w:val="single" w:color="auto" w:sz="4" w:space="0"/>
              <w:right w:val="single" w:color="auto" w:sz="4" w:space="0"/>
            </w:tcBorders>
            <w:vAlign w:val="center"/>
          </w:tcPr>
          <w:p w14:paraId="5B70CFD7">
            <w:pPr>
              <w:widowControl/>
              <w:jc w:val="center"/>
              <w:rPr>
                <w:rFonts w:hint="eastAsia" w:ascii="宋体" w:hAnsi="宋体" w:cs="宋体"/>
                <w:color w:val="auto"/>
                <w:sz w:val="20"/>
                <w:highlight w:val="none"/>
              </w:rPr>
            </w:pPr>
            <w:r>
              <w:rPr>
                <w:rFonts w:hint="eastAsia" w:ascii="宋体" w:hAnsi="宋体" w:cs="宋体"/>
                <w:color w:val="auto"/>
                <w:sz w:val="20"/>
                <w:highlight w:val="none"/>
              </w:rPr>
              <w:t>/</w:t>
            </w:r>
          </w:p>
        </w:tc>
        <w:tc>
          <w:tcPr>
            <w:tcW w:w="1933" w:type="dxa"/>
            <w:tcBorders>
              <w:top w:val="single" w:color="auto" w:sz="4" w:space="0"/>
              <w:left w:val="single" w:color="auto" w:sz="4" w:space="0"/>
              <w:bottom w:val="single" w:color="auto" w:sz="4" w:space="0"/>
              <w:right w:val="single" w:color="auto" w:sz="4" w:space="0"/>
            </w:tcBorders>
            <w:vAlign w:val="center"/>
          </w:tcPr>
          <w:p w14:paraId="11E24B77">
            <w:pPr>
              <w:widowControl/>
              <w:jc w:val="center"/>
              <w:rPr>
                <w:rFonts w:hint="eastAsia" w:ascii="宋体" w:hAnsi="宋体" w:cs="宋体"/>
                <w:color w:val="auto"/>
                <w:sz w:val="20"/>
                <w:highlight w:val="none"/>
              </w:rPr>
            </w:pPr>
            <w:r>
              <w:rPr>
                <w:rFonts w:hint="eastAsia" w:ascii="宋体" w:hAnsi="宋体" w:cs="宋体"/>
                <w:color w:val="auto"/>
                <w:sz w:val="20"/>
                <w:highlight w:val="none"/>
              </w:rPr>
              <w:t>/</w:t>
            </w:r>
          </w:p>
        </w:tc>
        <w:tc>
          <w:tcPr>
            <w:tcW w:w="1743" w:type="dxa"/>
            <w:tcBorders>
              <w:top w:val="single" w:color="auto" w:sz="4" w:space="0"/>
              <w:left w:val="single" w:color="auto" w:sz="4" w:space="0"/>
              <w:bottom w:val="single" w:color="auto" w:sz="4" w:space="0"/>
              <w:right w:val="single" w:color="auto" w:sz="4" w:space="0"/>
            </w:tcBorders>
            <w:vAlign w:val="center"/>
          </w:tcPr>
          <w:p w14:paraId="3175DE56">
            <w:pPr>
              <w:widowControl/>
              <w:jc w:val="center"/>
              <w:rPr>
                <w:rFonts w:hint="eastAsia" w:ascii="宋体" w:hAnsi="宋体" w:cs="宋体"/>
                <w:color w:val="auto"/>
                <w:sz w:val="20"/>
                <w:highlight w:val="none"/>
              </w:rPr>
            </w:pPr>
          </w:p>
        </w:tc>
      </w:tr>
      <w:tr w14:paraId="00222C34">
        <w:tblPrEx>
          <w:tblCellMar>
            <w:top w:w="0" w:type="dxa"/>
            <w:left w:w="108" w:type="dxa"/>
            <w:bottom w:w="0" w:type="dxa"/>
            <w:right w:w="108" w:type="dxa"/>
          </w:tblCellMar>
        </w:tblPrEx>
        <w:trPr>
          <w:trHeight w:val="480" w:hRule="atLeast"/>
          <w:jc w:val="center"/>
        </w:trPr>
        <w:tc>
          <w:tcPr>
            <w:tcW w:w="832" w:type="dxa"/>
            <w:tcBorders>
              <w:top w:val="single" w:color="auto" w:sz="4" w:space="0"/>
              <w:left w:val="single" w:color="auto" w:sz="4" w:space="0"/>
              <w:bottom w:val="single" w:color="auto" w:sz="4" w:space="0"/>
              <w:right w:val="single" w:color="auto" w:sz="4" w:space="0"/>
            </w:tcBorders>
            <w:vAlign w:val="center"/>
          </w:tcPr>
          <w:p w14:paraId="3FDAE5F8">
            <w:pPr>
              <w:widowControl/>
              <w:jc w:val="center"/>
              <w:rPr>
                <w:rFonts w:hint="eastAsia" w:ascii="宋体" w:hAnsi="宋体" w:cs="宋体"/>
                <w:color w:val="auto"/>
                <w:sz w:val="20"/>
                <w:highlight w:val="none"/>
              </w:rPr>
            </w:pPr>
            <w:r>
              <w:rPr>
                <w:rFonts w:hint="eastAsia" w:ascii="宋体" w:hAnsi="宋体" w:cs="宋体"/>
                <w:color w:val="auto"/>
                <w:sz w:val="20"/>
                <w:highlight w:val="none"/>
              </w:rPr>
              <w:t>3</w:t>
            </w:r>
          </w:p>
        </w:tc>
        <w:tc>
          <w:tcPr>
            <w:tcW w:w="2135" w:type="dxa"/>
            <w:tcBorders>
              <w:top w:val="single" w:color="auto" w:sz="4" w:space="0"/>
              <w:left w:val="single" w:color="auto" w:sz="4" w:space="0"/>
              <w:bottom w:val="single" w:color="auto" w:sz="4" w:space="0"/>
              <w:right w:val="single" w:color="auto" w:sz="4" w:space="0"/>
            </w:tcBorders>
            <w:vAlign w:val="center"/>
          </w:tcPr>
          <w:p w14:paraId="4BB5275F">
            <w:pPr>
              <w:widowControl/>
              <w:jc w:val="center"/>
              <w:rPr>
                <w:rFonts w:hint="eastAsia" w:ascii="宋体" w:hAnsi="宋体" w:cs="宋体"/>
                <w:color w:val="auto"/>
                <w:sz w:val="20"/>
                <w:highlight w:val="none"/>
              </w:rPr>
            </w:pPr>
            <w:r>
              <w:rPr>
                <w:rFonts w:hint="eastAsia" w:ascii="宋体" w:hAnsi="宋体" w:cs="宋体"/>
                <w:color w:val="auto"/>
                <w:sz w:val="20"/>
                <w:highlight w:val="none"/>
              </w:rPr>
              <w:t>外立面工程、室内二次结构、室内机电工程</w:t>
            </w:r>
          </w:p>
        </w:tc>
        <w:tc>
          <w:tcPr>
            <w:tcW w:w="1774" w:type="dxa"/>
            <w:tcBorders>
              <w:top w:val="single" w:color="auto" w:sz="4" w:space="0"/>
              <w:left w:val="single" w:color="auto" w:sz="4" w:space="0"/>
              <w:bottom w:val="single" w:color="auto" w:sz="4" w:space="0"/>
              <w:right w:val="single" w:color="auto" w:sz="4" w:space="0"/>
            </w:tcBorders>
            <w:vAlign w:val="center"/>
          </w:tcPr>
          <w:p w14:paraId="7FB43DE7">
            <w:pPr>
              <w:widowControl/>
              <w:jc w:val="left"/>
              <w:rPr>
                <w:rFonts w:hint="eastAsia" w:ascii="宋体" w:hAnsi="宋体" w:cs="宋体"/>
                <w:color w:val="auto"/>
                <w:sz w:val="20"/>
                <w:highlight w:val="none"/>
              </w:rPr>
            </w:pPr>
            <w:r>
              <w:rPr>
                <w:rFonts w:hint="eastAsia" w:ascii="宋体" w:hAnsi="宋体" w:cs="宋体"/>
                <w:color w:val="auto"/>
                <w:sz w:val="20"/>
                <w:highlight w:val="none"/>
              </w:rPr>
              <w:t>166天，开工日起计</w:t>
            </w:r>
            <w:r>
              <w:rPr>
                <w:rFonts w:hint="eastAsia" w:ascii="宋体" w:hAnsi="宋体" w:cs="宋体"/>
                <w:color w:val="auto"/>
                <w:sz w:val="20"/>
                <w:highlight w:val="none"/>
                <w:u w:val="single"/>
              </w:rPr>
              <w:t>166</w:t>
            </w:r>
            <w:r>
              <w:rPr>
                <w:rFonts w:hint="eastAsia" w:ascii="宋体" w:hAnsi="宋体" w:cs="宋体"/>
                <w:color w:val="auto"/>
                <w:sz w:val="20"/>
                <w:highlight w:val="none"/>
              </w:rPr>
              <w:t>日历天</w:t>
            </w:r>
          </w:p>
        </w:tc>
        <w:tc>
          <w:tcPr>
            <w:tcW w:w="1934" w:type="dxa"/>
            <w:tcBorders>
              <w:top w:val="single" w:color="auto" w:sz="4" w:space="0"/>
              <w:left w:val="single" w:color="auto" w:sz="4" w:space="0"/>
              <w:bottom w:val="single" w:color="auto" w:sz="4" w:space="0"/>
              <w:right w:val="single" w:color="auto" w:sz="4" w:space="0"/>
            </w:tcBorders>
            <w:vAlign w:val="center"/>
          </w:tcPr>
          <w:p w14:paraId="40B7B151">
            <w:pPr>
              <w:widowControl/>
              <w:jc w:val="left"/>
              <w:rPr>
                <w:rFonts w:hint="eastAsia" w:ascii="宋体" w:hAnsi="宋体" w:cs="宋体"/>
                <w:color w:val="auto"/>
                <w:sz w:val="20"/>
                <w:highlight w:val="none"/>
              </w:rPr>
            </w:pPr>
            <w:r>
              <w:rPr>
                <w:rFonts w:hint="eastAsia" w:ascii="宋体" w:hAnsi="宋体" w:cs="宋体"/>
                <w:color w:val="auto"/>
                <w:sz w:val="20"/>
                <w:highlight w:val="none"/>
              </w:rPr>
              <w:t>2025年10月15日</w:t>
            </w:r>
          </w:p>
        </w:tc>
        <w:tc>
          <w:tcPr>
            <w:tcW w:w="1933" w:type="dxa"/>
            <w:tcBorders>
              <w:top w:val="single" w:color="auto" w:sz="4" w:space="0"/>
              <w:left w:val="single" w:color="auto" w:sz="4" w:space="0"/>
              <w:bottom w:val="single" w:color="auto" w:sz="4" w:space="0"/>
              <w:right w:val="single" w:color="auto" w:sz="4" w:space="0"/>
            </w:tcBorders>
            <w:vAlign w:val="center"/>
          </w:tcPr>
          <w:p w14:paraId="621A4791">
            <w:pPr>
              <w:widowControl/>
              <w:jc w:val="center"/>
              <w:rPr>
                <w:rFonts w:hint="eastAsia" w:ascii="宋体" w:hAnsi="宋体" w:cs="宋体"/>
                <w:color w:val="auto"/>
                <w:sz w:val="20"/>
                <w:highlight w:val="none"/>
              </w:rPr>
            </w:pPr>
            <w:r>
              <w:rPr>
                <w:rFonts w:hint="eastAsia" w:ascii="宋体" w:hAnsi="宋体" w:cs="宋体"/>
                <w:color w:val="auto"/>
                <w:sz w:val="20"/>
                <w:highlight w:val="none"/>
              </w:rPr>
              <w:t>2026年3月30日</w:t>
            </w:r>
          </w:p>
        </w:tc>
        <w:tc>
          <w:tcPr>
            <w:tcW w:w="1743" w:type="dxa"/>
            <w:tcBorders>
              <w:top w:val="single" w:color="auto" w:sz="4" w:space="0"/>
              <w:left w:val="single" w:color="auto" w:sz="4" w:space="0"/>
              <w:bottom w:val="single" w:color="auto" w:sz="4" w:space="0"/>
              <w:right w:val="single" w:color="auto" w:sz="4" w:space="0"/>
            </w:tcBorders>
            <w:vAlign w:val="center"/>
          </w:tcPr>
          <w:p w14:paraId="25386908">
            <w:pPr>
              <w:widowControl/>
              <w:jc w:val="center"/>
              <w:rPr>
                <w:rFonts w:hint="eastAsia" w:ascii="宋体" w:hAnsi="宋体" w:cs="宋体"/>
                <w:color w:val="auto"/>
                <w:sz w:val="20"/>
                <w:highlight w:val="none"/>
              </w:rPr>
            </w:pPr>
          </w:p>
        </w:tc>
      </w:tr>
      <w:tr w14:paraId="26B1BD9D">
        <w:tblPrEx>
          <w:tblCellMar>
            <w:top w:w="0" w:type="dxa"/>
            <w:left w:w="108" w:type="dxa"/>
            <w:bottom w:w="0" w:type="dxa"/>
            <w:right w:w="108" w:type="dxa"/>
          </w:tblCellMar>
        </w:tblPrEx>
        <w:trPr>
          <w:trHeight w:val="480" w:hRule="atLeast"/>
          <w:jc w:val="center"/>
        </w:trPr>
        <w:tc>
          <w:tcPr>
            <w:tcW w:w="832" w:type="dxa"/>
            <w:tcBorders>
              <w:top w:val="single" w:color="auto" w:sz="4" w:space="0"/>
              <w:left w:val="single" w:color="auto" w:sz="4" w:space="0"/>
              <w:bottom w:val="single" w:color="auto" w:sz="4" w:space="0"/>
              <w:right w:val="single" w:color="auto" w:sz="4" w:space="0"/>
            </w:tcBorders>
            <w:vAlign w:val="center"/>
          </w:tcPr>
          <w:p w14:paraId="3A0687A1">
            <w:pPr>
              <w:widowControl/>
              <w:jc w:val="center"/>
              <w:rPr>
                <w:rFonts w:hint="eastAsia" w:ascii="宋体" w:hAnsi="宋体" w:cs="宋体"/>
                <w:color w:val="auto"/>
                <w:sz w:val="20"/>
                <w:highlight w:val="none"/>
              </w:rPr>
            </w:pPr>
            <w:r>
              <w:rPr>
                <w:rFonts w:hint="eastAsia" w:ascii="宋体" w:hAnsi="宋体" w:cs="宋体"/>
                <w:color w:val="auto"/>
                <w:sz w:val="20"/>
                <w:highlight w:val="none"/>
              </w:rPr>
              <w:t>4</w:t>
            </w:r>
          </w:p>
        </w:tc>
        <w:tc>
          <w:tcPr>
            <w:tcW w:w="2135" w:type="dxa"/>
            <w:tcBorders>
              <w:top w:val="single" w:color="auto" w:sz="4" w:space="0"/>
              <w:left w:val="single" w:color="auto" w:sz="4" w:space="0"/>
              <w:bottom w:val="single" w:color="auto" w:sz="4" w:space="0"/>
              <w:right w:val="single" w:color="auto" w:sz="4" w:space="0"/>
            </w:tcBorders>
            <w:vAlign w:val="center"/>
          </w:tcPr>
          <w:p w14:paraId="278E02EF">
            <w:pPr>
              <w:widowControl/>
              <w:jc w:val="center"/>
              <w:rPr>
                <w:rFonts w:hint="eastAsia" w:ascii="宋体" w:hAnsi="宋体" w:cs="宋体"/>
                <w:color w:val="auto"/>
                <w:sz w:val="20"/>
                <w:highlight w:val="none"/>
              </w:rPr>
            </w:pPr>
            <w:r>
              <w:rPr>
                <w:rFonts w:hint="eastAsia" w:ascii="宋体" w:hAnsi="宋体" w:cs="宋体"/>
                <w:color w:val="auto"/>
                <w:sz w:val="20"/>
                <w:highlight w:val="none"/>
              </w:rPr>
              <w:t>竣工联合验收</w:t>
            </w:r>
          </w:p>
        </w:tc>
        <w:tc>
          <w:tcPr>
            <w:tcW w:w="1774" w:type="dxa"/>
            <w:tcBorders>
              <w:top w:val="single" w:color="auto" w:sz="4" w:space="0"/>
              <w:left w:val="single" w:color="auto" w:sz="4" w:space="0"/>
              <w:bottom w:val="single" w:color="auto" w:sz="4" w:space="0"/>
              <w:right w:val="single" w:color="auto" w:sz="4" w:space="0"/>
            </w:tcBorders>
            <w:vAlign w:val="center"/>
          </w:tcPr>
          <w:p w14:paraId="0E134BB7">
            <w:pPr>
              <w:widowControl/>
              <w:jc w:val="left"/>
              <w:rPr>
                <w:rFonts w:hint="eastAsia" w:ascii="宋体" w:hAnsi="宋体" w:cs="宋体"/>
                <w:color w:val="auto"/>
                <w:sz w:val="20"/>
                <w:highlight w:val="none"/>
              </w:rPr>
            </w:pPr>
            <w:r>
              <w:rPr>
                <w:rFonts w:hint="eastAsia" w:ascii="宋体" w:hAnsi="宋体" w:cs="宋体"/>
                <w:color w:val="auto"/>
                <w:sz w:val="20"/>
                <w:highlight w:val="none"/>
              </w:rPr>
              <w:t>开工日起计</w:t>
            </w:r>
            <w:r>
              <w:rPr>
                <w:rFonts w:hint="eastAsia" w:ascii="宋体" w:hAnsi="宋体" w:cs="宋体"/>
                <w:color w:val="auto"/>
                <w:sz w:val="20"/>
                <w:highlight w:val="none"/>
                <w:u w:val="single"/>
              </w:rPr>
              <w:t>288</w:t>
            </w:r>
            <w:r>
              <w:rPr>
                <w:rFonts w:hint="eastAsia" w:ascii="宋体" w:hAnsi="宋体" w:cs="宋体"/>
                <w:color w:val="auto"/>
                <w:sz w:val="20"/>
                <w:highlight w:val="none"/>
              </w:rPr>
              <w:t>日历天</w:t>
            </w:r>
          </w:p>
        </w:tc>
        <w:tc>
          <w:tcPr>
            <w:tcW w:w="1934" w:type="dxa"/>
            <w:tcBorders>
              <w:top w:val="single" w:color="auto" w:sz="4" w:space="0"/>
              <w:left w:val="single" w:color="auto" w:sz="4" w:space="0"/>
              <w:bottom w:val="single" w:color="auto" w:sz="4" w:space="0"/>
              <w:right w:val="single" w:color="auto" w:sz="4" w:space="0"/>
            </w:tcBorders>
            <w:vAlign w:val="center"/>
          </w:tcPr>
          <w:p w14:paraId="154C6A80">
            <w:pPr>
              <w:widowControl/>
              <w:jc w:val="left"/>
              <w:rPr>
                <w:rFonts w:hint="eastAsia" w:ascii="宋体" w:hAnsi="宋体" w:cs="宋体"/>
                <w:color w:val="auto"/>
                <w:sz w:val="20"/>
                <w:highlight w:val="none"/>
              </w:rPr>
            </w:pPr>
          </w:p>
        </w:tc>
        <w:tc>
          <w:tcPr>
            <w:tcW w:w="1933" w:type="dxa"/>
            <w:tcBorders>
              <w:top w:val="single" w:color="auto" w:sz="4" w:space="0"/>
              <w:left w:val="single" w:color="auto" w:sz="4" w:space="0"/>
              <w:bottom w:val="single" w:color="auto" w:sz="4" w:space="0"/>
              <w:right w:val="single" w:color="auto" w:sz="4" w:space="0"/>
            </w:tcBorders>
            <w:vAlign w:val="center"/>
          </w:tcPr>
          <w:p w14:paraId="2F9E5AC3">
            <w:pPr>
              <w:widowControl/>
              <w:jc w:val="center"/>
              <w:rPr>
                <w:rFonts w:hint="eastAsia" w:ascii="宋体" w:hAnsi="宋体" w:cs="宋体"/>
                <w:color w:val="auto"/>
                <w:sz w:val="20"/>
                <w:highlight w:val="none"/>
              </w:rPr>
            </w:pPr>
            <w:r>
              <w:rPr>
                <w:rFonts w:hint="eastAsia" w:ascii="宋体" w:hAnsi="宋体" w:cs="宋体"/>
                <w:color w:val="auto"/>
                <w:sz w:val="20"/>
                <w:highlight w:val="none"/>
              </w:rPr>
              <w:t>2026年7月30日</w:t>
            </w:r>
          </w:p>
        </w:tc>
        <w:tc>
          <w:tcPr>
            <w:tcW w:w="1743" w:type="dxa"/>
            <w:tcBorders>
              <w:top w:val="single" w:color="auto" w:sz="4" w:space="0"/>
              <w:left w:val="single" w:color="auto" w:sz="4" w:space="0"/>
              <w:bottom w:val="single" w:color="auto" w:sz="4" w:space="0"/>
              <w:right w:val="single" w:color="auto" w:sz="4" w:space="0"/>
            </w:tcBorders>
            <w:vAlign w:val="center"/>
          </w:tcPr>
          <w:p w14:paraId="690CAF66">
            <w:pPr>
              <w:widowControl/>
              <w:jc w:val="center"/>
              <w:rPr>
                <w:rFonts w:hint="eastAsia" w:ascii="宋体" w:hAnsi="宋体" w:cs="宋体"/>
                <w:color w:val="auto"/>
                <w:sz w:val="20"/>
                <w:highlight w:val="none"/>
              </w:rPr>
            </w:pPr>
          </w:p>
        </w:tc>
      </w:tr>
      <w:tr w14:paraId="33C0A779">
        <w:tblPrEx>
          <w:tblCellMar>
            <w:top w:w="0" w:type="dxa"/>
            <w:left w:w="108" w:type="dxa"/>
            <w:bottom w:w="0" w:type="dxa"/>
            <w:right w:w="108" w:type="dxa"/>
          </w:tblCellMar>
        </w:tblPrEx>
        <w:trPr>
          <w:trHeight w:val="480" w:hRule="atLeast"/>
          <w:jc w:val="center"/>
        </w:trPr>
        <w:tc>
          <w:tcPr>
            <w:tcW w:w="832" w:type="dxa"/>
            <w:tcBorders>
              <w:top w:val="single" w:color="auto" w:sz="4" w:space="0"/>
              <w:left w:val="single" w:color="auto" w:sz="4" w:space="0"/>
              <w:bottom w:val="single" w:color="auto" w:sz="4" w:space="0"/>
              <w:right w:val="single" w:color="auto" w:sz="4" w:space="0"/>
            </w:tcBorders>
            <w:vAlign w:val="center"/>
          </w:tcPr>
          <w:p w14:paraId="0BC3F68C">
            <w:pPr>
              <w:widowControl/>
              <w:jc w:val="center"/>
              <w:rPr>
                <w:rFonts w:hint="eastAsia" w:ascii="宋体" w:hAnsi="宋体" w:cs="宋体"/>
                <w:color w:val="auto"/>
                <w:sz w:val="20"/>
                <w:highlight w:val="none"/>
              </w:rPr>
            </w:pPr>
            <w:r>
              <w:rPr>
                <w:rFonts w:hint="eastAsia" w:ascii="宋体" w:hAnsi="宋体" w:cs="宋体"/>
                <w:color w:val="auto"/>
                <w:sz w:val="20"/>
                <w:highlight w:val="none"/>
              </w:rPr>
              <w:t>5</w:t>
            </w:r>
          </w:p>
        </w:tc>
        <w:tc>
          <w:tcPr>
            <w:tcW w:w="2135" w:type="dxa"/>
            <w:tcBorders>
              <w:top w:val="single" w:color="auto" w:sz="4" w:space="0"/>
              <w:left w:val="single" w:color="auto" w:sz="4" w:space="0"/>
              <w:bottom w:val="single" w:color="auto" w:sz="4" w:space="0"/>
              <w:right w:val="single" w:color="auto" w:sz="4" w:space="0"/>
            </w:tcBorders>
            <w:vAlign w:val="center"/>
          </w:tcPr>
          <w:p w14:paraId="77D60969">
            <w:pPr>
              <w:widowControl/>
              <w:jc w:val="center"/>
              <w:rPr>
                <w:rFonts w:hint="eastAsia" w:ascii="宋体" w:hAnsi="宋体" w:cs="宋体"/>
                <w:color w:val="auto"/>
                <w:sz w:val="20"/>
                <w:highlight w:val="none"/>
              </w:rPr>
            </w:pPr>
            <w:r>
              <w:rPr>
                <w:rFonts w:hint="eastAsia" w:ascii="宋体" w:hAnsi="宋体" w:cs="宋体"/>
                <w:color w:val="auto"/>
                <w:sz w:val="20"/>
                <w:highlight w:val="none"/>
              </w:rPr>
              <w:t>完成</w:t>
            </w:r>
            <w:r>
              <w:rPr>
                <w:rFonts w:hint="eastAsia"/>
                <w:color w:val="auto"/>
                <w:highlight w:val="none"/>
              </w:rPr>
              <w:t>优化提升</w:t>
            </w:r>
            <w:r>
              <w:rPr>
                <w:rFonts w:hint="eastAsia" w:ascii="宋体" w:hAnsi="宋体" w:cs="宋体"/>
                <w:color w:val="auto"/>
                <w:sz w:val="20"/>
                <w:highlight w:val="none"/>
              </w:rPr>
              <w:t>施工</w:t>
            </w:r>
          </w:p>
        </w:tc>
        <w:tc>
          <w:tcPr>
            <w:tcW w:w="1774" w:type="dxa"/>
            <w:tcBorders>
              <w:top w:val="single" w:color="auto" w:sz="4" w:space="0"/>
              <w:left w:val="single" w:color="auto" w:sz="4" w:space="0"/>
              <w:bottom w:val="single" w:color="auto" w:sz="4" w:space="0"/>
              <w:right w:val="single" w:color="auto" w:sz="4" w:space="0"/>
            </w:tcBorders>
            <w:vAlign w:val="center"/>
          </w:tcPr>
          <w:p w14:paraId="6933F5F5">
            <w:pPr>
              <w:widowControl/>
              <w:jc w:val="left"/>
              <w:rPr>
                <w:rFonts w:hint="eastAsia" w:ascii="宋体" w:hAnsi="宋体" w:cs="宋体"/>
                <w:color w:val="auto"/>
                <w:sz w:val="20"/>
                <w:highlight w:val="none"/>
              </w:rPr>
            </w:pPr>
            <w:r>
              <w:rPr>
                <w:rFonts w:ascii="宋体" w:hAnsi="宋体" w:cs="宋体"/>
                <w:color w:val="auto"/>
                <w:sz w:val="20"/>
                <w:highlight w:val="none"/>
              </w:rPr>
              <w:t>212</w:t>
            </w:r>
            <w:r>
              <w:rPr>
                <w:rFonts w:hint="eastAsia" w:ascii="宋体" w:hAnsi="宋体" w:cs="宋体"/>
                <w:color w:val="auto"/>
                <w:sz w:val="20"/>
                <w:highlight w:val="none"/>
              </w:rPr>
              <w:t>天，开工日起计</w:t>
            </w:r>
            <w:r>
              <w:rPr>
                <w:rFonts w:ascii="宋体" w:hAnsi="宋体" w:cs="宋体"/>
                <w:color w:val="auto"/>
                <w:sz w:val="20"/>
                <w:highlight w:val="none"/>
                <w:u w:val="single"/>
              </w:rPr>
              <w:t>500</w:t>
            </w:r>
            <w:r>
              <w:rPr>
                <w:rFonts w:hint="eastAsia" w:ascii="宋体" w:hAnsi="宋体" w:cs="宋体"/>
                <w:color w:val="auto"/>
                <w:sz w:val="20"/>
                <w:highlight w:val="none"/>
              </w:rPr>
              <w:t>日历天</w:t>
            </w:r>
          </w:p>
        </w:tc>
        <w:tc>
          <w:tcPr>
            <w:tcW w:w="1934" w:type="dxa"/>
            <w:tcBorders>
              <w:top w:val="single" w:color="auto" w:sz="4" w:space="0"/>
              <w:left w:val="single" w:color="auto" w:sz="4" w:space="0"/>
              <w:bottom w:val="single" w:color="auto" w:sz="4" w:space="0"/>
              <w:right w:val="single" w:color="auto" w:sz="4" w:space="0"/>
            </w:tcBorders>
            <w:vAlign w:val="center"/>
          </w:tcPr>
          <w:p w14:paraId="096F98BD">
            <w:pPr>
              <w:widowControl/>
              <w:jc w:val="left"/>
              <w:rPr>
                <w:rFonts w:hint="eastAsia" w:ascii="宋体" w:hAnsi="宋体" w:cs="宋体"/>
                <w:color w:val="auto"/>
                <w:sz w:val="20"/>
                <w:highlight w:val="none"/>
              </w:rPr>
            </w:pPr>
            <w:r>
              <w:rPr>
                <w:rFonts w:hint="eastAsia" w:ascii="宋体" w:hAnsi="宋体" w:cs="宋体"/>
                <w:color w:val="auto"/>
                <w:sz w:val="20"/>
                <w:highlight w:val="none"/>
              </w:rPr>
              <w:t>2026年7月30日</w:t>
            </w:r>
          </w:p>
        </w:tc>
        <w:tc>
          <w:tcPr>
            <w:tcW w:w="1933" w:type="dxa"/>
            <w:tcBorders>
              <w:top w:val="single" w:color="auto" w:sz="4" w:space="0"/>
              <w:left w:val="single" w:color="auto" w:sz="4" w:space="0"/>
              <w:bottom w:val="single" w:color="auto" w:sz="4" w:space="0"/>
              <w:right w:val="single" w:color="auto" w:sz="4" w:space="0"/>
            </w:tcBorders>
            <w:vAlign w:val="center"/>
          </w:tcPr>
          <w:p w14:paraId="1943513F">
            <w:pPr>
              <w:widowControl/>
              <w:jc w:val="center"/>
              <w:rPr>
                <w:rFonts w:hint="eastAsia" w:ascii="宋体" w:hAnsi="宋体" w:cs="宋体"/>
                <w:color w:val="auto"/>
                <w:sz w:val="20"/>
                <w:highlight w:val="none"/>
              </w:rPr>
            </w:pPr>
            <w:r>
              <w:rPr>
                <w:rFonts w:hint="eastAsia" w:ascii="宋体" w:hAnsi="宋体" w:cs="宋体"/>
                <w:color w:val="auto"/>
                <w:sz w:val="20"/>
                <w:highlight w:val="none"/>
              </w:rPr>
              <w:t>2027年</w:t>
            </w:r>
            <w:r>
              <w:rPr>
                <w:rFonts w:ascii="宋体" w:hAnsi="宋体" w:cs="宋体"/>
                <w:color w:val="auto"/>
                <w:sz w:val="20"/>
                <w:highlight w:val="none"/>
              </w:rPr>
              <w:t>2</w:t>
            </w:r>
            <w:r>
              <w:rPr>
                <w:rFonts w:hint="eastAsia" w:ascii="宋体" w:hAnsi="宋体" w:cs="宋体"/>
                <w:color w:val="auto"/>
                <w:sz w:val="20"/>
                <w:highlight w:val="none"/>
              </w:rPr>
              <w:t>月</w:t>
            </w:r>
            <w:r>
              <w:rPr>
                <w:rFonts w:ascii="宋体" w:hAnsi="宋体" w:cs="宋体"/>
                <w:color w:val="auto"/>
                <w:sz w:val="20"/>
                <w:highlight w:val="none"/>
              </w:rPr>
              <w:t>27</w:t>
            </w:r>
            <w:r>
              <w:rPr>
                <w:rFonts w:hint="eastAsia" w:ascii="宋体" w:hAnsi="宋体" w:cs="宋体"/>
                <w:color w:val="auto"/>
                <w:sz w:val="20"/>
                <w:highlight w:val="none"/>
              </w:rPr>
              <w:t>日</w:t>
            </w:r>
          </w:p>
        </w:tc>
        <w:tc>
          <w:tcPr>
            <w:tcW w:w="1743" w:type="dxa"/>
            <w:tcBorders>
              <w:top w:val="single" w:color="auto" w:sz="4" w:space="0"/>
              <w:left w:val="single" w:color="auto" w:sz="4" w:space="0"/>
              <w:bottom w:val="single" w:color="auto" w:sz="4" w:space="0"/>
              <w:right w:val="single" w:color="auto" w:sz="4" w:space="0"/>
            </w:tcBorders>
            <w:vAlign w:val="center"/>
          </w:tcPr>
          <w:p w14:paraId="46909569">
            <w:pPr>
              <w:widowControl/>
              <w:jc w:val="center"/>
              <w:rPr>
                <w:rFonts w:hint="eastAsia" w:ascii="宋体" w:hAnsi="宋体" w:cs="宋体"/>
                <w:color w:val="auto"/>
                <w:sz w:val="20"/>
                <w:highlight w:val="none"/>
              </w:rPr>
            </w:pPr>
          </w:p>
        </w:tc>
      </w:tr>
    </w:tbl>
    <w:p w14:paraId="2718B819">
      <w:pPr>
        <w:pStyle w:val="19"/>
        <w:spacing w:line="360" w:lineRule="auto"/>
        <w:ind w:left="0" w:firstLine="560" w:firstLineChars="20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以上工期节点，承包人进场后，根据发包人要求实施计划。</w:t>
      </w:r>
      <w:r>
        <w:rPr>
          <w:rFonts w:hint="eastAsia" w:ascii="华文仿宋" w:hAnsi="华文仿宋" w:eastAsia="华文仿宋" w:cs="仿宋"/>
          <w:color w:val="auto"/>
          <w:sz w:val="28"/>
          <w:szCs w:val="28"/>
          <w:highlight w:val="none"/>
        </w:rPr>
        <w:t>工期包括所有法定假期、休息日、暴风雨雾、高温等天气；含各种分包工程工序配合所需时间（如有）及分包单位的工作时间（如有）、</w:t>
      </w:r>
      <w:r>
        <w:rPr>
          <w:rFonts w:hint="eastAsia" w:ascii="华文仿宋" w:hAnsi="华文仿宋" w:eastAsia="华文仿宋"/>
          <w:color w:val="auto"/>
          <w:sz w:val="28"/>
          <w:szCs w:val="28"/>
          <w:highlight w:val="none"/>
        </w:rPr>
        <w:t>相关专业工程深化设计时间、含因承包人的设计、施工未能达到发包人的要求而需要修改或重新设计或重新施工所涉及的额外工程期限及通过规划、消防、环保、人防、防雷、电梯、安全等各专项验收、质量验收直至取得《广州市房屋建筑和市政基础设施工程竣工联合验收意见书》以及完成本期所有工程施工达到交付标准的所有工期</w:t>
      </w:r>
      <w:r>
        <w:rPr>
          <w:rFonts w:hint="eastAsia" w:ascii="华文仿宋" w:hAnsi="华文仿宋" w:eastAsia="华文仿宋" w:cs="仿宋"/>
          <w:color w:val="auto"/>
          <w:sz w:val="28"/>
          <w:szCs w:val="28"/>
          <w:highlight w:val="none"/>
        </w:rPr>
        <w:t>。任何因忽视或误解工地情况而导致的索赔或工期延长申请将不被批准。</w:t>
      </w:r>
    </w:p>
    <w:p w14:paraId="7B537E1A">
      <w:pPr>
        <w:pStyle w:val="19"/>
        <w:spacing w:line="360" w:lineRule="auto"/>
        <w:ind w:left="0" w:firstLine="560" w:firstLineChars="20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发包人根据工程实施情况，有权对本合同工程工期进行适当调整，承包人必须采取一切有效措施保证竣工日期，不得延误，并不得要求另行增加费用；如不能按经发包人批准或下达的计划完成任务，承包人须承担逾期违约责任。</w:t>
      </w:r>
    </w:p>
    <w:p w14:paraId="4D19A401">
      <w:pPr>
        <w:spacing w:line="360" w:lineRule="auto"/>
        <w:ind w:firstLine="561" w:firstLineChars="200"/>
        <w:rPr>
          <w:rFonts w:ascii="华文仿宋" w:hAnsi="华文仿宋" w:eastAsia="华文仿宋" w:cs="仿宋"/>
          <w:color w:val="auto"/>
          <w:kern w:val="1"/>
          <w:sz w:val="28"/>
          <w:szCs w:val="28"/>
          <w:highlight w:val="none"/>
        </w:rPr>
      </w:pPr>
      <w:r>
        <w:rPr>
          <w:rFonts w:hint="eastAsia" w:ascii="华文仿宋" w:hAnsi="华文仿宋" w:eastAsia="华文仿宋" w:cs="仿宋"/>
          <w:b/>
          <w:color w:val="auto"/>
          <w:kern w:val="1"/>
          <w:sz w:val="28"/>
          <w:szCs w:val="28"/>
          <w:highlight w:val="none"/>
        </w:rPr>
        <w:t>四、工程质量标准：</w:t>
      </w:r>
    </w:p>
    <w:p w14:paraId="6BB5A9C8">
      <w:pPr>
        <w:spacing w:line="360" w:lineRule="auto"/>
        <w:ind w:firstLine="560" w:firstLineChars="20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工程质量标准：按现行工程质量验收标准达到质量一次竣工验收合格，并符合施工图纸要求和国家、行业有关标准。</w:t>
      </w:r>
    </w:p>
    <w:p w14:paraId="333F3B51">
      <w:pPr>
        <w:spacing w:line="360" w:lineRule="auto"/>
        <w:ind w:firstLine="560" w:firstLineChars="20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发包人及其主管部门后续发布有关样板工地的建设标准，承包人应按其执行。</w:t>
      </w:r>
    </w:p>
    <w:p w14:paraId="1BD36E5E">
      <w:pPr>
        <w:spacing w:line="360" w:lineRule="auto"/>
        <w:ind w:firstLine="561" w:firstLineChars="200"/>
        <w:rPr>
          <w:rFonts w:ascii="华文仿宋" w:hAnsi="华文仿宋" w:eastAsia="华文仿宋" w:cs="仿宋"/>
          <w:color w:val="auto"/>
          <w:kern w:val="1"/>
          <w:sz w:val="28"/>
          <w:szCs w:val="28"/>
          <w:highlight w:val="none"/>
        </w:rPr>
      </w:pPr>
      <w:r>
        <w:rPr>
          <w:rFonts w:hint="eastAsia" w:ascii="华文仿宋" w:hAnsi="华文仿宋" w:eastAsia="华文仿宋" w:cs="仿宋"/>
          <w:b/>
          <w:color w:val="auto"/>
          <w:kern w:val="1"/>
          <w:sz w:val="28"/>
          <w:szCs w:val="28"/>
          <w:highlight w:val="none"/>
        </w:rPr>
        <w:t>五、安</w:t>
      </w:r>
      <w:r>
        <w:rPr>
          <w:rFonts w:hint="eastAsia" w:ascii="华文仿宋" w:hAnsi="华文仿宋" w:eastAsia="华文仿宋"/>
          <w:b/>
          <w:bCs/>
          <w:snapToGrid w:val="0"/>
          <w:color w:val="auto"/>
          <w:spacing w:val="4"/>
          <w:sz w:val="28"/>
          <w:szCs w:val="28"/>
          <w:highlight w:val="none"/>
        </w:rPr>
        <w:t>全、文明施工目标</w:t>
      </w:r>
      <w:r>
        <w:rPr>
          <w:rFonts w:hint="eastAsia" w:ascii="华文仿宋" w:hAnsi="华文仿宋" w:eastAsia="华文仿宋"/>
          <w:snapToGrid w:val="0"/>
          <w:color w:val="auto"/>
          <w:spacing w:val="4"/>
          <w:sz w:val="28"/>
          <w:szCs w:val="28"/>
          <w:highlight w:val="none"/>
        </w:rPr>
        <w:t>：</w:t>
      </w:r>
      <w:r>
        <w:rPr>
          <w:rFonts w:hint="eastAsia" w:ascii="华文仿宋" w:hAnsi="华文仿宋" w:eastAsia="华文仿宋" w:cs="仿宋"/>
          <w:color w:val="auto"/>
          <w:kern w:val="1"/>
          <w:sz w:val="28"/>
          <w:szCs w:val="28"/>
          <w:highlight w:val="none"/>
        </w:rPr>
        <w:t>杜绝一般事故等级以上的伤亡事故且工伤责任事故死亡人数为零。发包人及其主管部门后续发布有关样板工地的建设标准，承包人应按其执行。</w:t>
      </w:r>
    </w:p>
    <w:p w14:paraId="193DBAC2">
      <w:pPr>
        <w:spacing w:line="360" w:lineRule="auto"/>
        <w:ind w:firstLine="560" w:firstLineChars="20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环境管理目标：严格执行《广州市建设工程现场文明施工管理规定》（广州市人民政府令第62号）、《广州市城乡建设委员会关于印发广州市加强建筑工地环保管理工作方案的通知(穗建质〔2014〕754号)》、《广州市住建和城乡建设委员会关于实施《广州市建设工程绿色施工围蔽指导图集（V2.0）的补充通知》》等市有关文明施工方面的文件。</w:t>
      </w:r>
    </w:p>
    <w:p w14:paraId="70325733">
      <w:pPr>
        <w:spacing w:line="360" w:lineRule="auto"/>
        <w:ind w:firstLine="561" w:firstLineChars="200"/>
        <w:rPr>
          <w:rFonts w:ascii="华文仿宋" w:hAnsi="华文仿宋" w:eastAsia="华文仿宋" w:cs="仿宋"/>
          <w:color w:val="auto"/>
          <w:kern w:val="1"/>
          <w:sz w:val="28"/>
          <w:szCs w:val="28"/>
          <w:highlight w:val="none"/>
          <w:u w:val="single"/>
        </w:rPr>
      </w:pPr>
      <w:r>
        <w:rPr>
          <w:rFonts w:hint="eastAsia" w:ascii="华文仿宋" w:hAnsi="华文仿宋" w:eastAsia="华文仿宋" w:cs="仿宋"/>
          <w:b/>
          <w:color w:val="auto"/>
          <w:kern w:val="1"/>
          <w:sz w:val="28"/>
          <w:szCs w:val="28"/>
          <w:highlight w:val="none"/>
        </w:rPr>
        <w:t>六、绿色建筑目标：</w:t>
      </w:r>
      <w:r>
        <w:rPr>
          <w:rFonts w:ascii="华文仿宋" w:hAnsi="华文仿宋" w:eastAsia="华文仿宋" w:cs="仿宋"/>
          <w:color w:val="auto"/>
          <w:kern w:val="1"/>
          <w:sz w:val="28"/>
          <w:szCs w:val="28"/>
          <w:highlight w:val="none"/>
        </w:rPr>
        <w:t>本项目</w:t>
      </w:r>
      <w:r>
        <w:rPr>
          <w:rFonts w:hint="eastAsia" w:ascii="华文仿宋" w:hAnsi="华文仿宋" w:eastAsia="华文仿宋" w:cs="仿宋"/>
          <w:color w:val="auto"/>
          <w:kern w:val="1"/>
          <w:sz w:val="28"/>
          <w:szCs w:val="28"/>
          <w:highlight w:val="none"/>
        </w:rPr>
        <w:t>按照绿色施工最新标准执行，</w:t>
      </w:r>
      <w:r>
        <w:rPr>
          <w:rFonts w:hint="eastAsia" w:ascii="华文仿宋" w:hAnsi="华文仿宋" w:eastAsia="华文仿宋" w:cs="仿宋"/>
          <w:color w:val="auto"/>
          <w:kern w:val="1"/>
          <w:sz w:val="28"/>
          <w:szCs w:val="28"/>
          <w:highlight w:val="none"/>
          <w:u w:val="single"/>
        </w:rPr>
        <w:t>不低于绿建1星标准建设。</w:t>
      </w:r>
    </w:p>
    <w:p w14:paraId="56483E9B">
      <w:pPr>
        <w:spacing w:line="360" w:lineRule="auto"/>
        <w:ind w:firstLine="561" w:firstLineChars="200"/>
        <w:outlineLvl w:val="0"/>
        <w:rPr>
          <w:rFonts w:ascii="华文仿宋" w:hAnsi="华文仿宋" w:eastAsia="华文仿宋" w:cs="仿宋"/>
          <w:color w:val="auto"/>
          <w:kern w:val="1"/>
          <w:sz w:val="28"/>
          <w:szCs w:val="28"/>
          <w:highlight w:val="none"/>
        </w:rPr>
      </w:pPr>
      <w:r>
        <w:rPr>
          <w:rFonts w:hint="eastAsia" w:ascii="华文仿宋" w:hAnsi="华文仿宋" w:eastAsia="华文仿宋" w:cs="仿宋"/>
          <w:b/>
          <w:color w:val="auto"/>
          <w:kern w:val="1"/>
          <w:sz w:val="28"/>
          <w:szCs w:val="28"/>
          <w:highlight w:val="none"/>
        </w:rPr>
        <w:t>七</w:t>
      </w:r>
      <w:r>
        <w:rPr>
          <w:rFonts w:ascii="华文仿宋" w:hAnsi="华文仿宋" w:eastAsia="华文仿宋" w:cs="仿宋"/>
          <w:b/>
          <w:color w:val="auto"/>
          <w:kern w:val="1"/>
          <w:sz w:val="28"/>
          <w:szCs w:val="28"/>
          <w:highlight w:val="none"/>
        </w:rPr>
        <w:t>、合同价款</w:t>
      </w:r>
    </w:p>
    <w:p w14:paraId="15B50034">
      <w:pPr>
        <w:pStyle w:val="85"/>
        <w:ind w:firstLine="576"/>
        <w:rPr>
          <w:rFonts w:ascii="华文仿宋" w:hAnsi="华文仿宋" w:eastAsia="华文仿宋"/>
          <w:color w:val="auto"/>
          <w:sz w:val="28"/>
          <w:szCs w:val="28"/>
          <w:highlight w:val="none"/>
        </w:rPr>
      </w:pPr>
      <w:r>
        <w:rPr>
          <w:rFonts w:ascii="华文仿宋" w:hAnsi="华文仿宋" w:eastAsia="华文仿宋" w:cs="仿宋"/>
          <w:color w:val="auto"/>
          <w:kern w:val="1"/>
          <w:sz w:val="28"/>
          <w:szCs w:val="28"/>
          <w:highlight w:val="none"/>
        </w:rPr>
        <w:t>合同总价（即中标价</w:t>
      </w:r>
      <w:r>
        <w:rPr>
          <w:rFonts w:hint="eastAsia" w:ascii="华文仿宋" w:hAnsi="华文仿宋" w:eastAsia="华文仿宋" w:cs="仿宋"/>
          <w:color w:val="auto"/>
          <w:kern w:val="1"/>
          <w:sz w:val="28"/>
          <w:szCs w:val="28"/>
          <w:highlight w:val="none"/>
        </w:rPr>
        <w:t>）（</w:t>
      </w:r>
      <w:r>
        <w:rPr>
          <w:rFonts w:ascii="华文仿宋" w:hAnsi="华文仿宋" w:eastAsia="华文仿宋" w:cs="仿宋"/>
          <w:color w:val="auto"/>
          <w:kern w:val="1"/>
          <w:sz w:val="28"/>
          <w:szCs w:val="28"/>
          <w:highlight w:val="none"/>
        </w:rPr>
        <w:t>大写）</w:t>
      </w:r>
      <w:r>
        <w:rPr>
          <w:rFonts w:hint="eastAsia" w:ascii="华文仿宋" w:hAnsi="华文仿宋" w:eastAsia="华文仿宋" w:cs="仿宋"/>
          <w:color w:val="auto"/>
          <w:kern w:val="1"/>
          <w:sz w:val="28"/>
          <w:szCs w:val="28"/>
          <w:highlight w:val="none"/>
          <w:u w:val="single"/>
        </w:rPr>
        <w:t xml:space="preserve">       </w:t>
      </w:r>
      <w:r>
        <w:rPr>
          <w:rFonts w:ascii="华文仿宋" w:hAnsi="华文仿宋" w:eastAsia="华文仿宋" w:cs="仿宋"/>
          <w:color w:val="auto"/>
          <w:kern w:val="1"/>
          <w:sz w:val="28"/>
          <w:szCs w:val="28"/>
          <w:highlight w:val="none"/>
        </w:rPr>
        <w:t>，（小写）：</w:t>
      </w:r>
      <w:r>
        <w:rPr>
          <w:rFonts w:hint="eastAsia" w:ascii="华文仿宋" w:hAnsi="华文仿宋" w:eastAsia="华文仿宋" w:cs="仿宋"/>
          <w:color w:val="auto"/>
          <w:kern w:val="1"/>
          <w:sz w:val="28"/>
          <w:szCs w:val="28"/>
          <w:highlight w:val="none"/>
          <w:u w:val="single"/>
        </w:rPr>
        <w:t xml:space="preserve">      </w:t>
      </w:r>
      <w:r>
        <w:rPr>
          <w:rFonts w:ascii="华文仿宋" w:hAnsi="华文仿宋" w:eastAsia="华文仿宋" w:cs="仿宋"/>
          <w:color w:val="auto"/>
          <w:kern w:val="1"/>
          <w:sz w:val="28"/>
          <w:szCs w:val="28"/>
          <w:highlight w:val="none"/>
        </w:rPr>
        <w:t>元</w:t>
      </w:r>
      <w:r>
        <w:rPr>
          <w:rFonts w:hint="eastAsia" w:ascii="华文仿宋" w:hAnsi="华文仿宋" w:eastAsia="华文仿宋" w:cs="仿宋"/>
          <w:color w:val="auto"/>
          <w:kern w:val="1"/>
          <w:sz w:val="28"/>
          <w:szCs w:val="28"/>
          <w:highlight w:val="none"/>
        </w:rPr>
        <w:t>；</w:t>
      </w:r>
      <w:r>
        <w:rPr>
          <w:rFonts w:hint="eastAsia" w:ascii="华文仿宋" w:hAnsi="华文仿宋" w:eastAsia="华文仿宋"/>
          <w:color w:val="auto"/>
          <w:spacing w:val="0"/>
          <w:sz w:val="28"/>
          <w:szCs w:val="28"/>
          <w:highlight w:val="none"/>
        </w:rPr>
        <w:t>不含税总价为人民币</w:t>
      </w:r>
      <w:r>
        <w:rPr>
          <w:rFonts w:hint="eastAsia" w:ascii="华文仿宋" w:hAnsi="华文仿宋" w:eastAsia="华文仿宋"/>
          <w:color w:val="auto"/>
          <w:spacing w:val="0"/>
          <w:sz w:val="28"/>
          <w:szCs w:val="28"/>
          <w:highlight w:val="none"/>
          <w:u w:val="single"/>
        </w:rPr>
        <w:t xml:space="preserve">       </w:t>
      </w:r>
      <w:r>
        <w:rPr>
          <w:rFonts w:hint="eastAsia" w:ascii="华文仿宋" w:hAnsi="华文仿宋" w:eastAsia="华文仿宋"/>
          <w:color w:val="auto"/>
          <w:spacing w:val="0"/>
          <w:sz w:val="28"/>
          <w:szCs w:val="28"/>
          <w:highlight w:val="none"/>
        </w:rPr>
        <w:t>元，税款为人民币</w:t>
      </w:r>
      <w:r>
        <w:rPr>
          <w:rFonts w:hint="eastAsia" w:ascii="华文仿宋" w:hAnsi="华文仿宋" w:eastAsia="华文仿宋"/>
          <w:color w:val="auto"/>
          <w:spacing w:val="0"/>
          <w:sz w:val="28"/>
          <w:szCs w:val="28"/>
          <w:highlight w:val="none"/>
          <w:u w:val="single"/>
        </w:rPr>
        <w:t xml:space="preserve">         </w:t>
      </w:r>
      <w:r>
        <w:rPr>
          <w:rFonts w:hint="eastAsia" w:ascii="华文仿宋" w:hAnsi="华文仿宋" w:eastAsia="华文仿宋"/>
          <w:color w:val="auto"/>
          <w:spacing w:val="0"/>
          <w:sz w:val="28"/>
          <w:szCs w:val="28"/>
          <w:highlight w:val="none"/>
        </w:rPr>
        <w:t>元，税率为9 %。</w:t>
      </w:r>
      <w:r>
        <w:rPr>
          <w:rFonts w:hint="eastAsia" w:ascii="华文仿宋" w:hAnsi="华文仿宋" w:eastAsia="华文仿宋"/>
          <w:color w:val="auto"/>
          <w:sz w:val="28"/>
          <w:szCs w:val="28"/>
          <w:highlight w:val="none"/>
        </w:rPr>
        <w:t>其中，电梯工程、抗震支架包干总价为</w:t>
      </w:r>
      <w:r>
        <w:rPr>
          <w:rFonts w:hint="eastAsia" w:ascii="华文仿宋" w:hAnsi="华文仿宋" w:eastAsia="华文仿宋"/>
          <w:color w:val="auto"/>
          <w:sz w:val="28"/>
          <w:szCs w:val="28"/>
          <w:highlight w:val="none"/>
          <w:u w:val="single"/>
        </w:rPr>
        <w:t xml:space="preserve">       </w:t>
      </w:r>
      <w:r>
        <w:rPr>
          <w:rFonts w:hint="eastAsia" w:ascii="华文仿宋" w:hAnsi="华文仿宋" w:eastAsia="华文仿宋"/>
          <w:color w:val="auto"/>
          <w:sz w:val="28"/>
          <w:szCs w:val="28"/>
          <w:highlight w:val="none"/>
        </w:rPr>
        <w:t>元，不含税价为人民币</w:t>
      </w:r>
    </w:p>
    <w:p w14:paraId="2C969C8C">
      <w:pPr>
        <w:pStyle w:val="85"/>
        <w:ind w:firstLine="0"/>
        <w:rPr>
          <w:rFonts w:ascii="华文仿宋" w:hAnsi="华文仿宋" w:eastAsia="华文仿宋"/>
          <w:strike/>
          <w:color w:val="auto"/>
          <w:sz w:val="28"/>
          <w:szCs w:val="28"/>
          <w:highlight w:val="none"/>
        </w:rPr>
      </w:pPr>
      <w:r>
        <w:rPr>
          <w:rFonts w:hint="eastAsia" w:ascii="华文仿宋" w:hAnsi="华文仿宋" w:eastAsia="华文仿宋"/>
          <w:color w:val="auto"/>
          <w:sz w:val="28"/>
          <w:szCs w:val="28"/>
          <w:highlight w:val="none"/>
          <w:u w:val="single"/>
        </w:rPr>
        <w:t xml:space="preserve">       </w:t>
      </w:r>
      <w:r>
        <w:rPr>
          <w:rFonts w:hint="eastAsia" w:ascii="华文仿宋" w:hAnsi="华文仿宋" w:eastAsia="华文仿宋"/>
          <w:color w:val="auto"/>
          <w:sz w:val="28"/>
          <w:szCs w:val="28"/>
          <w:highlight w:val="none"/>
        </w:rPr>
        <w:t>元，税款为人民币</w:t>
      </w:r>
      <w:r>
        <w:rPr>
          <w:rFonts w:hint="eastAsia" w:ascii="华文仿宋" w:hAnsi="华文仿宋" w:eastAsia="华文仿宋"/>
          <w:color w:val="auto"/>
          <w:sz w:val="28"/>
          <w:szCs w:val="28"/>
          <w:highlight w:val="none"/>
          <w:u w:val="single"/>
        </w:rPr>
        <w:t xml:space="preserve">         </w:t>
      </w:r>
      <w:r>
        <w:rPr>
          <w:rFonts w:hint="eastAsia" w:ascii="华文仿宋" w:hAnsi="华文仿宋" w:eastAsia="华文仿宋"/>
          <w:color w:val="auto"/>
          <w:sz w:val="28"/>
          <w:szCs w:val="28"/>
          <w:highlight w:val="none"/>
        </w:rPr>
        <w:t>元。</w:t>
      </w:r>
    </w:p>
    <w:p w14:paraId="29007157">
      <w:pPr>
        <w:spacing w:line="360" w:lineRule="auto"/>
        <w:ind w:firstLine="560" w:firstLineChars="20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上述税款</w:t>
      </w:r>
      <w:r>
        <w:rPr>
          <w:rFonts w:ascii="华文仿宋" w:hAnsi="华文仿宋" w:eastAsia="华文仿宋" w:cs="仿宋"/>
          <w:color w:val="auto"/>
          <w:kern w:val="1"/>
          <w:sz w:val="28"/>
          <w:szCs w:val="28"/>
          <w:highlight w:val="none"/>
        </w:rPr>
        <w:t>按</w:t>
      </w:r>
      <w:r>
        <w:rPr>
          <w:rFonts w:hint="eastAsia" w:ascii="华文仿宋" w:hAnsi="华文仿宋" w:eastAsia="华文仿宋" w:cs="仿宋"/>
          <w:color w:val="auto"/>
          <w:kern w:val="1"/>
          <w:sz w:val="28"/>
          <w:szCs w:val="28"/>
          <w:highlight w:val="none"/>
        </w:rPr>
        <w:t>《住房和城乡建设部办公厅关于重新调整建设工程计价依据增值税率的通知（建办标函[2019]193号文）》，《广东省住房和城乡建设厅关于调整广东省建设工程计价依据增值税税率的通知》（粤建标函[2019]819号）</w:t>
      </w:r>
      <w:r>
        <w:rPr>
          <w:rFonts w:ascii="华文仿宋" w:hAnsi="华文仿宋" w:eastAsia="华文仿宋" w:cs="仿宋"/>
          <w:color w:val="auto"/>
          <w:kern w:val="1"/>
          <w:sz w:val="28"/>
          <w:szCs w:val="28"/>
          <w:highlight w:val="none"/>
        </w:rPr>
        <w:t>规定</w:t>
      </w:r>
      <w:r>
        <w:rPr>
          <w:rFonts w:hint="eastAsia" w:ascii="华文仿宋" w:hAnsi="华文仿宋" w:eastAsia="华文仿宋" w:cs="仿宋"/>
          <w:color w:val="auto"/>
          <w:kern w:val="1"/>
          <w:sz w:val="28"/>
          <w:szCs w:val="28"/>
          <w:highlight w:val="none"/>
        </w:rPr>
        <w:t>执行</w:t>
      </w:r>
      <w:r>
        <w:rPr>
          <w:rFonts w:ascii="华文仿宋" w:hAnsi="华文仿宋" w:eastAsia="华文仿宋" w:cs="仿宋"/>
          <w:color w:val="auto"/>
          <w:kern w:val="1"/>
          <w:sz w:val="28"/>
          <w:szCs w:val="28"/>
          <w:highlight w:val="none"/>
        </w:rPr>
        <w:t>，采用一般计税方法计算</w:t>
      </w:r>
      <w:r>
        <w:rPr>
          <w:rFonts w:hint="eastAsia" w:ascii="华文仿宋" w:hAnsi="华文仿宋" w:eastAsia="华文仿宋" w:cs="仿宋"/>
          <w:color w:val="auto"/>
          <w:kern w:val="1"/>
          <w:sz w:val="28"/>
          <w:szCs w:val="28"/>
          <w:highlight w:val="none"/>
        </w:rPr>
        <w:t>，如遇国家税务政策法规变化,</w:t>
      </w:r>
      <w:r>
        <w:rPr>
          <w:rFonts w:hint="eastAsia" w:ascii="华文仿宋" w:hAnsi="华文仿宋" w:eastAsia="华文仿宋"/>
          <w:color w:val="auto"/>
          <w:highlight w:val="none"/>
        </w:rPr>
        <w:t xml:space="preserve"> </w:t>
      </w:r>
      <w:r>
        <w:rPr>
          <w:rFonts w:hint="eastAsia" w:ascii="华文仿宋" w:hAnsi="华文仿宋" w:eastAsia="华文仿宋" w:cs="仿宋"/>
          <w:color w:val="auto"/>
          <w:kern w:val="1"/>
          <w:sz w:val="28"/>
          <w:szCs w:val="28"/>
          <w:highlight w:val="none"/>
        </w:rPr>
        <w:t>合同不含税价款部分保持不变，税款部分按相关规定进行调整。</w:t>
      </w:r>
      <w:r>
        <w:rPr>
          <w:rFonts w:ascii="华文仿宋" w:hAnsi="华文仿宋" w:eastAsia="华文仿宋" w:cs="仿宋"/>
          <w:color w:val="auto"/>
          <w:kern w:val="1"/>
          <w:sz w:val="28"/>
          <w:szCs w:val="28"/>
          <w:highlight w:val="none"/>
        </w:rPr>
        <w:t>除本合同另有约定外，</w:t>
      </w:r>
      <w:r>
        <w:rPr>
          <w:rFonts w:hint="eastAsia" w:ascii="华文仿宋" w:hAnsi="华文仿宋" w:eastAsia="华文仿宋" w:cs="仿宋"/>
          <w:color w:val="auto"/>
          <w:kern w:val="1"/>
          <w:sz w:val="28"/>
          <w:szCs w:val="28"/>
          <w:highlight w:val="none"/>
        </w:rPr>
        <w:t>发包人</w:t>
      </w:r>
      <w:r>
        <w:rPr>
          <w:rFonts w:ascii="华文仿宋" w:hAnsi="华文仿宋" w:eastAsia="华文仿宋" w:cs="仿宋"/>
          <w:color w:val="auto"/>
          <w:kern w:val="1"/>
          <w:sz w:val="28"/>
          <w:szCs w:val="28"/>
          <w:highlight w:val="none"/>
        </w:rPr>
        <w:t>无需另行向承包人支付其它任何费用。</w:t>
      </w:r>
      <w:r>
        <w:rPr>
          <w:rFonts w:hint="eastAsia" w:ascii="华文仿宋" w:hAnsi="华文仿宋" w:eastAsia="华文仿宋" w:cs="仿宋"/>
          <w:color w:val="auto"/>
          <w:kern w:val="1"/>
          <w:sz w:val="28"/>
          <w:szCs w:val="28"/>
          <w:highlight w:val="none"/>
        </w:rPr>
        <w:t>承包人需缴纳的一切税费，均由承包人承担。</w:t>
      </w:r>
    </w:p>
    <w:p w14:paraId="1108DF37">
      <w:pPr>
        <w:spacing w:line="360" w:lineRule="auto"/>
        <w:ind w:firstLine="560"/>
        <w:outlineLvl w:val="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本合同以人民币为报价和结算货币。</w:t>
      </w:r>
      <w:r>
        <w:rPr>
          <w:rFonts w:hint="eastAsia" w:ascii="华文仿宋" w:hAnsi="华文仿宋" w:eastAsia="华文仿宋" w:cs="仿宋"/>
          <w:color w:val="auto"/>
          <w:kern w:val="1"/>
          <w:sz w:val="28"/>
          <w:szCs w:val="28"/>
          <w:highlight w:val="none"/>
        </w:rPr>
        <w:t>本合同所涉及的发包人应支付的其他款项也全部为含税价。</w:t>
      </w:r>
    </w:p>
    <w:p w14:paraId="1C67F4D5">
      <w:pPr>
        <w:spacing w:line="360" w:lineRule="auto"/>
        <w:ind w:firstLine="560" w:firstLineChars="200"/>
        <w:rPr>
          <w:rFonts w:ascii="Cambria" w:hAnsi="Cambria"/>
          <w:color w:val="auto"/>
          <w:sz w:val="24"/>
          <w:highlight w:val="none"/>
        </w:rPr>
      </w:pPr>
      <w:r>
        <w:rPr>
          <w:rFonts w:hint="eastAsia" w:ascii="仿宋" w:hAnsi="仿宋" w:eastAsia="仿宋" w:cs="仿宋"/>
          <w:color w:val="auto"/>
          <w:sz w:val="28"/>
          <w:szCs w:val="28"/>
          <w:highlight w:val="none"/>
        </w:rPr>
        <w:t>本合同各阶段款项均可用人民币以支票、汇款、承包人认可且无追索的商业保理等方式支付，若使用承包人认可且无追索权的商业保理支付所产生的贴息、财务费用及税金等相关费用均由发包人承担。</w:t>
      </w:r>
    </w:p>
    <w:p w14:paraId="5B285D87">
      <w:pPr>
        <w:spacing w:line="360" w:lineRule="auto"/>
        <w:ind w:firstLine="562"/>
        <w:outlineLvl w:val="0"/>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八</w:t>
      </w:r>
      <w:r>
        <w:rPr>
          <w:rFonts w:ascii="华文仿宋" w:hAnsi="华文仿宋" w:eastAsia="华文仿宋" w:cs="仿宋"/>
          <w:b/>
          <w:color w:val="auto"/>
          <w:kern w:val="1"/>
          <w:sz w:val="28"/>
          <w:szCs w:val="28"/>
          <w:highlight w:val="none"/>
        </w:rPr>
        <w:t>、组成合同的文件</w:t>
      </w:r>
    </w:p>
    <w:p w14:paraId="3698EF31">
      <w:pPr>
        <w:spacing w:line="360" w:lineRule="auto"/>
        <w:ind w:firstLine="560"/>
        <w:jc w:val="left"/>
        <w:rPr>
          <w:rFonts w:ascii="华文仿宋" w:hAnsi="华文仿宋" w:eastAsia="华文仿宋"/>
          <w:color w:val="auto"/>
          <w:sz w:val="28"/>
          <w:szCs w:val="28"/>
          <w:highlight w:val="none"/>
        </w:rPr>
      </w:pPr>
      <w:r>
        <w:rPr>
          <w:rFonts w:ascii="华文仿宋" w:hAnsi="华文仿宋" w:eastAsia="华文仿宋"/>
          <w:color w:val="auto"/>
          <w:sz w:val="28"/>
          <w:szCs w:val="28"/>
          <w:highlight w:val="none"/>
        </w:rPr>
        <w:t>组成合同的文件及其优先解释顺序</w:t>
      </w:r>
      <w:r>
        <w:rPr>
          <w:rFonts w:hint="eastAsia" w:ascii="华文仿宋" w:hAnsi="华文仿宋" w:eastAsia="华文仿宋"/>
          <w:color w:val="auto"/>
          <w:sz w:val="28"/>
          <w:szCs w:val="28"/>
          <w:highlight w:val="none"/>
        </w:rPr>
        <w:t>按</w:t>
      </w:r>
      <w:r>
        <w:rPr>
          <w:rFonts w:ascii="华文仿宋" w:hAnsi="华文仿宋" w:eastAsia="华文仿宋"/>
          <w:color w:val="auto"/>
          <w:sz w:val="28"/>
          <w:szCs w:val="28"/>
          <w:highlight w:val="none"/>
        </w:rPr>
        <w:t>本合同第</w:t>
      </w:r>
      <w:r>
        <w:rPr>
          <w:rFonts w:hint="eastAsia" w:ascii="华文仿宋" w:hAnsi="华文仿宋" w:eastAsia="华文仿宋"/>
          <w:color w:val="auto"/>
          <w:sz w:val="28"/>
          <w:szCs w:val="28"/>
          <w:highlight w:val="none"/>
        </w:rPr>
        <w:t>三</w:t>
      </w:r>
      <w:r>
        <w:rPr>
          <w:rFonts w:ascii="华文仿宋" w:hAnsi="华文仿宋" w:eastAsia="华文仿宋"/>
          <w:color w:val="auto"/>
          <w:sz w:val="28"/>
          <w:szCs w:val="28"/>
          <w:highlight w:val="none"/>
        </w:rPr>
        <w:t>部分《</w:t>
      </w:r>
      <w:r>
        <w:rPr>
          <w:rFonts w:hint="eastAsia" w:ascii="华文仿宋" w:hAnsi="华文仿宋" w:eastAsia="华文仿宋"/>
          <w:color w:val="auto"/>
          <w:sz w:val="28"/>
          <w:szCs w:val="28"/>
          <w:highlight w:val="none"/>
        </w:rPr>
        <w:t>专用</w:t>
      </w:r>
      <w:r>
        <w:rPr>
          <w:rFonts w:ascii="华文仿宋" w:hAnsi="华文仿宋" w:eastAsia="华文仿宋"/>
          <w:color w:val="auto"/>
          <w:sz w:val="28"/>
          <w:szCs w:val="28"/>
          <w:highlight w:val="none"/>
        </w:rPr>
        <w:t>条款》第</w:t>
      </w:r>
      <w:r>
        <w:rPr>
          <w:rFonts w:hint="eastAsia" w:ascii="华文仿宋" w:hAnsi="华文仿宋" w:eastAsia="华文仿宋"/>
          <w:color w:val="auto"/>
          <w:sz w:val="28"/>
          <w:szCs w:val="28"/>
          <w:highlight w:val="none"/>
        </w:rPr>
        <w:t>一条第2点</w:t>
      </w:r>
      <w:r>
        <w:rPr>
          <w:rFonts w:ascii="华文仿宋" w:hAnsi="华文仿宋" w:eastAsia="华文仿宋"/>
          <w:color w:val="auto"/>
          <w:sz w:val="28"/>
          <w:szCs w:val="28"/>
          <w:highlight w:val="none"/>
        </w:rPr>
        <w:t>规定</w:t>
      </w:r>
      <w:r>
        <w:rPr>
          <w:rFonts w:hint="eastAsia" w:ascii="华文仿宋" w:hAnsi="华文仿宋" w:eastAsia="华文仿宋"/>
          <w:color w:val="auto"/>
          <w:sz w:val="28"/>
          <w:szCs w:val="28"/>
          <w:highlight w:val="none"/>
        </w:rPr>
        <w:t>执行</w:t>
      </w:r>
      <w:r>
        <w:rPr>
          <w:rFonts w:ascii="华文仿宋" w:hAnsi="华文仿宋" w:eastAsia="华文仿宋"/>
          <w:color w:val="auto"/>
          <w:sz w:val="28"/>
          <w:szCs w:val="28"/>
          <w:highlight w:val="none"/>
        </w:rPr>
        <w:t>。</w:t>
      </w:r>
    </w:p>
    <w:p w14:paraId="241CFAE7">
      <w:pPr>
        <w:spacing w:line="360" w:lineRule="auto"/>
        <w:ind w:firstLine="562"/>
        <w:outlineLvl w:val="0"/>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九、本协议书有关词语含义与本合同第二部分《通用条款》中分别赋予它们的定义相同。</w:t>
      </w:r>
    </w:p>
    <w:p w14:paraId="06D22A11">
      <w:pPr>
        <w:spacing w:line="360" w:lineRule="auto"/>
        <w:ind w:firstLine="562"/>
        <w:outlineLvl w:val="0"/>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十</w:t>
      </w:r>
      <w:r>
        <w:rPr>
          <w:rFonts w:ascii="华文仿宋" w:hAnsi="华文仿宋" w:eastAsia="华文仿宋" w:cs="仿宋"/>
          <w:b/>
          <w:color w:val="auto"/>
          <w:kern w:val="1"/>
          <w:sz w:val="28"/>
          <w:szCs w:val="28"/>
          <w:highlight w:val="none"/>
        </w:rPr>
        <w:t>、承包人向发包人承诺按照合同约定进行施工、竣工并在质量保修期内承担工程质量保修责任。</w:t>
      </w:r>
    </w:p>
    <w:p w14:paraId="47A47FDA">
      <w:pPr>
        <w:spacing w:line="360" w:lineRule="auto"/>
        <w:ind w:firstLine="562"/>
        <w:outlineLvl w:val="0"/>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十一、发包人向承包人承诺按照合同约定的期限和方式支付合同价款及其他应当支付的款项。</w:t>
      </w:r>
    </w:p>
    <w:p w14:paraId="0CC9B872">
      <w:pPr>
        <w:spacing w:line="360" w:lineRule="auto"/>
        <w:ind w:firstLine="562"/>
        <w:outlineLvl w:val="0"/>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十二、合同生效</w:t>
      </w:r>
    </w:p>
    <w:p w14:paraId="31B5B69F">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合同订立时间：</w:t>
      </w:r>
      <w:r>
        <w:rPr>
          <w:rFonts w:ascii="华文仿宋" w:hAnsi="华文仿宋" w:eastAsia="华文仿宋" w:cs="仿宋"/>
          <w:color w:val="auto"/>
          <w:kern w:val="1"/>
          <w:sz w:val="28"/>
          <w:szCs w:val="28"/>
          <w:highlight w:val="none"/>
          <w:u w:val="single"/>
        </w:rPr>
        <w:t xml:space="preserve"> </w:t>
      </w:r>
      <w:r>
        <w:rPr>
          <w:rFonts w:hint="eastAsia" w:ascii="华文仿宋" w:hAnsi="华文仿宋" w:eastAsia="华文仿宋" w:cs="仿宋"/>
          <w:color w:val="auto"/>
          <w:kern w:val="1"/>
          <w:sz w:val="28"/>
          <w:szCs w:val="28"/>
          <w:highlight w:val="none"/>
          <w:u w:val="single"/>
        </w:rPr>
        <w:t>202</w:t>
      </w:r>
      <w:r>
        <w:rPr>
          <w:rFonts w:ascii="华文仿宋" w:hAnsi="华文仿宋" w:eastAsia="华文仿宋" w:cs="仿宋"/>
          <w:color w:val="auto"/>
          <w:kern w:val="1"/>
          <w:sz w:val="28"/>
          <w:szCs w:val="28"/>
          <w:highlight w:val="none"/>
          <w:u w:val="single"/>
        </w:rPr>
        <w:t>5</w:t>
      </w:r>
      <w:r>
        <w:rPr>
          <w:rFonts w:hint="eastAsia" w:ascii="华文仿宋" w:hAnsi="华文仿宋" w:eastAsia="华文仿宋" w:cs="仿宋"/>
          <w:color w:val="auto"/>
          <w:kern w:val="1"/>
          <w:sz w:val="28"/>
          <w:szCs w:val="28"/>
          <w:highlight w:val="none"/>
        </w:rPr>
        <w:t>年</w:t>
      </w:r>
      <w:r>
        <w:rPr>
          <w:rFonts w:hint="eastAsia" w:ascii="华文仿宋" w:hAnsi="华文仿宋" w:eastAsia="华文仿宋" w:cs="仿宋"/>
          <w:color w:val="auto"/>
          <w:kern w:val="1"/>
          <w:sz w:val="28"/>
          <w:szCs w:val="28"/>
          <w:highlight w:val="none"/>
          <w:u w:val="single"/>
        </w:rPr>
        <w:t xml:space="preserve">   </w:t>
      </w:r>
      <w:r>
        <w:rPr>
          <w:rFonts w:hint="eastAsia" w:ascii="华文仿宋" w:hAnsi="华文仿宋" w:eastAsia="华文仿宋" w:cs="仿宋"/>
          <w:color w:val="auto"/>
          <w:kern w:val="1"/>
          <w:sz w:val="28"/>
          <w:szCs w:val="28"/>
          <w:highlight w:val="none"/>
        </w:rPr>
        <w:t>月</w:t>
      </w:r>
      <w:r>
        <w:rPr>
          <w:rFonts w:ascii="华文仿宋" w:hAnsi="华文仿宋" w:eastAsia="华文仿宋" w:cs="仿宋"/>
          <w:color w:val="auto"/>
          <w:kern w:val="1"/>
          <w:sz w:val="28"/>
          <w:szCs w:val="28"/>
          <w:highlight w:val="none"/>
          <w:u w:val="single"/>
        </w:rPr>
        <w:t xml:space="preserve"> </w:t>
      </w:r>
      <w:r>
        <w:rPr>
          <w:rFonts w:hint="eastAsia" w:ascii="华文仿宋" w:hAnsi="华文仿宋" w:eastAsia="华文仿宋" w:cs="仿宋"/>
          <w:color w:val="auto"/>
          <w:kern w:val="1"/>
          <w:sz w:val="28"/>
          <w:szCs w:val="28"/>
          <w:highlight w:val="none"/>
          <w:u w:val="single"/>
        </w:rPr>
        <w:t xml:space="preserve">    </w:t>
      </w:r>
      <w:r>
        <w:rPr>
          <w:rFonts w:hint="eastAsia" w:ascii="华文仿宋" w:hAnsi="华文仿宋" w:eastAsia="华文仿宋" w:cs="仿宋"/>
          <w:color w:val="auto"/>
          <w:kern w:val="1"/>
          <w:sz w:val="28"/>
          <w:szCs w:val="28"/>
          <w:highlight w:val="none"/>
        </w:rPr>
        <w:t>日</w:t>
      </w:r>
    </w:p>
    <w:p w14:paraId="232BB6FF">
      <w:pPr>
        <w:spacing w:line="360" w:lineRule="auto"/>
        <w:ind w:firstLine="560"/>
        <w:rPr>
          <w:rFonts w:ascii="华文仿宋" w:hAnsi="华文仿宋" w:eastAsia="华文仿宋" w:cs="仿宋"/>
          <w:color w:val="auto"/>
          <w:kern w:val="1"/>
          <w:sz w:val="28"/>
          <w:szCs w:val="28"/>
          <w:highlight w:val="none"/>
          <w:u w:val="single"/>
        </w:rPr>
      </w:pPr>
      <w:r>
        <w:rPr>
          <w:rFonts w:hint="eastAsia" w:ascii="华文仿宋" w:hAnsi="华文仿宋" w:eastAsia="华文仿宋" w:cs="仿宋"/>
          <w:color w:val="auto"/>
          <w:kern w:val="1"/>
          <w:sz w:val="28"/>
          <w:szCs w:val="28"/>
          <w:highlight w:val="none"/>
        </w:rPr>
        <w:t>合同订立地点：</w:t>
      </w:r>
      <w:r>
        <w:rPr>
          <w:rFonts w:ascii="华文仿宋" w:hAnsi="华文仿宋" w:eastAsia="华文仿宋" w:cs="仿宋"/>
          <w:color w:val="auto"/>
          <w:kern w:val="1"/>
          <w:sz w:val="28"/>
          <w:szCs w:val="28"/>
          <w:highlight w:val="none"/>
          <w:u w:val="single"/>
        </w:rPr>
        <w:t xml:space="preserve"> </w:t>
      </w:r>
      <w:r>
        <w:rPr>
          <w:rFonts w:hint="eastAsia" w:ascii="华文仿宋" w:hAnsi="华文仿宋" w:eastAsia="华文仿宋" w:cs="仿宋"/>
          <w:color w:val="auto"/>
          <w:kern w:val="1"/>
          <w:sz w:val="28"/>
          <w:szCs w:val="28"/>
          <w:highlight w:val="none"/>
          <w:u w:val="single"/>
        </w:rPr>
        <w:t>广东省广州市</w:t>
      </w:r>
      <w:r>
        <w:rPr>
          <w:rFonts w:ascii="华文仿宋" w:hAnsi="华文仿宋" w:eastAsia="华文仿宋" w:cs="仿宋"/>
          <w:color w:val="auto"/>
          <w:kern w:val="1"/>
          <w:sz w:val="28"/>
          <w:szCs w:val="28"/>
          <w:highlight w:val="none"/>
          <w:u w:val="single"/>
        </w:rPr>
        <w:t xml:space="preserve"> </w:t>
      </w:r>
    </w:p>
    <w:p w14:paraId="5F18282E">
      <w:pPr>
        <w:spacing w:line="360" w:lineRule="auto"/>
        <w:ind w:firstLine="560"/>
        <w:rPr>
          <w:rFonts w:ascii="华文仿宋" w:hAnsi="华文仿宋" w:eastAsia="华文仿宋" w:cs="仿宋"/>
          <w:color w:val="auto"/>
          <w:sz w:val="28"/>
          <w:szCs w:val="28"/>
          <w:highlight w:val="none"/>
        </w:rPr>
      </w:pPr>
      <w:r>
        <w:rPr>
          <w:rFonts w:hint="eastAsia" w:ascii="华文仿宋" w:hAnsi="华文仿宋" w:eastAsia="华文仿宋" w:cs="仿宋"/>
          <w:color w:val="auto"/>
          <w:kern w:val="1"/>
          <w:sz w:val="28"/>
          <w:szCs w:val="28"/>
          <w:highlight w:val="none"/>
        </w:rPr>
        <w:t>本合同一式</w:t>
      </w:r>
      <w:r>
        <w:rPr>
          <w:rFonts w:hint="eastAsia" w:ascii="华文仿宋" w:hAnsi="华文仿宋" w:eastAsia="华文仿宋" w:cs="仿宋"/>
          <w:color w:val="auto"/>
          <w:kern w:val="1"/>
          <w:sz w:val="28"/>
          <w:szCs w:val="28"/>
          <w:highlight w:val="none"/>
          <w:u w:val="single"/>
        </w:rPr>
        <w:t xml:space="preserve"> </w:t>
      </w:r>
      <w:r>
        <w:rPr>
          <w:rFonts w:ascii="华文仿宋" w:hAnsi="华文仿宋" w:eastAsia="华文仿宋" w:cs="仿宋"/>
          <w:color w:val="auto"/>
          <w:kern w:val="1"/>
          <w:sz w:val="28"/>
          <w:szCs w:val="28"/>
          <w:highlight w:val="none"/>
          <w:u w:val="single"/>
        </w:rPr>
        <w:t xml:space="preserve">   </w:t>
      </w:r>
      <w:r>
        <w:rPr>
          <w:rFonts w:hint="eastAsia" w:ascii="华文仿宋" w:hAnsi="华文仿宋" w:eastAsia="华文仿宋" w:cs="仿宋"/>
          <w:color w:val="auto"/>
          <w:kern w:val="1"/>
          <w:sz w:val="28"/>
          <w:szCs w:val="28"/>
          <w:highlight w:val="none"/>
        </w:rPr>
        <w:t>份，发包人执</w:t>
      </w:r>
      <w:r>
        <w:rPr>
          <w:rFonts w:hint="eastAsia" w:ascii="华文仿宋" w:hAnsi="华文仿宋" w:eastAsia="华文仿宋" w:cs="仿宋"/>
          <w:color w:val="auto"/>
          <w:kern w:val="1"/>
          <w:sz w:val="28"/>
          <w:szCs w:val="28"/>
          <w:highlight w:val="none"/>
          <w:u w:val="single"/>
        </w:rPr>
        <w:t xml:space="preserve"> </w:t>
      </w:r>
      <w:r>
        <w:rPr>
          <w:rFonts w:ascii="华文仿宋" w:hAnsi="华文仿宋" w:eastAsia="华文仿宋" w:cs="仿宋"/>
          <w:color w:val="auto"/>
          <w:kern w:val="1"/>
          <w:sz w:val="28"/>
          <w:szCs w:val="28"/>
          <w:highlight w:val="none"/>
          <w:u w:val="single"/>
        </w:rPr>
        <w:t xml:space="preserve">   </w:t>
      </w:r>
      <w:r>
        <w:rPr>
          <w:rFonts w:hint="eastAsia" w:ascii="华文仿宋" w:hAnsi="华文仿宋" w:eastAsia="华文仿宋" w:cs="仿宋"/>
          <w:color w:val="auto"/>
          <w:kern w:val="1"/>
          <w:sz w:val="28"/>
          <w:szCs w:val="28"/>
          <w:highlight w:val="none"/>
        </w:rPr>
        <w:t>份，承包人执</w:t>
      </w:r>
      <w:r>
        <w:rPr>
          <w:rFonts w:hint="eastAsia" w:ascii="华文仿宋" w:hAnsi="华文仿宋" w:eastAsia="华文仿宋" w:cs="仿宋"/>
          <w:color w:val="auto"/>
          <w:kern w:val="1"/>
          <w:sz w:val="28"/>
          <w:szCs w:val="28"/>
          <w:highlight w:val="none"/>
          <w:u w:val="single"/>
        </w:rPr>
        <w:t xml:space="preserve"> </w:t>
      </w:r>
      <w:r>
        <w:rPr>
          <w:rFonts w:ascii="华文仿宋" w:hAnsi="华文仿宋" w:eastAsia="华文仿宋" w:cs="仿宋"/>
          <w:color w:val="auto"/>
          <w:kern w:val="1"/>
          <w:sz w:val="28"/>
          <w:szCs w:val="28"/>
          <w:highlight w:val="none"/>
          <w:u w:val="single"/>
        </w:rPr>
        <w:t xml:space="preserve">   </w:t>
      </w:r>
      <w:r>
        <w:rPr>
          <w:rFonts w:hint="eastAsia" w:ascii="华文仿宋" w:hAnsi="华文仿宋" w:eastAsia="华文仿宋" w:cs="仿宋"/>
          <w:color w:val="auto"/>
          <w:kern w:val="1"/>
          <w:sz w:val="28"/>
          <w:szCs w:val="28"/>
          <w:highlight w:val="none"/>
        </w:rPr>
        <w:t>份，</w:t>
      </w:r>
      <w:r>
        <w:rPr>
          <w:rFonts w:hint="eastAsia" w:ascii="华文仿宋" w:hAnsi="华文仿宋" w:eastAsia="华文仿宋" w:cs="仿宋"/>
          <w:color w:val="auto"/>
          <w:sz w:val="28"/>
          <w:szCs w:val="28"/>
          <w:highlight w:val="none"/>
        </w:rPr>
        <w:t>经</w:t>
      </w:r>
      <w:r>
        <w:rPr>
          <w:rFonts w:ascii="华文仿宋" w:hAnsi="华文仿宋" w:eastAsia="华文仿宋" w:cs="仿宋"/>
          <w:color w:val="auto"/>
          <w:sz w:val="28"/>
          <w:szCs w:val="28"/>
          <w:highlight w:val="none"/>
        </w:rPr>
        <w:t>双方法定代表人或其授权代理人签署</w:t>
      </w:r>
      <w:r>
        <w:rPr>
          <w:rFonts w:hint="eastAsia" w:ascii="华文仿宋" w:hAnsi="华文仿宋" w:eastAsia="华文仿宋" w:cs="仿宋"/>
          <w:color w:val="auto"/>
          <w:sz w:val="28"/>
          <w:szCs w:val="28"/>
          <w:highlight w:val="none"/>
        </w:rPr>
        <w:t>并</w:t>
      </w:r>
      <w:r>
        <w:rPr>
          <w:rFonts w:ascii="华文仿宋" w:hAnsi="华文仿宋" w:eastAsia="华文仿宋" w:cs="仿宋"/>
          <w:color w:val="auto"/>
          <w:sz w:val="28"/>
          <w:szCs w:val="28"/>
          <w:highlight w:val="none"/>
        </w:rPr>
        <w:t>加盖公章后生效</w:t>
      </w:r>
      <w:r>
        <w:rPr>
          <w:rFonts w:hint="eastAsia" w:ascii="华文仿宋" w:hAnsi="华文仿宋" w:eastAsia="华文仿宋" w:cs="仿宋"/>
          <w:color w:val="auto"/>
          <w:sz w:val="28"/>
          <w:szCs w:val="28"/>
          <w:highlight w:val="none"/>
        </w:rPr>
        <w:t>。</w:t>
      </w:r>
    </w:p>
    <w:p w14:paraId="3CCA5ADB">
      <w:pPr>
        <w:pStyle w:val="3"/>
        <w:numPr>
          <w:ilvl w:val="0"/>
          <w:numId w:val="0"/>
        </w:numPr>
        <w:spacing w:before="0" w:after="0"/>
        <w:ind w:left="425" w:hanging="425"/>
        <w:rPr>
          <w:rFonts w:ascii="华文仿宋" w:hAnsi="华文仿宋" w:eastAsia="华文仿宋" w:cs="仿宋"/>
          <w:b w:val="0"/>
          <w:color w:val="auto"/>
          <w:sz w:val="28"/>
          <w:szCs w:val="28"/>
          <w:highlight w:val="none"/>
        </w:rPr>
      </w:pPr>
      <w:r>
        <w:rPr>
          <w:rFonts w:hint="eastAsia" w:ascii="华文仿宋" w:hAnsi="华文仿宋" w:eastAsia="华文仿宋" w:cs="仿宋"/>
          <w:b w:val="0"/>
          <w:color w:val="auto"/>
          <w:sz w:val="28"/>
          <w:szCs w:val="28"/>
          <w:highlight w:val="none"/>
        </w:rPr>
        <w:t>（以下空白）</w:t>
      </w:r>
    </w:p>
    <w:p w14:paraId="3A0C5DD9">
      <w:pPr>
        <w:rPr>
          <w:color w:val="auto"/>
          <w:highlight w:val="none"/>
        </w:rPr>
      </w:pPr>
    </w:p>
    <w:p w14:paraId="077922F4">
      <w:pPr>
        <w:tabs>
          <w:tab w:val="left" w:pos="1080"/>
        </w:tabs>
        <w:rPr>
          <w:color w:val="auto"/>
          <w:highlight w:val="none"/>
        </w:rPr>
      </w:pPr>
    </w:p>
    <w:p w14:paraId="61E87840">
      <w:pPr>
        <w:pStyle w:val="2"/>
        <w:numPr>
          <w:ilvl w:val="0"/>
          <w:numId w:val="0"/>
        </w:numPr>
        <w:rPr>
          <w:color w:val="auto"/>
          <w:highlight w:val="none"/>
        </w:rPr>
      </w:pPr>
    </w:p>
    <w:p w14:paraId="52297CDA">
      <w:pPr>
        <w:rPr>
          <w:color w:val="auto"/>
          <w:highlight w:val="none"/>
        </w:rPr>
      </w:pPr>
    </w:p>
    <w:p w14:paraId="4D3EAB4E">
      <w:pPr>
        <w:pStyle w:val="2"/>
        <w:numPr>
          <w:ilvl w:val="0"/>
          <w:numId w:val="0"/>
        </w:numPr>
        <w:ind w:left="885"/>
        <w:rPr>
          <w:color w:val="auto"/>
          <w:highlight w:val="none"/>
        </w:rPr>
      </w:pPr>
    </w:p>
    <w:p w14:paraId="227CFD2A">
      <w:pPr>
        <w:rPr>
          <w:color w:val="auto"/>
          <w:highlight w:val="none"/>
        </w:rPr>
      </w:pPr>
    </w:p>
    <w:p w14:paraId="52638539">
      <w:pPr>
        <w:pStyle w:val="2"/>
        <w:numPr>
          <w:numId w:val="0"/>
        </w:numPr>
      </w:pPr>
    </w:p>
    <w:p w14:paraId="2BF43360">
      <w:bookmarkStart w:id="12" w:name="_GoBack"/>
      <w:bookmarkEnd w:id="12"/>
    </w:p>
    <w:p w14:paraId="4A9C6063">
      <w:pPr>
        <w:pStyle w:val="2"/>
        <w:numPr>
          <w:numId w:val="0"/>
        </w:numPr>
      </w:pPr>
    </w:p>
    <w:p w14:paraId="7C774B98"/>
    <w:tbl>
      <w:tblPr>
        <w:tblStyle w:val="37"/>
        <w:tblW w:w="9760" w:type="dxa"/>
        <w:jc w:val="center"/>
        <w:tblLayout w:type="fixed"/>
        <w:tblCellMar>
          <w:top w:w="0" w:type="dxa"/>
          <w:left w:w="108" w:type="dxa"/>
          <w:bottom w:w="0" w:type="dxa"/>
          <w:right w:w="108" w:type="dxa"/>
        </w:tblCellMar>
      </w:tblPr>
      <w:tblGrid>
        <w:gridCol w:w="4910"/>
        <w:gridCol w:w="4850"/>
      </w:tblGrid>
      <w:tr w14:paraId="1585A530">
        <w:tblPrEx>
          <w:tblCellMar>
            <w:top w:w="0" w:type="dxa"/>
            <w:left w:w="108" w:type="dxa"/>
            <w:bottom w:w="0" w:type="dxa"/>
            <w:right w:w="108" w:type="dxa"/>
          </w:tblCellMar>
        </w:tblPrEx>
        <w:trPr>
          <w:trHeight w:val="499" w:hRule="atLeast"/>
          <w:jc w:val="center"/>
        </w:trPr>
        <w:tc>
          <w:tcPr>
            <w:tcW w:w="9760" w:type="dxa"/>
            <w:gridSpan w:val="2"/>
            <w:tcBorders>
              <w:top w:val="single" w:color="auto" w:sz="4" w:space="0"/>
              <w:left w:val="single" w:color="auto" w:sz="4" w:space="0"/>
              <w:bottom w:val="single" w:color="auto" w:sz="4" w:space="0"/>
              <w:right w:val="single" w:color="000000" w:sz="4" w:space="0"/>
            </w:tcBorders>
            <w:vAlign w:val="center"/>
          </w:tcPr>
          <w:p w14:paraId="783E9FCE">
            <w:pPr>
              <w:widowControl/>
              <w:jc w:val="left"/>
              <w:rPr>
                <w:rFonts w:ascii="华文仿宋" w:hAnsi="华文仿宋" w:eastAsia="华文仿宋" w:cs="宋体"/>
                <w:b/>
                <w:bCs/>
                <w:color w:val="auto"/>
                <w:sz w:val="24"/>
                <w:highlight w:val="none"/>
              </w:rPr>
            </w:pPr>
            <w:r>
              <w:rPr>
                <w:rFonts w:hint="eastAsia" w:ascii="华文仿宋" w:hAnsi="华文仿宋" w:eastAsia="华文仿宋" w:cs="宋体"/>
                <w:b/>
                <w:bCs/>
                <w:color w:val="auto"/>
                <w:sz w:val="24"/>
                <w:highlight w:val="none"/>
              </w:rPr>
              <w:t>发包人:</w:t>
            </w:r>
          </w:p>
        </w:tc>
      </w:tr>
      <w:tr w14:paraId="276AC834">
        <w:tblPrEx>
          <w:tblCellMar>
            <w:top w:w="0" w:type="dxa"/>
            <w:left w:w="108" w:type="dxa"/>
            <w:bottom w:w="0" w:type="dxa"/>
            <w:right w:w="108" w:type="dxa"/>
          </w:tblCellMar>
        </w:tblPrEx>
        <w:trPr>
          <w:trHeight w:val="994" w:hRule="atLeast"/>
          <w:jc w:val="center"/>
        </w:trPr>
        <w:tc>
          <w:tcPr>
            <w:tcW w:w="4910" w:type="dxa"/>
            <w:tcBorders>
              <w:top w:val="nil"/>
              <w:left w:val="single" w:color="auto" w:sz="4" w:space="0"/>
              <w:bottom w:val="nil"/>
              <w:right w:val="nil"/>
            </w:tcBorders>
            <w:vAlign w:val="center"/>
          </w:tcPr>
          <w:p w14:paraId="431EE5F3">
            <w:pPr>
              <w:widowControl/>
              <w:jc w:val="left"/>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名称：</w:t>
            </w:r>
            <w:r>
              <w:rPr>
                <w:rFonts w:ascii="华文仿宋" w:hAnsi="华文仿宋" w:eastAsia="华文仿宋" w:cs="宋体"/>
                <w:color w:val="auto"/>
                <w:sz w:val="24"/>
                <w:highlight w:val="none"/>
              </w:rPr>
              <w:t xml:space="preserve"> </w:t>
            </w:r>
          </w:p>
        </w:tc>
        <w:tc>
          <w:tcPr>
            <w:tcW w:w="4850" w:type="dxa"/>
            <w:tcBorders>
              <w:top w:val="nil"/>
              <w:left w:val="nil"/>
              <w:bottom w:val="nil"/>
              <w:right w:val="single" w:color="auto" w:sz="4" w:space="0"/>
            </w:tcBorders>
            <w:vAlign w:val="center"/>
          </w:tcPr>
          <w:p w14:paraId="13686802">
            <w:pPr>
              <w:widowControl/>
              <w:jc w:val="left"/>
              <w:rPr>
                <w:rFonts w:ascii="华文仿宋" w:hAnsi="华文仿宋" w:eastAsia="华文仿宋" w:cs="宋体"/>
                <w:color w:val="auto"/>
                <w:sz w:val="24"/>
                <w:highlight w:val="none"/>
              </w:rPr>
            </w:pPr>
          </w:p>
        </w:tc>
      </w:tr>
      <w:tr w14:paraId="7A87C49D">
        <w:tblPrEx>
          <w:tblCellMar>
            <w:top w:w="0" w:type="dxa"/>
            <w:left w:w="108" w:type="dxa"/>
            <w:bottom w:w="0" w:type="dxa"/>
            <w:right w:w="108" w:type="dxa"/>
          </w:tblCellMar>
        </w:tblPrEx>
        <w:trPr>
          <w:trHeight w:val="1002" w:hRule="atLeast"/>
          <w:jc w:val="center"/>
        </w:trPr>
        <w:tc>
          <w:tcPr>
            <w:tcW w:w="4910" w:type="dxa"/>
            <w:tcBorders>
              <w:top w:val="nil"/>
              <w:left w:val="single" w:color="auto" w:sz="4" w:space="0"/>
              <w:bottom w:val="nil"/>
              <w:right w:val="nil"/>
            </w:tcBorders>
            <w:vAlign w:val="center"/>
          </w:tcPr>
          <w:p w14:paraId="468F4490">
            <w:pPr>
              <w:widowControl/>
              <w:jc w:val="left"/>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法定代表人或授权代理人：</w:t>
            </w:r>
          </w:p>
        </w:tc>
        <w:tc>
          <w:tcPr>
            <w:tcW w:w="4850" w:type="dxa"/>
            <w:tcBorders>
              <w:top w:val="nil"/>
              <w:left w:val="nil"/>
              <w:bottom w:val="nil"/>
              <w:right w:val="single" w:color="auto" w:sz="4" w:space="0"/>
            </w:tcBorders>
            <w:vAlign w:val="center"/>
          </w:tcPr>
          <w:p w14:paraId="014621B5">
            <w:pPr>
              <w:widowControl/>
              <w:jc w:val="left"/>
              <w:rPr>
                <w:rFonts w:ascii="华文仿宋" w:hAnsi="华文仿宋" w:eastAsia="华文仿宋" w:cs="宋体"/>
                <w:color w:val="auto"/>
                <w:sz w:val="24"/>
                <w:highlight w:val="none"/>
              </w:rPr>
            </w:pPr>
          </w:p>
        </w:tc>
      </w:tr>
      <w:tr w14:paraId="3CAC6147">
        <w:tblPrEx>
          <w:tblCellMar>
            <w:top w:w="0" w:type="dxa"/>
            <w:left w:w="108" w:type="dxa"/>
            <w:bottom w:w="0" w:type="dxa"/>
            <w:right w:w="108" w:type="dxa"/>
          </w:tblCellMar>
        </w:tblPrEx>
        <w:trPr>
          <w:trHeight w:val="499" w:hRule="atLeast"/>
          <w:jc w:val="center"/>
        </w:trPr>
        <w:tc>
          <w:tcPr>
            <w:tcW w:w="4910" w:type="dxa"/>
            <w:tcBorders>
              <w:top w:val="nil"/>
              <w:left w:val="single" w:color="auto" w:sz="4" w:space="0"/>
              <w:bottom w:val="nil"/>
              <w:right w:val="nil"/>
            </w:tcBorders>
            <w:vAlign w:val="center"/>
          </w:tcPr>
          <w:p w14:paraId="458EAD27">
            <w:pPr>
              <w:widowControl/>
              <w:jc w:val="left"/>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地    址：</w:t>
            </w:r>
            <w:r>
              <w:rPr>
                <w:rFonts w:hint="eastAsia" w:ascii="华文仿宋" w:hAnsi="华文仿宋" w:eastAsia="华文仿宋" w:cs="宋体"/>
                <w:color w:val="auto"/>
                <w:spacing w:val="-20"/>
                <w:szCs w:val="21"/>
                <w:highlight w:val="none"/>
              </w:rPr>
              <w:t xml:space="preserve"> </w:t>
            </w:r>
          </w:p>
        </w:tc>
        <w:tc>
          <w:tcPr>
            <w:tcW w:w="4850" w:type="dxa"/>
            <w:tcBorders>
              <w:top w:val="nil"/>
              <w:left w:val="nil"/>
              <w:bottom w:val="nil"/>
              <w:right w:val="single" w:color="auto" w:sz="4" w:space="0"/>
            </w:tcBorders>
            <w:vAlign w:val="center"/>
          </w:tcPr>
          <w:p w14:paraId="0D9588C3">
            <w:pPr>
              <w:widowControl/>
              <w:jc w:val="left"/>
              <w:rPr>
                <w:rFonts w:ascii="华文仿宋" w:hAnsi="华文仿宋" w:eastAsia="华文仿宋" w:cs="宋体"/>
                <w:color w:val="auto"/>
                <w:sz w:val="24"/>
                <w:highlight w:val="none"/>
              </w:rPr>
            </w:pPr>
          </w:p>
        </w:tc>
      </w:tr>
      <w:tr w14:paraId="2CBF5C43">
        <w:tblPrEx>
          <w:tblCellMar>
            <w:top w:w="0" w:type="dxa"/>
            <w:left w:w="108" w:type="dxa"/>
            <w:bottom w:w="0" w:type="dxa"/>
            <w:right w:w="108" w:type="dxa"/>
          </w:tblCellMar>
        </w:tblPrEx>
        <w:trPr>
          <w:trHeight w:val="499" w:hRule="atLeast"/>
          <w:jc w:val="center"/>
        </w:trPr>
        <w:tc>
          <w:tcPr>
            <w:tcW w:w="4910" w:type="dxa"/>
            <w:tcBorders>
              <w:top w:val="nil"/>
              <w:left w:val="single" w:color="auto" w:sz="4" w:space="0"/>
              <w:bottom w:val="nil"/>
              <w:right w:val="nil"/>
            </w:tcBorders>
            <w:vAlign w:val="center"/>
          </w:tcPr>
          <w:p w14:paraId="3C1CC2BA">
            <w:pPr>
              <w:widowControl/>
              <w:jc w:val="left"/>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邮政编码：5100</w:t>
            </w:r>
            <w:r>
              <w:rPr>
                <w:rFonts w:ascii="华文仿宋" w:hAnsi="华文仿宋" w:eastAsia="华文仿宋" w:cs="宋体"/>
                <w:color w:val="auto"/>
                <w:sz w:val="24"/>
                <w:highlight w:val="none"/>
              </w:rPr>
              <w:t>00</w:t>
            </w:r>
          </w:p>
        </w:tc>
        <w:tc>
          <w:tcPr>
            <w:tcW w:w="4850" w:type="dxa"/>
            <w:tcBorders>
              <w:top w:val="nil"/>
              <w:left w:val="nil"/>
              <w:bottom w:val="nil"/>
              <w:right w:val="single" w:color="auto" w:sz="4" w:space="0"/>
            </w:tcBorders>
            <w:vAlign w:val="center"/>
          </w:tcPr>
          <w:p w14:paraId="36671C8F">
            <w:pPr>
              <w:widowControl/>
              <w:jc w:val="left"/>
              <w:rPr>
                <w:rFonts w:ascii="华文仿宋" w:hAnsi="华文仿宋" w:eastAsia="华文仿宋" w:cs="宋体"/>
                <w:color w:val="auto"/>
                <w:sz w:val="24"/>
                <w:highlight w:val="none"/>
              </w:rPr>
            </w:pPr>
          </w:p>
        </w:tc>
      </w:tr>
      <w:tr w14:paraId="2443EEE1">
        <w:tblPrEx>
          <w:tblCellMar>
            <w:top w:w="0" w:type="dxa"/>
            <w:left w:w="108" w:type="dxa"/>
            <w:bottom w:w="0" w:type="dxa"/>
            <w:right w:w="108" w:type="dxa"/>
          </w:tblCellMar>
        </w:tblPrEx>
        <w:trPr>
          <w:trHeight w:val="499" w:hRule="atLeast"/>
          <w:jc w:val="center"/>
        </w:trPr>
        <w:tc>
          <w:tcPr>
            <w:tcW w:w="4910" w:type="dxa"/>
            <w:tcBorders>
              <w:top w:val="nil"/>
              <w:left w:val="single" w:color="auto" w:sz="4" w:space="0"/>
              <w:bottom w:val="nil"/>
              <w:right w:val="nil"/>
            </w:tcBorders>
            <w:vAlign w:val="center"/>
          </w:tcPr>
          <w:p w14:paraId="444346AA">
            <w:pPr>
              <w:widowControl/>
              <w:jc w:val="left"/>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 xml:space="preserve">电    话： </w:t>
            </w:r>
          </w:p>
        </w:tc>
        <w:tc>
          <w:tcPr>
            <w:tcW w:w="4850" w:type="dxa"/>
            <w:tcBorders>
              <w:top w:val="nil"/>
              <w:left w:val="nil"/>
              <w:bottom w:val="nil"/>
              <w:right w:val="single" w:color="auto" w:sz="4" w:space="0"/>
            </w:tcBorders>
            <w:vAlign w:val="center"/>
          </w:tcPr>
          <w:p w14:paraId="63FAB6CE">
            <w:pPr>
              <w:widowControl/>
              <w:jc w:val="left"/>
              <w:rPr>
                <w:rFonts w:ascii="华文仿宋" w:hAnsi="华文仿宋" w:eastAsia="华文仿宋" w:cs="宋体"/>
                <w:color w:val="auto"/>
                <w:sz w:val="24"/>
                <w:highlight w:val="none"/>
              </w:rPr>
            </w:pPr>
          </w:p>
        </w:tc>
      </w:tr>
      <w:tr w14:paraId="4117C679">
        <w:tblPrEx>
          <w:tblCellMar>
            <w:top w:w="0" w:type="dxa"/>
            <w:left w:w="108" w:type="dxa"/>
            <w:bottom w:w="0" w:type="dxa"/>
            <w:right w:w="108" w:type="dxa"/>
          </w:tblCellMar>
        </w:tblPrEx>
        <w:trPr>
          <w:trHeight w:val="499" w:hRule="atLeast"/>
          <w:jc w:val="center"/>
        </w:trPr>
        <w:tc>
          <w:tcPr>
            <w:tcW w:w="4910" w:type="dxa"/>
            <w:tcBorders>
              <w:top w:val="nil"/>
              <w:left w:val="single" w:color="auto" w:sz="4" w:space="0"/>
              <w:bottom w:val="nil"/>
              <w:right w:val="nil"/>
            </w:tcBorders>
            <w:vAlign w:val="center"/>
          </w:tcPr>
          <w:p w14:paraId="5D2FF2BF">
            <w:pPr>
              <w:widowControl/>
              <w:jc w:val="left"/>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 xml:space="preserve">传    真： </w:t>
            </w:r>
          </w:p>
        </w:tc>
        <w:tc>
          <w:tcPr>
            <w:tcW w:w="4850" w:type="dxa"/>
            <w:tcBorders>
              <w:top w:val="nil"/>
              <w:left w:val="nil"/>
              <w:bottom w:val="nil"/>
              <w:right w:val="single" w:color="auto" w:sz="4" w:space="0"/>
            </w:tcBorders>
            <w:vAlign w:val="center"/>
          </w:tcPr>
          <w:p w14:paraId="13806E65">
            <w:pPr>
              <w:widowControl/>
              <w:jc w:val="left"/>
              <w:rPr>
                <w:rFonts w:ascii="华文仿宋" w:hAnsi="华文仿宋" w:eastAsia="华文仿宋" w:cs="宋体"/>
                <w:color w:val="auto"/>
                <w:sz w:val="24"/>
                <w:highlight w:val="none"/>
              </w:rPr>
            </w:pPr>
          </w:p>
        </w:tc>
      </w:tr>
      <w:tr w14:paraId="03EF0109">
        <w:tblPrEx>
          <w:tblCellMar>
            <w:top w:w="0" w:type="dxa"/>
            <w:left w:w="108" w:type="dxa"/>
            <w:bottom w:w="0" w:type="dxa"/>
            <w:right w:w="108" w:type="dxa"/>
          </w:tblCellMar>
        </w:tblPrEx>
        <w:trPr>
          <w:trHeight w:val="499" w:hRule="atLeast"/>
          <w:jc w:val="center"/>
        </w:trPr>
        <w:tc>
          <w:tcPr>
            <w:tcW w:w="4910" w:type="dxa"/>
            <w:tcBorders>
              <w:top w:val="nil"/>
              <w:left w:val="single" w:color="auto" w:sz="4" w:space="0"/>
              <w:bottom w:val="nil"/>
              <w:right w:val="nil"/>
            </w:tcBorders>
            <w:vAlign w:val="center"/>
          </w:tcPr>
          <w:p w14:paraId="4825E91F">
            <w:pPr>
              <w:widowControl/>
              <w:jc w:val="left"/>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 xml:space="preserve">开户银行： </w:t>
            </w:r>
          </w:p>
        </w:tc>
        <w:tc>
          <w:tcPr>
            <w:tcW w:w="4850" w:type="dxa"/>
            <w:tcBorders>
              <w:top w:val="nil"/>
              <w:left w:val="nil"/>
              <w:bottom w:val="nil"/>
              <w:right w:val="single" w:color="auto" w:sz="4" w:space="0"/>
            </w:tcBorders>
            <w:vAlign w:val="center"/>
          </w:tcPr>
          <w:p w14:paraId="716D29F1">
            <w:pPr>
              <w:widowControl/>
              <w:jc w:val="left"/>
              <w:rPr>
                <w:rFonts w:ascii="华文仿宋" w:hAnsi="华文仿宋" w:eastAsia="华文仿宋" w:cs="宋体"/>
                <w:color w:val="auto"/>
                <w:sz w:val="24"/>
                <w:highlight w:val="none"/>
              </w:rPr>
            </w:pPr>
          </w:p>
        </w:tc>
      </w:tr>
      <w:tr w14:paraId="2936DCB6">
        <w:tblPrEx>
          <w:tblCellMar>
            <w:top w:w="0" w:type="dxa"/>
            <w:left w:w="108" w:type="dxa"/>
            <w:bottom w:w="0" w:type="dxa"/>
            <w:right w:w="108" w:type="dxa"/>
          </w:tblCellMar>
        </w:tblPrEx>
        <w:trPr>
          <w:trHeight w:val="499" w:hRule="atLeast"/>
          <w:jc w:val="center"/>
        </w:trPr>
        <w:tc>
          <w:tcPr>
            <w:tcW w:w="4910" w:type="dxa"/>
            <w:tcBorders>
              <w:top w:val="nil"/>
              <w:left w:val="single" w:color="auto" w:sz="4" w:space="0"/>
              <w:bottom w:val="nil"/>
              <w:right w:val="nil"/>
            </w:tcBorders>
            <w:vAlign w:val="center"/>
          </w:tcPr>
          <w:p w14:paraId="03075AC3">
            <w:pPr>
              <w:widowControl/>
              <w:jc w:val="left"/>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 xml:space="preserve">银行帐号： </w:t>
            </w:r>
          </w:p>
        </w:tc>
        <w:tc>
          <w:tcPr>
            <w:tcW w:w="4850" w:type="dxa"/>
            <w:tcBorders>
              <w:top w:val="nil"/>
              <w:left w:val="nil"/>
              <w:bottom w:val="nil"/>
              <w:right w:val="single" w:color="auto" w:sz="4" w:space="0"/>
            </w:tcBorders>
            <w:vAlign w:val="center"/>
          </w:tcPr>
          <w:p w14:paraId="4C31AFEC">
            <w:pPr>
              <w:widowControl/>
              <w:jc w:val="left"/>
              <w:rPr>
                <w:rFonts w:ascii="华文仿宋" w:hAnsi="华文仿宋" w:eastAsia="华文仿宋" w:cs="宋体"/>
                <w:color w:val="auto"/>
                <w:sz w:val="24"/>
                <w:highlight w:val="none"/>
              </w:rPr>
            </w:pPr>
          </w:p>
        </w:tc>
      </w:tr>
      <w:tr w14:paraId="2A3FD5FA">
        <w:tblPrEx>
          <w:tblCellMar>
            <w:top w:w="0" w:type="dxa"/>
            <w:left w:w="108" w:type="dxa"/>
            <w:bottom w:w="0" w:type="dxa"/>
            <w:right w:w="108" w:type="dxa"/>
          </w:tblCellMar>
        </w:tblPrEx>
        <w:trPr>
          <w:trHeight w:val="499" w:hRule="atLeast"/>
          <w:jc w:val="center"/>
        </w:trPr>
        <w:tc>
          <w:tcPr>
            <w:tcW w:w="4910" w:type="dxa"/>
            <w:tcBorders>
              <w:top w:val="nil"/>
              <w:left w:val="single" w:color="auto" w:sz="4" w:space="0"/>
              <w:bottom w:val="single" w:color="auto" w:sz="4" w:space="0"/>
              <w:right w:val="nil"/>
            </w:tcBorders>
            <w:vAlign w:val="center"/>
          </w:tcPr>
          <w:p w14:paraId="38BDF2C8">
            <w:pPr>
              <w:widowControl/>
              <w:jc w:val="left"/>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签订日期：20</w:t>
            </w:r>
            <w:r>
              <w:rPr>
                <w:rFonts w:ascii="华文仿宋" w:hAnsi="华文仿宋" w:eastAsia="华文仿宋" w:cs="宋体"/>
                <w:color w:val="auto"/>
                <w:sz w:val="24"/>
                <w:highlight w:val="none"/>
              </w:rPr>
              <w:t>25</w:t>
            </w:r>
            <w:r>
              <w:rPr>
                <w:rFonts w:hint="eastAsia" w:ascii="华文仿宋" w:hAnsi="华文仿宋" w:eastAsia="华文仿宋" w:cs="宋体"/>
                <w:color w:val="auto"/>
                <w:sz w:val="24"/>
                <w:highlight w:val="none"/>
              </w:rPr>
              <w:t xml:space="preserve">年  月  日 </w:t>
            </w:r>
          </w:p>
        </w:tc>
        <w:tc>
          <w:tcPr>
            <w:tcW w:w="4850" w:type="dxa"/>
            <w:tcBorders>
              <w:top w:val="nil"/>
              <w:left w:val="nil"/>
              <w:bottom w:val="single" w:color="auto" w:sz="4" w:space="0"/>
              <w:right w:val="single" w:color="auto" w:sz="4" w:space="0"/>
            </w:tcBorders>
            <w:vAlign w:val="center"/>
          </w:tcPr>
          <w:p w14:paraId="6A17B321">
            <w:pPr>
              <w:widowControl/>
              <w:jc w:val="left"/>
              <w:rPr>
                <w:rFonts w:ascii="华文仿宋" w:hAnsi="华文仿宋" w:eastAsia="华文仿宋" w:cs="宋体"/>
                <w:color w:val="auto"/>
                <w:sz w:val="24"/>
                <w:highlight w:val="none"/>
              </w:rPr>
            </w:pPr>
          </w:p>
        </w:tc>
      </w:tr>
      <w:tr w14:paraId="45632255">
        <w:tblPrEx>
          <w:tblCellMar>
            <w:top w:w="0" w:type="dxa"/>
            <w:left w:w="108" w:type="dxa"/>
            <w:bottom w:w="0" w:type="dxa"/>
            <w:right w:w="108" w:type="dxa"/>
          </w:tblCellMar>
        </w:tblPrEx>
        <w:trPr>
          <w:trHeight w:val="499" w:hRule="atLeast"/>
          <w:jc w:val="center"/>
        </w:trPr>
        <w:tc>
          <w:tcPr>
            <w:tcW w:w="4910" w:type="dxa"/>
            <w:tcBorders>
              <w:top w:val="nil"/>
              <w:left w:val="nil"/>
              <w:bottom w:val="nil"/>
              <w:right w:val="nil"/>
            </w:tcBorders>
            <w:vAlign w:val="center"/>
          </w:tcPr>
          <w:p w14:paraId="6E009B41">
            <w:pPr>
              <w:widowControl/>
              <w:jc w:val="left"/>
              <w:rPr>
                <w:rFonts w:ascii="华文仿宋" w:hAnsi="华文仿宋" w:eastAsia="华文仿宋" w:cs="宋体"/>
                <w:color w:val="auto"/>
                <w:sz w:val="24"/>
                <w:highlight w:val="none"/>
              </w:rPr>
            </w:pPr>
          </w:p>
        </w:tc>
        <w:tc>
          <w:tcPr>
            <w:tcW w:w="4850" w:type="dxa"/>
            <w:tcBorders>
              <w:top w:val="nil"/>
              <w:left w:val="nil"/>
              <w:bottom w:val="nil"/>
              <w:right w:val="nil"/>
            </w:tcBorders>
            <w:vAlign w:val="center"/>
          </w:tcPr>
          <w:p w14:paraId="2850F8BD">
            <w:pPr>
              <w:widowControl/>
              <w:jc w:val="left"/>
              <w:rPr>
                <w:rFonts w:ascii="华文仿宋" w:hAnsi="华文仿宋" w:eastAsia="华文仿宋" w:cs="宋体"/>
                <w:color w:val="auto"/>
                <w:sz w:val="24"/>
                <w:highlight w:val="none"/>
              </w:rPr>
            </w:pPr>
          </w:p>
        </w:tc>
      </w:tr>
      <w:tr w14:paraId="486B373B">
        <w:tblPrEx>
          <w:tblCellMar>
            <w:top w:w="0" w:type="dxa"/>
            <w:left w:w="108" w:type="dxa"/>
            <w:bottom w:w="0" w:type="dxa"/>
            <w:right w:w="108" w:type="dxa"/>
          </w:tblCellMar>
        </w:tblPrEx>
        <w:trPr>
          <w:trHeight w:val="499" w:hRule="atLeast"/>
          <w:jc w:val="center"/>
        </w:trPr>
        <w:tc>
          <w:tcPr>
            <w:tcW w:w="9760" w:type="dxa"/>
            <w:gridSpan w:val="2"/>
            <w:tcBorders>
              <w:top w:val="single" w:color="auto" w:sz="4" w:space="0"/>
              <w:left w:val="single" w:color="auto" w:sz="4" w:space="0"/>
              <w:bottom w:val="single" w:color="auto" w:sz="4" w:space="0"/>
              <w:right w:val="single" w:color="auto" w:sz="4" w:space="0"/>
            </w:tcBorders>
            <w:vAlign w:val="center"/>
          </w:tcPr>
          <w:p w14:paraId="0728EF26">
            <w:pPr>
              <w:widowControl/>
              <w:jc w:val="left"/>
              <w:rPr>
                <w:rFonts w:ascii="华文仿宋" w:hAnsi="华文仿宋" w:eastAsia="华文仿宋" w:cs="宋体"/>
                <w:b/>
                <w:bCs/>
                <w:color w:val="auto"/>
                <w:sz w:val="24"/>
                <w:highlight w:val="none"/>
              </w:rPr>
            </w:pPr>
            <w:r>
              <w:rPr>
                <w:rFonts w:hint="eastAsia" w:ascii="华文仿宋" w:hAnsi="华文仿宋" w:eastAsia="华文仿宋" w:cs="宋体"/>
                <w:b/>
                <w:bCs/>
                <w:color w:val="auto"/>
                <w:sz w:val="24"/>
                <w:highlight w:val="none"/>
              </w:rPr>
              <w:t>承包人:</w:t>
            </w:r>
          </w:p>
        </w:tc>
      </w:tr>
      <w:tr w14:paraId="1969322C">
        <w:tblPrEx>
          <w:tblCellMar>
            <w:top w:w="0" w:type="dxa"/>
            <w:left w:w="108" w:type="dxa"/>
            <w:bottom w:w="0" w:type="dxa"/>
            <w:right w:w="108" w:type="dxa"/>
          </w:tblCellMar>
        </w:tblPrEx>
        <w:trPr>
          <w:trHeight w:val="859" w:hRule="atLeast"/>
          <w:jc w:val="center"/>
        </w:trPr>
        <w:tc>
          <w:tcPr>
            <w:tcW w:w="4910" w:type="dxa"/>
            <w:tcBorders>
              <w:top w:val="nil"/>
              <w:left w:val="single" w:color="auto" w:sz="4" w:space="0"/>
              <w:bottom w:val="nil"/>
              <w:right w:val="nil"/>
            </w:tcBorders>
            <w:vAlign w:val="center"/>
          </w:tcPr>
          <w:p w14:paraId="5432B5A3">
            <w:pPr>
              <w:widowControl/>
              <w:jc w:val="left"/>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名称：</w:t>
            </w:r>
          </w:p>
        </w:tc>
        <w:tc>
          <w:tcPr>
            <w:tcW w:w="4850" w:type="dxa"/>
            <w:tcBorders>
              <w:top w:val="nil"/>
              <w:left w:val="nil"/>
              <w:bottom w:val="nil"/>
              <w:right w:val="single" w:color="auto" w:sz="4" w:space="0"/>
            </w:tcBorders>
            <w:vAlign w:val="center"/>
          </w:tcPr>
          <w:p w14:paraId="386F1AF0">
            <w:pPr>
              <w:widowControl/>
              <w:jc w:val="left"/>
              <w:rPr>
                <w:rFonts w:ascii="华文仿宋" w:hAnsi="华文仿宋" w:eastAsia="华文仿宋" w:cs="宋体"/>
                <w:color w:val="auto"/>
                <w:sz w:val="24"/>
                <w:highlight w:val="none"/>
              </w:rPr>
            </w:pPr>
          </w:p>
        </w:tc>
      </w:tr>
      <w:tr w14:paraId="3E4B851D">
        <w:tblPrEx>
          <w:tblCellMar>
            <w:top w:w="0" w:type="dxa"/>
            <w:left w:w="108" w:type="dxa"/>
            <w:bottom w:w="0" w:type="dxa"/>
            <w:right w:w="108" w:type="dxa"/>
          </w:tblCellMar>
        </w:tblPrEx>
        <w:trPr>
          <w:trHeight w:val="1002" w:hRule="atLeast"/>
          <w:jc w:val="center"/>
        </w:trPr>
        <w:tc>
          <w:tcPr>
            <w:tcW w:w="4910" w:type="dxa"/>
            <w:tcBorders>
              <w:top w:val="nil"/>
              <w:left w:val="single" w:color="auto" w:sz="4" w:space="0"/>
              <w:bottom w:val="nil"/>
              <w:right w:val="nil"/>
            </w:tcBorders>
            <w:vAlign w:val="center"/>
          </w:tcPr>
          <w:p w14:paraId="73B6724F">
            <w:pPr>
              <w:widowControl/>
              <w:jc w:val="left"/>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法定代表人或授权代理人：</w:t>
            </w:r>
          </w:p>
        </w:tc>
        <w:tc>
          <w:tcPr>
            <w:tcW w:w="4850" w:type="dxa"/>
            <w:tcBorders>
              <w:top w:val="nil"/>
              <w:left w:val="nil"/>
              <w:bottom w:val="nil"/>
              <w:right w:val="single" w:color="auto" w:sz="4" w:space="0"/>
            </w:tcBorders>
            <w:vAlign w:val="center"/>
          </w:tcPr>
          <w:p w14:paraId="394C46F9">
            <w:pPr>
              <w:widowControl/>
              <w:jc w:val="left"/>
              <w:rPr>
                <w:rFonts w:ascii="华文仿宋" w:hAnsi="华文仿宋" w:eastAsia="华文仿宋" w:cs="宋体"/>
                <w:color w:val="auto"/>
                <w:sz w:val="24"/>
                <w:highlight w:val="none"/>
              </w:rPr>
            </w:pPr>
          </w:p>
        </w:tc>
      </w:tr>
      <w:tr w14:paraId="66F66140">
        <w:tblPrEx>
          <w:tblCellMar>
            <w:top w:w="0" w:type="dxa"/>
            <w:left w:w="108" w:type="dxa"/>
            <w:bottom w:w="0" w:type="dxa"/>
            <w:right w:w="108" w:type="dxa"/>
          </w:tblCellMar>
        </w:tblPrEx>
        <w:trPr>
          <w:trHeight w:val="499" w:hRule="atLeast"/>
          <w:jc w:val="center"/>
        </w:trPr>
        <w:tc>
          <w:tcPr>
            <w:tcW w:w="4910" w:type="dxa"/>
            <w:tcBorders>
              <w:top w:val="nil"/>
              <w:left w:val="single" w:color="auto" w:sz="4" w:space="0"/>
              <w:bottom w:val="nil"/>
              <w:right w:val="nil"/>
            </w:tcBorders>
            <w:vAlign w:val="center"/>
          </w:tcPr>
          <w:p w14:paraId="723E8E63">
            <w:pPr>
              <w:widowControl/>
              <w:ind w:left="1200" w:right="-120" w:rightChars="-57" w:hanging="1200" w:hangingChars="500"/>
              <w:jc w:val="left"/>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地    址：</w:t>
            </w:r>
            <w:r>
              <w:rPr>
                <w:rFonts w:hint="eastAsia" w:ascii="华文仿宋" w:hAnsi="华文仿宋" w:eastAsia="华文仿宋" w:cs="宋体"/>
                <w:color w:val="auto"/>
                <w:w w:val="80"/>
                <w:sz w:val="24"/>
                <w:highlight w:val="none"/>
              </w:rPr>
              <w:t xml:space="preserve"> </w:t>
            </w:r>
          </w:p>
        </w:tc>
        <w:tc>
          <w:tcPr>
            <w:tcW w:w="4850" w:type="dxa"/>
            <w:tcBorders>
              <w:top w:val="nil"/>
              <w:left w:val="nil"/>
              <w:bottom w:val="nil"/>
              <w:right w:val="single" w:color="auto" w:sz="4" w:space="0"/>
            </w:tcBorders>
            <w:vAlign w:val="center"/>
          </w:tcPr>
          <w:p w14:paraId="64E95889">
            <w:pPr>
              <w:widowControl/>
              <w:jc w:val="left"/>
              <w:rPr>
                <w:rFonts w:ascii="华文仿宋" w:hAnsi="华文仿宋" w:eastAsia="华文仿宋" w:cs="宋体"/>
                <w:color w:val="auto"/>
                <w:sz w:val="24"/>
                <w:highlight w:val="none"/>
              </w:rPr>
            </w:pPr>
          </w:p>
        </w:tc>
      </w:tr>
      <w:tr w14:paraId="4AFAD054">
        <w:tblPrEx>
          <w:tblCellMar>
            <w:top w:w="0" w:type="dxa"/>
            <w:left w:w="108" w:type="dxa"/>
            <w:bottom w:w="0" w:type="dxa"/>
            <w:right w:w="108" w:type="dxa"/>
          </w:tblCellMar>
        </w:tblPrEx>
        <w:trPr>
          <w:trHeight w:val="499" w:hRule="atLeast"/>
          <w:jc w:val="center"/>
        </w:trPr>
        <w:tc>
          <w:tcPr>
            <w:tcW w:w="4910" w:type="dxa"/>
            <w:tcBorders>
              <w:top w:val="nil"/>
              <w:left w:val="single" w:color="auto" w:sz="4" w:space="0"/>
              <w:bottom w:val="nil"/>
              <w:right w:val="nil"/>
            </w:tcBorders>
            <w:vAlign w:val="center"/>
          </w:tcPr>
          <w:p w14:paraId="14FDBA28">
            <w:pPr>
              <w:widowControl/>
              <w:jc w:val="left"/>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 xml:space="preserve">邮政编码： </w:t>
            </w:r>
          </w:p>
        </w:tc>
        <w:tc>
          <w:tcPr>
            <w:tcW w:w="4850" w:type="dxa"/>
            <w:tcBorders>
              <w:top w:val="nil"/>
              <w:left w:val="nil"/>
              <w:bottom w:val="nil"/>
              <w:right w:val="single" w:color="auto" w:sz="4" w:space="0"/>
            </w:tcBorders>
            <w:vAlign w:val="center"/>
          </w:tcPr>
          <w:p w14:paraId="64DB4534">
            <w:pPr>
              <w:widowControl/>
              <w:jc w:val="left"/>
              <w:rPr>
                <w:rFonts w:ascii="华文仿宋" w:hAnsi="华文仿宋" w:eastAsia="华文仿宋" w:cs="宋体"/>
                <w:color w:val="auto"/>
                <w:sz w:val="24"/>
                <w:highlight w:val="none"/>
              </w:rPr>
            </w:pPr>
          </w:p>
        </w:tc>
      </w:tr>
      <w:tr w14:paraId="4B01183C">
        <w:tblPrEx>
          <w:tblCellMar>
            <w:top w:w="0" w:type="dxa"/>
            <w:left w:w="108" w:type="dxa"/>
            <w:bottom w:w="0" w:type="dxa"/>
            <w:right w:w="108" w:type="dxa"/>
          </w:tblCellMar>
        </w:tblPrEx>
        <w:trPr>
          <w:trHeight w:val="499" w:hRule="atLeast"/>
          <w:jc w:val="center"/>
        </w:trPr>
        <w:tc>
          <w:tcPr>
            <w:tcW w:w="4910" w:type="dxa"/>
            <w:tcBorders>
              <w:top w:val="nil"/>
              <w:left w:val="single" w:color="auto" w:sz="4" w:space="0"/>
              <w:bottom w:val="nil"/>
              <w:right w:val="nil"/>
            </w:tcBorders>
            <w:vAlign w:val="center"/>
          </w:tcPr>
          <w:p w14:paraId="13170AB3">
            <w:pPr>
              <w:widowControl/>
              <w:jc w:val="left"/>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 xml:space="preserve">电    话： </w:t>
            </w:r>
          </w:p>
        </w:tc>
        <w:tc>
          <w:tcPr>
            <w:tcW w:w="4850" w:type="dxa"/>
            <w:tcBorders>
              <w:top w:val="nil"/>
              <w:left w:val="nil"/>
              <w:bottom w:val="nil"/>
              <w:right w:val="single" w:color="auto" w:sz="4" w:space="0"/>
            </w:tcBorders>
            <w:vAlign w:val="center"/>
          </w:tcPr>
          <w:p w14:paraId="760222E1">
            <w:pPr>
              <w:widowControl/>
              <w:jc w:val="left"/>
              <w:rPr>
                <w:rFonts w:ascii="华文仿宋" w:hAnsi="华文仿宋" w:eastAsia="华文仿宋" w:cs="宋体"/>
                <w:color w:val="auto"/>
                <w:sz w:val="24"/>
                <w:highlight w:val="none"/>
              </w:rPr>
            </w:pPr>
          </w:p>
        </w:tc>
      </w:tr>
      <w:tr w14:paraId="3C2A983B">
        <w:tblPrEx>
          <w:tblCellMar>
            <w:top w:w="0" w:type="dxa"/>
            <w:left w:w="108" w:type="dxa"/>
            <w:bottom w:w="0" w:type="dxa"/>
            <w:right w:w="108" w:type="dxa"/>
          </w:tblCellMar>
        </w:tblPrEx>
        <w:trPr>
          <w:trHeight w:val="499" w:hRule="atLeast"/>
          <w:jc w:val="center"/>
        </w:trPr>
        <w:tc>
          <w:tcPr>
            <w:tcW w:w="4910" w:type="dxa"/>
            <w:tcBorders>
              <w:top w:val="nil"/>
              <w:left w:val="single" w:color="auto" w:sz="4" w:space="0"/>
              <w:bottom w:val="nil"/>
              <w:right w:val="nil"/>
            </w:tcBorders>
            <w:vAlign w:val="center"/>
          </w:tcPr>
          <w:p w14:paraId="040B9170">
            <w:pPr>
              <w:widowControl/>
              <w:jc w:val="left"/>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 xml:space="preserve">传    真： </w:t>
            </w:r>
          </w:p>
        </w:tc>
        <w:tc>
          <w:tcPr>
            <w:tcW w:w="4850" w:type="dxa"/>
            <w:tcBorders>
              <w:top w:val="nil"/>
              <w:left w:val="nil"/>
              <w:bottom w:val="nil"/>
              <w:right w:val="single" w:color="auto" w:sz="4" w:space="0"/>
            </w:tcBorders>
            <w:vAlign w:val="center"/>
          </w:tcPr>
          <w:p w14:paraId="4AD72EC8">
            <w:pPr>
              <w:widowControl/>
              <w:jc w:val="left"/>
              <w:rPr>
                <w:rFonts w:ascii="华文仿宋" w:hAnsi="华文仿宋" w:eastAsia="华文仿宋" w:cs="宋体"/>
                <w:color w:val="auto"/>
                <w:sz w:val="24"/>
                <w:highlight w:val="none"/>
              </w:rPr>
            </w:pPr>
          </w:p>
        </w:tc>
      </w:tr>
      <w:tr w14:paraId="66EBE8A9">
        <w:tblPrEx>
          <w:tblCellMar>
            <w:top w:w="0" w:type="dxa"/>
            <w:left w:w="108" w:type="dxa"/>
            <w:bottom w:w="0" w:type="dxa"/>
            <w:right w:w="108" w:type="dxa"/>
          </w:tblCellMar>
        </w:tblPrEx>
        <w:trPr>
          <w:trHeight w:val="499" w:hRule="atLeast"/>
          <w:jc w:val="center"/>
        </w:trPr>
        <w:tc>
          <w:tcPr>
            <w:tcW w:w="4910" w:type="dxa"/>
            <w:tcBorders>
              <w:top w:val="nil"/>
              <w:left w:val="single" w:color="auto" w:sz="4" w:space="0"/>
              <w:bottom w:val="nil"/>
              <w:right w:val="nil"/>
            </w:tcBorders>
            <w:vAlign w:val="center"/>
          </w:tcPr>
          <w:p w14:paraId="491EE6A6">
            <w:pPr>
              <w:widowControl/>
              <w:jc w:val="left"/>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 xml:space="preserve">开户银行： </w:t>
            </w:r>
          </w:p>
        </w:tc>
        <w:tc>
          <w:tcPr>
            <w:tcW w:w="4850" w:type="dxa"/>
            <w:tcBorders>
              <w:top w:val="nil"/>
              <w:left w:val="nil"/>
              <w:bottom w:val="nil"/>
              <w:right w:val="single" w:color="auto" w:sz="4" w:space="0"/>
            </w:tcBorders>
            <w:vAlign w:val="center"/>
          </w:tcPr>
          <w:p w14:paraId="418358A1">
            <w:pPr>
              <w:widowControl/>
              <w:jc w:val="left"/>
              <w:rPr>
                <w:rFonts w:ascii="华文仿宋" w:hAnsi="华文仿宋" w:eastAsia="华文仿宋" w:cs="宋体"/>
                <w:color w:val="auto"/>
                <w:sz w:val="24"/>
                <w:highlight w:val="none"/>
              </w:rPr>
            </w:pPr>
          </w:p>
        </w:tc>
      </w:tr>
      <w:tr w14:paraId="2FE22D16">
        <w:tblPrEx>
          <w:tblCellMar>
            <w:top w:w="0" w:type="dxa"/>
            <w:left w:w="108" w:type="dxa"/>
            <w:bottom w:w="0" w:type="dxa"/>
            <w:right w:w="108" w:type="dxa"/>
          </w:tblCellMar>
        </w:tblPrEx>
        <w:trPr>
          <w:trHeight w:val="499" w:hRule="atLeast"/>
          <w:jc w:val="center"/>
        </w:trPr>
        <w:tc>
          <w:tcPr>
            <w:tcW w:w="4910" w:type="dxa"/>
            <w:tcBorders>
              <w:top w:val="nil"/>
              <w:left w:val="single" w:color="auto" w:sz="4" w:space="0"/>
              <w:bottom w:val="nil"/>
              <w:right w:val="nil"/>
            </w:tcBorders>
            <w:vAlign w:val="center"/>
          </w:tcPr>
          <w:p w14:paraId="034982E0">
            <w:pPr>
              <w:widowControl/>
              <w:jc w:val="left"/>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 xml:space="preserve">银行帐号： </w:t>
            </w:r>
          </w:p>
        </w:tc>
        <w:tc>
          <w:tcPr>
            <w:tcW w:w="4850" w:type="dxa"/>
            <w:tcBorders>
              <w:top w:val="nil"/>
              <w:left w:val="nil"/>
              <w:bottom w:val="nil"/>
              <w:right w:val="single" w:color="auto" w:sz="4" w:space="0"/>
            </w:tcBorders>
            <w:vAlign w:val="center"/>
          </w:tcPr>
          <w:p w14:paraId="362E78EF">
            <w:pPr>
              <w:widowControl/>
              <w:jc w:val="left"/>
              <w:rPr>
                <w:rFonts w:ascii="华文仿宋" w:hAnsi="华文仿宋" w:eastAsia="华文仿宋" w:cs="宋体"/>
                <w:color w:val="auto"/>
                <w:sz w:val="24"/>
                <w:highlight w:val="none"/>
              </w:rPr>
            </w:pPr>
          </w:p>
        </w:tc>
      </w:tr>
      <w:tr w14:paraId="7C621AF4">
        <w:tblPrEx>
          <w:tblCellMar>
            <w:top w:w="0" w:type="dxa"/>
            <w:left w:w="108" w:type="dxa"/>
            <w:bottom w:w="0" w:type="dxa"/>
            <w:right w:w="108" w:type="dxa"/>
          </w:tblCellMar>
        </w:tblPrEx>
        <w:trPr>
          <w:trHeight w:val="499" w:hRule="atLeast"/>
          <w:jc w:val="center"/>
        </w:trPr>
        <w:tc>
          <w:tcPr>
            <w:tcW w:w="4910" w:type="dxa"/>
            <w:tcBorders>
              <w:top w:val="nil"/>
              <w:left w:val="single" w:color="auto" w:sz="4" w:space="0"/>
              <w:bottom w:val="single" w:color="auto" w:sz="4" w:space="0"/>
              <w:right w:val="nil"/>
            </w:tcBorders>
            <w:vAlign w:val="center"/>
          </w:tcPr>
          <w:p w14:paraId="12E881AE">
            <w:pPr>
              <w:widowControl/>
              <w:jc w:val="left"/>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签订日期：202</w:t>
            </w:r>
            <w:r>
              <w:rPr>
                <w:rFonts w:ascii="华文仿宋" w:hAnsi="华文仿宋" w:eastAsia="华文仿宋" w:cs="宋体"/>
                <w:color w:val="auto"/>
                <w:sz w:val="24"/>
                <w:highlight w:val="none"/>
              </w:rPr>
              <w:t>5</w:t>
            </w:r>
            <w:r>
              <w:rPr>
                <w:rFonts w:hint="eastAsia" w:ascii="华文仿宋" w:hAnsi="华文仿宋" w:eastAsia="华文仿宋" w:cs="宋体"/>
                <w:color w:val="auto"/>
                <w:sz w:val="24"/>
                <w:highlight w:val="none"/>
              </w:rPr>
              <w:t xml:space="preserve">年  月  日 </w:t>
            </w:r>
          </w:p>
        </w:tc>
        <w:tc>
          <w:tcPr>
            <w:tcW w:w="4850" w:type="dxa"/>
            <w:tcBorders>
              <w:top w:val="nil"/>
              <w:left w:val="nil"/>
              <w:bottom w:val="single" w:color="auto" w:sz="4" w:space="0"/>
              <w:right w:val="single" w:color="auto" w:sz="4" w:space="0"/>
            </w:tcBorders>
            <w:vAlign w:val="center"/>
          </w:tcPr>
          <w:p w14:paraId="7CC3BE22">
            <w:pPr>
              <w:widowControl/>
              <w:jc w:val="left"/>
              <w:rPr>
                <w:rFonts w:ascii="华文仿宋" w:hAnsi="华文仿宋" w:eastAsia="华文仿宋" w:cs="宋体"/>
                <w:color w:val="auto"/>
                <w:sz w:val="24"/>
                <w:highlight w:val="none"/>
              </w:rPr>
            </w:pPr>
          </w:p>
        </w:tc>
      </w:tr>
    </w:tbl>
    <w:p w14:paraId="5AB1058A">
      <w:pPr>
        <w:spacing w:line="360" w:lineRule="auto"/>
        <w:jc w:val="center"/>
        <w:rPr>
          <w:rFonts w:ascii="华文仿宋" w:hAnsi="华文仿宋" w:eastAsia="华文仿宋" w:cs="仿宋"/>
          <w:b/>
          <w:color w:val="auto"/>
          <w:kern w:val="1"/>
          <w:sz w:val="28"/>
          <w:szCs w:val="28"/>
          <w:highlight w:val="none"/>
        </w:rPr>
      </w:pPr>
    </w:p>
    <w:p w14:paraId="05E62275">
      <w:pPr>
        <w:rPr>
          <w:rFonts w:hint="eastAsia"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br w:type="page"/>
      </w:r>
    </w:p>
    <w:p w14:paraId="5BE72287">
      <w:pPr>
        <w:spacing w:line="360" w:lineRule="auto"/>
        <w:jc w:val="center"/>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第二部分   通用条款</w:t>
      </w:r>
    </w:p>
    <w:p w14:paraId="4D2476F9">
      <w:pPr>
        <w:spacing w:line="360" w:lineRule="auto"/>
        <w:rPr>
          <w:rFonts w:ascii="华文仿宋" w:hAnsi="华文仿宋" w:eastAsia="华文仿宋" w:cs="仿宋"/>
          <w:color w:val="auto"/>
          <w:kern w:val="1"/>
          <w:sz w:val="28"/>
          <w:szCs w:val="28"/>
          <w:highlight w:val="none"/>
        </w:rPr>
      </w:pPr>
    </w:p>
    <w:p w14:paraId="0AF517CF">
      <w:pPr>
        <w:spacing w:line="360" w:lineRule="auto"/>
        <w:ind w:firstLine="560"/>
        <w:outlineLvl w:val="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一、词语定义及合同文件</w:t>
      </w:r>
    </w:p>
    <w:p w14:paraId="779F2282">
      <w:pPr>
        <w:spacing w:line="360" w:lineRule="auto"/>
        <w:ind w:firstLine="562"/>
        <w:rPr>
          <w:rFonts w:ascii="华文仿宋" w:hAnsi="华文仿宋" w:eastAsia="华文仿宋" w:cs="仿宋"/>
          <w:b/>
          <w:color w:val="auto"/>
          <w:kern w:val="1"/>
          <w:sz w:val="28"/>
          <w:szCs w:val="28"/>
          <w:highlight w:val="none"/>
        </w:rPr>
      </w:pPr>
      <w:r>
        <w:rPr>
          <w:rFonts w:ascii="华文仿宋" w:hAnsi="华文仿宋" w:eastAsia="华文仿宋" w:cs="仿宋"/>
          <w:b/>
          <w:color w:val="auto"/>
          <w:kern w:val="1"/>
          <w:sz w:val="28"/>
          <w:szCs w:val="28"/>
          <w:highlight w:val="none"/>
        </w:rPr>
        <w:t>1</w:t>
      </w:r>
      <w:r>
        <w:rPr>
          <w:rFonts w:hint="eastAsia" w:ascii="华文仿宋" w:hAnsi="华文仿宋" w:eastAsia="华文仿宋" w:cs="仿宋"/>
          <w:b/>
          <w:color w:val="auto"/>
          <w:kern w:val="1"/>
          <w:sz w:val="28"/>
          <w:szCs w:val="28"/>
          <w:highlight w:val="none"/>
        </w:rPr>
        <w:t>．词语定义</w:t>
      </w:r>
    </w:p>
    <w:p w14:paraId="2EFBCBEA">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下列词语除专用条款另有约定外，应具有本条所赋予的定义：</w:t>
      </w:r>
    </w:p>
    <w:p w14:paraId="0CCA9F10">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1.1</w:t>
      </w:r>
      <w:r>
        <w:rPr>
          <w:rFonts w:hint="eastAsia" w:ascii="华文仿宋" w:hAnsi="华文仿宋" w:eastAsia="华文仿宋" w:cs="仿宋"/>
          <w:color w:val="auto"/>
          <w:kern w:val="1"/>
          <w:sz w:val="28"/>
          <w:szCs w:val="28"/>
          <w:highlight w:val="none"/>
        </w:rPr>
        <w:t>通用条款：是根据法律、行政法规规定及建设工程施工的需要订立，通用于建设工程施工的条款。</w:t>
      </w:r>
    </w:p>
    <w:p w14:paraId="5444CE20">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1.2</w:t>
      </w:r>
      <w:r>
        <w:rPr>
          <w:rFonts w:hint="eastAsia" w:ascii="华文仿宋" w:hAnsi="华文仿宋" w:eastAsia="华文仿宋" w:cs="仿宋"/>
          <w:color w:val="auto"/>
          <w:kern w:val="1"/>
          <w:sz w:val="28"/>
          <w:szCs w:val="28"/>
          <w:highlight w:val="none"/>
        </w:rPr>
        <w:t>专用条款：是发包人与承包人根据法律、行政法规规定，结合具体工程实际，经协商达成一致意见的条款，是对通用条款的具体化、补充或修改。</w:t>
      </w:r>
    </w:p>
    <w:p w14:paraId="6EA48CFF">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1.3</w:t>
      </w:r>
      <w:r>
        <w:rPr>
          <w:rFonts w:hint="eastAsia" w:ascii="华文仿宋" w:hAnsi="华文仿宋" w:eastAsia="华文仿宋" w:cs="仿宋"/>
          <w:color w:val="auto"/>
          <w:kern w:val="1"/>
          <w:sz w:val="28"/>
          <w:szCs w:val="28"/>
          <w:highlight w:val="none"/>
        </w:rPr>
        <w:t>发包人：指在协议书中约定，具有工程发包主体资格和支付工程价款能力的当事人以及取得该当事人资格的合法继承人。</w:t>
      </w:r>
    </w:p>
    <w:p w14:paraId="39C1F7A4">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1.4</w:t>
      </w:r>
      <w:r>
        <w:rPr>
          <w:rFonts w:hint="eastAsia" w:ascii="华文仿宋" w:hAnsi="华文仿宋" w:eastAsia="华文仿宋" w:cs="仿宋"/>
          <w:color w:val="auto"/>
          <w:kern w:val="1"/>
          <w:sz w:val="28"/>
          <w:szCs w:val="28"/>
          <w:highlight w:val="none"/>
        </w:rPr>
        <w:t>承包人：指在协议书中约定，被发包人接受的具有工程施工承包主体资格的当事人以及取得该当事人资格的合法继承人。</w:t>
      </w:r>
    </w:p>
    <w:p w14:paraId="614622B9">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1.5</w:t>
      </w:r>
      <w:r>
        <w:rPr>
          <w:rFonts w:hint="eastAsia" w:ascii="华文仿宋" w:hAnsi="华文仿宋" w:eastAsia="华文仿宋" w:cs="仿宋"/>
          <w:color w:val="auto"/>
          <w:kern w:val="1"/>
          <w:sz w:val="28"/>
          <w:szCs w:val="28"/>
          <w:highlight w:val="none"/>
        </w:rPr>
        <w:t>项目经理：指承包人在专用条款中指定的负责施工管理和合同履行的代表。</w:t>
      </w:r>
    </w:p>
    <w:p w14:paraId="5AAEEC5F">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1.6</w:t>
      </w:r>
      <w:r>
        <w:rPr>
          <w:rFonts w:hint="eastAsia" w:ascii="华文仿宋" w:hAnsi="华文仿宋" w:eastAsia="华文仿宋" w:cs="仿宋"/>
          <w:color w:val="auto"/>
          <w:kern w:val="1"/>
          <w:sz w:val="28"/>
          <w:szCs w:val="28"/>
          <w:highlight w:val="none"/>
        </w:rPr>
        <w:t>设计单位：指发包人委托的负责本工程设计并取得相应工程设计资质等级证书的单位。</w:t>
      </w:r>
    </w:p>
    <w:p w14:paraId="03AED833">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1.7</w:t>
      </w:r>
      <w:r>
        <w:rPr>
          <w:rFonts w:hint="eastAsia" w:ascii="华文仿宋" w:hAnsi="华文仿宋" w:eastAsia="华文仿宋" w:cs="仿宋"/>
          <w:color w:val="auto"/>
          <w:kern w:val="1"/>
          <w:sz w:val="28"/>
          <w:szCs w:val="28"/>
          <w:highlight w:val="none"/>
        </w:rPr>
        <w:t>监理单位：指发包人委托的负责本工程监理并取得相应工程监理资质等级证书的单位。</w:t>
      </w:r>
    </w:p>
    <w:p w14:paraId="65A8CE47">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1.8</w:t>
      </w:r>
      <w:r>
        <w:rPr>
          <w:rFonts w:hint="eastAsia" w:ascii="华文仿宋" w:hAnsi="华文仿宋" w:eastAsia="华文仿宋" w:cs="仿宋"/>
          <w:color w:val="auto"/>
          <w:kern w:val="1"/>
          <w:sz w:val="28"/>
          <w:szCs w:val="28"/>
          <w:highlight w:val="none"/>
        </w:rPr>
        <w:t>工程师：指本工程监理单位委派的总监理工程师或发包人指定的履行本合同的代表，其具体身份和职权由发包人承包人在专用条款中约定。</w:t>
      </w:r>
    </w:p>
    <w:p w14:paraId="17FE6B03">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1.9</w:t>
      </w:r>
      <w:r>
        <w:rPr>
          <w:rFonts w:hint="eastAsia" w:ascii="华文仿宋" w:hAnsi="华文仿宋" w:eastAsia="华文仿宋" w:cs="仿宋"/>
          <w:color w:val="auto"/>
          <w:kern w:val="1"/>
          <w:sz w:val="28"/>
          <w:szCs w:val="28"/>
          <w:highlight w:val="none"/>
        </w:rPr>
        <w:t>工程造价管理部门：指国务院有关部门、县级以上人民政府建设行政主管部门或其委托的工程造价管理机构。</w:t>
      </w:r>
    </w:p>
    <w:p w14:paraId="165C172D">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1.10</w:t>
      </w:r>
      <w:r>
        <w:rPr>
          <w:rFonts w:hint="eastAsia" w:ascii="华文仿宋" w:hAnsi="华文仿宋" w:eastAsia="华文仿宋" w:cs="仿宋"/>
          <w:color w:val="auto"/>
          <w:kern w:val="1"/>
          <w:sz w:val="28"/>
          <w:szCs w:val="28"/>
          <w:highlight w:val="none"/>
        </w:rPr>
        <w:t>工程：指发包人承包人在协议书中约定的承包范围内的工程。</w:t>
      </w:r>
    </w:p>
    <w:p w14:paraId="65F1DEF4">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1.11</w:t>
      </w:r>
      <w:r>
        <w:rPr>
          <w:rFonts w:hint="eastAsia" w:ascii="华文仿宋" w:hAnsi="华文仿宋" w:eastAsia="华文仿宋" w:cs="仿宋"/>
          <w:color w:val="auto"/>
          <w:kern w:val="1"/>
          <w:sz w:val="28"/>
          <w:szCs w:val="28"/>
          <w:highlight w:val="none"/>
        </w:rPr>
        <w:t>合同价款：指发包人承包人在协议书中约定，发包人用以支付承包人按照合同约定完成承包范围内全部工程并承担质量保修责任的款项。</w:t>
      </w:r>
    </w:p>
    <w:p w14:paraId="0B032D08">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1.12</w:t>
      </w:r>
      <w:r>
        <w:rPr>
          <w:rFonts w:hint="eastAsia" w:ascii="华文仿宋" w:hAnsi="华文仿宋" w:eastAsia="华文仿宋" w:cs="仿宋"/>
          <w:color w:val="auto"/>
          <w:kern w:val="1"/>
          <w:sz w:val="28"/>
          <w:szCs w:val="28"/>
          <w:highlight w:val="none"/>
        </w:rPr>
        <w:t>追加合同价款：指在合同履行中发生需要增加合同价款的情况，经发包人确认后按计算合同价款的方法增加的合同价款。</w:t>
      </w:r>
    </w:p>
    <w:p w14:paraId="13E33F16">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1.13</w:t>
      </w:r>
      <w:r>
        <w:rPr>
          <w:rFonts w:hint="eastAsia" w:ascii="华文仿宋" w:hAnsi="华文仿宋" w:eastAsia="华文仿宋" w:cs="仿宋"/>
          <w:color w:val="auto"/>
          <w:kern w:val="1"/>
          <w:sz w:val="28"/>
          <w:szCs w:val="28"/>
          <w:highlight w:val="none"/>
        </w:rPr>
        <w:t>费用：指不包含在合同价款之内的应当由发包人或承包人承担的经济支出。</w:t>
      </w:r>
    </w:p>
    <w:p w14:paraId="0FF7E4CB">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1.14</w:t>
      </w:r>
      <w:r>
        <w:rPr>
          <w:rFonts w:hint="eastAsia" w:ascii="华文仿宋" w:hAnsi="华文仿宋" w:eastAsia="华文仿宋" w:cs="仿宋"/>
          <w:color w:val="auto"/>
          <w:kern w:val="1"/>
          <w:sz w:val="28"/>
          <w:szCs w:val="28"/>
          <w:highlight w:val="none"/>
        </w:rPr>
        <w:t>工期：指发包人承包人在协议书中约定，按总日历天数（包括法定节假日）计算的承包天数。</w:t>
      </w:r>
    </w:p>
    <w:p w14:paraId="34110342">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1.15</w:t>
      </w:r>
      <w:r>
        <w:rPr>
          <w:rFonts w:hint="eastAsia" w:ascii="华文仿宋" w:hAnsi="华文仿宋" w:eastAsia="华文仿宋" w:cs="仿宋"/>
          <w:color w:val="auto"/>
          <w:kern w:val="1"/>
          <w:sz w:val="28"/>
          <w:szCs w:val="28"/>
          <w:highlight w:val="none"/>
        </w:rPr>
        <w:t>开工日期：指发包人承包人在协议书中约定，承包人开始施工的绝对或相对的日期。</w:t>
      </w:r>
    </w:p>
    <w:p w14:paraId="0BB6C7B5">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1.16</w:t>
      </w:r>
      <w:r>
        <w:rPr>
          <w:rFonts w:hint="eastAsia" w:ascii="华文仿宋" w:hAnsi="华文仿宋" w:eastAsia="华文仿宋" w:cs="仿宋"/>
          <w:color w:val="auto"/>
          <w:kern w:val="1"/>
          <w:sz w:val="28"/>
          <w:szCs w:val="28"/>
          <w:highlight w:val="none"/>
        </w:rPr>
        <w:t>竣工日期：指发包人承包人在协议书中约定，承包人完成承包范围内工程的绝对或相对的日期。</w:t>
      </w:r>
    </w:p>
    <w:p w14:paraId="7E181E3A">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1.17</w:t>
      </w:r>
      <w:r>
        <w:rPr>
          <w:rFonts w:hint="eastAsia" w:ascii="华文仿宋" w:hAnsi="华文仿宋" w:eastAsia="华文仿宋" w:cs="仿宋"/>
          <w:color w:val="auto"/>
          <w:kern w:val="1"/>
          <w:sz w:val="28"/>
          <w:szCs w:val="28"/>
          <w:highlight w:val="none"/>
        </w:rPr>
        <w:t>图纸：指由发包人提供或由承包人提供并经发包人批准，满足承包人施工需要的所有图纸（包括配套说明和有关资料）。</w:t>
      </w:r>
    </w:p>
    <w:p w14:paraId="7E4C8F1A">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1.18</w:t>
      </w:r>
      <w:r>
        <w:rPr>
          <w:rFonts w:hint="eastAsia" w:ascii="华文仿宋" w:hAnsi="华文仿宋" w:eastAsia="华文仿宋" w:cs="仿宋"/>
          <w:color w:val="auto"/>
          <w:kern w:val="1"/>
          <w:sz w:val="28"/>
          <w:szCs w:val="28"/>
          <w:highlight w:val="none"/>
        </w:rPr>
        <w:t>施工场地：指由发包人提供的用于工程施工的场所以及发包人在图纸中具体指定的供施工使用的任何其他场所。</w:t>
      </w:r>
    </w:p>
    <w:p w14:paraId="5A1AD859">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1.19</w:t>
      </w:r>
      <w:r>
        <w:rPr>
          <w:rFonts w:hint="eastAsia" w:ascii="华文仿宋" w:hAnsi="华文仿宋" w:eastAsia="华文仿宋" w:cs="仿宋"/>
          <w:color w:val="auto"/>
          <w:kern w:val="1"/>
          <w:sz w:val="28"/>
          <w:szCs w:val="28"/>
          <w:highlight w:val="none"/>
        </w:rPr>
        <w:t>书面形式：指合同书、信件和数据电文（包括电报、电传、传真、电子数据交换和电子邮件）等可以有形地表现所载内容的形式。</w:t>
      </w:r>
    </w:p>
    <w:p w14:paraId="52EAAA91">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1.20</w:t>
      </w:r>
      <w:r>
        <w:rPr>
          <w:rFonts w:hint="eastAsia" w:ascii="华文仿宋" w:hAnsi="华文仿宋" w:eastAsia="华文仿宋" w:cs="仿宋"/>
          <w:color w:val="auto"/>
          <w:kern w:val="1"/>
          <w:sz w:val="28"/>
          <w:szCs w:val="28"/>
          <w:highlight w:val="none"/>
        </w:rPr>
        <w:t>违约责任：指合同一方不履行合同义务或履行合同义务不符合约定所应承担的责任。</w:t>
      </w:r>
    </w:p>
    <w:p w14:paraId="0F9E6D85">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1.21</w:t>
      </w:r>
      <w:r>
        <w:rPr>
          <w:rFonts w:hint="eastAsia" w:ascii="华文仿宋" w:hAnsi="华文仿宋" w:eastAsia="华文仿宋" w:cs="仿宋"/>
          <w:color w:val="auto"/>
          <w:kern w:val="1"/>
          <w:sz w:val="28"/>
          <w:szCs w:val="28"/>
          <w:highlight w:val="none"/>
        </w:rPr>
        <w:t>索赔：指在合同履行过程中，对于并非自己的过错，而是应由对方承担责任的情况造成的实际损失，向对方提出经济补偿和（或）工期顺延的要求。</w:t>
      </w:r>
    </w:p>
    <w:p w14:paraId="4BDC4FEC">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1.22</w:t>
      </w:r>
      <w:r>
        <w:rPr>
          <w:rFonts w:hint="eastAsia" w:ascii="华文仿宋" w:hAnsi="华文仿宋" w:eastAsia="华文仿宋" w:cs="仿宋"/>
          <w:color w:val="auto"/>
          <w:kern w:val="1"/>
          <w:sz w:val="28"/>
          <w:szCs w:val="28"/>
          <w:highlight w:val="none"/>
        </w:rPr>
        <w:t>不可抗力：指不能预见、不能避免并不能克服的客观情况。</w:t>
      </w:r>
    </w:p>
    <w:p w14:paraId="5DF2EAF2">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1.23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时。</w:t>
      </w:r>
    </w:p>
    <w:p w14:paraId="4B2C3A6D">
      <w:pPr>
        <w:spacing w:line="360" w:lineRule="auto"/>
        <w:ind w:firstLine="562"/>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2．合同文件及解释顺序</w:t>
      </w:r>
    </w:p>
    <w:p w14:paraId="7ACA52BE">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2.1</w:t>
      </w:r>
      <w:r>
        <w:rPr>
          <w:rFonts w:hint="eastAsia" w:ascii="华文仿宋" w:hAnsi="华文仿宋" w:eastAsia="华文仿宋" w:cs="仿宋"/>
          <w:color w:val="auto"/>
          <w:kern w:val="1"/>
          <w:sz w:val="28"/>
          <w:szCs w:val="28"/>
          <w:highlight w:val="none"/>
        </w:rPr>
        <w:t>合同文件应能相互解释，互为说明。除专用条款另有约定外，组成本合同的文件及优先解释顺序如下：</w:t>
      </w:r>
    </w:p>
    <w:p w14:paraId="3ED5397C">
      <w:pPr>
        <w:pStyle w:val="14"/>
        <w:spacing w:after="0" w:line="360" w:lineRule="auto"/>
        <w:ind w:firstLine="435"/>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w:t>
      </w:r>
      <w:r>
        <w:rPr>
          <w:rFonts w:ascii="华文仿宋" w:hAnsi="华文仿宋" w:eastAsia="华文仿宋" w:cs="仿宋"/>
          <w:color w:val="auto"/>
          <w:sz w:val="28"/>
          <w:szCs w:val="28"/>
          <w:highlight w:val="none"/>
        </w:rPr>
        <w:t>1</w:t>
      </w:r>
      <w:r>
        <w:rPr>
          <w:rFonts w:hint="eastAsia" w:ascii="华文仿宋" w:hAnsi="华文仿宋" w:eastAsia="华文仿宋" w:cs="仿宋"/>
          <w:color w:val="auto"/>
          <w:sz w:val="28"/>
          <w:szCs w:val="28"/>
          <w:highlight w:val="none"/>
        </w:rPr>
        <w:t>）本合同协议书</w:t>
      </w:r>
    </w:p>
    <w:p w14:paraId="150B2AA2">
      <w:pPr>
        <w:pStyle w:val="14"/>
        <w:spacing w:after="0" w:line="360" w:lineRule="auto"/>
        <w:ind w:firstLine="435"/>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w:t>
      </w:r>
      <w:r>
        <w:rPr>
          <w:rFonts w:ascii="华文仿宋" w:hAnsi="华文仿宋" w:eastAsia="华文仿宋" w:cs="仿宋"/>
          <w:color w:val="auto"/>
          <w:sz w:val="28"/>
          <w:szCs w:val="28"/>
          <w:highlight w:val="none"/>
        </w:rPr>
        <w:t>2</w:t>
      </w:r>
      <w:r>
        <w:rPr>
          <w:rFonts w:hint="eastAsia" w:ascii="华文仿宋" w:hAnsi="华文仿宋" w:eastAsia="华文仿宋" w:cs="仿宋"/>
          <w:color w:val="auto"/>
          <w:sz w:val="28"/>
          <w:szCs w:val="28"/>
          <w:highlight w:val="none"/>
        </w:rPr>
        <w:t>）中标通知书</w:t>
      </w:r>
    </w:p>
    <w:p w14:paraId="686F417F">
      <w:pPr>
        <w:pStyle w:val="14"/>
        <w:spacing w:after="0" w:line="360" w:lineRule="auto"/>
        <w:ind w:firstLine="42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w:t>
      </w:r>
      <w:r>
        <w:rPr>
          <w:rFonts w:ascii="华文仿宋" w:hAnsi="华文仿宋" w:eastAsia="华文仿宋" w:cs="仿宋"/>
          <w:color w:val="auto"/>
          <w:sz w:val="28"/>
          <w:szCs w:val="28"/>
          <w:highlight w:val="none"/>
        </w:rPr>
        <w:t>3</w:t>
      </w:r>
      <w:r>
        <w:rPr>
          <w:rFonts w:hint="eastAsia" w:ascii="华文仿宋" w:hAnsi="华文仿宋" w:eastAsia="华文仿宋" w:cs="仿宋"/>
          <w:color w:val="auto"/>
          <w:sz w:val="28"/>
          <w:szCs w:val="28"/>
          <w:highlight w:val="none"/>
        </w:rPr>
        <w:t>）本合同专用条款</w:t>
      </w:r>
    </w:p>
    <w:p w14:paraId="0F308B44">
      <w:pPr>
        <w:pStyle w:val="14"/>
        <w:spacing w:after="0" w:line="360" w:lineRule="auto"/>
        <w:ind w:firstLine="42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（4）本合同通用条款</w:t>
      </w:r>
    </w:p>
    <w:p w14:paraId="545B7948">
      <w:pPr>
        <w:pStyle w:val="14"/>
        <w:spacing w:after="0" w:line="360" w:lineRule="auto"/>
        <w:ind w:firstLine="42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（5）招标文件（包括补充、修改、澄清文件、答疑纪要、工程量清单及总说明等）</w:t>
      </w:r>
    </w:p>
    <w:p w14:paraId="5448A73B">
      <w:pPr>
        <w:pStyle w:val="14"/>
        <w:spacing w:after="0" w:line="360" w:lineRule="auto"/>
        <w:ind w:firstLine="42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（6）投标文件及其附件（含投标文件澄清等）</w:t>
      </w:r>
    </w:p>
    <w:p w14:paraId="024467BE">
      <w:pPr>
        <w:pStyle w:val="14"/>
        <w:spacing w:after="0" w:line="360" w:lineRule="auto"/>
        <w:ind w:firstLine="42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（7）标准、规范及有关技术文件</w:t>
      </w:r>
    </w:p>
    <w:p w14:paraId="154C8751">
      <w:pPr>
        <w:pStyle w:val="14"/>
        <w:spacing w:after="0" w:line="360" w:lineRule="auto"/>
        <w:ind w:firstLine="42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（8）双方确认的施工图纸</w:t>
      </w:r>
    </w:p>
    <w:p w14:paraId="33EFF71C">
      <w:pPr>
        <w:pStyle w:val="14"/>
        <w:spacing w:after="0" w:line="360" w:lineRule="auto"/>
        <w:ind w:firstLine="42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（9）已标价的工程量清单</w:t>
      </w:r>
    </w:p>
    <w:p w14:paraId="17E7BEFF">
      <w:pPr>
        <w:pStyle w:val="14"/>
        <w:spacing w:after="0" w:line="360" w:lineRule="auto"/>
        <w:ind w:firstLine="42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w:t>
      </w:r>
      <w:r>
        <w:rPr>
          <w:rFonts w:ascii="华文仿宋" w:hAnsi="华文仿宋" w:eastAsia="华文仿宋" w:cs="仿宋"/>
          <w:color w:val="auto"/>
          <w:sz w:val="28"/>
          <w:szCs w:val="28"/>
          <w:highlight w:val="none"/>
        </w:rPr>
        <w:t>10</w:t>
      </w:r>
      <w:r>
        <w:rPr>
          <w:rFonts w:hint="eastAsia" w:ascii="华文仿宋" w:hAnsi="华文仿宋" w:eastAsia="华文仿宋" w:cs="仿宋"/>
          <w:color w:val="auto"/>
          <w:sz w:val="28"/>
          <w:szCs w:val="28"/>
          <w:highlight w:val="none"/>
        </w:rPr>
        <w:t>）合同附件</w:t>
      </w:r>
    </w:p>
    <w:p w14:paraId="3096FD9A">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合同履行中，发包人承包人有关工程的洽商、变更等书面协议或文件视为本合同的组成部分。</w:t>
      </w:r>
    </w:p>
    <w:p w14:paraId="2B8BC2EE">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2.2</w:t>
      </w:r>
      <w:r>
        <w:rPr>
          <w:rFonts w:hint="eastAsia" w:ascii="华文仿宋" w:hAnsi="华文仿宋" w:eastAsia="华文仿宋" w:cs="仿宋"/>
          <w:color w:val="auto"/>
          <w:kern w:val="1"/>
          <w:sz w:val="28"/>
          <w:szCs w:val="28"/>
          <w:highlight w:val="none"/>
        </w:rPr>
        <w:t>当合同文件内容含糊不清或不相一致时，在不影响工程正常进行的情况下，由发包人承包人协商解决。双方也可以提请负责监理的工程师作出解释。双方协商不成或不同意负责监理的工程师的解释时，按本通用条款</w:t>
      </w:r>
      <w:r>
        <w:rPr>
          <w:rFonts w:ascii="华文仿宋" w:hAnsi="华文仿宋" w:eastAsia="华文仿宋" w:cs="仿宋"/>
          <w:color w:val="auto"/>
          <w:kern w:val="1"/>
          <w:sz w:val="28"/>
          <w:szCs w:val="28"/>
          <w:highlight w:val="none"/>
        </w:rPr>
        <w:t>37</w:t>
      </w:r>
      <w:r>
        <w:rPr>
          <w:rFonts w:hint="eastAsia" w:ascii="华文仿宋" w:hAnsi="华文仿宋" w:eastAsia="华文仿宋" w:cs="仿宋"/>
          <w:color w:val="auto"/>
          <w:kern w:val="1"/>
          <w:sz w:val="28"/>
          <w:szCs w:val="28"/>
          <w:highlight w:val="none"/>
        </w:rPr>
        <w:t>条关于争议的约定处理。</w:t>
      </w:r>
    </w:p>
    <w:p w14:paraId="2BC1F0F7">
      <w:pPr>
        <w:spacing w:line="360" w:lineRule="auto"/>
        <w:ind w:firstLine="562"/>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3．语言文字和适用法律、标准及规范</w:t>
      </w:r>
    </w:p>
    <w:p w14:paraId="4A45F8AA">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3.1</w:t>
      </w:r>
      <w:r>
        <w:rPr>
          <w:rFonts w:hint="eastAsia" w:ascii="华文仿宋" w:hAnsi="华文仿宋" w:eastAsia="华文仿宋" w:cs="仿宋"/>
          <w:color w:val="auto"/>
          <w:kern w:val="1"/>
          <w:sz w:val="28"/>
          <w:szCs w:val="28"/>
          <w:highlight w:val="none"/>
        </w:rPr>
        <w:t>语言文字</w:t>
      </w:r>
    </w:p>
    <w:p w14:paraId="79616FCA">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本合同文件使用汉语语言文字书写、解释和说明。如专用条款约定使用两种以上（含两种）语言文字时，汉语应为解释和说明本合同的标准语言文字。</w:t>
      </w:r>
    </w:p>
    <w:p w14:paraId="2A0A9703">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在少数民族地区，双方可以约定使用少数民族语言文字书写和解释、说明本合同。</w:t>
      </w:r>
    </w:p>
    <w:p w14:paraId="73502707">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3.2</w:t>
      </w:r>
      <w:r>
        <w:rPr>
          <w:rFonts w:hint="eastAsia" w:ascii="华文仿宋" w:hAnsi="华文仿宋" w:eastAsia="华文仿宋" w:cs="仿宋"/>
          <w:color w:val="auto"/>
          <w:kern w:val="1"/>
          <w:sz w:val="28"/>
          <w:szCs w:val="28"/>
          <w:highlight w:val="none"/>
        </w:rPr>
        <w:t>适用法律和法规</w:t>
      </w:r>
    </w:p>
    <w:p w14:paraId="64F628AF">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本合同文件适用国家的法律和行政法规。需要明示的法律、行政法规，由双方在专用条款中约定。</w:t>
      </w:r>
    </w:p>
    <w:p w14:paraId="5283A634">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3.3</w:t>
      </w:r>
      <w:r>
        <w:rPr>
          <w:rFonts w:hint="eastAsia" w:ascii="华文仿宋" w:hAnsi="华文仿宋" w:eastAsia="华文仿宋" w:cs="仿宋"/>
          <w:color w:val="auto"/>
          <w:kern w:val="1"/>
          <w:sz w:val="28"/>
          <w:szCs w:val="28"/>
          <w:highlight w:val="none"/>
        </w:rPr>
        <w:t>适用标准、规范</w:t>
      </w:r>
    </w:p>
    <w:p w14:paraId="1F8BF08F">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双方在专用条款内约定适用国家标准、规范的名称；没有国家标准、规范但有行业标准、规范的，约定适用行业标准、规范的名称；没有国家和行业标准、规范的，约定适用工程所在地地方标准、规范的名称。发包人应按专用条款约定的时间向承包人提供一式两份约定的标准、规范。</w:t>
      </w:r>
    </w:p>
    <w:p w14:paraId="5698655B">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国内没有相应标准、规范的，由发包人按专用条款约定的时间向承包人提出施工技术要求，承包人按约定的时间和要求提出施工工艺，经发包人认可后执行。发包人要求使用国外标准、规范的，应负责提供中文译本。</w:t>
      </w:r>
    </w:p>
    <w:p w14:paraId="2F7531DF">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本条所发生的购买、翻译标准、规范或制定施工工艺的费用，由发包人承担。</w:t>
      </w:r>
    </w:p>
    <w:p w14:paraId="3E06FB5F">
      <w:pPr>
        <w:spacing w:line="360" w:lineRule="auto"/>
        <w:ind w:firstLine="562"/>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4．图纸</w:t>
      </w:r>
    </w:p>
    <w:p w14:paraId="2CE650AB">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4.1</w:t>
      </w:r>
      <w:r>
        <w:rPr>
          <w:rFonts w:hint="eastAsia" w:ascii="华文仿宋" w:hAnsi="华文仿宋" w:eastAsia="华文仿宋" w:cs="仿宋"/>
          <w:color w:val="auto"/>
          <w:kern w:val="1"/>
          <w:sz w:val="28"/>
          <w:szCs w:val="28"/>
          <w:highlight w:val="none"/>
        </w:rPr>
        <w:t>发包人应按专用条款约定的日期和套数，向承包人提供图纸。承包人需要增加图纸套数的，发包人应代为复制，复制费用由承包人承担。发包人对工程有保密要求的，应在专用条款中提出保密要求，保密措施费用由发包人承担，承包人在约定保密期限内履行保密义务。</w:t>
      </w:r>
    </w:p>
    <w:p w14:paraId="1AB16BD7">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4.2</w:t>
      </w:r>
      <w:r>
        <w:rPr>
          <w:rFonts w:hint="eastAsia" w:ascii="华文仿宋" w:hAnsi="华文仿宋" w:eastAsia="华文仿宋" w:cs="仿宋"/>
          <w:color w:val="auto"/>
          <w:kern w:val="1"/>
          <w:sz w:val="28"/>
          <w:szCs w:val="28"/>
          <w:highlight w:val="none"/>
        </w:rPr>
        <w:t>承包人未经发包人同意，不得将本工程图纸转给第三人。工程质量保修期满后，除承包人存档需要的图纸外，应将全部图纸退还给发包人。</w:t>
      </w:r>
    </w:p>
    <w:p w14:paraId="2382E808">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4.3</w:t>
      </w:r>
      <w:r>
        <w:rPr>
          <w:rFonts w:hint="eastAsia" w:ascii="华文仿宋" w:hAnsi="华文仿宋" w:eastAsia="华文仿宋" w:cs="仿宋"/>
          <w:color w:val="auto"/>
          <w:kern w:val="1"/>
          <w:sz w:val="28"/>
          <w:szCs w:val="28"/>
          <w:highlight w:val="none"/>
        </w:rPr>
        <w:t>承包人应在施工现场保留一套完整图纸，供工程师及有关人员进行工程检查时使用。</w:t>
      </w:r>
    </w:p>
    <w:p w14:paraId="700C34F9">
      <w:pPr>
        <w:spacing w:line="360" w:lineRule="auto"/>
        <w:ind w:firstLine="560"/>
        <w:outlineLvl w:val="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二、双方一般权利和义务</w:t>
      </w:r>
    </w:p>
    <w:p w14:paraId="1F592BE5">
      <w:pPr>
        <w:spacing w:line="360" w:lineRule="auto"/>
        <w:ind w:firstLine="562"/>
        <w:rPr>
          <w:rFonts w:ascii="华文仿宋" w:hAnsi="华文仿宋" w:eastAsia="华文仿宋" w:cs="仿宋"/>
          <w:b/>
          <w:color w:val="auto"/>
          <w:kern w:val="1"/>
          <w:sz w:val="28"/>
          <w:szCs w:val="28"/>
          <w:highlight w:val="none"/>
        </w:rPr>
      </w:pPr>
      <w:r>
        <w:rPr>
          <w:rFonts w:ascii="华文仿宋" w:hAnsi="华文仿宋" w:eastAsia="华文仿宋" w:cs="仿宋"/>
          <w:b/>
          <w:color w:val="auto"/>
          <w:kern w:val="1"/>
          <w:sz w:val="28"/>
          <w:szCs w:val="28"/>
          <w:highlight w:val="none"/>
        </w:rPr>
        <w:t>5</w:t>
      </w:r>
      <w:r>
        <w:rPr>
          <w:rFonts w:hint="eastAsia" w:ascii="华文仿宋" w:hAnsi="华文仿宋" w:eastAsia="华文仿宋" w:cs="仿宋"/>
          <w:b/>
          <w:color w:val="auto"/>
          <w:kern w:val="1"/>
          <w:sz w:val="28"/>
          <w:szCs w:val="28"/>
          <w:highlight w:val="none"/>
        </w:rPr>
        <w:t>．工程师</w:t>
      </w:r>
    </w:p>
    <w:p w14:paraId="3AF5B859">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5.1</w:t>
      </w:r>
      <w:r>
        <w:rPr>
          <w:rFonts w:hint="eastAsia" w:ascii="华文仿宋" w:hAnsi="华文仿宋" w:eastAsia="华文仿宋" w:cs="仿宋"/>
          <w:color w:val="auto"/>
          <w:kern w:val="1"/>
          <w:sz w:val="28"/>
          <w:szCs w:val="28"/>
          <w:highlight w:val="none"/>
        </w:rPr>
        <w:t>实行工程监理的，发包人应在实施监理前将委托的监理单位名称、监理内容及监理权限以书面形式通知承包人。</w:t>
      </w:r>
    </w:p>
    <w:p w14:paraId="7FAE0518">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5.2</w:t>
      </w:r>
      <w:r>
        <w:rPr>
          <w:rFonts w:hint="eastAsia" w:ascii="华文仿宋" w:hAnsi="华文仿宋" w:eastAsia="华文仿宋" w:cs="仿宋"/>
          <w:color w:val="auto"/>
          <w:kern w:val="1"/>
          <w:sz w:val="28"/>
          <w:szCs w:val="28"/>
          <w:highlight w:val="none"/>
        </w:rPr>
        <w:t>监理单位委派的总监理工程师在本合同中称工程师，其姓名、职务、职权由发包人承包人在专用条款内写明。工程师按合同约定行使职权，发包人在专用条款内要求工程师在行使某些职权前需要征得发包人批准的，工程师应征得发包人批准。</w:t>
      </w:r>
    </w:p>
    <w:p w14:paraId="520676F5">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5.3</w:t>
      </w:r>
      <w:r>
        <w:rPr>
          <w:rFonts w:hint="eastAsia" w:ascii="华文仿宋" w:hAnsi="华文仿宋" w:eastAsia="华文仿宋" w:cs="仿宋"/>
          <w:color w:val="auto"/>
          <w:kern w:val="1"/>
          <w:sz w:val="28"/>
          <w:szCs w:val="28"/>
          <w:highlight w:val="none"/>
        </w:rPr>
        <w:t>发包人派驻施工场地履行合同的代表在本合同中也称工程师，其姓名、职务、职权由发包人在专用条款内写明，但职权不得与监理单位委派的总监理工程师职权相互交叉。双方职权发生交叉或不明确时，由发包人予以明确，并以书面形式通知承包人。</w:t>
      </w:r>
    </w:p>
    <w:p w14:paraId="5D0E7DFA">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5.4</w:t>
      </w:r>
      <w:r>
        <w:rPr>
          <w:rFonts w:hint="eastAsia" w:ascii="华文仿宋" w:hAnsi="华文仿宋" w:eastAsia="华文仿宋" w:cs="仿宋"/>
          <w:color w:val="auto"/>
          <w:kern w:val="1"/>
          <w:sz w:val="28"/>
          <w:szCs w:val="28"/>
          <w:highlight w:val="none"/>
        </w:rPr>
        <w:t>合同履行中，发生影响发包人承包人双方权利或义务的事件时，负责监理的工程师应依据合同在其职权范围内客观公正地进行处理，一方对工程师的处理有异议时，按本通用条款</w:t>
      </w:r>
      <w:r>
        <w:rPr>
          <w:rFonts w:ascii="华文仿宋" w:hAnsi="华文仿宋" w:eastAsia="华文仿宋" w:cs="仿宋"/>
          <w:color w:val="auto"/>
          <w:kern w:val="1"/>
          <w:sz w:val="28"/>
          <w:szCs w:val="28"/>
          <w:highlight w:val="none"/>
        </w:rPr>
        <w:t>37</w:t>
      </w:r>
      <w:r>
        <w:rPr>
          <w:rFonts w:hint="eastAsia" w:ascii="华文仿宋" w:hAnsi="华文仿宋" w:eastAsia="华文仿宋" w:cs="仿宋"/>
          <w:color w:val="auto"/>
          <w:kern w:val="1"/>
          <w:sz w:val="28"/>
          <w:szCs w:val="28"/>
          <w:highlight w:val="none"/>
        </w:rPr>
        <w:t>条关于争议的约定处理。</w:t>
      </w:r>
    </w:p>
    <w:p w14:paraId="1003CC05">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5.5</w:t>
      </w:r>
      <w:r>
        <w:rPr>
          <w:rFonts w:hint="eastAsia" w:ascii="华文仿宋" w:hAnsi="华文仿宋" w:eastAsia="华文仿宋" w:cs="仿宋"/>
          <w:color w:val="auto"/>
          <w:kern w:val="1"/>
          <w:sz w:val="28"/>
          <w:szCs w:val="28"/>
          <w:highlight w:val="none"/>
        </w:rPr>
        <w:t>除合同内有明确约定或经发包人同意外，负责监理的工程师无权解除本合同约定的承包人的任何权利与义务。</w:t>
      </w:r>
    </w:p>
    <w:p w14:paraId="7CB69A61">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5.6</w:t>
      </w:r>
      <w:r>
        <w:rPr>
          <w:rFonts w:hint="eastAsia" w:ascii="华文仿宋" w:hAnsi="华文仿宋" w:eastAsia="华文仿宋" w:cs="仿宋"/>
          <w:color w:val="auto"/>
          <w:kern w:val="1"/>
          <w:sz w:val="28"/>
          <w:szCs w:val="28"/>
          <w:highlight w:val="none"/>
        </w:rPr>
        <w:t>不实行工程监理的，本合同中工程师专指发包人派驻施工场地履行合同的代表，其具体职权由发包人在专用条款内写明。</w:t>
      </w:r>
    </w:p>
    <w:p w14:paraId="044D6EC8">
      <w:pPr>
        <w:spacing w:line="360" w:lineRule="auto"/>
        <w:ind w:firstLine="562"/>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6．工程师的委派和指令</w:t>
      </w:r>
    </w:p>
    <w:p w14:paraId="299FA5BB">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6.1</w:t>
      </w:r>
      <w:r>
        <w:rPr>
          <w:rFonts w:hint="eastAsia" w:ascii="华文仿宋" w:hAnsi="华文仿宋" w:eastAsia="华文仿宋" w:cs="仿宋"/>
          <w:color w:val="auto"/>
          <w:kern w:val="1"/>
          <w:sz w:val="28"/>
          <w:szCs w:val="28"/>
          <w:highlight w:val="none"/>
        </w:rPr>
        <w:t>工程师可委派工程师代表，行使合同约定的自己的职权，并可在认为必要时撤回委派。委派和撤回均应提前</w:t>
      </w:r>
      <w:r>
        <w:rPr>
          <w:rFonts w:ascii="华文仿宋" w:hAnsi="华文仿宋" w:eastAsia="华文仿宋" w:cs="仿宋"/>
          <w:color w:val="auto"/>
          <w:kern w:val="1"/>
          <w:sz w:val="28"/>
          <w:szCs w:val="28"/>
          <w:highlight w:val="none"/>
        </w:rPr>
        <w:t>7</w:t>
      </w:r>
      <w:r>
        <w:rPr>
          <w:rFonts w:hint="eastAsia" w:ascii="华文仿宋" w:hAnsi="华文仿宋" w:eastAsia="华文仿宋" w:cs="仿宋"/>
          <w:color w:val="auto"/>
          <w:kern w:val="1"/>
          <w:sz w:val="28"/>
          <w:szCs w:val="28"/>
          <w:highlight w:val="none"/>
        </w:rPr>
        <w:t>天以书面形式通知承包人，负责监理的工程师还应将委派和撤回通知发包人。</w:t>
      </w:r>
    </w:p>
    <w:p w14:paraId="6CA5BDD0">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纠正。</w:t>
      </w:r>
    </w:p>
    <w:p w14:paraId="2D6FCE53">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除工程师或工程师代表外，发包人派驻工地的其他人员均无权向承包人发出任何指令。</w:t>
      </w:r>
    </w:p>
    <w:p w14:paraId="354B0013">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6.2</w:t>
      </w:r>
      <w:r>
        <w:rPr>
          <w:rFonts w:hint="eastAsia" w:ascii="华文仿宋" w:hAnsi="华文仿宋" w:eastAsia="华文仿宋" w:cs="仿宋"/>
          <w:color w:val="auto"/>
          <w:kern w:val="1"/>
          <w:sz w:val="28"/>
          <w:szCs w:val="28"/>
          <w:highlight w:val="none"/>
        </w:rPr>
        <w:t>工程师的指令、通知由其本人签字后，以书面形式交给项目经理，项目经理在回执上签署姓名和收到时间后生效。确有必要时，工程师可发出口头指令，并在</w:t>
      </w:r>
      <w:r>
        <w:rPr>
          <w:rFonts w:ascii="华文仿宋" w:hAnsi="华文仿宋" w:eastAsia="华文仿宋" w:cs="仿宋"/>
          <w:color w:val="auto"/>
          <w:kern w:val="1"/>
          <w:sz w:val="28"/>
          <w:szCs w:val="28"/>
          <w:highlight w:val="none"/>
        </w:rPr>
        <w:t>48</w:t>
      </w:r>
      <w:r>
        <w:rPr>
          <w:rFonts w:hint="eastAsia" w:ascii="华文仿宋" w:hAnsi="华文仿宋" w:eastAsia="华文仿宋" w:cs="仿宋"/>
          <w:color w:val="auto"/>
          <w:kern w:val="1"/>
          <w:sz w:val="28"/>
          <w:szCs w:val="28"/>
          <w:highlight w:val="none"/>
        </w:rPr>
        <w:t>小时内给予书面确认，承包人对工程师的指令应予执行。工程师不能及时给予书面确认的，承包人应于工程师发出口头指令后</w:t>
      </w:r>
      <w:r>
        <w:rPr>
          <w:rFonts w:ascii="华文仿宋" w:hAnsi="华文仿宋" w:eastAsia="华文仿宋" w:cs="仿宋"/>
          <w:color w:val="auto"/>
          <w:kern w:val="1"/>
          <w:sz w:val="28"/>
          <w:szCs w:val="28"/>
          <w:highlight w:val="none"/>
        </w:rPr>
        <w:t>7</w:t>
      </w:r>
      <w:r>
        <w:rPr>
          <w:rFonts w:hint="eastAsia" w:ascii="华文仿宋" w:hAnsi="华文仿宋" w:eastAsia="华文仿宋" w:cs="仿宋"/>
          <w:color w:val="auto"/>
          <w:kern w:val="1"/>
          <w:sz w:val="28"/>
          <w:szCs w:val="28"/>
          <w:highlight w:val="none"/>
        </w:rPr>
        <w:t>天内提出书面确认要求。工程师在承包人提出确认要求后</w:t>
      </w:r>
      <w:r>
        <w:rPr>
          <w:rFonts w:ascii="华文仿宋" w:hAnsi="华文仿宋" w:eastAsia="华文仿宋" w:cs="仿宋"/>
          <w:color w:val="auto"/>
          <w:kern w:val="1"/>
          <w:sz w:val="28"/>
          <w:szCs w:val="28"/>
          <w:highlight w:val="none"/>
        </w:rPr>
        <w:t>48</w:t>
      </w:r>
      <w:r>
        <w:rPr>
          <w:rFonts w:hint="eastAsia" w:ascii="华文仿宋" w:hAnsi="华文仿宋" w:eastAsia="华文仿宋" w:cs="仿宋"/>
          <w:color w:val="auto"/>
          <w:kern w:val="1"/>
          <w:sz w:val="28"/>
          <w:szCs w:val="28"/>
          <w:highlight w:val="none"/>
        </w:rPr>
        <w:t>小时内不予答复的，视为口头指令已被确认。</w:t>
      </w:r>
    </w:p>
    <w:p w14:paraId="194E9C0A">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承包人认为工程师指令不合理，应在收到指令后</w:t>
      </w:r>
      <w:r>
        <w:rPr>
          <w:rFonts w:ascii="华文仿宋" w:hAnsi="华文仿宋" w:eastAsia="华文仿宋" w:cs="仿宋"/>
          <w:color w:val="auto"/>
          <w:kern w:val="1"/>
          <w:sz w:val="28"/>
          <w:szCs w:val="28"/>
          <w:highlight w:val="none"/>
        </w:rPr>
        <w:t>24</w:t>
      </w:r>
      <w:r>
        <w:rPr>
          <w:rFonts w:hint="eastAsia" w:ascii="华文仿宋" w:hAnsi="华文仿宋" w:eastAsia="华文仿宋" w:cs="仿宋"/>
          <w:color w:val="auto"/>
          <w:kern w:val="1"/>
          <w:sz w:val="28"/>
          <w:szCs w:val="28"/>
          <w:highlight w:val="none"/>
        </w:rPr>
        <w:t>小时内向工程师提出修改指令的书面报告，工程师在收到承包人报告后</w:t>
      </w:r>
      <w:r>
        <w:rPr>
          <w:rFonts w:ascii="华文仿宋" w:hAnsi="华文仿宋" w:eastAsia="华文仿宋" w:cs="仿宋"/>
          <w:color w:val="auto"/>
          <w:kern w:val="1"/>
          <w:sz w:val="28"/>
          <w:szCs w:val="28"/>
          <w:highlight w:val="none"/>
        </w:rPr>
        <w:t>24</w:t>
      </w:r>
      <w:r>
        <w:rPr>
          <w:rFonts w:hint="eastAsia" w:ascii="华文仿宋" w:hAnsi="华文仿宋" w:eastAsia="华文仿宋" w:cs="仿宋"/>
          <w:color w:val="auto"/>
          <w:kern w:val="1"/>
          <w:sz w:val="28"/>
          <w:szCs w:val="28"/>
          <w:highlight w:val="none"/>
        </w:rPr>
        <w:t>小时内作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延误的工期相应顺延。</w:t>
      </w:r>
    </w:p>
    <w:p w14:paraId="77C4FBE1">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本款规定同样适用于由工程师代表发出的指令、通知。</w:t>
      </w:r>
    </w:p>
    <w:p w14:paraId="5AFFD52E">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6.3</w:t>
      </w:r>
      <w:r>
        <w:rPr>
          <w:rFonts w:hint="eastAsia" w:ascii="华文仿宋" w:hAnsi="华文仿宋" w:eastAsia="华文仿宋" w:cs="仿宋"/>
          <w:color w:val="auto"/>
          <w:kern w:val="1"/>
          <w:sz w:val="28"/>
          <w:szCs w:val="28"/>
          <w:highlight w:val="none"/>
        </w:rPr>
        <w:t>工程师应按合同约定，及时向承包人提供所需指令、批准并履行约定的其他义务。由于工程师未能按合同约定履行义务造成工期延误，发包人应承担延误造成的追加合同价款，并赔偿承包人有关损失，顺延延误的工期。</w:t>
      </w:r>
    </w:p>
    <w:p w14:paraId="23A23C06">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 xml:space="preserve">6.4 </w:t>
      </w:r>
      <w:r>
        <w:rPr>
          <w:rFonts w:hint="eastAsia" w:ascii="华文仿宋" w:hAnsi="华文仿宋" w:eastAsia="华文仿宋" w:cs="仿宋"/>
          <w:color w:val="auto"/>
          <w:kern w:val="1"/>
          <w:sz w:val="28"/>
          <w:szCs w:val="28"/>
          <w:highlight w:val="none"/>
        </w:rPr>
        <w:t>如需更换工程师。发包人应至少提前</w:t>
      </w:r>
      <w:r>
        <w:rPr>
          <w:rFonts w:ascii="华文仿宋" w:hAnsi="华文仿宋" w:eastAsia="华文仿宋" w:cs="仿宋"/>
          <w:color w:val="auto"/>
          <w:kern w:val="1"/>
          <w:sz w:val="28"/>
          <w:szCs w:val="28"/>
          <w:highlight w:val="none"/>
        </w:rPr>
        <w:t>7</w:t>
      </w:r>
      <w:r>
        <w:rPr>
          <w:rFonts w:hint="eastAsia" w:ascii="华文仿宋" w:hAnsi="华文仿宋" w:eastAsia="华文仿宋" w:cs="仿宋"/>
          <w:color w:val="auto"/>
          <w:kern w:val="1"/>
          <w:sz w:val="28"/>
          <w:szCs w:val="28"/>
          <w:highlight w:val="none"/>
        </w:rPr>
        <w:t>天以书面形式通知承包人，后任继续行使合同文件约定的前任的职权，履行前任的义务。</w:t>
      </w:r>
    </w:p>
    <w:p w14:paraId="21E584C1">
      <w:pPr>
        <w:spacing w:line="360" w:lineRule="auto"/>
        <w:ind w:firstLine="562"/>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7．项目经理</w:t>
      </w:r>
    </w:p>
    <w:p w14:paraId="7D229A08">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7.1</w:t>
      </w:r>
      <w:r>
        <w:rPr>
          <w:rFonts w:hint="eastAsia" w:ascii="华文仿宋" w:hAnsi="华文仿宋" w:eastAsia="华文仿宋" w:cs="仿宋"/>
          <w:color w:val="auto"/>
          <w:kern w:val="1"/>
          <w:sz w:val="28"/>
          <w:szCs w:val="28"/>
          <w:highlight w:val="none"/>
        </w:rPr>
        <w:t>项目经理的姓名、职务在专用条款内写明。如无特殊情况，项目经理不得更换，否则承包人须按专用条款约定承担违约责任。</w:t>
      </w:r>
    </w:p>
    <w:p w14:paraId="337C0E68">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7.2</w:t>
      </w:r>
      <w:r>
        <w:rPr>
          <w:rFonts w:hint="eastAsia" w:ascii="华文仿宋" w:hAnsi="华文仿宋" w:eastAsia="华文仿宋" w:cs="仿宋"/>
          <w:color w:val="auto"/>
          <w:kern w:val="1"/>
          <w:sz w:val="28"/>
          <w:szCs w:val="28"/>
          <w:highlight w:val="none"/>
        </w:rPr>
        <w:t>承包人依据合同发出的通知，以书面形式由项目经理签字后送交工程师，工程师在回执上签署姓名和收到时间后生效。</w:t>
      </w:r>
    </w:p>
    <w:p w14:paraId="39417C08">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7.3</w:t>
      </w:r>
      <w:r>
        <w:rPr>
          <w:rFonts w:hint="eastAsia" w:ascii="华文仿宋" w:hAnsi="华文仿宋" w:eastAsia="华文仿宋" w:cs="仿宋"/>
          <w:color w:val="auto"/>
          <w:kern w:val="1"/>
          <w:sz w:val="28"/>
          <w:szCs w:val="28"/>
          <w:highlight w:val="none"/>
        </w:rPr>
        <w:t>项目经理按发包人认可的施工组织设计（施工方案）和工程师依据合同发出的指令组织施工。在情况紧急且无法与工程师联系时，项目经理应当采取保证人员生命和工程、财产安全的紧急措施，并在采取措施后</w:t>
      </w:r>
      <w:r>
        <w:rPr>
          <w:rFonts w:ascii="华文仿宋" w:hAnsi="华文仿宋" w:eastAsia="华文仿宋" w:cs="仿宋"/>
          <w:color w:val="auto"/>
          <w:kern w:val="1"/>
          <w:sz w:val="28"/>
          <w:szCs w:val="28"/>
          <w:highlight w:val="none"/>
        </w:rPr>
        <w:t>48</w:t>
      </w:r>
      <w:r>
        <w:rPr>
          <w:rFonts w:hint="eastAsia" w:ascii="华文仿宋" w:hAnsi="华文仿宋" w:eastAsia="华文仿宋" w:cs="仿宋"/>
          <w:color w:val="auto"/>
          <w:kern w:val="1"/>
          <w:sz w:val="28"/>
          <w:szCs w:val="28"/>
          <w:highlight w:val="none"/>
        </w:rPr>
        <w:t>小时内向工程师送交报告。责任在发包人或第三人，由发包人承担由此发生的追加合同价款，相应顺延工期；责任在承包人，由承包人承担费用，不顺延工期。</w:t>
      </w:r>
    </w:p>
    <w:p w14:paraId="204006FD">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7.4</w:t>
      </w:r>
      <w:r>
        <w:rPr>
          <w:rFonts w:hint="eastAsia" w:ascii="华文仿宋" w:hAnsi="华文仿宋" w:eastAsia="华文仿宋" w:cs="仿宋"/>
          <w:color w:val="auto"/>
          <w:kern w:val="1"/>
          <w:sz w:val="28"/>
          <w:szCs w:val="28"/>
          <w:highlight w:val="none"/>
        </w:rPr>
        <w:t>承包人如因特殊情况确需更换项目经理，应至少提前</w:t>
      </w:r>
      <w:r>
        <w:rPr>
          <w:rFonts w:ascii="华文仿宋" w:hAnsi="华文仿宋" w:eastAsia="华文仿宋" w:cs="仿宋"/>
          <w:color w:val="auto"/>
          <w:kern w:val="1"/>
          <w:sz w:val="28"/>
          <w:szCs w:val="28"/>
          <w:highlight w:val="none"/>
        </w:rPr>
        <w:t>7</w:t>
      </w:r>
      <w:r>
        <w:rPr>
          <w:rFonts w:hint="eastAsia" w:ascii="华文仿宋" w:hAnsi="华文仿宋" w:eastAsia="华文仿宋" w:cs="仿宋"/>
          <w:color w:val="auto"/>
          <w:kern w:val="1"/>
          <w:sz w:val="28"/>
          <w:szCs w:val="28"/>
          <w:highlight w:val="none"/>
        </w:rPr>
        <w:t>天以书面形式通知发包人，并征得发包人书面同意。后任继续行使合同文件约定的前任的职权，履行前任的义务。</w:t>
      </w:r>
    </w:p>
    <w:p w14:paraId="5358E7B5">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7.5</w:t>
      </w:r>
      <w:r>
        <w:rPr>
          <w:rFonts w:hint="eastAsia" w:ascii="华文仿宋" w:hAnsi="华文仿宋" w:eastAsia="华文仿宋" w:cs="仿宋"/>
          <w:color w:val="auto"/>
          <w:kern w:val="1"/>
          <w:sz w:val="28"/>
          <w:szCs w:val="28"/>
          <w:highlight w:val="none"/>
        </w:rPr>
        <w:t>若发包人认为项目经理不称职，承包人须无条件更换。</w:t>
      </w:r>
    </w:p>
    <w:p w14:paraId="14BDF5C1">
      <w:pPr>
        <w:spacing w:line="360" w:lineRule="auto"/>
        <w:ind w:firstLine="562"/>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8．发包人工作</w:t>
      </w:r>
    </w:p>
    <w:p w14:paraId="5689AF46">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8.1</w:t>
      </w:r>
      <w:r>
        <w:rPr>
          <w:rFonts w:hint="eastAsia" w:ascii="华文仿宋" w:hAnsi="华文仿宋" w:eastAsia="华文仿宋" w:cs="仿宋"/>
          <w:color w:val="auto"/>
          <w:kern w:val="1"/>
          <w:sz w:val="28"/>
          <w:szCs w:val="28"/>
          <w:highlight w:val="none"/>
        </w:rPr>
        <w:t>发包人按专用条款约定的内容和时间完成以下工作：</w:t>
      </w:r>
    </w:p>
    <w:p w14:paraId="7B15F92D">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⑴办理土地征用、拆迁补偿、平整施工场地等工作，使施工场地具备施工条件，在开工后继续负责解决以上事项遗留问题；</w:t>
      </w:r>
    </w:p>
    <w:p w14:paraId="15053101">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⑵将施工所需水、电、电讯线路从施工场地外部接至专用条款约定地点，保证施工期间的需要；</w:t>
      </w:r>
    </w:p>
    <w:p w14:paraId="0335BE5F">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⑶开通施工场地与城乡公共道路的通道，以及专用条款约定的施工场地内的主要道路，满足施工运输的需要，保证施工期间的畅通；</w:t>
      </w:r>
    </w:p>
    <w:p w14:paraId="3FD4EF2B">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⑷向承包人提供施工场地的工程地质和地下管线资料，对资料的真实准确性负责；</w:t>
      </w:r>
    </w:p>
    <w:p w14:paraId="66E8285A">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⑸提供办理施工许可证及其他施工所需证件、批件，并由施工单位搜集、填写、整理办证等所有资料，并向相关部门办理及取回证件；</w:t>
      </w:r>
    </w:p>
    <w:p w14:paraId="7360EC78">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⑹确定水准点与坐标控制点，以书面形式交给承包人，进行现场交验；</w:t>
      </w:r>
    </w:p>
    <w:p w14:paraId="685CA762">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⑺组织承包人和设计单位进行图纸会审和设计交底；</w:t>
      </w:r>
    </w:p>
    <w:p w14:paraId="458E5B1B">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⑻协调处理施工场地周围地下管线和邻近建筑物、构筑物（包括文物保护建筑）、古树名木的保护工作，承担有关费用；</w:t>
      </w:r>
    </w:p>
    <w:p w14:paraId="0149E1FF">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⑼发包人应做的其他工作，双方在专用条款内约定。</w:t>
      </w:r>
    </w:p>
    <w:p w14:paraId="0A6F962F">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8.2</w:t>
      </w:r>
      <w:r>
        <w:rPr>
          <w:rFonts w:hint="eastAsia" w:ascii="华文仿宋" w:hAnsi="华文仿宋" w:eastAsia="华文仿宋" w:cs="仿宋"/>
          <w:color w:val="auto"/>
          <w:kern w:val="1"/>
          <w:sz w:val="28"/>
          <w:szCs w:val="28"/>
          <w:highlight w:val="none"/>
        </w:rPr>
        <w:t>发包人可以将</w:t>
      </w:r>
      <w:r>
        <w:rPr>
          <w:rFonts w:ascii="华文仿宋" w:hAnsi="华文仿宋" w:eastAsia="华文仿宋" w:cs="仿宋"/>
          <w:color w:val="auto"/>
          <w:kern w:val="1"/>
          <w:sz w:val="28"/>
          <w:szCs w:val="28"/>
          <w:highlight w:val="none"/>
        </w:rPr>
        <w:t>8.1</w:t>
      </w:r>
      <w:r>
        <w:rPr>
          <w:rFonts w:hint="eastAsia" w:ascii="华文仿宋" w:hAnsi="华文仿宋" w:eastAsia="华文仿宋" w:cs="仿宋"/>
          <w:color w:val="auto"/>
          <w:kern w:val="1"/>
          <w:sz w:val="28"/>
          <w:szCs w:val="28"/>
          <w:highlight w:val="none"/>
        </w:rPr>
        <w:t>款部分工作委托承包人办理，双方在专用条款内约定。</w:t>
      </w:r>
    </w:p>
    <w:p w14:paraId="75E1326F">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8.3</w:t>
      </w:r>
      <w:r>
        <w:rPr>
          <w:rFonts w:hint="eastAsia" w:ascii="华文仿宋" w:hAnsi="华文仿宋" w:eastAsia="华文仿宋" w:cs="仿宋"/>
          <w:color w:val="auto"/>
          <w:kern w:val="1"/>
          <w:sz w:val="28"/>
          <w:szCs w:val="28"/>
          <w:highlight w:val="none"/>
        </w:rPr>
        <w:t>发包人未能履行</w:t>
      </w:r>
      <w:r>
        <w:rPr>
          <w:rFonts w:ascii="华文仿宋" w:hAnsi="华文仿宋" w:eastAsia="华文仿宋" w:cs="仿宋"/>
          <w:color w:val="auto"/>
          <w:kern w:val="1"/>
          <w:sz w:val="28"/>
          <w:szCs w:val="28"/>
          <w:highlight w:val="none"/>
        </w:rPr>
        <w:t>8.1</w:t>
      </w:r>
      <w:r>
        <w:rPr>
          <w:rFonts w:hint="eastAsia" w:ascii="华文仿宋" w:hAnsi="华文仿宋" w:eastAsia="华文仿宋" w:cs="仿宋"/>
          <w:color w:val="auto"/>
          <w:kern w:val="1"/>
          <w:sz w:val="28"/>
          <w:szCs w:val="28"/>
          <w:highlight w:val="none"/>
        </w:rPr>
        <w:t>款各项义务，导致工期延误或给承包人造成损失的，发包人赔偿承包人有关损失，顺延延误的工期。</w:t>
      </w:r>
    </w:p>
    <w:p w14:paraId="5B58BBDB">
      <w:pPr>
        <w:spacing w:line="360" w:lineRule="auto"/>
        <w:ind w:firstLine="562"/>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9．承包人工作</w:t>
      </w:r>
    </w:p>
    <w:p w14:paraId="762B9599">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9.1</w:t>
      </w:r>
      <w:r>
        <w:rPr>
          <w:rFonts w:hint="eastAsia" w:ascii="华文仿宋" w:hAnsi="华文仿宋" w:eastAsia="华文仿宋" w:cs="仿宋"/>
          <w:color w:val="auto"/>
          <w:kern w:val="1"/>
          <w:sz w:val="28"/>
          <w:szCs w:val="28"/>
          <w:highlight w:val="none"/>
        </w:rPr>
        <w:t>承包人按专用条款约定的内容和时间完成以下工作：</w:t>
      </w:r>
    </w:p>
    <w:p w14:paraId="01171502">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⑴根据发包人委托，在其设计资质等级和业务允许的范围内，完成施工图设计或与工程配套的设计，经工程师确认后使用，发包人承担由此发生的费用；</w:t>
      </w:r>
    </w:p>
    <w:p w14:paraId="6D8D9C1B">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⑵向工程师提供年、季、月度工程进度计划及相应进度统计报表；</w:t>
      </w:r>
    </w:p>
    <w:p w14:paraId="6CAAA25B">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⑶根据工程需要，提供和维修非夜间施工使用的照明、围栏设施，并负责安全保卫；</w:t>
      </w:r>
    </w:p>
    <w:p w14:paraId="69236DAC">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⑷按专用条款约定的数量和要求，向发包人提供施工场地办公和生活的房屋及设施，发包人承担由此发生的费用；</w:t>
      </w:r>
    </w:p>
    <w:p w14:paraId="0F335FFD">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⑸遵守政府有关主管部门对施工场地交通、施工噪音以及环境保护和安全生产等的管理规定，按规定办理有关手续，并以书面形式通知发包人，发包人承担由此发生的费用，因承包人责任造成的罚款除外；</w:t>
      </w:r>
    </w:p>
    <w:p w14:paraId="40F63418">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⑹已竣工工程未交付发包人之前，承包人按专用条款约定负责已完工程的保护工作，保护期间发生损坏，承包人自费予以修复；发包人要求承包人采取特殊措施保护的工程部位和相应的追加合同价款，双方在专用条款内约定；</w:t>
      </w:r>
    </w:p>
    <w:p w14:paraId="403945A0">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⑺按专用条款约定做好施工场地地下管线和邻近建筑物、构筑物（包括文物保护建筑）、古树名木的保护工作；</w:t>
      </w:r>
    </w:p>
    <w:p w14:paraId="7030DAD9">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⑻保证施工场地清洁符合环境卫生管理的有关规定，交工前清理现场达到专用条款约定的要求，承担因自身原因违反有关规定造成的损失和罚款；</w:t>
      </w:r>
    </w:p>
    <w:p w14:paraId="1D489ADD">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⑼承包人应做的其他工作，双方在专用条款内约定。</w:t>
      </w:r>
    </w:p>
    <w:p w14:paraId="0569D6A6">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9.2</w:t>
      </w:r>
      <w:r>
        <w:rPr>
          <w:rFonts w:hint="eastAsia" w:ascii="华文仿宋" w:hAnsi="华文仿宋" w:eastAsia="华文仿宋" w:cs="仿宋"/>
          <w:color w:val="auto"/>
          <w:kern w:val="1"/>
          <w:sz w:val="28"/>
          <w:szCs w:val="28"/>
          <w:highlight w:val="none"/>
        </w:rPr>
        <w:t>承包人未能履行</w:t>
      </w:r>
      <w:r>
        <w:rPr>
          <w:rFonts w:ascii="华文仿宋" w:hAnsi="华文仿宋" w:eastAsia="华文仿宋" w:cs="仿宋"/>
          <w:color w:val="auto"/>
          <w:kern w:val="1"/>
          <w:sz w:val="28"/>
          <w:szCs w:val="28"/>
          <w:highlight w:val="none"/>
        </w:rPr>
        <w:t>9.1</w:t>
      </w:r>
      <w:r>
        <w:rPr>
          <w:rFonts w:hint="eastAsia" w:ascii="华文仿宋" w:hAnsi="华文仿宋" w:eastAsia="华文仿宋" w:cs="仿宋"/>
          <w:color w:val="auto"/>
          <w:kern w:val="1"/>
          <w:sz w:val="28"/>
          <w:szCs w:val="28"/>
          <w:highlight w:val="none"/>
        </w:rPr>
        <w:t>款各项义务，造成发包人损失的，承包人赔偿发包人有关损失。</w:t>
      </w:r>
    </w:p>
    <w:p w14:paraId="485C40EC">
      <w:pPr>
        <w:spacing w:line="360" w:lineRule="auto"/>
        <w:ind w:firstLine="560"/>
        <w:outlineLvl w:val="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三、施工组织设计和工期</w:t>
      </w:r>
    </w:p>
    <w:p w14:paraId="1633746E">
      <w:pPr>
        <w:spacing w:line="360" w:lineRule="auto"/>
        <w:ind w:firstLine="562"/>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10．进度计划</w:t>
      </w:r>
    </w:p>
    <w:p w14:paraId="4F065981">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10.1</w:t>
      </w:r>
      <w:r>
        <w:rPr>
          <w:rFonts w:hint="eastAsia" w:ascii="华文仿宋" w:hAnsi="华文仿宋" w:eastAsia="华文仿宋" w:cs="仿宋"/>
          <w:color w:val="auto"/>
          <w:kern w:val="1"/>
          <w:sz w:val="28"/>
          <w:szCs w:val="28"/>
          <w:highlight w:val="none"/>
        </w:rPr>
        <w:t>承包人应按专用条款约定的日期，将施工组织设计和工程进度计划提交工程师，工程师按专用条款约定的时间予以确认或提出修改意见，逾期不确认也不提出书面意见的，视为同意。</w:t>
      </w:r>
    </w:p>
    <w:p w14:paraId="41A496E2">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10.2</w:t>
      </w:r>
      <w:r>
        <w:rPr>
          <w:rFonts w:hint="eastAsia" w:ascii="华文仿宋" w:hAnsi="华文仿宋" w:eastAsia="华文仿宋" w:cs="仿宋"/>
          <w:color w:val="auto"/>
          <w:kern w:val="1"/>
          <w:sz w:val="28"/>
          <w:szCs w:val="28"/>
          <w:highlight w:val="none"/>
        </w:rPr>
        <w:t>群体工程中单位工程分期进行施工的，承包人应按照发包人提供图纸及有关资料的时间，按单位工程编制进度计划，其具体内容双方在专用条款中约定。</w:t>
      </w:r>
    </w:p>
    <w:p w14:paraId="623D40F4">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10.3</w:t>
      </w:r>
      <w:r>
        <w:rPr>
          <w:rFonts w:hint="eastAsia" w:ascii="华文仿宋" w:hAnsi="华文仿宋" w:eastAsia="华文仿宋" w:cs="仿宋"/>
          <w:color w:val="auto"/>
          <w:kern w:val="1"/>
          <w:sz w:val="28"/>
          <w:szCs w:val="28"/>
          <w:highlight w:val="none"/>
        </w:rPr>
        <w:t>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价款。</w:t>
      </w:r>
    </w:p>
    <w:p w14:paraId="62F1BD36">
      <w:pPr>
        <w:spacing w:line="360" w:lineRule="auto"/>
        <w:ind w:firstLine="562"/>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11．开工及延期开工</w:t>
      </w:r>
    </w:p>
    <w:p w14:paraId="6EF4A205">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11.1</w:t>
      </w:r>
      <w:r>
        <w:rPr>
          <w:rFonts w:hint="eastAsia" w:ascii="华文仿宋" w:hAnsi="华文仿宋" w:eastAsia="华文仿宋" w:cs="仿宋"/>
          <w:color w:val="auto"/>
          <w:kern w:val="1"/>
          <w:sz w:val="28"/>
          <w:szCs w:val="28"/>
          <w:highlight w:val="none"/>
        </w:rPr>
        <w:t>承包人应当按照协议书约定的开工日期开工。承包人不能按时开工，应当不迟于协议书约定的开工日期前</w:t>
      </w:r>
      <w:r>
        <w:rPr>
          <w:rFonts w:ascii="华文仿宋" w:hAnsi="华文仿宋" w:eastAsia="华文仿宋" w:cs="仿宋"/>
          <w:color w:val="auto"/>
          <w:kern w:val="1"/>
          <w:sz w:val="28"/>
          <w:szCs w:val="28"/>
          <w:highlight w:val="none"/>
        </w:rPr>
        <w:t>7</w:t>
      </w:r>
      <w:r>
        <w:rPr>
          <w:rFonts w:hint="eastAsia" w:ascii="华文仿宋" w:hAnsi="华文仿宋" w:eastAsia="华文仿宋" w:cs="仿宋"/>
          <w:color w:val="auto"/>
          <w:kern w:val="1"/>
          <w:sz w:val="28"/>
          <w:szCs w:val="28"/>
          <w:highlight w:val="none"/>
        </w:rPr>
        <w:t>天，以书面形式向工程师提出延期开工的理由和要求。工程师应当在接到延期开工申请后的</w:t>
      </w:r>
      <w:r>
        <w:rPr>
          <w:rFonts w:ascii="华文仿宋" w:hAnsi="华文仿宋" w:eastAsia="华文仿宋" w:cs="仿宋"/>
          <w:color w:val="auto"/>
          <w:kern w:val="1"/>
          <w:sz w:val="28"/>
          <w:szCs w:val="28"/>
          <w:highlight w:val="none"/>
        </w:rPr>
        <w:t>48</w:t>
      </w:r>
      <w:r>
        <w:rPr>
          <w:rFonts w:hint="eastAsia" w:ascii="华文仿宋" w:hAnsi="华文仿宋" w:eastAsia="华文仿宋" w:cs="仿宋"/>
          <w:color w:val="auto"/>
          <w:kern w:val="1"/>
          <w:sz w:val="28"/>
          <w:szCs w:val="28"/>
          <w:highlight w:val="none"/>
        </w:rPr>
        <w:t>小时内以书面形式答复承包人。工程师在接到延期开工申请后</w:t>
      </w:r>
      <w:r>
        <w:rPr>
          <w:rFonts w:ascii="华文仿宋" w:hAnsi="华文仿宋" w:eastAsia="华文仿宋" w:cs="仿宋"/>
          <w:color w:val="auto"/>
          <w:kern w:val="1"/>
          <w:sz w:val="28"/>
          <w:szCs w:val="28"/>
          <w:highlight w:val="none"/>
        </w:rPr>
        <w:t>48</w:t>
      </w:r>
      <w:r>
        <w:rPr>
          <w:rFonts w:hint="eastAsia" w:ascii="华文仿宋" w:hAnsi="华文仿宋" w:eastAsia="华文仿宋" w:cs="仿宋"/>
          <w:color w:val="auto"/>
          <w:kern w:val="1"/>
          <w:sz w:val="28"/>
          <w:szCs w:val="28"/>
          <w:highlight w:val="none"/>
        </w:rPr>
        <w:t>小时内不答复，视为同意承包人要求，工期相应顺延。工程师不同意延期要求或承包人未在规定时间内提出延期开工要求，工期不予顺延。</w:t>
      </w:r>
    </w:p>
    <w:p w14:paraId="39F89F1D">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11.2</w:t>
      </w:r>
      <w:r>
        <w:rPr>
          <w:rFonts w:hint="eastAsia" w:ascii="华文仿宋" w:hAnsi="华文仿宋" w:eastAsia="华文仿宋" w:cs="仿宋"/>
          <w:color w:val="auto"/>
          <w:kern w:val="1"/>
          <w:sz w:val="28"/>
          <w:szCs w:val="28"/>
          <w:highlight w:val="none"/>
        </w:rPr>
        <w:t>因发包人原因不能按照协议书约定的开工日期开工，工程师应以书面形式通知承包人，推迟开工日期，并相应顺延工期。</w:t>
      </w:r>
    </w:p>
    <w:p w14:paraId="11FCFAC6">
      <w:pPr>
        <w:spacing w:line="360" w:lineRule="auto"/>
        <w:ind w:firstLine="562"/>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12．暂停施工</w:t>
      </w:r>
    </w:p>
    <w:p w14:paraId="312D2C3D">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工程师认为确有必要暂停施工时，应当以书面形式要求承包人暂停施工，并在提出要求后</w:t>
      </w:r>
      <w:r>
        <w:rPr>
          <w:rFonts w:ascii="华文仿宋" w:hAnsi="华文仿宋" w:eastAsia="华文仿宋" w:cs="仿宋"/>
          <w:color w:val="auto"/>
          <w:kern w:val="1"/>
          <w:sz w:val="28"/>
          <w:szCs w:val="28"/>
          <w:highlight w:val="none"/>
        </w:rPr>
        <w:t>48</w:t>
      </w:r>
      <w:r>
        <w:rPr>
          <w:rFonts w:hint="eastAsia" w:ascii="华文仿宋" w:hAnsi="华文仿宋" w:eastAsia="华文仿宋" w:cs="仿宋"/>
          <w:color w:val="auto"/>
          <w:kern w:val="1"/>
          <w:sz w:val="28"/>
          <w:szCs w:val="28"/>
          <w:highlight w:val="none"/>
        </w:rPr>
        <w:t>小时内提出书面处理意见。承包人应当按工程师要求停止施工，并妥善保护已完工程。承包人实施工程师作出的处理意见后，可以书面形式提出复工要求，工程师应当在</w:t>
      </w:r>
      <w:r>
        <w:rPr>
          <w:rFonts w:ascii="华文仿宋" w:hAnsi="华文仿宋" w:eastAsia="华文仿宋" w:cs="仿宋"/>
          <w:color w:val="auto"/>
          <w:kern w:val="1"/>
          <w:sz w:val="28"/>
          <w:szCs w:val="28"/>
          <w:highlight w:val="none"/>
        </w:rPr>
        <w:t>48</w:t>
      </w:r>
      <w:r>
        <w:rPr>
          <w:rFonts w:hint="eastAsia" w:ascii="华文仿宋" w:hAnsi="华文仿宋" w:eastAsia="华文仿宋" w:cs="仿宋"/>
          <w:color w:val="auto"/>
          <w:kern w:val="1"/>
          <w:sz w:val="28"/>
          <w:szCs w:val="28"/>
          <w:highlight w:val="none"/>
        </w:rPr>
        <w:t>小时内给予答复。工程师未能在规定时间内提出处理意见，或收到承包人复工要求后</w:t>
      </w:r>
      <w:r>
        <w:rPr>
          <w:rFonts w:ascii="华文仿宋" w:hAnsi="华文仿宋" w:eastAsia="华文仿宋" w:cs="仿宋"/>
          <w:color w:val="auto"/>
          <w:kern w:val="1"/>
          <w:sz w:val="28"/>
          <w:szCs w:val="28"/>
          <w:highlight w:val="none"/>
        </w:rPr>
        <w:t>48</w:t>
      </w:r>
      <w:r>
        <w:rPr>
          <w:rFonts w:hint="eastAsia" w:ascii="华文仿宋" w:hAnsi="华文仿宋" w:eastAsia="华文仿宋" w:cs="仿宋"/>
          <w:color w:val="auto"/>
          <w:kern w:val="1"/>
          <w:sz w:val="28"/>
          <w:szCs w:val="28"/>
          <w:highlight w:val="none"/>
        </w:rPr>
        <w:t>小时内未予答复，承包人可自行复工。因发包人原因造成停工的，由发包人承担所发生的追加合同价款，赔偿承包人由此造成的损失，相应顺延工期；因承包人原因造成停工的，由承包人承担发生的费用，工期不予顺延。</w:t>
      </w:r>
    </w:p>
    <w:p w14:paraId="2D06DD61">
      <w:pPr>
        <w:spacing w:line="360" w:lineRule="auto"/>
        <w:ind w:firstLine="562"/>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13．工期延误</w:t>
      </w:r>
    </w:p>
    <w:p w14:paraId="7B679512">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13.1</w:t>
      </w:r>
      <w:r>
        <w:rPr>
          <w:rFonts w:hint="eastAsia" w:ascii="华文仿宋" w:hAnsi="华文仿宋" w:eastAsia="华文仿宋" w:cs="仿宋"/>
          <w:color w:val="auto"/>
          <w:kern w:val="1"/>
          <w:sz w:val="28"/>
          <w:szCs w:val="28"/>
          <w:highlight w:val="none"/>
        </w:rPr>
        <w:t>因以下原因造成工期延误，经工程师确认，工期相应顺延：</w:t>
      </w:r>
    </w:p>
    <w:p w14:paraId="4FCED4A4">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⑴发包人未能按专用条款的约定提供图纸及开工条件；</w:t>
      </w:r>
    </w:p>
    <w:p w14:paraId="4CC07038">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⑵发包人未能按约定日期支付工程预付款、进度款，致使施工不能正常进行；</w:t>
      </w:r>
    </w:p>
    <w:p w14:paraId="0D9DE99E">
      <w:pPr>
        <w:spacing w:line="360" w:lineRule="auto"/>
        <w:ind w:firstLine="544"/>
        <w:rPr>
          <w:rFonts w:ascii="华文仿宋" w:hAnsi="华文仿宋" w:eastAsia="华文仿宋" w:cs="仿宋"/>
          <w:color w:val="auto"/>
          <w:spacing w:val="-4"/>
          <w:kern w:val="1"/>
          <w:sz w:val="28"/>
          <w:szCs w:val="28"/>
          <w:highlight w:val="none"/>
        </w:rPr>
      </w:pPr>
      <w:r>
        <w:rPr>
          <w:rFonts w:hint="eastAsia" w:ascii="华文仿宋" w:hAnsi="华文仿宋" w:eastAsia="华文仿宋" w:cs="仿宋"/>
          <w:color w:val="auto"/>
          <w:spacing w:val="-4"/>
          <w:kern w:val="1"/>
          <w:sz w:val="28"/>
          <w:szCs w:val="28"/>
          <w:highlight w:val="none"/>
        </w:rPr>
        <w:t>⑶工程师未按合同约定提供所需指令、批准等，致使施工不能正常进行；</w:t>
      </w:r>
    </w:p>
    <w:p w14:paraId="7E17FAA2">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⑷发包人书面要求的设计变更和工程量增加；</w:t>
      </w:r>
    </w:p>
    <w:p w14:paraId="78F70771">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⑸一周内非承包人原因停水、停电、停气造成停工累计超过</w:t>
      </w:r>
      <w:r>
        <w:rPr>
          <w:rFonts w:ascii="华文仿宋" w:hAnsi="华文仿宋" w:eastAsia="华文仿宋" w:cs="仿宋"/>
          <w:color w:val="auto"/>
          <w:kern w:val="1"/>
          <w:sz w:val="28"/>
          <w:szCs w:val="28"/>
          <w:highlight w:val="none"/>
        </w:rPr>
        <w:t>8</w:t>
      </w:r>
      <w:r>
        <w:rPr>
          <w:rFonts w:hint="eastAsia" w:ascii="华文仿宋" w:hAnsi="华文仿宋" w:eastAsia="华文仿宋" w:cs="仿宋"/>
          <w:color w:val="auto"/>
          <w:kern w:val="1"/>
          <w:sz w:val="28"/>
          <w:szCs w:val="28"/>
          <w:highlight w:val="none"/>
        </w:rPr>
        <w:t>小时；</w:t>
      </w:r>
    </w:p>
    <w:p w14:paraId="37E57E26">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⑹不可抗力；</w:t>
      </w:r>
    </w:p>
    <w:p w14:paraId="7A255AA2">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⑺专用条款中约定或发包人书面同意顺延的其他情况。</w:t>
      </w:r>
    </w:p>
    <w:p w14:paraId="0612E919">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13.2</w:t>
      </w:r>
      <w:r>
        <w:rPr>
          <w:rFonts w:hint="eastAsia" w:ascii="华文仿宋" w:hAnsi="华文仿宋" w:eastAsia="华文仿宋" w:cs="仿宋"/>
          <w:color w:val="auto"/>
          <w:kern w:val="1"/>
          <w:sz w:val="28"/>
          <w:szCs w:val="28"/>
          <w:highlight w:val="none"/>
        </w:rPr>
        <w:t>承包人在</w:t>
      </w:r>
      <w:r>
        <w:rPr>
          <w:rFonts w:ascii="华文仿宋" w:hAnsi="华文仿宋" w:eastAsia="华文仿宋" w:cs="仿宋"/>
          <w:color w:val="auto"/>
          <w:kern w:val="1"/>
          <w:sz w:val="28"/>
          <w:szCs w:val="28"/>
          <w:highlight w:val="none"/>
        </w:rPr>
        <w:t>13.1</w:t>
      </w:r>
      <w:r>
        <w:rPr>
          <w:rFonts w:hint="eastAsia" w:ascii="华文仿宋" w:hAnsi="华文仿宋" w:eastAsia="华文仿宋" w:cs="仿宋"/>
          <w:color w:val="auto"/>
          <w:kern w:val="1"/>
          <w:sz w:val="28"/>
          <w:szCs w:val="28"/>
          <w:highlight w:val="none"/>
        </w:rPr>
        <w:t>款情况发生后</w:t>
      </w:r>
      <w:r>
        <w:rPr>
          <w:rFonts w:ascii="华文仿宋" w:hAnsi="华文仿宋" w:eastAsia="华文仿宋" w:cs="仿宋"/>
          <w:color w:val="auto"/>
          <w:kern w:val="1"/>
          <w:sz w:val="28"/>
          <w:szCs w:val="28"/>
          <w:highlight w:val="none"/>
        </w:rPr>
        <w:t>14</w:t>
      </w:r>
      <w:r>
        <w:rPr>
          <w:rFonts w:hint="eastAsia" w:ascii="华文仿宋" w:hAnsi="华文仿宋" w:eastAsia="华文仿宋" w:cs="仿宋"/>
          <w:color w:val="auto"/>
          <w:kern w:val="1"/>
          <w:sz w:val="28"/>
          <w:szCs w:val="28"/>
          <w:highlight w:val="none"/>
        </w:rPr>
        <w:t>天内，就延误的工期以书面形式向发包人提出报告，承包人逾期不提出工期延误书面报告，视为同意工期不顺延。发包人在收到报告后</w:t>
      </w:r>
      <w:r>
        <w:rPr>
          <w:rFonts w:ascii="华文仿宋" w:hAnsi="华文仿宋" w:eastAsia="华文仿宋" w:cs="仿宋"/>
          <w:color w:val="auto"/>
          <w:kern w:val="1"/>
          <w:sz w:val="28"/>
          <w:szCs w:val="28"/>
          <w:highlight w:val="none"/>
        </w:rPr>
        <w:t>14</w:t>
      </w:r>
      <w:r>
        <w:rPr>
          <w:rFonts w:hint="eastAsia" w:ascii="华文仿宋" w:hAnsi="华文仿宋" w:eastAsia="华文仿宋" w:cs="仿宋"/>
          <w:color w:val="auto"/>
          <w:kern w:val="1"/>
          <w:sz w:val="28"/>
          <w:szCs w:val="28"/>
          <w:highlight w:val="none"/>
        </w:rPr>
        <w:t>天内予以确认，逾期不予确认也不提出修改意见，视为同意顺延工期。</w:t>
      </w:r>
    </w:p>
    <w:p w14:paraId="1E851B75">
      <w:pPr>
        <w:spacing w:line="360" w:lineRule="auto"/>
        <w:ind w:firstLine="562"/>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14．工程竣工</w:t>
      </w:r>
    </w:p>
    <w:p w14:paraId="737B13E5">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14.1</w:t>
      </w:r>
      <w:r>
        <w:rPr>
          <w:rFonts w:hint="eastAsia" w:ascii="华文仿宋" w:hAnsi="华文仿宋" w:eastAsia="华文仿宋" w:cs="仿宋"/>
          <w:color w:val="auto"/>
          <w:kern w:val="1"/>
          <w:sz w:val="28"/>
          <w:szCs w:val="28"/>
          <w:highlight w:val="none"/>
        </w:rPr>
        <w:t>承包人必须按照协议书约定的竣工日期或工程师同意顺延的工期竣工。</w:t>
      </w:r>
    </w:p>
    <w:p w14:paraId="53B72177">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14.2</w:t>
      </w:r>
      <w:r>
        <w:rPr>
          <w:rFonts w:hint="eastAsia" w:ascii="华文仿宋" w:hAnsi="华文仿宋" w:eastAsia="华文仿宋" w:cs="仿宋"/>
          <w:color w:val="auto"/>
          <w:kern w:val="1"/>
          <w:sz w:val="28"/>
          <w:szCs w:val="28"/>
          <w:highlight w:val="none"/>
        </w:rPr>
        <w:t>因承包人原因不能按照协议书约定的竣工日期或工程师同意顺延的工期竣工的，承包人承担违约责任。</w:t>
      </w:r>
    </w:p>
    <w:p w14:paraId="338BB403">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14.3</w:t>
      </w:r>
      <w:r>
        <w:rPr>
          <w:rFonts w:hint="eastAsia" w:ascii="华文仿宋" w:hAnsi="华文仿宋" w:eastAsia="华文仿宋" w:cs="仿宋"/>
          <w:color w:val="auto"/>
          <w:kern w:val="1"/>
          <w:sz w:val="28"/>
          <w:szCs w:val="28"/>
          <w:highlight w:val="none"/>
        </w:rPr>
        <w:t>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14:paraId="1185B281">
      <w:pPr>
        <w:spacing w:line="360" w:lineRule="auto"/>
        <w:ind w:firstLine="560"/>
        <w:outlineLvl w:val="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四、质量与检验</w:t>
      </w:r>
    </w:p>
    <w:p w14:paraId="511DC96B">
      <w:pPr>
        <w:spacing w:line="360" w:lineRule="auto"/>
        <w:ind w:firstLine="562"/>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15．工程质量</w:t>
      </w:r>
    </w:p>
    <w:p w14:paraId="7EC4DD71">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15.1</w:t>
      </w:r>
      <w:r>
        <w:rPr>
          <w:rFonts w:hint="eastAsia" w:ascii="华文仿宋" w:hAnsi="华文仿宋" w:eastAsia="华文仿宋" w:cs="仿宋"/>
          <w:color w:val="auto"/>
          <w:kern w:val="1"/>
          <w:sz w:val="28"/>
          <w:szCs w:val="28"/>
          <w:highlight w:val="none"/>
        </w:rPr>
        <w:t>工程质量应当达到协议书约定的质量标准，工程质量应当达到协议书约定的质量标准，质量标准的评定以国家或行业的质量检验评定标准为依据。因承包人原因工程质量达不到约定的质量标准，承包人承担违约责任。</w:t>
      </w:r>
    </w:p>
    <w:p w14:paraId="61703481">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15.2</w:t>
      </w:r>
      <w:r>
        <w:rPr>
          <w:rFonts w:hint="eastAsia" w:ascii="华文仿宋" w:hAnsi="华文仿宋" w:eastAsia="华文仿宋" w:cs="仿宋"/>
          <w:color w:val="auto"/>
          <w:kern w:val="1"/>
          <w:sz w:val="28"/>
          <w:szCs w:val="28"/>
          <w:highlight w:val="none"/>
        </w:rPr>
        <w:t>双方对工程质量有争议，由双方同意的工程质量检测机构鉴定，所需费用及因此造成的损失，由责任方承担。双方均有责任，由双方根据其责任分别承担。</w:t>
      </w:r>
    </w:p>
    <w:p w14:paraId="289B2DD4">
      <w:pPr>
        <w:spacing w:line="360" w:lineRule="auto"/>
        <w:ind w:firstLine="562"/>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16．检查和返工</w:t>
      </w:r>
    </w:p>
    <w:p w14:paraId="6439E63F">
      <w:pPr>
        <w:spacing w:line="360" w:lineRule="auto"/>
        <w:ind w:firstLine="552"/>
        <w:rPr>
          <w:rFonts w:ascii="华文仿宋" w:hAnsi="华文仿宋" w:eastAsia="华文仿宋" w:cs="仿宋"/>
          <w:color w:val="auto"/>
          <w:spacing w:val="-1"/>
          <w:kern w:val="1"/>
          <w:sz w:val="28"/>
          <w:szCs w:val="28"/>
          <w:highlight w:val="none"/>
        </w:rPr>
      </w:pPr>
      <w:r>
        <w:rPr>
          <w:rFonts w:ascii="华文仿宋" w:hAnsi="华文仿宋" w:eastAsia="华文仿宋" w:cs="仿宋"/>
          <w:color w:val="auto"/>
          <w:spacing w:val="-1"/>
          <w:kern w:val="1"/>
          <w:sz w:val="28"/>
          <w:szCs w:val="28"/>
          <w:highlight w:val="none"/>
        </w:rPr>
        <w:t>16.1</w:t>
      </w:r>
      <w:r>
        <w:rPr>
          <w:rFonts w:hint="eastAsia" w:ascii="华文仿宋" w:hAnsi="华文仿宋" w:eastAsia="华文仿宋" w:cs="仿宋"/>
          <w:color w:val="auto"/>
          <w:spacing w:val="-1"/>
          <w:kern w:val="1"/>
          <w:sz w:val="28"/>
          <w:szCs w:val="28"/>
          <w:highlight w:val="none"/>
        </w:rPr>
        <w:t>承包人应认真按照标准、规范和设计图纸要求以及工程师依据合同发出的指令施工，随时接受工程师的检查检验，为检查检验提供便利条件。</w:t>
      </w:r>
    </w:p>
    <w:p w14:paraId="1C42DCA0">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16.2</w:t>
      </w:r>
      <w:r>
        <w:rPr>
          <w:rFonts w:hint="eastAsia" w:ascii="华文仿宋" w:hAnsi="华文仿宋" w:eastAsia="华文仿宋" w:cs="仿宋"/>
          <w:color w:val="auto"/>
          <w:kern w:val="1"/>
          <w:sz w:val="28"/>
          <w:szCs w:val="28"/>
          <w:highlight w:val="none"/>
        </w:rPr>
        <w:t>工程质量达不到约定标准的部分，工程师一经发现，应要求承包人拆除和重新施工，承包人应按工程师的要求拆除和重新施工，直到符合约定标准。因承包人原因达不到约定标准，由承包人承担拆除和重新施工的费用，工期不予顺延。</w:t>
      </w:r>
    </w:p>
    <w:p w14:paraId="4C16A284">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16.3</w:t>
      </w:r>
      <w:r>
        <w:rPr>
          <w:rFonts w:hint="eastAsia" w:ascii="华文仿宋" w:hAnsi="华文仿宋" w:eastAsia="华文仿宋" w:cs="仿宋"/>
          <w:color w:val="auto"/>
          <w:kern w:val="1"/>
          <w:sz w:val="28"/>
          <w:szCs w:val="28"/>
          <w:highlight w:val="none"/>
        </w:rPr>
        <w:t>工程师的检查检验不应影响施工正常进行。如影响施工正常进行，检查检验不合格时，影响正常施工的费用由承包人承担。除此之外影响正常施工的追加合同价款由发包人承担，相应顺延工期。</w:t>
      </w:r>
    </w:p>
    <w:p w14:paraId="1B658B3B">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16.4</w:t>
      </w:r>
      <w:r>
        <w:rPr>
          <w:rFonts w:hint="eastAsia" w:ascii="华文仿宋" w:hAnsi="华文仿宋" w:eastAsia="华文仿宋" w:cs="仿宋"/>
          <w:color w:val="auto"/>
          <w:kern w:val="1"/>
          <w:sz w:val="28"/>
          <w:szCs w:val="28"/>
          <w:highlight w:val="none"/>
        </w:rPr>
        <w:t>因工程师指令失误或其他非承包人原因发生的追加合同价款，由发包人承担。</w:t>
      </w:r>
    </w:p>
    <w:p w14:paraId="219B11C7">
      <w:pPr>
        <w:spacing w:line="360" w:lineRule="auto"/>
        <w:ind w:firstLine="562"/>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17．隐蔽工程和中间验收</w:t>
      </w:r>
    </w:p>
    <w:p w14:paraId="5505D3BC">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17.1</w:t>
      </w:r>
      <w:r>
        <w:rPr>
          <w:rFonts w:hint="eastAsia" w:ascii="华文仿宋" w:hAnsi="华文仿宋" w:eastAsia="华文仿宋" w:cs="仿宋"/>
          <w:color w:val="auto"/>
          <w:kern w:val="1"/>
          <w:sz w:val="28"/>
          <w:szCs w:val="28"/>
          <w:highlight w:val="none"/>
        </w:rPr>
        <w:t>工程具备隐蔽条件或达到专用条款约定的中间验收部位，承包人进行自检，并在隐蔽或中间验收前</w:t>
      </w:r>
      <w:r>
        <w:rPr>
          <w:rFonts w:ascii="华文仿宋" w:hAnsi="华文仿宋" w:eastAsia="华文仿宋" w:cs="仿宋"/>
          <w:color w:val="auto"/>
          <w:kern w:val="1"/>
          <w:sz w:val="28"/>
          <w:szCs w:val="28"/>
          <w:highlight w:val="none"/>
        </w:rPr>
        <w:t>48</w:t>
      </w:r>
      <w:r>
        <w:rPr>
          <w:rFonts w:hint="eastAsia" w:ascii="华文仿宋" w:hAnsi="华文仿宋" w:eastAsia="华文仿宋" w:cs="仿宋"/>
          <w:color w:val="auto"/>
          <w:kern w:val="1"/>
          <w:sz w:val="28"/>
          <w:szCs w:val="28"/>
          <w:highlight w:val="none"/>
        </w:rPr>
        <w:t>小时以书面形式通知工程师验收。通知包括隐蔽和中间验收的内容，验收时间和地点。承包人准备验收记录，验收合格，工程师在验收记录上签字后，承包人可进行隐蔽和继续施工。验收不合格，承包人在工程师限定的时间内修改后重新验收。</w:t>
      </w:r>
    </w:p>
    <w:p w14:paraId="5B98C855">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17.2</w:t>
      </w:r>
      <w:r>
        <w:rPr>
          <w:rFonts w:hint="eastAsia" w:ascii="华文仿宋" w:hAnsi="华文仿宋" w:eastAsia="华文仿宋" w:cs="仿宋"/>
          <w:color w:val="auto"/>
          <w:kern w:val="1"/>
          <w:sz w:val="28"/>
          <w:szCs w:val="28"/>
          <w:highlight w:val="none"/>
        </w:rPr>
        <w:t>工程师不能按时进行验收，应在验收前</w:t>
      </w:r>
      <w:r>
        <w:rPr>
          <w:rFonts w:ascii="华文仿宋" w:hAnsi="华文仿宋" w:eastAsia="华文仿宋" w:cs="仿宋"/>
          <w:color w:val="auto"/>
          <w:kern w:val="1"/>
          <w:sz w:val="28"/>
          <w:szCs w:val="28"/>
          <w:highlight w:val="none"/>
        </w:rPr>
        <w:t>24</w:t>
      </w:r>
      <w:r>
        <w:rPr>
          <w:rFonts w:hint="eastAsia" w:ascii="华文仿宋" w:hAnsi="华文仿宋" w:eastAsia="华文仿宋" w:cs="仿宋"/>
          <w:color w:val="auto"/>
          <w:kern w:val="1"/>
          <w:sz w:val="28"/>
          <w:szCs w:val="28"/>
          <w:highlight w:val="none"/>
        </w:rPr>
        <w:t>小时以书面形式向承包人提出延期要求，延期不能超过</w:t>
      </w:r>
      <w:r>
        <w:rPr>
          <w:rFonts w:ascii="华文仿宋" w:hAnsi="华文仿宋" w:eastAsia="华文仿宋" w:cs="仿宋"/>
          <w:color w:val="auto"/>
          <w:kern w:val="1"/>
          <w:sz w:val="28"/>
          <w:szCs w:val="28"/>
          <w:highlight w:val="none"/>
        </w:rPr>
        <w:t>48</w:t>
      </w:r>
      <w:r>
        <w:rPr>
          <w:rFonts w:hint="eastAsia" w:ascii="华文仿宋" w:hAnsi="华文仿宋" w:eastAsia="华文仿宋" w:cs="仿宋"/>
          <w:color w:val="auto"/>
          <w:kern w:val="1"/>
          <w:sz w:val="28"/>
          <w:szCs w:val="28"/>
          <w:highlight w:val="none"/>
        </w:rPr>
        <w:t>小时。工程师未能按以上时间提出延期要求，不进行验收，承包人可自行组织验收，工程师应承认验收记录。</w:t>
      </w:r>
    </w:p>
    <w:p w14:paraId="0F4A5A72">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17.3</w:t>
      </w:r>
      <w:r>
        <w:rPr>
          <w:rFonts w:hint="eastAsia" w:ascii="华文仿宋" w:hAnsi="华文仿宋" w:eastAsia="华文仿宋" w:cs="仿宋"/>
          <w:color w:val="auto"/>
          <w:kern w:val="1"/>
          <w:sz w:val="28"/>
          <w:szCs w:val="28"/>
          <w:highlight w:val="none"/>
        </w:rPr>
        <w:t>经工程师验收，工程质量符合标准、规范和设计图纸等要求，验收</w:t>
      </w:r>
      <w:r>
        <w:rPr>
          <w:rFonts w:ascii="华文仿宋" w:hAnsi="华文仿宋" w:eastAsia="华文仿宋" w:cs="仿宋"/>
          <w:color w:val="auto"/>
          <w:kern w:val="1"/>
          <w:sz w:val="28"/>
          <w:szCs w:val="28"/>
          <w:highlight w:val="none"/>
        </w:rPr>
        <w:t>24</w:t>
      </w:r>
      <w:r>
        <w:rPr>
          <w:rFonts w:hint="eastAsia" w:ascii="华文仿宋" w:hAnsi="华文仿宋" w:eastAsia="华文仿宋" w:cs="仿宋"/>
          <w:color w:val="auto"/>
          <w:kern w:val="1"/>
          <w:sz w:val="28"/>
          <w:szCs w:val="28"/>
          <w:highlight w:val="none"/>
        </w:rPr>
        <w:t>小时后，工程师不在验收记录上签字，视为工程师已经认可验收记录，承包人可进行隐蔽或继续施工。</w:t>
      </w:r>
    </w:p>
    <w:p w14:paraId="327C7AAB">
      <w:pPr>
        <w:spacing w:line="360" w:lineRule="auto"/>
        <w:ind w:firstLine="562"/>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18．重新检验</w:t>
      </w:r>
    </w:p>
    <w:p w14:paraId="6C7AAEE3">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无论工程师是否进行验收，当其要求对已经隐蔽的工程重新检验时，承包人应按要求进行剥离或开孔，并在检验后重新覆盖或修复。检验合格，发包人承担由此发生的全部追加合同价款，赔偿承包人损失，并相应顺延工期。检验不合格，承包人承担发生的全部费用，工期不予顺延。</w:t>
      </w:r>
    </w:p>
    <w:p w14:paraId="39942038">
      <w:pPr>
        <w:spacing w:line="360" w:lineRule="auto"/>
        <w:ind w:firstLine="562"/>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19．工程试车</w:t>
      </w:r>
    </w:p>
    <w:p w14:paraId="02A4D199">
      <w:pPr>
        <w:spacing w:line="360" w:lineRule="auto"/>
        <w:ind w:firstLine="544"/>
        <w:rPr>
          <w:rFonts w:ascii="华文仿宋" w:hAnsi="华文仿宋" w:eastAsia="华文仿宋" w:cs="仿宋"/>
          <w:color w:val="auto"/>
          <w:spacing w:val="-4"/>
          <w:kern w:val="1"/>
          <w:sz w:val="28"/>
          <w:szCs w:val="28"/>
          <w:highlight w:val="none"/>
        </w:rPr>
      </w:pPr>
      <w:r>
        <w:rPr>
          <w:rFonts w:ascii="华文仿宋" w:hAnsi="华文仿宋" w:eastAsia="华文仿宋" w:cs="仿宋"/>
          <w:color w:val="auto"/>
          <w:spacing w:val="-4"/>
          <w:kern w:val="1"/>
          <w:sz w:val="28"/>
          <w:szCs w:val="28"/>
          <w:highlight w:val="none"/>
        </w:rPr>
        <w:t>19.1</w:t>
      </w:r>
      <w:r>
        <w:rPr>
          <w:rFonts w:hint="eastAsia" w:ascii="华文仿宋" w:hAnsi="华文仿宋" w:eastAsia="华文仿宋" w:cs="仿宋"/>
          <w:color w:val="auto"/>
          <w:spacing w:val="-4"/>
          <w:kern w:val="1"/>
          <w:sz w:val="28"/>
          <w:szCs w:val="28"/>
          <w:highlight w:val="none"/>
        </w:rPr>
        <w:t>双方约定需要试车的，试车内容应与承包人承包的安装范围相一致。</w:t>
      </w:r>
    </w:p>
    <w:p w14:paraId="0809987A">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19.2</w:t>
      </w:r>
      <w:r>
        <w:rPr>
          <w:rFonts w:hint="eastAsia" w:ascii="华文仿宋" w:hAnsi="华文仿宋" w:eastAsia="华文仿宋" w:cs="仿宋"/>
          <w:color w:val="auto"/>
          <w:kern w:val="1"/>
          <w:sz w:val="28"/>
          <w:szCs w:val="28"/>
          <w:highlight w:val="none"/>
        </w:rPr>
        <w:t>设备安装工程具备单机无负荷试车条件，承包人组织试车，并在试车前</w:t>
      </w:r>
      <w:r>
        <w:rPr>
          <w:rFonts w:ascii="华文仿宋" w:hAnsi="华文仿宋" w:eastAsia="华文仿宋" w:cs="仿宋"/>
          <w:color w:val="auto"/>
          <w:kern w:val="1"/>
          <w:sz w:val="28"/>
          <w:szCs w:val="28"/>
          <w:highlight w:val="none"/>
        </w:rPr>
        <w:t>48</w:t>
      </w:r>
      <w:r>
        <w:rPr>
          <w:rFonts w:hint="eastAsia" w:ascii="华文仿宋" w:hAnsi="华文仿宋" w:eastAsia="华文仿宋" w:cs="仿宋"/>
          <w:color w:val="auto"/>
          <w:kern w:val="1"/>
          <w:sz w:val="28"/>
          <w:szCs w:val="28"/>
          <w:highlight w:val="none"/>
        </w:rPr>
        <w:t>小时以书面形式通知工程师。通知包括试车内容、时间、地点。承包人准备试车记录，发包人根据承包人要求为试车提供必要条件。试车合格，工程师在试车记录上签字。</w:t>
      </w:r>
    </w:p>
    <w:p w14:paraId="732B3525">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19.3</w:t>
      </w:r>
      <w:r>
        <w:rPr>
          <w:rFonts w:hint="eastAsia" w:ascii="华文仿宋" w:hAnsi="华文仿宋" w:eastAsia="华文仿宋" w:cs="仿宋"/>
          <w:color w:val="auto"/>
          <w:kern w:val="1"/>
          <w:sz w:val="28"/>
          <w:szCs w:val="28"/>
          <w:highlight w:val="none"/>
        </w:rPr>
        <w:t>工程师不能按时参加试车，须在开始试车前</w:t>
      </w:r>
      <w:r>
        <w:rPr>
          <w:rFonts w:ascii="华文仿宋" w:hAnsi="华文仿宋" w:eastAsia="华文仿宋" w:cs="仿宋"/>
          <w:color w:val="auto"/>
          <w:kern w:val="1"/>
          <w:sz w:val="28"/>
          <w:szCs w:val="28"/>
          <w:highlight w:val="none"/>
        </w:rPr>
        <w:t>24</w:t>
      </w:r>
      <w:r>
        <w:rPr>
          <w:rFonts w:hint="eastAsia" w:ascii="华文仿宋" w:hAnsi="华文仿宋" w:eastAsia="华文仿宋" w:cs="仿宋"/>
          <w:color w:val="auto"/>
          <w:kern w:val="1"/>
          <w:sz w:val="28"/>
          <w:szCs w:val="28"/>
          <w:highlight w:val="none"/>
        </w:rPr>
        <w:t>小时以书面形式向承包人提出延期要求，延期不能超过</w:t>
      </w:r>
      <w:r>
        <w:rPr>
          <w:rFonts w:ascii="华文仿宋" w:hAnsi="华文仿宋" w:eastAsia="华文仿宋" w:cs="仿宋"/>
          <w:color w:val="auto"/>
          <w:kern w:val="1"/>
          <w:sz w:val="28"/>
          <w:szCs w:val="28"/>
          <w:highlight w:val="none"/>
        </w:rPr>
        <w:t>48</w:t>
      </w:r>
      <w:r>
        <w:rPr>
          <w:rFonts w:hint="eastAsia" w:ascii="华文仿宋" w:hAnsi="华文仿宋" w:eastAsia="华文仿宋" w:cs="仿宋"/>
          <w:color w:val="auto"/>
          <w:kern w:val="1"/>
          <w:sz w:val="28"/>
          <w:szCs w:val="28"/>
          <w:highlight w:val="none"/>
        </w:rPr>
        <w:t>小时。工程师未能按以上时间提出延期要求，不参加试车，应承认试车记录。</w:t>
      </w:r>
    </w:p>
    <w:p w14:paraId="5BA2BF72">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19.4</w:t>
      </w:r>
      <w:r>
        <w:rPr>
          <w:rFonts w:hint="eastAsia" w:ascii="华文仿宋" w:hAnsi="华文仿宋" w:eastAsia="华文仿宋" w:cs="仿宋"/>
          <w:color w:val="auto"/>
          <w:kern w:val="1"/>
          <w:sz w:val="28"/>
          <w:szCs w:val="28"/>
          <w:highlight w:val="none"/>
        </w:rPr>
        <w:t>设备安装工程具备无负荷联动试车条件，发包人组织试车，并在试车前</w:t>
      </w:r>
      <w:r>
        <w:rPr>
          <w:rFonts w:ascii="华文仿宋" w:hAnsi="华文仿宋" w:eastAsia="华文仿宋" w:cs="仿宋"/>
          <w:color w:val="auto"/>
          <w:kern w:val="1"/>
          <w:sz w:val="28"/>
          <w:szCs w:val="28"/>
          <w:highlight w:val="none"/>
        </w:rPr>
        <w:t>48</w:t>
      </w:r>
      <w:r>
        <w:rPr>
          <w:rFonts w:hint="eastAsia" w:ascii="华文仿宋" w:hAnsi="华文仿宋" w:eastAsia="华文仿宋" w:cs="仿宋"/>
          <w:color w:val="auto"/>
          <w:kern w:val="1"/>
          <w:sz w:val="28"/>
          <w:szCs w:val="28"/>
          <w:highlight w:val="none"/>
        </w:rPr>
        <w:t>小时以书面形式通知承包人。通知包括试车内容、时间、地点和对承包人的要求，承包人按要求做好准备工作。试车合格，双方在试车记录上签字。</w:t>
      </w:r>
    </w:p>
    <w:p w14:paraId="0D976271">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19.5</w:t>
      </w:r>
      <w:r>
        <w:rPr>
          <w:rFonts w:hint="eastAsia" w:ascii="华文仿宋" w:hAnsi="华文仿宋" w:eastAsia="华文仿宋" w:cs="仿宋"/>
          <w:color w:val="auto"/>
          <w:kern w:val="1"/>
          <w:sz w:val="28"/>
          <w:szCs w:val="28"/>
          <w:highlight w:val="none"/>
        </w:rPr>
        <w:t>双方责任</w:t>
      </w:r>
    </w:p>
    <w:p w14:paraId="03A83D5B">
      <w:pPr>
        <w:pStyle w:val="19"/>
        <w:spacing w:line="360" w:lineRule="auto"/>
        <w:ind w:left="0" w:firstLine="56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⑴由于设计原因试车达不到验收要求，承包人须按发包人要求重新设计，并按修改后的设计重新安装。承包人承担修改设计、拆除及重新安装的全部费用和追加合同价款，工期不顺延。</w:t>
      </w:r>
    </w:p>
    <w:p w14:paraId="6846774A">
      <w:pPr>
        <w:pStyle w:val="19"/>
        <w:spacing w:line="360" w:lineRule="auto"/>
        <w:ind w:left="0" w:firstLine="56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⑵由于设备制造原因试车达不到验收要求，由该设备采购一方负责重新购置与修理，承包人负责拆除和重新安装。设备由承包人采购的，由承包人承担修理或重新购置、拆除及重新安装的费用，工期不予顺延；设备由发包人采购的，发包人承担上述各项追加合同价款，工期相应顺延。</w:t>
      </w:r>
    </w:p>
    <w:p w14:paraId="725B4AAA">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⑶由于承包人施工原因试车达不到验收要求，承包人按工程师要求重新安装和试车，并承担重新安装和试车的费用，工期不予顺延。</w:t>
      </w:r>
    </w:p>
    <w:p w14:paraId="334C5478">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⑷试车费用的承担执行专用条款的规定。</w:t>
      </w:r>
    </w:p>
    <w:p w14:paraId="12514B0D">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⑸工程师在试车合格后不在试车记录上签字，试车结束</w:t>
      </w:r>
      <w:r>
        <w:rPr>
          <w:rFonts w:ascii="华文仿宋" w:hAnsi="华文仿宋" w:eastAsia="华文仿宋" w:cs="仿宋"/>
          <w:color w:val="auto"/>
          <w:kern w:val="1"/>
          <w:sz w:val="28"/>
          <w:szCs w:val="28"/>
          <w:highlight w:val="none"/>
        </w:rPr>
        <w:t>24</w:t>
      </w:r>
      <w:r>
        <w:rPr>
          <w:rFonts w:hint="eastAsia" w:ascii="华文仿宋" w:hAnsi="华文仿宋" w:eastAsia="华文仿宋" w:cs="仿宋"/>
          <w:color w:val="auto"/>
          <w:kern w:val="1"/>
          <w:sz w:val="28"/>
          <w:szCs w:val="28"/>
          <w:highlight w:val="none"/>
        </w:rPr>
        <w:t>小时后，视为工程师已经认可试车记录，承包人可继续施工或办理竣工手续。</w:t>
      </w:r>
    </w:p>
    <w:p w14:paraId="53B8E1D3">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19.6</w:t>
      </w:r>
      <w:r>
        <w:rPr>
          <w:rFonts w:hint="eastAsia" w:ascii="华文仿宋" w:hAnsi="华文仿宋" w:eastAsia="华文仿宋" w:cs="仿宋"/>
          <w:color w:val="auto"/>
          <w:kern w:val="1"/>
          <w:sz w:val="28"/>
          <w:szCs w:val="28"/>
          <w:highlight w:val="none"/>
        </w:rPr>
        <w:t>投料试车应在工程竣工验收后由发包人负责，如发包人要求在工程竣工验收前进行或需要承包人配合时，应征得承包人同意，另行签订补充协议。</w:t>
      </w:r>
    </w:p>
    <w:p w14:paraId="76BC4D04">
      <w:pPr>
        <w:spacing w:line="360" w:lineRule="auto"/>
        <w:ind w:firstLine="560"/>
        <w:outlineLvl w:val="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五、安全施工</w:t>
      </w:r>
    </w:p>
    <w:p w14:paraId="30E38BD7">
      <w:pPr>
        <w:spacing w:line="360" w:lineRule="auto"/>
        <w:ind w:firstLine="562"/>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20．安全施工与检查</w:t>
      </w:r>
    </w:p>
    <w:p w14:paraId="24787479">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20.1</w:t>
      </w:r>
      <w:r>
        <w:rPr>
          <w:rFonts w:hint="eastAsia" w:ascii="华文仿宋" w:hAnsi="华文仿宋" w:eastAsia="华文仿宋" w:cs="仿宋"/>
          <w:color w:val="auto"/>
          <w:kern w:val="1"/>
          <w:sz w:val="28"/>
          <w:szCs w:val="28"/>
          <w:highlight w:val="none"/>
        </w:rPr>
        <w:t>承包人应遵守《建设工程安全管理条例》及建设行政主管部门颁发的有关管理规定，严格按《建筑施工安全检查标准》组织施工，并随时接受行业安全检查人员依法实施的监督检查，采取必要的安全防护措施，消除事故隐患。由于承包人安全措施不力造成事故的责任和因此发生的费用，由承包人承担。</w:t>
      </w:r>
    </w:p>
    <w:p w14:paraId="3C1916BB">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20.2</w:t>
      </w:r>
      <w:r>
        <w:rPr>
          <w:rFonts w:hint="eastAsia" w:ascii="华文仿宋" w:hAnsi="华文仿宋" w:eastAsia="华文仿宋" w:cs="仿宋"/>
          <w:color w:val="auto"/>
          <w:kern w:val="1"/>
          <w:sz w:val="28"/>
          <w:szCs w:val="28"/>
          <w:highlight w:val="none"/>
        </w:rPr>
        <w:t>发包人应对其在施工场地的工作人员进行安全教育，并对他们的安全负责。发包人不得要求承包人违反安全管理的规定进行施工。因发包人原因导致的安全事故，由发包人承担相应责任及发生的费用。</w:t>
      </w:r>
    </w:p>
    <w:p w14:paraId="2989D66E">
      <w:pPr>
        <w:spacing w:line="360" w:lineRule="auto"/>
        <w:ind w:firstLine="562"/>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21．安全防护</w:t>
      </w:r>
    </w:p>
    <w:p w14:paraId="27F41347">
      <w:pPr>
        <w:spacing w:line="360" w:lineRule="auto"/>
        <w:ind w:firstLine="552"/>
        <w:rPr>
          <w:rFonts w:ascii="华文仿宋" w:hAnsi="华文仿宋" w:eastAsia="华文仿宋" w:cs="仿宋"/>
          <w:color w:val="auto"/>
          <w:spacing w:val="-1"/>
          <w:kern w:val="1"/>
          <w:sz w:val="28"/>
          <w:szCs w:val="28"/>
          <w:highlight w:val="none"/>
        </w:rPr>
      </w:pPr>
      <w:r>
        <w:rPr>
          <w:rFonts w:ascii="华文仿宋" w:hAnsi="华文仿宋" w:eastAsia="华文仿宋" w:cs="仿宋"/>
          <w:color w:val="auto"/>
          <w:spacing w:val="-1"/>
          <w:kern w:val="1"/>
          <w:sz w:val="28"/>
          <w:szCs w:val="28"/>
          <w:highlight w:val="none"/>
        </w:rPr>
        <w:t>21.1</w:t>
      </w:r>
      <w:r>
        <w:rPr>
          <w:rFonts w:hint="eastAsia" w:ascii="华文仿宋" w:hAnsi="华文仿宋" w:eastAsia="华文仿宋" w:cs="仿宋"/>
          <w:color w:val="auto"/>
          <w:spacing w:val="-1"/>
          <w:kern w:val="1"/>
          <w:sz w:val="28"/>
          <w:szCs w:val="28"/>
          <w:highlight w:val="none"/>
        </w:rPr>
        <w:t>承包人在动力设备、输电线路、地下管道、密封防震车间、易燃易爆地段以及临街交通要道附近施工时，施工开始前应向工程师提出安全防护措施，经工程师认可后实施，防护措施费用的承担执行专用条款的规定。</w:t>
      </w:r>
    </w:p>
    <w:p w14:paraId="5994520C">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21.2</w:t>
      </w:r>
      <w:r>
        <w:rPr>
          <w:rFonts w:hint="eastAsia" w:ascii="华文仿宋" w:hAnsi="华文仿宋" w:eastAsia="华文仿宋" w:cs="仿宋"/>
          <w:color w:val="auto"/>
          <w:kern w:val="1"/>
          <w:sz w:val="28"/>
          <w:szCs w:val="28"/>
          <w:highlight w:val="none"/>
        </w:rPr>
        <w:t>实施爆破作业，在放射、毒害性环境中施工（含储存、运输、使用）及使用毒害性、腐蚀性物品施工时，承包人应在施工前</w:t>
      </w:r>
      <w:r>
        <w:rPr>
          <w:rFonts w:ascii="华文仿宋" w:hAnsi="华文仿宋" w:eastAsia="华文仿宋" w:cs="仿宋"/>
          <w:color w:val="auto"/>
          <w:kern w:val="1"/>
          <w:sz w:val="28"/>
          <w:szCs w:val="28"/>
          <w:highlight w:val="none"/>
        </w:rPr>
        <w:t>14</w:t>
      </w:r>
      <w:r>
        <w:rPr>
          <w:rFonts w:hint="eastAsia" w:ascii="华文仿宋" w:hAnsi="华文仿宋" w:eastAsia="华文仿宋" w:cs="仿宋"/>
          <w:color w:val="auto"/>
          <w:kern w:val="1"/>
          <w:sz w:val="28"/>
          <w:szCs w:val="28"/>
          <w:highlight w:val="none"/>
        </w:rPr>
        <w:t>天以书面形式通知工程师，并提出相应的安全防护措施，经工程师认可后实施，安全防护措施费用的承担执行专用条款的规定。</w:t>
      </w:r>
    </w:p>
    <w:p w14:paraId="2A1C8C99">
      <w:pPr>
        <w:spacing w:line="360" w:lineRule="auto"/>
        <w:ind w:firstLine="562"/>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22．事故处理</w:t>
      </w:r>
    </w:p>
    <w:p w14:paraId="244A9530">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22.1</w:t>
      </w:r>
      <w:r>
        <w:rPr>
          <w:rFonts w:hint="eastAsia" w:ascii="华文仿宋" w:hAnsi="华文仿宋" w:eastAsia="华文仿宋" w:cs="仿宋"/>
          <w:color w:val="auto"/>
          <w:kern w:val="1"/>
          <w:sz w:val="28"/>
          <w:szCs w:val="28"/>
          <w:highlight w:val="none"/>
        </w:rPr>
        <w:t>发生重大伤亡及其他安全事故，承包人应按有关规定立即上报有关部门并通知工程师，同时按政府有关部门要求处理，由事故责任方承担发生的费用。</w:t>
      </w:r>
    </w:p>
    <w:p w14:paraId="5C4A107A">
      <w:pPr>
        <w:spacing w:line="360" w:lineRule="auto"/>
        <w:ind w:firstLine="544"/>
        <w:rPr>
          <w:rFonts w:ascii="华文仿宋" w:hAnsi="华文仿宋" w:eastAsia="华文仿宋" w:cs="仿宋"/>
          <w:color w:val="auto"/>
          <w:spacing w:val="-4"/>
          <w:kern w:val="1"/>
          <w:sz w:val="28"/>
          <w:szCs w:val="28"/>
          <w:highlight w:val="none"/>
        </w:rPr>
      </w:pPr>
      <w:r>
        <w:rPr>
          <w:rFonts w:ascii="华文仿宋" w:hAnsi="华文仿宋" w:eastAsia="华文仿宋" w:cs="仿宋"/>
          <w:color w:val="auto"/>
          <w:spacing w:val="-4"/>
          <w:kern w:val="1"/>
          <w:sz w:val="28"/>
          <w:szCs w:val="28"/>
          <w:highlight w:val="none"/>
        </w:rPr>
        <w:t>22.2</w:t>
      </w:r>
      <w:r>
        <w:rPr>
          <w:rFonts w:hint="eastAsia" w:ascii="华文仿宋" w:hAnsi="华文仿宋" w:eastAsia="华文仿宋" w:cs="仿宋"/>
          <w:color w:val="auto"/>
          <w:spacing w:val="-4"/>
          <w:kern w:val="1"/>
          <w:sz w:val="28"/>
          <w:szCs w:val="28"/>
          <w:highlight w:val="none"/>
        </w:rPr>
        <w:t>发包人承包人对事故责任有争议时，应按政府有关部门的认定处理。</w:t>
      </w:r>
    </w:p>
    <w:p w14:paraId="20670172">
      <w:pPr>
        <w:spacing w:line="360" w:lineRule="auto"/>
        <w:ind w:firstLine="560"/>
        <w:outlineLvl w:val="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六、合同价款与支付</w:t>
      </w:r>
    </w:p>
    <w:p w14:paraId="2AAF462F">
      <w:pPr>
        <w:spacing w:line="360" w:lineRule="auto"/>
        <w:ind w:firstLine="562"/>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23．合同价款与调整</w:t>
      </w:r>
    </w:p>
    <w:p w14:paraId="212455C3">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23.1</w:t>
      </w:r>
      <w:r>
        <w:rPr>
          <w:rFonts w:hint="eastAsia" w:ascii="华文仿宋" w:hAnsi="华文仿宋" w:eastAsia="华文仿宋" w:cs="仿宋"/>
          <w:color w:val="auto"/>
          <w:kern w:val="1"/>
          <w:sz w:val="28"/>
          <w:szCs w:val="28"/>
          <w:highlight w:val="none"/>
        </w:rPr>
        <w:t>招标工程的合同价款由发包人承包人依据中标通知书中的中标价格在协议书内约定，并按专用条款规定执行。非招标工程的合同价款由发包人承包人依据工程预算书在协议书内约定。</w:t>
      </w:r>
    </w:p>
    <w:p w14:paraId="09FAE7C5">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23.2</w:t>
      </w:r>
      <w:r>
        <w:rPr>
          <w:rFonts w:hint="eastAsia" w:ascii="华文仿宋" w:hAnsi="华文仿宋" w:eastAsia="华文仿宋" w:cs="仿宋"/>
          <w:color w:val="auto"/>
          <w:kern w:val="1"/>
          <w:sz w:val="28"/>
          <w:szCs w:val="28"/>
          <w:highlight w:val="none"/>
        </w:rPr>
        <w:t>合同价款在协议书内约定后，任何一方不得擅自改变。下列三种合同价款的方式，双方可在专用条款内约定采用其中一种：</w:t>
      </w:r>
    </w:p>
    <w:p w14:paraId="799A2071">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⑴固定价格合同。双方在专用条款内约定合同价款包含的风险范围和风险费用的计算方法，在约定的风险范围内合同价款不再调整。风险范围以外的合同价款调整方法，应当在专用条款内约定。</w:t>
      </w:r>
    </w:p>
    <w:p w14:paraId="28DB91E1">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⑵可调价格合同。合同价款可根据双方的约定而调整，双方在专用条款内约定合同价款调整方法。</w:t>
      </w:r>
    </w:p>
    <w:p w14:paraId="0A781DEA">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⑶成本加酬金合同。合同价款包括成本和酬金两部分，双方在专用条款内约定成本构成和酬金的计算方法。</w:t>
      </w:r>
    </w:p>
    <w:p w14:paraId="3D203DD3">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23.3</w:t>
      </w:r>
      <w:r>
        <w:rPr>
          <w:rFonts w:hint="eastAsia" w:ascii="华文仿宋" w:hAnsi="华文仿宋" w:eastAsia="华文仿宋" w:cs="仿宋"/>
          <w:color w:val="auto"/>
          <w:kern w:val="1"/>
          <w:sz w:val="28"/>
          <w:szCs w:val="28"/>
          <w:highlight w:val="none"/>
        </w:rPr>
        <w:t>可调价格合同中合同价款的调整因素包括：</w:t>
      </w:r>
    </w:p>
    <w:p w14:paraId="18F09AC0">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⑴法律、行政法规和国家有关政策变化影响合同价款；</w:t>
      </w:r>
    </w:p>
    <w:p w14:paraId="616D7C15">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⑵工程造价管理部门公布的价格调整；</w:t>
      </w:r>
    </w:p>
    <w:p w14:paraId="403E24A5">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⑶一周内非承包人原因停水、停电、停气造成停工累计超过</w:t>
      </w:r>
      <w:r>
        <w:rPr>
          <w:rFonts w:ascii="华文仿宋" w:hAnsi="华文仿宋" w:eastAsia="华文仿宋" w:cs="仿宋"/>
          <w:color w:val="auto"/>
          <w:kern w:val="1"/>
          <w:sz w:val="28"/>
          <w:szCs w:val="28"/>
          <w:highlight w:val="none"/>
        </w:rPr>
        <w:t>8</w:t>
      </w:r>
      <w:r>
        <w:rPr>
          <w:rFonts w:hint="eastAsia" w:ascii="华文仿宋" w:hAnsi="华文仿宋" w:eastAsia="华文仿宋" w:cs="仿宋"/>
          <w:color w:val="auto"/>
          <w:kern w:val="1"/>
          <w:sz w:val="28"/>
          <w:szCs w:val="28"/>
          <w:highlight w:val="none"/>
        </w:rPr>
        <w:t>小时；</w:t>
      </w:r>
    </w:p>
    <w:p w14:paraId="2B10A0D0">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⑷双方约定的其他因素。</w:t>
      </w:r>
    </w:p>
    <w:p w14:paraId="37F6215B">
      <w:pPr>
        <w:spacing w:line="360" w:lineRule="auto"/>
        <w:ind w:firstLine="552"/>
        <w:rPr>
          <w:rFonts w:ascii="华文仿宋" w:hAnsi="华文仿宋" w:eastAsia="华文仿宋" w:cs="仿宋"/>
          <w:color w:val="auto"/>
          <w:spacing w:val="-1"/>
          <w:kern w:val="1"/>
          <w:sz w:val="28"/>
          <w:szCs w:val="28"/>
          <w:highlight w:val="none"/>
        </w:rPr>
      </w:pPr>
      <w:r>
        <w:rPr>
          <w:rFonts w:ascii="华文仿宋" w:hAnsi="华文仿宋" w:eastAsia="华文仿宋" w:cs="仿宋"/>
          <w:color w:val="auto"/>
          <w:spacing w:val="-1"/>
          <w:kern w:val="1"/>
          <w:sz w:val="28"/>
          <w:szCs w:val="28"/>
          <w:highlight w:val="none"/>
        </w:rPr>
        <w:t>23.4</w:t>
      </w:r>
      <w:r>
        <w:rPr>
          <w:rFonts w:hint="eastAsia" w:ascii="华文仿宋" w:hAnsi="华文仿宋" w:eastAsia="华文仿宋" w:cs="仿宋"/>
          <w:color w:val="auto"/>
          <w:spacing w:val="-1"/>
          <w:kern w:val="1"/>
          <w:sz w:val="28"/>
          <w:szCs w:val="28"/>
          <w:highlight w:val="none"/>
        </w:rPr>
        <w:t>承包人应当在</w:t>
      </w:r>
      <w:r>
        <w:rPr>
          <w:rFonts w:ascii="华文仿宋" w:hAnsi="华文仿宋" w:eastAsia="华文仿宋" w:cs="仿宋"/>
          <w:color w:val="auto"/>
          <w:spacing w:val="-1"/>
          <w:kern w:val="1"/>
          <w:sz w:val="28"/>
          <w:szCs w:val="28"/>
          <w:highlight w:val="none"/>
        </w:rPr>
        <w:t>23.3</w:t>
      </w:r>
      <w:r>
        <w:rPr>
          <w:rFonts w:hint="eastAsia" w:ascii="华文仿宋" w:hAnsi="华文仿宋" w:eastAsia="华文仿宋" w:cs="仿宋"/>
          <w:color w:val="auto"/>
          <w:spacing w:val="-1"/>
          <w:kern w:val="1"/>
          <w:sz w:val="28"/>
          <w:szCs w:val="28"/>
          <w:highlight w:val="none"/>
        </w:rPr>
        <w:t>款情况发生后</w:t>
      </w:r>
      <w:r>
        <w:rPr>
          <w:rFonts w:ascii="华文仿宋" w:hAnsi="华文仿宋" w:eastAsia="华文仿宋" w:cs="仿宋"/>
          <w:color w:val="auto"/>
          <w:spacing w:val="-1"/>
          <w:kern w:val="1"/>
          <w:sz w:val="28"/>
          <w:szCs w:val="28"/>
          <w:highlight w:val="none"/>
        </w:rPr>
        <w:t>14</w:t>
      </w:r>
      <w:r>
        <w:rPr>
          <w:rFonts w:hint="eastAsia" w:ascii="华文仿宋" w:hAnsi="华文仿宋" w:eastAsia="华文仿宋" w:cs="仿宋"/>
          <w:color w:val="auto"/>
          <w:spacing w:val="-1"/>
          <w:kern w:val="1"/>
          <w:sz w:val="28"/>
          <w:szCs w:val="28"/>
          <w:highlight w:val="none"/>
        </w:rPr>
        <w:t>天内，将调整原因、金额以书面形式通知监理工程师及发包人。经监理工程师及发包人书面确认的调整金额作为追加合同价款，与工程款同期支付。监理工程师及发包人收到承包人通知后</w:t>
      </w:r>
      <w:r>
        <w:rPr>
          <w:rFonts w:ascii="华文仿宋" w:hAnsi="华文仿宋" w:eastAsia="华文仿宋" w:cs="仿宋"/>
          <w:color w:val="auto"/>
          <w:spacing w:val="-1"/>
          <w:kern w:val="1"/>
          <w:sz w:val="28"/>
          <w:szCs w:val="28"/>
          <w:highlight w:val="none"/>
        </w:rPr>
        <w:t>14</w:t>
      </w:r>
      <w:r>
        <w:rPr>
          <w:rFonts w:hint="eastAsia" w:ascii="华文仿宋" w:hAnsi="华文仿宋" w:eastAsia="华文仿宋" w:cs="仿宋"/>
          <w:color w:val="auto"/>
          <w:spacing w:val="-1"/>
          <w:kern w:val="1"/>
          <w:sz w:val="28"/>
          <w:szCs w:val="28"/>
          <w:highlight w:val="none"/>
        </w:rPr>
        <w:t>天内不予确认也不提出修改意见，视为已经同意该项调整。</w:t>
      </w:r>
    </w:p>
    <w:p w14:paraId="786A7912">
      <w:pPr>
        <w:spacing w:line="360" w:lineRule="auto"/>
        <w:ind w:firstLine="562"/>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24．工程预付款</w:t>
      </w:r>
    </w:p>
    <w:p w14:paraId="27B39FA7">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实行工程预付款的，双方应当在专用条款内约定发包人向承包人预付工程款的时间和数额，开工后按约定的时间和比例逐次扣回。预付时间应不迟于约定的开工日期前</w:t>
      </w:r>
      <w:r>
        <w:rPr>
          <w:rFonts w:ascii="华文仿宋" w:hAnsi="华文仿宋" w:eastAsia="华文仿宋" w:cs="仿宋"/>
          <w:color w:val="auto"/>
          <w:kern w:val="1"/>
          <w:sz w:val="28"/>
          <w:szCs w:val="28"/>
          <w:highlight w:val="none"/>
        </w:rPr>
        <w:t>7</w:t>
      </w:r>
      <w:r>
        <w:rPr>
          <w:rFonts w:hint="eastAsia" w:ascii="华文仿宋" w:hAnsi="华文仿宋" w:eastAsia="华文仿宋" w:cs="仿宋"/>
          <w:color w:val="auto"/>
          <w:kern w:val="1"/>
          <w:sz w:val="28"/>
          <w:szCs w:val="28"/>
          <w:highlight w:val="none"/>
        </w:rPr>
        <w:t>天。发包人不按约定预付，承包人在约定预付时间</w:t>
      </w:r>
      <w:r>
        <w:rPr>
          <w:rFonts w:ascii="华文仿宋" w:hAnsi="华文仿宋" w:eastAsia="华文仿宋" w:cs="仿宋"/>
          <w:color w:val="auto"/>
          <w:kern w:val="1"/>
          <w:sz w:val="28"/>
          <w:szCs w:val="28"/>
          <w:highlight w:val="none"/>
        </w:rPr>
        <w:t>7</w:t>
      </w:r>
      <w:r>
        <w:rPr>
          <w:rFonts w:hint="eastAsia" w:ascii="华文仿宋" w:hAnsi="华文仿宋" w:eastAsia="华文仿宋" w:cs="仿宋"/>
          <w:color w:val="auto"/>
          <w:kern w:val="1"/>
          <w:sz w:val="28"/>
          <w:szCs w:val="28"/>
          <w:highlight w:val="none"/>
        </w:rPr>
        <w:t>天后向发包人发出要求预付的通知，发包人收到通知后仍不能按要求预付，承包人可在发出通知后</w:t>
      </w:r>
      <w:r>
        <w:rPr>
          <w:rFonts w:ascii="华文仿宋" w:hAnsi="华文仿宋" w:eastAsia="华文仿宋" w:cs="仿宋"/>
          <w:color w:val="auto"/>
          <w:kern w:val="1"/>
          <w:sz w:val="28"/>
          <w:szCs w:val="28"/>
          <w:highlight w:val="none"/>
        </w:rPr>
        <w:t>7</w:t>
      </w:r>
      <w:r>
        <w:rPr>
          <w:rFonts w:hint="eastAsia" w:ascii="华文仿宋" w:hAnsi="华文仿宋" w:eastAsia="华文仿宋" w:cs="仿宋"/>
          <w:color w:val="auto"/>
          <w:kern w:val="1"/>
          <w:sz w:val="28"/>
          <w:szCs w:val="28"/>
          <w:highlight w:val="none"/>
        </w:rPr>
        <w:t>天停止施工，发包人应从约定应付之日起向承包人支付应付款的贷款利息，并承担违约责任。</w:t>
      </w:r>
    </w:p>
    <w:p w14:paraId="310083BD">
      <w:pPr>
        <w:spacing w:line="360" w:lineRule="auto"/>
        <w:ind w:firstLine="562"/>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25．工程量的确认</w:t>
      </w:r>
    </w:p>
    <w:p w14:paraId="7BCABABB">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25.1</w:t>
      </w:r>
      <w:r>
        <w:rPr>
          <w:rFonts w:hint="eastAsia" w:ascii="华文仿宋" w:hAnsi="华文仿宋" w:eastAsia="华文仿宋" w:cs="仿宋"/>
          <w:color w:val="auto"/>
          <w:kern w:val="1"/>
          <w:sz w:val="28"/>
          <w:szCs w:val="28"/>
          <w:highlight w:val="none"/>
        </w:rPr>
        <w:t>承包人应按专用条款约定的时间，向工程师提交已完工程量的报告。工程师接到报告后</w:t>
      </w:r>
      <w:r>
        <w:rPr>
          <w:rFonts w:ascii="华文仿宋" w:hAnsi="华文仿宋" w:eastAsia="华文仿宋" w:cs="仿宋"/>
          <w:color w:val="auto"/>
          <w:kern w:val="1"/>
          <w:sz w:val="28"/>
          <w:szCs w:val="28"/>
          <w:highlight w:val="none"/>
        </w:rPr>
        <w:t>7</w:t>
      </w:r>
      <w:r>
        <w:rPr>
          <w:rFonts w:hint="eastAsia" w:ascii="华文仿宋" w:hAnsi="华文仿宋" w:eastAsia="华文仿宋" w:cs="仿宋"/>
          <w:color w:val="auto"/>
          <w:kern w:val="1"/>
          <w:sz w:val="28"/>
          <w:szCs w:val="28"/>
          <w:highlight w:val="none"/>
        </w:rPr>
        <w:t>天内按设计图纸核实已完工程量（以下称计量），并在计量前</w:t>
      </w:r>
      <w:r>
        <w:rPr>
          <w:rFonts w:ascii="华文仿宋" w:hAnsi="华文仿宋" w:eastAsia="华文仿宋" w:cs="仿宋"/>
          <w:color w:val="auto"/>
          <w:kern w:val="1"/>
          <w:sz w:val="28"/>
          <w:szCs w:val="28"/>
          <w:highlight w:val="none"/>
        </w:rPr>
        <w:t>24</w:t>
      </w:r>
      <w:r>
        <w:rPr>
          <w:rFonts w:hint="eastAsia" w:ascii="华文仿宋" w:hAnsi="华文仿宋" w:eastAsia="华文仿宋" w:cs="仿宋"/>
          <w:color w:val="auto"/>
          <w:kern w:val="1"/>
          <w:sz w:val="28"/>
          <w:szCs w:val="28"/>
          <w:highlight w:val="none"/>
        </w:rPr>
        <w:t>小时通知承包人，承包人为计量提供便利条件并派人参加。承包人收到通知后不参加计量，计量结果有效，作为工程价款支付的依据。</w:t>
      </w:r>
    </w:p>
    <w:p w14:paraId="2B6A864E">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25.2</w:t>
      </w:r>
      <w:r>
        <w:rPr>
          <w:rFonts w:hint="eastAsia" w:ascii="华文仿宋" w:hAnsi="华文仿宋" w:eastAsia="华文仿宋" w:cs="仿宋"/>
          <w:color w:val="auto"/>
          <w:kern w:val="1"/>
          <w:sz w:val="28"/>
          <w:szCs w:val="28"/>
          <w:highlight w:val="none"/>
        </w:rPr>
        <w:t>工程师收到承包人报告后</w:t>
      </w:r>
      <w:r>
        <w:rPr>
          <w:rFonts w:ascii="华文仿宋" w:hAnsi="华文仿宋" w:eastAsia="华文仿宋" w:cs="仿宋"/>
          <w:color w:val="auto"/>
          <w:kern w:val="1"/>
          <w:sz w:val="28"/>
          <w:szCs w:val="28"/>
          <w:highlight w:val="none"/>
        </w:rPr>
        <w:t>7</w:t>
      </w:r>
      <w:r>
        <w:rPr>
          <w:rFonts w:hint="eastAsia" w:ascii="华文仿宋" w:hAnsi="华文仿宋" w:eastAsia="华文仿宋" w:cs="仿宋"/>
          <w:color w:val="auto"/>
          <w:kern w:val="1"/>
          <w:sz w:val="28"/>
          <w:szCs w:val="28"/>
          <w:highlight w:val="none"/>
        </w:rPr>
        <w:t>天内未进行计量，从第</w:t>
      </w:r>
      <w:r>
        <w:rPr>
          <w:rFonts w:ascii="华文仿宋" w:hAnsi="华文仿宋" w:eastAsia="华文仿宋" w:cs="仿宋"/>
          <w:color w:val="auto"/>
          <w:kern w:val="1"/>
          <w:sz w:val="28"/>
          <w:szCs w:val="28"/>
          <w:highlight w:val="none"/>
        </w:rPr>
        <w:t>8</w:t>
      </w:r>
      <w:r>
        <w:rPr>
          <w:rFonts w:hint="eastAsia" w:ascii="华文仿宋" w:hAnsi="华文仿宋" w:eastAsia="华文仿宋" w:cs="仿宋"/>
          <w:color w:val="auto"/>
          <w:kern w:val="1"/>
          <w:sz w:val="28"/>
          <w:szCs w:val="28"/>
          <w:highlight w:val="none"/>
        </w:rPr>
        <w:t>天起，承包人报告中开列的工程量即视为被确认，作为工程价款支付的依据。工程师不按约定时间通知承包人，致使承包人未能参加计量，计量结果无效。</w:t>
      </w:r>
    </w:p>
    <w:p w14:paraId="30AF273E">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25.3</w:t>
      </w:r>
      <w:r>
        <w:rPr>
          <w:rFonts w:hint="eastAsia" w:ascii="华文仿宋" w:hAnsi="华文仿宋" w:eastAsia="华文仿宋" w:cs="仿宋"/>
          <w:color w:val="auto"/>
          <w:kern w:val="1"/>
          <w:sz w:val="28"/>
          <w:szCs w:val="28"/>
          <w:highlight w:val="none"/>
        </w:rPr>
        <w:t>对承包人超出设计图纸范围和因承包人原因造成返工的工程量，工程师不予计量。</w:t>
      </w:r>
    </w:p>
    <w:p w14:paraId="4A81453F">
      <w:pPr>
        <w:spacing w:line="360" w:lineRule="auto"/>
        <w:ind w:firstLine="562"/>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26．工程款（进度款）支付</w:t>
      </w:r>
    </w:p>
    <w:p w14:paraId="5C4A65EA">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26.1</w:t>
      </w:r>
      <w:r>
        <w:rPr>
          <w:rFonts w:hint="eastAsia" w:ascii="华文仿宋" w:hAnsi="华文仿宋" w:eastAsia="华文仿宋" w:cs="仿宋"/>
          <w:color w:val="auto"/>
          <w:kern w:val="1"/>
          <w:sz w:val="28"/>
          <w:szCs w:val="28"/>
          <w:highlight w:val="none"/>
        </w:rPr>
        <w:t>在确认计量结果后</w:t>
      </w:r>
      <w:r>
        <w:rPr>
          <w:rFonts w:ascii="华文仿宋" w:hAnsi="华文仿宋" w:eastAsia="华文仿宋" w:cs="仿宋"/>
          <w:color w:val="auto"/>
          <w:kern w:val="1"/>
          <w:sz w:val="28"/>
          <w:szCs w:val="28"/>
          <w:highlight w:val="none"/>
        </w:rPr>
        <w:t>14</w:t>
      </w:r>
      <w:r>
        <w:rPr>
          <w:rFonts w:hint="eastAsia" w:ascii="华文仿宋" w:hAnsi="华文仿宋" w:eastAsia="华文仿宋" w:cs="仿宋"/>
          <w:color w:val="auto"/>
          <w:kern w:val="1"/>
          <w:sz w:val="28"/>
          <w:szCs w:val="28"/>
          <w:highlight w:val="none"/>
        </w:rPr>
        <w:t>天内，发包人应向承包人支付工程款（进度款）。按约定时间发包人应扣回的预付款，与工程款（进度款）同期结算；</w:t>
      </w:r>
    </w:p>
    <w:p w14:paraId="2D34AEA8">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26.2</w:t>
      </w:r>
      <w:r>
        <w:rPr>
          <w:rFonts w:hint="eastAsia" w:ascii="华文仿宋" w:hAnsi="华文仿宋" w:eastAsia="华文仿宋" w:cs="仿宋"/>
          <w:color w:val="auto"/>
          <w:kern w:val="1"/>
          <w:sz w:val="28"/>
          <w:szCs w:val="28"/>
          <w:highlight w:val="none"/>
        </w:rPr>
        <w:t>本通用条款第</w:t>
      </w:r>
      <w:r>
        <w:rPr>
          <w:rFonts w:ascii="华文仿宋" w:hAnsi="华文仿宋" w:eastAsia="华文仿宋" w:cs="仿宋"/>
          <w:color w:val="auto"/>
          <w:kern w:val="1"/>
          <w:sz w:val="28"/>
          <w:szCs w:val="28"/>
          <w:highlight w:val="none"/>
        </w:rPr>
        <w:t>23</w:t>
      </w:r>
      <w:r>
        <w:rPr>
          <w:rFonts w:hint="eastAsia" w:ascii="华文仿宋" w:hAnsi="华文仿宋" w:eastAsia="华文仿宋" w:cs="仿宋"/>
          <w:color w:val="auto"/>
          <w:kern w:val="1"/>
          <w:sz w:val="28"/>
          <w:szCs w:val="28"/>
          <w:highlight w:val="none"/>
        </w:rPr>
        <w:t>条确定调整的合同价款，第</w:t>
      </w:r>
      <w:r>
        <w:rPr>
          <w:rFonts w:ascii="华文仿宋" w:hAnsi="华文仿宋" w:eastAsia="华文仿宋" w:cs="仿宋"/>
          <w:color w:val="auto"/>
          <w:kern w:val="1"/>
          <w:sz w:val="28"/>
          <w:szCs w:val="28"/>
          <w:highlight w:val="none"/>
        </w:rPr>
        <w:t>31</w:t>
      </w:r>
      <w:r>
        <w:rPr>
          <w:rFonts w:hint="eastAsia" w:ascii="华文仿宋" w:hAnsi="华文仿宋" w:eastAsia="华文仿宋" w:cs="仿宋"/>
          <w:color w:val="auto"/>
          <w:kern w:val="1"/>
          <w:sz w:val="28"/>
          <w:szCs w:val="28"/>
          <w:highlight w:val="none"/>
        </w:rPr>
        <w:t>条工程变更调整的合同价款及其他条款中约定的追加合同价款，经监理工程师及发包人书面审核确认后，与工程款（进度款）同期调整支付。</w:t>
      </w:r>
    </w:p>
    <w:p w14:paraId="591D250B">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26.3</w:t>
      </w:r>
      <w:r>
        <w:rPr>
          <w:rFonts w:hint="eastAsia" w:ascii="华文仿宋" w:hAnsi="华文仿宋" w:eastAsia="华文仿宋" w:cs="仿宋"/>
          <w:color w:val="auto"/>
          <w:kern w:val="1"/>
          <w:sz w:val="28"/>
          <w:szCs w:val="28"/>
          <w:highlight w:val="none"/>
        </w:rPr>
        <w:t>发包人超过约定的支付时间不支付工程款（进度款），承包人可向发包人发出要求付款的通知，发包人收到承包人通知后仍不能按要求付款，可与承包人协商签订延期付款协议，经承包人同意后可延期支付。协议应明确延期支付的时间和从计量结果确认后第</w:t>
      </w:r>
      <w:r>
        <w:rPr>
          <w:rFonts w:ascii="华文仿宋" w:hAnsi="华文仿宋" w:eastAsia="华文仿宋" w:cs="仿宋"/>
          <w:color w:val="auto"/>
          <w:kern w:val="1"/>
          <w:sz w:val="28"/>
          <w:szCs w:val="28"/>
          <w:highlight w:val="none"/>
        </w:rPr>
        <w:t>15</w:t>
      </w:r>
      <w:r>
        <w:rPr>
          <w:rFonts w:hint="eastAsia" w:ascii="华文仿宋" w:hAnsi="华文仿宋" w:eastAsia="华文仿宋" w:cs="仿宋"/>
          <w:color w:val="auto"/>
          <w:kern w:val="1"/>
          <w:sz w:val="28"/>
          <w:szCs w:val="28"/>
          <w:highlight w:val="none"/>
        </w:rPr>
        <w:t>天起计算应付款的贷款利息。</w:t>
      </w:r>
    </w:p>
    <w:p w14:paraId="4E22F1CF">
      <w:pPr>
        <w:spacing w:line="360" w:lineRule="auto"/>
        <w:ind w:firstLine="544"/>
        <w:rPr>
          <w:rFonts w:ascii="华文仿宋" w:hAnsi="华文仿宋" w:eastAsia="华文仿宋" w:cs="仿宋"/>
          <w:color w:val="auto"/>
          <w:spacing w:val="-4"/>
          <w:kern w:val="1"/>
          <w:sz w:val="28"/>
          <w:szCs w:val="28"/>
          <w:highlight w:val="none"/>
        </w:rPr>
      </w:pPr>
      <w:r>
        <w:rPr>
          <w:rFonts w:ascii="华文仿宋" w:hAnsi="华文仿宋" w:eastAsia="华文仿宋" w:cs="仿宋"/>
          <w:color w:val="auto"/>
          <w:spacing w:val="-4"/>
          <w:kern w:val="1"/>
          <w:sz w:val="28"/>
          <w:szCs w:val="28"/>
          <w:highlight w:val="none"/>
        </w:rPr>
        <w:t>26.4</w:t>
      </w:r>
      <w:r>
        <w:rPr>
          <w:rFonts w:hint="eastAsia" w:ascii="华文仿宋" w:hAnsi="华文仿宋" w:eastAsia="华文仿宋" w:cs="仿宋"/>
          <w:color w:val="auto"/>
          <w:spacing w:val="-4"/>
          <w:kern w:val="1"/>
          <w:sz w:val="28"/>
          <w:szCs w:val="28"/>
          <w:highlight w:val="none"/>
        </w:rPr>
        <w:t>发包人不按合同约定支付工程款（进度款），双方又未达成延期付款协议，导致施工无法进行，承包人可停止施工，由发包人承担违约责任。</w:t>
      </w:r>
    </w:p>
    <w:p w14:paraId="2DA371BC">
      <w:pPr>
        <w:spacing w:line="360" w:lineRule="auto"/>
        <w:ind w:firstLine="560"/>
        <w:outlineLvl w:val="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七、材料设备供应</w:t>
      </w:r>
    </w:p>
    <w:p w14:paraId="724F0379">
      <w:pPr>
        <w:spacing w:line="360" w:lineRule="auto"/>
        <w:ind w:firstLine="562"/>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27．发包人供应材料设备</w:t>
      </w:r>
    </w:p>
    <w:p w14:paraId="5C45326A">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27.1</w:t>
      </w:r>
      <w:r>
        <w:rPr>
          <w:rFonts w:hint="eastAsia" w:ascii="华文仿宋" w:hAnsi="华文仿宋" w:eastAsia="华文仿宋" w:cs="仿宋"/>
          <w:color w:val="auto"/>
          <w:kern w:val="1"/>
          <w:sz w:val="28"/>
          <w:szCs w:val="28"/>
          <w:highlight w:val="none"/>
        </w:rPr>
        <w:t>实行发包人供应材料设备的，双方应当约定发包人供应材料设备的一览表，作为本合同附件。一览表包括发包人供应材料设备的品种、规格、型号、数量、单价、质量等级、提供时间和地点。</w:t>
      </w:r>
    </w:p>
    <w:p w14:paraId="65ABF747">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27.2</w:t>
      </w:r>
      <w:r>
        <w:rPr>
          <w:rFonts w:hint="eastAsia" w:ascii="华文仿宋" w:hAnsi="华文仿宋" w:eastAsia="华文仿宋" w:cs="仿宋"/>
          <w:color w:val="auto"/>
          <w:kern w:val="1"/>
          <w:sz w:val="28"/>
          <w:szCs w:val="28"/>
          <w:highlight w:val="none"/>
        </w:rPr>
        <w:t>发包人按一览表约定的内容提供材料设备，并向承包人提供产品合格证明，对其质量负责。发包人在所供材料设备到货前</w:t>
      </w:r>
      <w:r>
        <w:rPr>
          <w:rFonts w:ascii="华文仿宋" w:hAnsi="华文仿宋" w:eastAsia="华文仿宋" w:cs="仿宋"/>
          <w:color w:val="auto"/>
          <w:kern w:val="1"/>
          <w:sz w:val="28"/>
          <w:szCs w:val="28"/>
          <w:highlight w:val="none"/>
        </w:rPr>
        <w:t>24</w:t>
      </w:r>
      <w:r>
        <w:rPr>
          <w:rFonts w:hint="eastAsia" w:ascii="华文仿宋" w:hAnsi="华文仿宋" w:eastAsia="华文仿宋" w:cs="仿宋"/>
          <w:color w:val="auto"/>
          <w:kern w:val="1"/>
          <w:sz w:val="28"/>
          <w:szCs w:val="28"/>
          <w:highlight w:val="none"/>
        </w:rPr>
        <w:t>小时，以书面形式通知承包人，由承包人派人与发包人共同清点。</w:t>
      </w:r>
    </w:p>
    <w:p w14:paraId="113A58C8">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27.3</w:t>
      </w:r>
      <w:r>
        <w:rPr>
          <w:rFonts w:hint="eastAsia" w:ascii="华文仿宋" w:hAnsi="华文仿宋" w:eastAsia="华文仿宋" w:cs="仿宋"/>
          <w:color w:val="auto"/>
          <w:kern w:val="1"/>
          <w:sz w:val="28"/>
          <w:szCs w:val="28"/>
          <w:highlight w:val="none"/>
        </w:rPr>
        <w:t>发包人供应的材料设备，承包人派人参加清点后由承包人妥善保管，发包人支付相应保管费用。因承包人原因发生丢失损坏，由承包人负责赔偿。</w:t>
      </w:r>
    </w:p>
    <w:p w14:paraId="066C990C">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发包人未通知承包人清点，承包人不负责材料设备的保管，丢失损坏由发包人负责。</w:t>
      </w:r>
    </w:p>
    <w:p w14:paraId="0F38112B">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27.4</w:t>
      </w:r>
      <w:r>
        <w:rPr>
          <w:rFonts w:hint="eastAsia" w:ascii="华文仿宋" w:hAnsi="华文仿宋" w:eastAsia="华文仿宋" w:cs="仿宋"/>
          <w:color w:val="auto"/>
          <w:kern w:val="1"/>
          <w:sz w:val="28"/>
          <w:szCs w:val="28"/>
          <w:highlight w:val="none"/>
        </w:rPr>
        <w:t>发包人供应的材料设备与一览表不符时，发包人承担有关责任。发包人应承担责任的具体内容，双方根据下列情况在专用条款内约定：</w:t>
      </w:r>
    </w:p>
    <w:p w14:paraId="74F74DC0">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⑴材料设备单价与一览表不符，由发包人承担所有价差；</w:t>
      </w:r>
    </w:p>
    <w:p w14:paraId="4E6EA241">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⑵材料设备的品种、规格、型号、质量等级与一览表不符，承包人可拒绝接收保管，由发包人运出施工场地并重新采购；</w:t>
      </w:r>
    </w:p>
    <w:p w14:paraId="055379D9">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⑶发包人供应的材料规格、型号与一览表不符，经发包人同意，承包人可代为调剂串换，由发包人承担相应费用。</w:t>
      </w:r>
    </w:p>
    <w:p w14:paraId="6E763253">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⑷到货地点与一览表不符，由发包人负责运至一览表指定地点；</w:t>
      </w:r>
    </w:p>
    <w:p w14:paraId="477598B5">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⑸供应数量少于一览表约定的数量时，由发包人补齐，多于一览表约定数量时，发包人负责将多出部分运出施工场地；</w:t>
      </w:r>
    </w:p>
    <w:p w14:paraId="057029A8">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⑹到货时间早于一览表约定时间，由发包人承担因此发生的保管费用；到货时间迟于一览表约定的供应时间，发包人赔偿由此造成的承包人损失，造成工期延误的，相应顺延工期。</w:t>
      </w:r>
    </w:p>
    <w:p w14:paraId="3AFAB39A">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27.5</w:t>
      </w:r>
      <w:r>
        <w:rPr>
          <w:rFonts w:hint="eastAsia" w:ascii="华文仿宋" w:hAnsi="华文仿宋" w:eastAsia="华文仿宋" w:cs="仿宋"/>
          <w:color w:val="auto"/>
          <w:kern w:val="1"/>
          <w:sz w:val="28"/>
          <w:szCs w:val="28"/>
          <w:highlight w:val="none"/>
        </w:rPr>
        <w:t>发包人供应的材料设备使用前，由承包人负责检验或试验，不合格的不得使用，检验或试验费用由发包人承担。</w:t>
      </w:r>
    </w:p>
    <w:p w14:paraId="3EC8DCCF">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27.6</w:t>
      </w:r>
      <w:r>
        <w:rPr>
          <w:rFonts w:hint="eastAsia" w:ascii="华文仿宋" w:hAnsi="华文仿宋" w:eastAsia="华文仿宋" w:cs="仿宋"/>
          <w:color w:val="auto"/>
          <w:kern w:val="1"/>
          <w:sz w:val="28"/>
          <w:szCs w:val="28"/>
          <w:highlight w:val="none"/>
        </w:rPr>
        <w:t>发包人供应材料设备的结算方法，双方在专用条款内约定。</w:t>
      </w:r>
    </w:p>
    <w:p w14:paraId="3ACBBE14">
      <w:pPr>
        <w:spacing w:line="360" w:lineRule="auto"/>
        <w:ind w:firstLine="562"/>
        <w:rPr>
          <w:rFonts w:ascii="华文仿宋" w:hAnsi="华文仿宋" w:eastAsia="华文仿宋" w:cs="仿宋"/>
          <w:color w:val="auto"/>
          <w:kern w:val="1"/>
          <w:sz w:val="28"/>
          <w:szCs w:val="28"/>
          <w:highlight w:val="none"/>
        </w:rPr>
      </w:pPr>
      <w:r>
        <w:rPr>
          <w:rFonts w:ascii="华文仿宋" w:hAnsi="华文仿宋" w:eastAsia="华文仿宋" w:cs="仿宋"/>
          <w:b/>
          <w:color w:val="auto"/>
          <w:kern w:val="1"/>
          <w:sz w:val="28"/>
          <w:szCs w:val="28"/>
          <w:highlight w:val="none"/>
        </w:rPr>
        <w:t>28．承包人采购材料设备</w:t>
      </w:r>
      <w:r>
        <w:rPr>
          <w:rFonts w:ascii="华文仿宋" w:hAnsi="华文仿宋" w:eastAsia="华文仿宋" w:cs="仿宋"/>
          <w:color w:val="auto"/>
          <w:kern w:val="1"/>
          <w:sz w:val="28"/>
          <w:szCs w:val="28"/>
          <w:highlight w:val="none"/>
        </w:rPr>
        <w:t>：见专用条款的约定</w:t>
      </w:r>
    </w:p>
    <w:p w14:paraId="3547C6AE">
      <w:pPr>
        <w:spacing w:line="360" w:lineRule="auto"/>
        <w:ind w:firstLine="562"/>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八、工程变更：</w:t>
      </w:r>
    </w:p>
    <w:p w14:paraId="1D9DCAA5">
      <w:pPr>
        <w:spacing w:line="360" w:lineRule="auto"/>
        <w:ind w:firstLine="562"/>
        <w:rPr>
          <w:rFonts w:ascii="华文仿宋" w:hAnsi="华文仿宋" w:eastAsia="华文仿宋" w:cs="仿宋"/>
          <w:b/>
          <w:color w:val="auto"/>
          <w:kern w:val="1"/>
          <w:sz w:val="28"/>
          <w:szCs w:val="28"/>
          <w:highlight w:val="none"/>
        </w:rPr>
      </w:pPr>
      <w:r>
        <w:rPr>
          <w:rFonts w:ascii="华文仿宋" w:hAnsi="华文仿宋" w:eastAsia="华文仿宋" w:cs="仿宋"/>
          <w:b/>
          <w:color w:val="auto"/>
          <w:kern w:val="1"/>
          <w:sz w:val="28"/>
          <w:szCs w:val="28"/>
          <w:highlight w:val="none"/>
        </w:rPr>
        <w:t>29．工程设计变更：</w:t>
      </w:r>
      <w:r>
        <w:rPr>
          <w:rFonts w:ascii="华文仿宋" w:hAnsi="华文仿宋" w:eastAsia="华文仿宋" w:cs="仿宋"/>
          <w:color w:val="auto"/>
          <w:kern w:val="1"/>
          <w:sz w:val="28"/>
          <w:szCs w:val="28"/>
          <w:highlight w:val="none"/>
        </w:rPr>
        <w:t>见专用条款的约定</w:t>
      </w:r>
    </w:p>
    <w:p w14:paraId="4973CFB7">
      <w:pPr>
        <w:spacing w:line="360" w:lineRule="auto"/>
        <w:ind w:firstLine="562"/>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30．其他变更</w:t>
      </w:r>
    </w:p>
    <w:p w14:paraId="7AF48D06">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合同履行中发包人要求变更工程质量标准及发生其他实质性变更，由双方协商解决。</w:t>
      </w:r>
    </w:p>
    <w:p w14:paraId="12D30E74">
      <w:pPr>
        <w:spacing w:line="360" w:lineRule="auto"/>
        <w:ind w:firstLine="562"/>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31．确定变更价款</w:t>
      </w:r>
    </w:p>
    <w:p w14:paraId="45DE2193">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31.1</w:t>
      </w:r>
      <w:r>
        <w:rPr>
          <w:rFonts w:hint="eastAsia" w:ascii="华文仿宋" w:hAnsi="华文仿宋" w:eastAsia="华文仿宋" w:cs="仿宋"/>
          <w:color w:val="auto"/>
          <w:kern w:val="1"/>
          <w:sz w:val="28"/>
          <w:szCs w:val="28"/>
          <w:highlight w:val="none"/>
        </w:rPr>
        <w:t>承包人在工程变更确定后</w:t>
      </w:r>
      <w:r>
        <w:rPr>
          <w:rFonts w:ascii="华文仿宋" w:hAnsi="华文仿宋" w:eastAsia="华文仿宋" w:cs="仿宋"/>
          <w:color w:val="auto"/>
          <w:kern w:val="1"/>
          <w:sz w:val="28"/>
          <w:szCs w:val="28"/>
          <w:highlight w:val="none"/>
        </w:rPr>
        <w:t>14</w:t>
      </w:r>
      <w:r>
        <w:rPr>
          <w:rFonts w:hint="eastAsia" w:ascii="华文仿宋" w:hAnsi="华文仿宋" w:eastAsia="华文仿宋" w:cs="仿宋"/>
          <w:color w:val="auto"/>
          <w:kern w:val="1"/>
          <w:sz w:val="28"/>
          <w:szCs w:val="28"/>
          <w:highlight w:val="none"/>
        </w:rPr>
        <w:t>天内，提出变更工程价款的报告，经监理工程师及发包人书面审核确认后调整合同价款。合同价款调整办法按专用条款规定执行。</w:t>
      </w:r>
    </w:p>
    <w:p w14:paraId="75BAEF66">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31.2</w:t>
      </w:r>
      <w:r>
        <w:rPr>
          <w:rFonts w:hint="eastAsia" w:ascii="华文仿宋" w:hAnsi="华文仿宋" w:eastAsia="华文仿宋" w:cs="仿宋"/>
          <w:color w:val="auto"/>
          <w:kern w:val="1"/>
          <w:sz w:val="28"/>
          <w:szCs w:val="28"/>
          <w:highlight w:val="none"/>
        </w:rPr>
        <w:t>承包人在双方确定变更后</w:t>
      </w:r>
      <w:r>
        <w:rPr>
          <w:rFonts w:ascii="华文仿宋" w:hAnsi="华文仿宋" w:eastAsia="华文仿宋" w:cs="仿宋"/>
          <w:color w:val="auto"/>
          <w:kern w:val="1"/>
          <w:sz w:val="28"/>
          <w:szCs w:val="28"/>
          <w:highlight w:val="none"/>
        </w:rPr>
        <w:t>14</w:t>
      </w:r>
      <w:r>
        <w:rPr>
          <w:rFonts w:hint="eastAsia" w:ascii="华文仿宋" w:hAnsi="华文仿宋" w:eastAsia="华文仿宋" w:cs="仿宋"/>
          <w:color w:val="auto"/>
          <w:kern w:val="1"/>
          <w:sz w:val="28"/>
          <w:szCs w:val="28"/>
          <w:highlight w:val="none"/>
        </w:rPr>
        <w:t>天内不向发包人提出变更工程价款书面报告时，视为该项变更不涉及合同价款的变更。</w:t>
      </w:r>
    </w:p>
    <w:p w14:paraId="1F7F0495">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31.3</w:t>
      </w:r>
      <w:r>
        <w:rPr>
          <w:rFonts w:hint="eastAsia" w:ascii="华文仿宋" w:hAnsi="华文仿宋" w:eastAsia="华文仿宋" w:cs="仿宋"/>
          <w:color w:val="auto"/>
          <w:kern w:val="1"/>
          <w:sz w:val="28"/>
          <w:szCs w:val="28"/>
          <w:highlight w:val="none"/>
        </w:rPr>
        <w:t>发包人应在收到变更工程价款报告之日起</w:t>
      </w:r>
      <w:r>
        <w:rPr>
          <w:rFonts w:ascii="华文仿宋" w:hAnsi="华文仿宋" w:eastAsia="华文仿宋" w:cs="仿宋"/>
          <w:color w:val="auto"/>
          <w:kern w:val="1"/>
          <w:sz w:val="28"/>
          <w:szCs w:val="28"/>
          <w:highlight w:val="none"/>
        </w:rPr>
        <w:t>14</w:t>
      </w:r>
      <w:r>
        <w:rPr>
          <w:rFonts w:hint="eastAsia" w:ascii="华文仿宋" w:hAnsi="华文仿宋" w:eastAsia="华文仿宋" w:cs="仿宋"/>
          <w:color w:val="auto"/>
          <w:kern w:val="1"/>
          <w:sz w:val="28"/>
          <w:szCs w:val="28"/>
          <w:highlight w:val="none"/>
        </w:rPr>
        <w:t>天内予以确认，发包人无正当理由不确认时，自变更工程价款报告送达之日起</w:t>
      </w:r>
      <w:r>
        <w:rPr>
          <w:rFonts w:ascii="华文仿宋" w:hAnsi="华文仿宋" w:eastAsia="华文仿宋" w:cs="仿宋"/>
          <w:color w:val="auto"/>
          <w:kern w:val="1"/>
          <w:sz w:val="28"/>
          <w:szCs w:val="28"/>
          <w:highlight w:val="none"/>
        </w:rPr>
        <w:t>14</w:t>
      </w:r>
      <w:r>
        <w:rPr>
          <w:rFonts w:hint="eastAsia" w:ascii="华文仿宋" w:hAnsi="华文仿宋" w:eastAsia="华文仿宋" w:cs="仿宋"/>
          <w:color w:val="auto"/>
          <w:kern w:val="1"/>
          <w:sz w:val="28"/>
          <w:szCs w:val="28"/>
          <w:highlight w:val="none"/>
        </w:rPr>
        <w:t>天后视为变更工程价款报告已被确认。</w:t>
      </w:r>
    </w:p>
    <w:p w14:paraId="66DF8A97">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31.4</w:t>
      </w:r>
      <w:r>
        <w:rPr>
          <w:rFonts w:hint="eastAsia" w:ascii="华文仿宋" w:hAnsi="华文仿宋" w:eastAsia="华文仿宋" w:cs="仿宋"/>
          <w:color w:val="auto"/>
          <w:kern w:val="1"/>
          <w:sz w:val="28"/>
          <w:szCs w:val="28"/>
          <w:highlight w:val="none"/>
        </w:rPr>
        <w:t>发包人、承包人对新增、变更价款有争议的，按本合同专用条款约定处理。</w:t>
      </w:r>
    </w:p>
    <w:p w14:paraId="28D4A11E">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31.5</w:t>
      </w:r>
      <w:r>
        <w:rPr>
          <w:rFonts w:hint="eastAsia" w:ascii="华文仿宋" w:hAnsi="华文仿宋" w:eastAsia="华文仿宋" w:cs="仿宋"/>
          <w:color w:val="auto"/>
          <w:kern w:val="1"/>
          <w:sz w:val="28"/>
          <w:szCs w:val="28"/>
          <w:highlight w:val="none"/>
        </w:rPr>
        <w:t>发包人书面审核确认增加的工程变更价款作为追加合同价款，与工程款同期支付。</w:t>
      </w:r>
    </w:p>
    <w:p w14:paraId="0035C2B6">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31.6非因发包人及设计单位书面要求而作出的设计变更，承包人无权要求追加合同价款。</w:t>
      </w:r>
    </w:p>
    <w:p w14:paraId="297B662F">
      <w:pPr>
        <w:spacing w:line="360" w:lineRule="auto"/>
        <w:ind w:firstLine="480"/>
        <w:rPr>
          <w:rFonts w:ascii="华文仿宋" w:hAnsi="华文仿宋" w:eastAsia="华文仿宋" w:cs="仿宋"/>
          <w:b/>
          <w:color w:val="auto"/>
          <w:kern w:val="1"/>
          <w:sz w:val="28"/>
          <w:szCs w:val="28"/>
          <w:highlight w:val="none"/>
        </w:rPr>
      </w:pPr>
      <w:r>
        <w:rPr>
          <w:rFonts w:hint="eastAsia" w:ascii="华文仿宋" w:hAnsi="华文仿宋" w:eastAsia="华文仿宋" w:cs="仿宋"/>
          <w:color w:val="auto"/>
          <w:kern w:val="1"/>
          <w:sz w:val="28"/>
          <w:szCs w:val="28"/>
          <w:highlight w:val="none"/>
        </w:rPr>
        <w:t>31</w:t>
      </w:r>
      <w:r>
        <w:rPr>
          <w:rFonts w:ascii="华文仿宋" w:hAnsi="华文仿宋" w:eastAsia="华文仿宋" w:cs="仿宋"/>
          <w:color w:val="auto"/>
          <w:kern w:val="1"/>
          <w:sz w:val="28"/>
          <w:szCs w:val="28"/>
          <w:highlight w:val="none"/>
        </w:rPr>
        <w:t>.</w:t>
      </w:r>
      <w:r>
        <w:rPr>
          <w:rFonts w:hint="eastAsia" w:ascii="华文仿宋" w:hAnsi="华文仿宋" w:eastAsia="华文仿宋" w:cs="仿宋"/>
          <w:color w:val="auto"/>
          <w:kern w:val="1"/>
          <w:sz w:val="28"/>
          <w:szCs w:val="28"/>
          <w:highlight w:val="none"/>
        </w:rPr>
        <w:t>7工程洽商及会议纪要不作为变更计量依据。</w:t>
      </w:r>
    </w:p>
    <w:p w14:paraId="7E0BD70A">
      <w:pPr>
        <w:spacing w:line="360" w:lineRule="auto"/>
        <w:ind w:firstLine="560"/>
        <w:outlineLvl w:val="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九、竣工验收与结算：</w:t>
      </w:r>
    </w:p>
    <w:p w14:paraId="27458B2D">
      <w:pPr>
        <w:spacing w:line="360" w:lineRule="auto"/>
        <w:ind w:firstLine="562"/>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32．竣工验收</w:t>
      </w:r>
    </w:p>
    <w:p w14:paraId="31F91098">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32.1</w:t>
      </w:r>
      <w:r>
        <w:rPr>
          <w:rFonts w:hint="eastAsia" w:ascii="华文仿宋" w:hAnsi="华文仿宋" w:eastAsia="华文仿宋" w:cs="仿宋"/>
          <w:color w:val="auto"/>
          <w:sz w:val="28"/>
          <w:szCs w:val="28"/>
          <w:highlight w:val="none"/>
        </w:rPr>
        <w:t>工程具备竣工验收条件，承包人按国家工程竣工验收有关规定，在15个工作日内向发包人提供完整竣工图、竣工资料及竣工验收报告。</w:t>
      </w:r>
    </w:p>
    <w:p w14:paraId="3AFE697E">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32.</w:t>
      </w:r>
      <w:r>
        <w:rPr>
          <w:rFonts w:hint="eastAsia" w:ascii="华文仿宋" w:hAnsi="华文仿宋" w:eastAsia="华文仿宋" w:cs="仿宋"/>
          <w:color w:val="auto"/>
          <w:kern w:val="1"/>
          <w:sz w:val="28"/>
          <w:szCs w:val="28"/>
          <w:highlight w:val="none"/>
        </w:rPr>
        <w:t>2发包人收到竣工验收报告后</w:t>
      </w:r>
      <w:r>
        <w:rPr>
          <w:rFonts w:ascii="华文仿宋" w:hAnsi="华文仿宋" w:eastAsia="华文仿宋" w:cs="仿宋"/>
          <w:color w:val="auto"/>
          <w:kern w:val="1"/>
          <w:sz w:val="28"/>
          <w:szCs w:val="28"/>
          <w:highlight w:val="none"/>
        </w:rPr>
        <w:t>28</w:t>
      </w:r>
      <w:r>
        <w:rPr>
          <w:rFonts w:hint="eastAsia" w:ascii="华文仿宋" w:hAnsi="华文仿宋" w:eastAsia="华文仿宋" w:cs="仿宋"/>
          <w:color w:val="auto"/>
          <w:kern w:val="1"/>
          <w:sz w:val="28"/>
          <w:szCs w:val="28"/>
          <w:highlight w:val="none"/>
        </w:rPr>
        <w:t>天内组织有关单位验收，并在验收后</w:t>
      </w:r>
      <w:r>
        <w:rPr>
          <w:rFonts w:ascii="华文仿宋" w:hAnsi="华文仿宋" w:eastAsia="华文仿宋" w:cs="仿宋"/>
          <w:color w:val="auto"/>
          <w:kern w:val="1"/>
          <w:sz w:val="28"/>
          <w:szCs w:val="28"/>
          <w:highlight w:val="none"/>
        </w:rPr>
        <w:t>14</w:t>
      </w:r>
      <w:r>
        <w:rPr>
          <w:rFonts w:hint="eastAsia" w:ascii="华文仿宋" w:hAnsi="华文仿宋" w:eastAsia="华文仿宋" w:cs="仿宋"/>
          <w:color w:val="auto"/>
          <w:kern w:val="1"/>
          <w:sz w:val="28"/>
          <w:szCs w:val="28"/>
          <w:highlight w:val="none"/>
        </w:rPr>
        <w:t>天内给予认可或提出修改意见。承包人按要求修改，并承担由自身原因造成修改的费用。</w:t>
      </w:r>
    </w:p>
    <w:p w14:paraId="4D21CB2F">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32.3</w:t>
      </w:r>
      <w:r>
        <w:rPr>
          <w:rFonts w:hint="eastAsia" w:ascii="华文仿宋" w:hAnsi="华文仿宋" w:eastAsia="华文仿宋" w:cs="仿宋"/>
          <w:color w:val="auto"/>
          <w:kern w:val="1"/>
          <w:sz w:val="28"/>
          <w:szCs w:val="28"/>
          <w:highlight w:val="none"/>
        </w:rPr>
        <w:t>发包人收到承包人送交的竣工验收报告后</w:t>
      </w:r>
      <w:r>
        <w:rPr>
          <w:rFonts w:ascii="华文仿宋" w:hAnsi="华文仿宋" w:eastAsia="华文仿宋" w:cs="仿宋"/>
          <w:color w:val="auto"/>
          <w:kern w:val="1"/>
          <w:sz w:val="28"/>
          <w:szCs w:val="28"/>
          <w:highlight w:val="none"/>
        </w:rPr>
        <w:t>28</w:t>
      </w:r>
      <w:r>
        <w:rPr>
          <w:rFonts w:hint="eastAsia" w:ascii="华文仿宋" w:hAnsi="华文仿宋" w:eastAsia="华文仿宋" w:cs="仿宋"/>
          <w:color w:val="auto"/>
          <w:kern w:val="1"/>
          <w:sz w:val="28"/>
          <w:szCs w:val="28"/>
          <w:highlight w:val="none"/>
        </w:rPr>
        <w:t>天内不组织验收，或验收后</w:t>
      </w:r>
      <w:r>
        <w:rPr>
          <w:rFonts w:ascii="华文仿宋" w:hAnsi="华文仿宋" w:eastAsia="华文仿宋" w:cs="仿宋"/>
          <w:color w:val="auto"/>
          <w:kern w:val="1"/>
          <w:sz w:val="28"/>
          <w:szCs w:val="28"/>
          <w:highlight w:val="none"/>
        </w:rPr>
        <w:t>14</w:t>
      </w:r>
      <w:r>
        <w:rPr>
          <w:rFonts w:hint="eastAsia" w:ascii="华文仿宋" w:hAnsi="华文仿宋" w:eastAsia="华文仿宋" w:cs="仿宋"/>
          <w:color w:val="auto"/>
          <w:kern w:val="1"/>
          <w:sz w:val="28"/>
          <w:szCs w:val="28"/>
          <w:highlight w:val="none"/>
        </w:rPr>
        <w:t>天内不提出修改意见，视为竣工验收报告已被认可。</w:t>
      </w:r>
    </w:p>
    <w:p w14:paraId="247C9DB2">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32.4</w:t>
      </w:r>
      <w:r>
        <w:rPr>
          <w:rFonts w:hint="eastAsia" w:ascii="华文仿宋" w:hAnsi="华文仿宋" w:eastAsia="华文仿宋" w:cs="仿宋"/>
          <w:color w:val="auto"/>
          <w:kern w:val="1"/>
          <w:sz w:val="28"/>
          <w:szCs w:val="28"/>
          <w:highlight w:val="none"/>
        </w:rPr>
        <w:t>工程竣工验收通过，发包人书面认可竣工验收报告的日期为实际竣工日期。工程按发包人要求修改后通过竣工验收的，实际竣工日期为承包人修改后经发包人验收并书面认可的日期。</w:t>
      </w:r>
    </w:p>
    <w:p w14:paraId="5BBA846A">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32.5</w:t>
      </w:r>
      <w:r>
        <w:rPr>
          <w:rFonts w:hint="eastAsia" w:ascii="华文仿宋" w:hAnsi="华文仿宋" w:eastAsia="华文仿宋" w:cs="仿宋"/>
          <w:color w:val="auto"/>
          <w:kern w:val="1"/>
          <w:sz w:val="28"/>
          <w:szCs w:val="28"/>
          <w:highlight w:val="none"/>
        </w:rPr>
        <w:t>发包人收到承包人竣工验收报告后</w:t>
      </w:r>
      <w:r>
        <w:rPr>
          <w:rFonts w:ascii="华文仿宋" w:hAnsi="华文仿宋" w:eastAsia="华文仿宋" w:cs="仿宋"/>
          <w:color w:val="auto"/>
          <w:kern w:val="1"/>
          <w:sz w:val="28"/>
          <w:szCs w:val="28"/>
          <w:highlight w:val="none"/>
        </w:rPr>
        <w:t>28</w:t>
      </w:r>
      <w:r>
        <w:rPr>
          <w:rFonts w:hint="eastAsia" w:ascii="华文仿宋" w:hAnsi="华文仿宋" w:eastAsia="华文仿宋" w:cs="仿宋"/>
          <w:color w:val="auto"/>
          <w:kern w:val="1"/>
          <w:sz w:val="28"/>
          <w:szCs w:val="28"/>
          <w:highlight w:val="none"/>
        </w:rPr>
        <w:t>天内不组织验收，从第</w:t>
      </w:r>
      <w:r>
        <w:rPr>
          <w:rFonts w:ascii="华文仿宋" w:hAnsi="华文仿宋" w:eastAsia="华文仿宋" w:cs="仿宋"/>
          <w:color w:val="auto"/>
          <w:kern w:val="1"/>
          <w:sz w:val="28"/>
          <w:szCs w:val="28"/>
          <w:highlight w:val="none"/>
        </w:rPr>
        <w:t>29</w:t>
      </w:r>
      <w:r>
        <w:rPr>
          <w:rFonts w:hint="eastAsia" w:ascii="华文仿宋" w:hAnsi="华文仿宋" w:eastAsia="华文仿宋" w:cs="仿宋"/>
          <w:color w:val="auto"/>
          <w:kern w:val="1"/>
          <w:sz w:val="28"/>
          <w:szCs w:val="28"/>
          <w:highlight w:val="none"/>
        </w:rPr>
        <w:t>天起承担工程保管及一切意外责任。</w:t>
      </w:r>
    </w:p>
    <w:p w14:paraId="1D76ACAE">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32.6</w:t>
      </w:r>
      <w:r>
        <w:rPr>
          <w:rFonts w:hint="eastAsia" w:ascii="华文仿宋" w:hAnsi="华文仿宋" w:eastAsia="华文仿宋" w:cs="仿宋"/>
          <w:color w:val="auto"/>
          <w:kern w:val="1"/>
          <w:sz w:val="28"/>
          <w:szCs w:val="28"/>
          <w:highlight w:val="none"/>
        </w:rPr>
        <w:t>中间交工工程的范围和竣工时间，双方在专用条款内约定，其验收程序按本通用条款</w:t>
      </w:r>
      <w:r>
        <w:rPr>
          <w:rFonts w:ascii="华文仿宋" w:hAnsi="华文仿宋" w:eastAsia="华文仿宋" w:cs="仿宋"/>
          <w:color w:val="auto"/>
          <w:kern w:val="1"/>
          <w:sz w:val="28"/>
          <w:szCs w:val="28"/>
          <w:highlight w:val="none"/>
        </w:rPr>
        <w:t>32.1</w:t>
      </w:r>
      <w:r>
        <w:rPr>
          <w:rFonts w:hint="eastAsia" w:ascii="华文仿宋" w:hAnsi="华文仿宋" w:eastAsia="华文仿宋" w:cs="仿宋"/>
          <w:color w:val="auto"/>
          <w:kern w:val="1"/>
          <w:sz w:val="28"/>
          <w:szCs w:val="28"/>
          <w:highlight w:val="none"/>
        </w:rPr>
        <w:t>款至</w:t>
      </w:r>
      <w:r>
        <w:rPr>
          <w:rFonts w:ascii="华文仿宋" w:hAnsi="华文仿宋" w:eastAsia="华文仿宋" w:cs="仿宋"/>
          <w:color w:val="auto"/>
          <w:kern w:val="1"/>
          <w:sz w:val="28"/>
          <w:szCs w:val="28"/>
          <w:highlight w:val="none"/>
        </w:rPr>
        <w:t>32.4</w:t>
      </w:r>
      <w:r>
        <w:rPr>
          <w:rFonts w:hint="eastAsia" w:ascii="华文仿宋" w:hAnsi="华文仿宋" w:eastAsia="华文仿宋" w:cs="仿宋"/>
          <w:color w:val="auto"/>
          <w:kern w:val="1"/>
          <w:sz w:val="28"/>
          <w:szCs w:val="28"/>
          <w:highlight w:val="none"/>
        </w:rPr>
        <w:t>款办理。</w:t>
      </w:r>
    </w:p>
    <w:p w14:paraId="6CCB3E57">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32.7</w:t>
      </w:r>
      <w:r>
        <w:rPr>
          <w:rFonts w:hint="eastAsia" w:ascii="华文仿宋" w:hAnsi="华文仿宋" w:eastAsia="华文仿宋" w:cs="仿宋"/>
          <w:color w:val="auto"/>
          <w:kern w:val="1"/>
          <w:sz w:val="28"/>
          <w:szCs w:val="28"/>
          <w:highlight w:val="none"/>
        </w:rPr>
        <w:t>因特殊原因，发包人要求部分单位工程或工程部位甩项竣工的，双方另行签订甩项竣工协议，明确双方责任和工程价款的支付方法。</w:t>
      </w:r>
    </w:p>
    <w:p w14:paraId="4C23731C">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32.8</w:t>
      </w:r>
      <w:r>
        <w:rPr>
          <w:rFonts w:hint="eastAsia" w:ascii="华文仿宋" w:hAnsi="华文仿宋" w:eastAsia="华文仿宋" w:cs="仿宋"/>
          <w:color w:val="auto"/>
          <w:kern w:val="1"/>
          <w:sz w:val="28"/>
          <w:szCs w:val="28"/>
          <w:highlight w:val="none"/>
        </w:rPr>
        <w:t>工程未经竣工验收或竣工验收未通过的，发包人不得使用。发包人强行使用时，由此发生的质量问题及其他问题，由发包人承担责任。</w:t>
      </w:r>
    </w:p>
    <w:p w14:paraId="0703DB68">
      <w:pPr>
        <w:spacing w:line="360" w:lineRule="auto"/>
        <w:ind w:firstLine="562"/>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33．竣工结算</w:t>
      </w:r>
    </w:p>
    <w:p w14:paraId="3A04DD47">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33.1</w:t>
      </w:r>
      <w:r>
        <w:rPr>
          <w:rFonts w:hint="eastAsia" w:ascii="华文仿宋" w:hAnsi="华文仿宋" w:eastAsia="华文仿宋" w:cs="仿宋"/>
          <w:color w:val="auto"/>
          <w:kern w:val="1"/>
          <w:sz w:val="28"/>
          <w:szCs w:val="28"/>
          <w:highlight w:val="none"/>
        </w:rPr>
        <w:t>承包人应在工程通过竣工验收后6</w:t>
      </w:r>
      <w:r>
        <w:rPr>
          <w:rFonts w:ascii="华文仿宋" w:hAnsi="华文仿宋" w:eastAsia="华文仿宋" w:cs="仿宋"/>
          <w:color w:val="auto"/>
          <w:kern w:val="1"/>
          <w:sz w:val="28"/>
          <w:szCs w:val="28"/>
          <w:highlight w:val="none"/>
        </w:rPr>
        <w:t>0</w:t>
      </w:r>
      <w:r>
        <w:rPr>
          <w:rFonts w:hint="eastAsia" w:ascii="华文仿宋" w:hAnsi="华文仿宋" w:eastAsia="华文仿宋" w:cs="仿宋"/>
          <w:color w:val="auto"/>
          <w:kern w:val="1"/>
          <w:sz w:val="28"/>
          <w:szCs w:val="28"/>
          <w:highlight w:val="none"/>
        </w:rPr>
        <w:t>天内，将经监理工程师审核的完整的竣工图、竣工资料、竣工验收报告、工程结算报告和工程结算资料一式八份交发包人，不按时、按要求报送，按延误工期赔偿办法处理。双方按照协议书约定的合同价款及专用条款约定的合同价款调整范围，进行工程竣工结算。</w:t>
      </w:r>
    </w:p>
    <w:p w14:paraId="67A9C4FB">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33.2</w:t>
      </w:r>
      <w:r>
        <w:rPr>
          <w:rFonts w:hint="eastAsia" w:ascii="华文仿宋" w:hAnsi="华文仿宋" w:eastAsia="华文仿宋" w:cs="仿宋"/>
          <w:color w:val="auto"/>
          <w:kern w:val="1"/>
          <w:sz w:val="28"/>
          <w:szCs w:val="28"/>
          <w:highlight w:val="none"/>
        </w:rPr>
        <w:t>发包人收到承包人按以上要求递交的所有资料后60天内对工程结算进行核实，给予确认或者提出修改意见。承包人在收到发包人对于竣工结算价款的书面核实意见后</w:t>
      </w:r>
      <w:r>
        <w:rPr>
          <w:rFonts w:ascii="华文仿宋" w:hAnsi="华文仿宋" w:eastAsia="华文仿宋" w:cs="仿宋"/>
          <w:color w:val="auto"/>
          <w:kern w:val="1"/>
          <w:sz w:val="28"/>
          <w:szCs w:val="28"/>
          <w:highlight w:val="none"/>
        </w:rPr>
        <w:t>14</w:t>
      </w:r>
      <w:r>
        <w:rPr>
          <w:rFonts w:hint="eastAsia" w:ascii="华文仿宋" w:hAnsi="华文仿宋" w:eastAsia="华文仿宋" w:cs="仿宋"/>
          <w:color w:val="auto"/>
          <w:kern w:val="1"/>
          <w:sz w:val="28"/>
          <w:szCs w:val="28"/>
          <w:highlight w:val="none"/>
        </w:rPr>
        <w:t>天内将竣工工程交付发包人。发包人按专用条款相关规定拨付工程款。</w:t>
      </w:r>
    </w:p>
    <w:p w14:paraId="76F6C95E">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33.3</w:t>
      </w:r>
      <w:r>
        <w:rPr>
          <w:rFonts w:hint="eastAsia" w:ascii="华文仿宋" w:hAnsi="华文仿宋" w:eastAsia="华文仿宋" w:cs="仿宋"/>
          <w:color w:val="auto"/>
          <w:kern w:val="1"/>
          <w:sz w:val="28"/>
          <w:szCs w:val="28"/>
          <w:highlight w:val="none"/>
        </w:rPr>
        <w:t>发包人在核实工程结算价款后28天内无正当理由不支付工程竣工结算价款，从第29天起按承包人同期向银行贷款利率支付拖欠工程价款的利息，并承担违约责任。</w:t>
      </w:r>
    </w:p>
    <w:p w14:paraId="74980279">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33.</w:t>
      </w:r>
      <w:r>
        <w:rPr>
          <w:rFonts w:hint="eastAsia" w:ascii="华文仿宋" w:hAnsi="华文仿宋" w:eastAsia="华文仿宋" w:cs="仿宋"/>
          <w:color w:val="auto"/>
          <w:kern w:val="1"/>
          <w:sz w:val="28"/>
          <w:szCs w:val="28"/>
          <w:highlight w:val="none"/>
        </w:rPr>
        <w:t>4工程竣工验收报告经发包人认可后40天内，承包人未能按要求向发包人递交完整的竣工图、竣工资料、竣工验收报告、工程结算报告和工程结算资料，造成工程竣工结算不能正常进行或工程竣工结算价款不能及时支付，发包人要求交付工程的，承包人应当交付；发包人不要求交付工程的，承包人承担保管责任。</w:t>
      </w:r>
    </w:p>
    <w:p w14:paraId="06A3C862">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33.5发包人承包人对工程竣工结算价款发生争议时，按本通用条款37条关于争议的约定处理。</w:t>
      </w:r>
    </w:p>
    <w:p w14:paraId="544B04C8">
      <w:pPr>
        <w:spacing w:line="360" w:lineRule="auto"/>
        <w:ind w:firstLine="562"/>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34．质量保修</w:t>
      </w:r>
    </w:p>
    <w:p w14:paraId="5D035ACD">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34.1</w:t>
      </w:r>
      <w:r>
        <w:rPr>
          <w:rFonts w:hint="eastAsia" w:ascii="华文仿宋" w:hAnsi="华文仿宋" w:eastAsia="华文仿宋" w:cs="仿宋"/>
          <w:color w:val="auto"/>
          <w:kern w:val="1"/>
          <w:sz w:val="28"/>
          <w:szCs w:val="28"/>
          <w:highlight w:val="none"/>
        </w:rPr>
        <w:t>承包人应按法律、行政法规或国家关于工程质量保修的有关规定，对交付发包人使用的工程在质量保修期内承包质量保修责任。</w:t>
      </w:r>
    </w:p>
    <w:p w14:paraId="64BF44C2">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34.2</w:t>
      </w:r>
      <w:r>
        <w:rPr>
          <w:rFonts w:hint="eastAsia" w:ascii="华文仿宋" w:hAnsi="华文仿宋" w:eastAsia="华文仿宋" w:cs="仿宋"/>
          <w:color w:val="auto"/>
          <w:kern w:val="1"/>
          <w:sz w:val="28"/>
          <w:szCs w:val="28"/>
          <w:highlight w:val="none"/>
        </w:rPr>
        <w:t>质量保修工作的实施。承包人应在工程竣工验收之前，与发包人签订质量保修书，作为本合同附件（附件1）。</w:t>
      </w:r>
    </w:p>
    <w:p w14:paraId="18BDC1F6">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34.3</w:t>
      </w:r>
      <w:r>
        <w:rPr>
          <w:rFonts w:hint="eastAsia" w:ascii="华文仿宋" w:hAnsi="华文仿宋" w:eastAsia="华文仿宋" w:cs="仿宋"/>
          <w:color w:val="auto"/>
          <w:kern w:val="1"/>
          <w:sz w:val="28"/>
          <w:szCs w:val="28"/>
          <w:highlight w:val="none"/>
        </w:rPr>
        <w:t>质量保修书的主要内容包括：</w:t>
      </w:r>
    </w:p>
    <w:p w14:paraId="42C6BB08">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⑴质量保修项目内容及范围；</w:t>
      </w:r>
    </w:p>
    <w:p w14:paraId="5D01F261">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⑵质量保修期；</w:t>
      </w:r>
    </w:p>
    <w:p w14:paraId="2EBC503A">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⑶质量保修责任；</w:t>
      </w:r>
    </w:p>
    <w:p w14:paraId="095E8482">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⑷质量保修金的支付方法。</w:t>
      </w:r>
    </w:p>
    <w:p w14:paraId="0A0E34FD">
      <w:pPr>
        <w:spacing w:line="360" w:lineRule="auto"/>
        <w:ind w:firstLine="560"/>
        <w:outlineLvl w:val="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十、违约、索赔和争议</w:t>
      </w:r>
    </w:p>
    <w:p w14:paraId="5E138581">
      <w:pPr>
        <w:spacing w:line="360" w:lineRule="auto"/>
        <w:ind w:firstLine="562"/>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35．违约</w:t>
      </w:r>
    </w:p>
    <w:p w14:paraId="2DF59D86">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35.1</w:t>
      </w:r>
      <w:r>
        <w:rPr>
          <w:rFonts w:hint="eastAsia" w:ascii="华文仿宋" w:hAnsi="华文仿宋" w:eastAsia="华文仿宋" w:cs="仿宋"/>
          <w:color w:val="auto"/>
          <w:kern w:val="1"/>
          <w:sz w:val="28"/>
          <w:szCs w:val="28"/>
          <w:highlight w:val="none"/>
        </w:rPr>
        <w:t>发包人违约。当发生下列情况时：</w:t>
      </w:r>
    </w:p>
    <w:p w14:paraId="42A8FA97">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⑴本通用条款第</w:t>
      </w:r>
      <w:r>
        <w:rPr>
          <w:rFonts w:ascii="华文仿宋" w:hAnsi="华文仿宋" w:eastAsia="华文仿宋" w:cs="仿宋"/>
          <w:color w:val="auto"/>
          <w:kern w:val="1"/>
          <w:sz w:val="28"/>
          <w:szCs w:val="28"/>
          <w:highlight w:val="none"/>
        </w:rPr>
        <w:t>24</w:t>
      </w:r>
      <w:r>
        <w:rPr>
          <w:rFonts w:hint="eastAsia" w:ascii="华文仿宋" w:hAnsi="华文仿宋" w:eastAsia="华文仿宋" w:cs="仿宋"/>
          <w:color w:val="auto"/>
          <w:kern w:val="1"/>
          <w:sz w:val="28"/>
          <w:szCs w:val="28"/>
          <w:highlight w:val="none"/>
        </w:rPr>
        <w:t>条提到的发包人不按时支付工程预付款；</w:t>
      </w:r>
    </w:p>
    <w:p w14:paraId="67A255AF">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⑵本通用条款第</w:t>
      </w:r>
      <w:r>
        <w:rPr>
          <w:rFonts w:ascii="华文仿宋" w:hAnsi="华文仿宋" w:eastAsia="华文仿宋" w:cs="仿宋"/>
          <w:color w:val="auto"/>
          <w:kern w:val="1"/>
          <w:sz w:val="28"/>
          <w:szCs w:val="28"/>
          <w:highlight w:val="none"/>
        </w:rPr>
        <w:t>26.4</w:t>
      </w:r>
      <w:r>
        <w:rPr>
          <w:rFonts w:hint="eastAsia" w:ascii="华文仿宋" w:hAnsi="华文仿宋" w:eastAsia="华文仿宋" w:cs="仿宋"/>
          <w:color w:val="auto"/>
          <w:kern w:val="1"/>
          <w:sz w:val="28"/>
          <w:szCs w:val="28"/>
          <w:highlight w:val="none"/>
        </w:rPr>
        <w:t>款提到的发包人不按合同约定支付工程款，导致施工无法进行；</w:t>
      </w:r>
    </w:p>
    <w:p w14:paraId="59BE0AD1">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⑶本通用条款第</w:t>
      </w:r>
      <w:r>
        <w:rPr>
          <w:rFonts w:ascii="华文仿宋" w:hAnsi="华文仿宋" w:eastAsia="华文仿宋" w:cs="仿宋"/>
          <w:color w:val="auto"/>
          <w:kern w:val="1"/>
          <w:sz w:val="28"/>
          <w:szCs w:val="28"/>
          <w:highlight w:val="none"/>
        </w:rPr>
        <w:t>33.3</w:t>
      </w:r>
      <w:r>
        <w:rPr>
          <w:rFonts w:hint="eastAsia" w:ascii="华文仿宋" w:hAnsi="华文仿宋" w:eastAsia="华文仿宋" w:cs="仿宋"/>
          <w:color w:val="auto"/>
          <w:kern w:val="1"/>
          <w:sz w:val="28"/>
          <w:szCs w:val="28"/>
          <w:highlight w:val="none"/>
        </w:rPr>
        <w:t>款提到的发包人无正当理由不支付工程竣工结算价款；</w:t>
      </w:r>
    </w:p>
    <w:p w14:paraId="6AB1D182">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⑷发包人不履行合同义务或不按合同约定履行义务的其他情况。</w:t>
      </w:r>
    </w:p>
    <w:p w14:paraId="42BF6369">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发包人承担违约责任，赔偿因其违约给承包人造成的经济损失，顺延延误的工期。双方在专用条款内约定发包人赔偿承包人损失的计算方法或者发包人应当支付违约金的数额或计算方法。</w:t>
      </w:r>
    </w:p>
    <w:p w14:paraId="43557E4C">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35.2</w:t>
      </w:r>
      <w:r>
        <w:rPr>
          <w:rFonts w:hint="eastAsia" w:ascii="华文仿宋" w:hAnsi="华文仿宋" w:eastAsia="华文仿宋" w:cs="仿宋"/>
          <w:color w:val="auto"/>
          <w:kern w:val="1"/>
          <w:sz w:val="28"/>
          <w:szCs w:val="28"/>
          <w:highlight w:val="none"/>
        </w:rPr>
        <w:t>承包人违约。当发生下列情况时：</w:t>
      </w:r>
    </w:p>
    <w:p w14:paraId="41DB0A91">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⑴本通用条款第</w:t>
      </w:r>
      <w:r>
        <w:rPr>
          <w:rFonts w:ascii="华文仿宋" w:hAnsi="华文仿宋" w:eastAsia="华文仿宋" w:cs="仿宋"/>
          <w:color w:val="auto"/>
          <w:kern w:val="1"/>
          <w:sz w:val="28"/>
          <w:szCs w:val="28"/>
          <w:highlight w:val="none"/>
        </w:rPr>
        <w:t>14.2</w:t>
      </w:r>
      <w:r>
        <w:rPr>
          <w:rFonts w:hint="eastAsia" w:ascii="华文仿宋" w:hAnsi="华文仿宋" w:eastAsia="华文仿宋" w:cs="仿宋"/>
          <w:color w:val="auto"/>
          <w:kern w:val="1"/>
          <w:sz w:val="28"/>
          <w:szCs w:val="28"/>
          <w:highlight w:val="none"/>
        </w:rPr>
        <w:t>款提到的因承包人原因不能按照协议书约定的竣工日期或工程师同意顺延的工期竣工；</w:t>
      </w:r>
    </w:p>
    <w:p w14:paraId="0B31382B">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⑵本通用条款第</w:t>
      </w:r>
      <w:r>
        <w:rPr>
          <w:rFonts w:ascii="华文仿宋" w:hAnsi="华文仿宋" w:eastAsia="华文仿宋" w:cs="仿宋"/>
          <w:color w:val="auto"/>
          <w:kern w:val="1"/>
          <w:sz w:val="28"/>
          <w:szCs w:val="28"/>
          <w:highlight w:val="none"/>
        </w:rPr>
        <w:t>15.1</w:t>
      </w:r>
      <w:r>
        <w:rPr>
          <w:rFonts w:hint="eastAsia" w:ascii="华文仿宋" w:hAnsi="华文仿宋" w:eastAsia="华文仿宋" w:cs="仿宋"/>
          <w:color w:val="auto"/>
          <w:kern w:val="1"/>
          <w:sz w:val="28"/>
          <w:szCs w:val="28"/>
          <w:highlight w:val="none"/>
        </w:rPr>
        <w:t>款提到的因承包人原因工程质量达不到协议书约定的质量标准；</w:t>
      </w:r>
    </w:p>
    <w:p w14:paraId="7A4474C7">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⑶承包人不履行合同义务或不按合同约定履行义务的其他情况。</w:t>
      </w:r>
    </w:p>
    <w:p w14:paraId="2F40E81C">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承包人承担违约责任，赔偿因其违约给发包人造成的损失。双方在专用条款内约定承包人赔偿发包人损失的计算方法或者承包人应当支付违约金的数额或计算方法。</w:t>
      </w:r>
    </w:p>
    <w:p w14:paraId="681550B6">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35.3</w:t>
      </w:r>
      <w:r>
        <w:rPr>
          <w:rFonts w:hint="eastAsia" w:ascii="华文仿宋" w:hAnsi="华文仿宋" w:eastAsia="华文仿宋" w:cs="仿宋"/>
          <w:color w:val="auto"/>
          <w:kern w:val="1"/>
          <w:sz w:val="28"/>
          <w:szCs w:val="28"/>
          <w:highlight w:val="none"/>
        </w:rPr>
        <w:t>一方违约后，另一方要求违约方继续履行合同时，违约方承担上述违约责任后仍应继续履行合同。</w:t>
      </w:r>
    </w:p>
    <w:p w14:paraId="14C64E74">
      <w:pPr>
        <w:spacing w:line="360" w:lineRule="auto"/>
        <w:ind w:firstLine="562"/>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36．索赔</w:t>
      </w:r>
    </w:p>
    <w:p w14:paraId="16BC870B">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36.1</w:t>
      </w:r>
      <w:r>
        <w:rPr>
          <w:rFonts w:hint="eastAsia" w:ascii="华文仿宋" w:hAnsi="华文仿宋" w:eastAsia="华文仿宋" w:cs="仿宋"/>
          <w:color w:val="auto"/>
          <w:kern w:val="1"/>
          <w:sz w:val="28"/>
          <w:szCs w:val="28"/>
          <w:highlight w:val="none"/>
        </w:rPr>
        <w:t>当一方向另一方提出索赔时，要有正当索赔理由，且有索赔事件发生时的有效证据。</w:t>
      </w:r>
    </w:p>
    <w:p w14:paraId="59956EBC">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36.2</w:t>
      </w:r>
      <w:r>
        <w:rPr>
          <w:rFonts w:hint="eastAsia" w:ascii="华文仿宋" w:hAnsi="华文仿宋" w:eastAsia="华文仿宋" w:cs="仿宋"/>
          <w:color w:val="auto"/>
          <w:kern w:val="1"/>
          <w:sz w:val="28"/>
          <w:szCs w:val="28"/>
          <w:highlight w:val="none"/>
        </w:rPr>
        <w:t>发包人未能按合同约定履行自己的各项义务或发生错误以及应由发包人承担责任的其他情况，造成工期延误和（或）承包人不能及时得到合同价款及承包人的其他经济损失，承包人可按下列程序以书面形式向发包人索赔：</w:t>
      </w:r>
    </w:p>
    <w:p w14:paraId="54C615E9">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⑴索赔事件发生后</w:t>
      </w:r>
      <w:r>
        <w:rPr>
          <w:rFonts w:ascii="华文仿宋" w:hAnsi="华文仿宋" w:eastAsia="华文仿宋" w:cs="仿宋"/>
          <w:color w:val="auto"/>
          <w:kern w:val="1"/>
          <w:sz w:val="28"/>
          <w:szCs w:val="28"/>
          <w:highlight w:val="none"/>
        </w:rPr>
        <w:t>28</w:t>
      </w:r>
      <w:r>
        <w:rPr>
          <w:rFonts w:hint="eastAsia" w:ascii="华文仿宋" w:hAnsi="华文仿宋" w:eastAsia="华文仿宋" w:cs="仿宋"/>
          <w:color w:val="auto"/>
          <w:kern w:val="1"/>
          <w:sz w:val="28"/>
          <w:szCs w:val="28"/>
          <w:highlight w:val="none"/>
        </w:rPr>
        <w:t>天内，向工程师发出索赔意向通知；</w:t>
      </w:r>
    </w:p>
    <w:p w14:paraId="4E436FE6">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⑵发生索赔意向通知后</w:t>
      </w:r>
      <w:r>
        <w:rPr>
          <w:rFonts w:ascii="华文仿宋" w:hAnsi="华文仿宋" w:eastAsia="华文仿宋" w:cs="仿宋"/>
          <w:color w:val="auto"/>
          <w:kern w:val="1"/>
          <w:sz w:val="28"/>
          <w:szCs w:val="28"/>
          <w:highlight w:val="none"/>
        </w:rPr>
        <w:t>28</w:t>
      </w:r>
      <w:r>
        <w:rPr>
          <w:rFonts w:hint="eastAsia" w:ascii="华文仿宋" w:hAnsi="华文仿宋" w:eastAsia="华文仿宋" w:cs="仿宋"/>
          <w:color w:val="auto"/>
          <w:kern w:val="1"/>
          <w:sz w:val="28"/>
          <w:szCs w:val="28"/>
          <w:highlight w:val="none"/>
        </w:rPr>
        <w:t>天内，向工程师提出延长工期和（或）补偿经济损失的索赔报告及有关资料；</w:t>
      </w:r>
    </w:p>
    <w:p w14:paraId="0C28A5BF">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⑶工程师在收到承包人送交的索赔报告和有关资料后，于</w:t>
      </w:r>
      <w:r>
        <w:rPr>
          <w:rFonts w:ascii="华文仿宋" w:hAnsi="华文仿宋" w:eastAsia="华文仿宋" w:cs="仿宋"/>
          <w:color w:val="auto"/>
          <w:kern w:val="1"/>
          <w:sz w:val="28"/>
          <w:szCs w:val="28"/>
          <w:highlight w:val="none"/>
        </w:rPr>
        <w:t>28</w:t>
      </w:r>
      <w:r>
        <w:rPr>
          <w:rFonts w:hint="eastAsia" w:ascii="华文仿宋" w:hAnsi="华文仿宋" w:eastAsia="华文仿宋" w:cs="仿宋"/>
          <w:color w:val="auto"/>
          <w:kern w:val="1"/>
          <w:sz w:val="28"/>
          <w:szCs w:val="28"/>
          <w:highlight w:val="none"/>
        </w:rPr>
        <w:t>天内给予答复，或要求承包进一步补充索赔理由和证据；</w:t>
      </w:r>
    </w:p>
    <w:p w14:paraId="0E6B460A">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⑷工程师在收到承包人送交的索赔报告和有关资料后</w:t>
      </w:r>
      <w:r>
        <w:rPr>
          <w:rFonts w:ascii="华文仿宋" w:hAnsi="华文仿宋" w:eastAsia="华文仿宋" w:cs="仿宋"/>
          <w:color w:val="auto"/>
          <w:kern w:val="1"/>
          <w:sz w:val="28"/>
          <w:szCs w:val="28"/>
          <w:highlight w:val="none"/>
        </w:rPr>
        <w:t>28</w:t>
      </w:r>
      <w:r>
        <w:rPr>
          <w:rFonts w:hint="eastAsia" w:ascii="华文仿宋" w:hAnsi="华文仿宋" w:eastAsia="华文仿宋" w:cs="仿宋"/>
          <w:color w:val="auto"/>
          <w:kern w:val="1"/>
          <w:sz w:val="28"/>
          <w:szCs w:val="28"/>
          <w:highlight w:val="none"/>
        </w:rPr>
        <w:t>天内未予答复或未对承包人作进一步要求，视为该项索赔已经认可；</w:t>
      </w:r>
    </w:p>
    <w:p w14:paraId="446AA335">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⑸当该索赔事件持续进行时，承包人应当阶段性向工程师发出索赔意向，在索赔事件终了后</w:t>
      </w:r>
      <w:r>
        <w:rPr>
          <w:rFonts w:ascii="华文仿宋" w:hAnsi="华文仿宋" w:eastAsia="华文仿宋" w:cs="仿宋"/>
          <w:color w:val="auto"/>
          <w:kern w:val="1"/>
          <w:sz w:val="28"/>
          <w:szCs w:val="28"/>
          <w:highlight w:val="none"/>
        </w:rPr>
        <w:t>28</w:t>
      </w:r>
      <w:r>
        <w:rPr>
          <w:rFonts w:hint="eastAsia" w:ascii="华文仿宋" w:hAnsi="华文仿宋" w:eastAsia="华文仿宋" w:cs="仿宋"/>
          <w:color w:val="auto"/>
          <w:kern w:val="1"/>
          <w:sz w:val="28"/>
          <w:szCs w:val="28"/>
          <w:highlight w:val="none"/>
        </w:rPr>
        <w:t>天内，向工程师送交索赔的有关资料和最终索赔报告。索赔答复程序与（</w:t>
      </w:r>
      <w:r>
        <w:rPr>
          <w:rFonts w:ascii="华文仿宋" w:hAnsi="华文仿宋" w:eastAsia="华文仿宋" w:cs="仿宋"/>
          <w:color w:val="auto"/>
          <w:kern w:val="1"/>
          <w:sz w:val="28"/>
          <w:szCs w:val="28"/>
          <w:highlight w:val="none"/>
        </w:rPr>
        <w:t>3</w:t>
      </w:r>
      <w:r>
        <w:rPr>
          <w:rFonts w:hint="eastAsia" w:ascii="华文仿宋" w:hAnsi="华文仿宋" w:eastAsia="华文仿宋" w:cs="仿宋"/>
          <w:color w:val="auto"/>
          <w:kern w:val="1"/>
          <w:sz w:val="28"/>
          <w:szCs w:val="28"/>
          <w:highlight w:val="none"/>
        </w:rPr>
        <w:t>）、（</w:t>
      </w:r>
      <w:r>
        <w:rPr>
          <w:rFonts w:ascii="华文仿宋" w:hAnsi="华文仿宋" w:eastAsia="华文仿宋" w:cs="仿宋"/>
          <w:color w:val="auto"/>
          <w:kern w:val="1"/>
          <w:sz w:val="28"/>
          <w:szCs w:val="28"/>
          <w:highlight w:val="none"/>
        </w:rPr>
        <w:t>4</w:t>
      </w:r>
      <w:r>
        <w:rPr>
          <w:rFonts w:hint="eastAsia" w:ascii="华文仿宋" w:hAnsi="华文仿宋" w:eastAsia="华文仿宋" w:cs="仿宋"/>
          <w:color w:val="auto"/>
          <w:kern w:val="1"/>
          <w:sz w:val="28"/>
          <w:szCs w:val="28"/>
          <w:highlight w:val="none"/>
        </w:rPr>
        <w:t>）规定相同。</w:t>
      </w:r>
    </w:p>
    <w:p w14:paraId="4A03FD39">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36.3</w:t>
      </w:r>
      <w:r>
        <w:rPr>
          <w:rFonts w:hint="eastAsia" w:ascii="华文仿宋" w:hAnsi="华文仿宋" w:eastAsia="华文仿宋" w:cs="仿宋"/>
          <w:color w:val="auto"/>
          <w:kern w:val="1"/>
          <w:sz w:val="28"/>
          <w:szCs w:val="28"/>
          <w:highlight w:val="none"/>
        </w:rPr>
        <w:t>承包人未能按合同约定履行自己的各项义务或发生错误，给发包人造成经济损失，发包人可按</w:t>
      </w:r>
      <w:r>
        <w:rPr>
          <w:rFonts w:ascii="华文仿宋" w:hAnsi="华文仿宋" w:eastAsia="华文仿宋" w:cs="仿宋"/>
          <w:color w:val="auto"/>
          <w:kern w:val="1"/>
          <w:sz w:val="28"/>
          <w:szCs w:val="28"/>
          <w:highlight w:val="none"/>
        </w:rPr>
        <w:t>36.2</w:t>
      </w:r>
      <w:r>
        <w:rPr>
          <w:rFonts w:hint="eastAsia" w:ascii="华文仿宋" w:hAnsi="华文仿宋" w:eastAsia="华文仿宋" w:cs="仿宋"/>
          <w:color w:val="auto"/>
          <w:kern w:val="1"/>
          <w:sz w:val="28"/>
          <w:szCs w:val="28"/>
          <w:highlight w:val="none"/>
        </w:rPr>
        <w:t>款确定的时限向承包人提出索赔。</w:t>
      </w:r>
    </w:p>
    <w:p w14:paraId="16164CCD">
      <w:pPr>
        <w:spacing w:line="360" w:lineRule="auto"/>
        <w:ind w:firstLine="562"/>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37．争议</w:t>
      </w:r>
    </w:p>
    <w:p w14:paraId="708D06D2">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37.1</w:t>
      </w:r>
      <w:r>
        <w:rPr>
          <w:rFonts w:hint="eastAsia" w:ascii="华文仿宋" w:hAnsi="华文仿宋" w:eastAsia="华文仿宋" w:cs="仿宋"/>
          <w:color w:val="auto"/>
          <w:kern w:val="1"/>
          <w:sz w:val="28"/>
          <w:szCs w:val="28"/>
          <w:highlight w:val="none"/>
        </w:rPr>
        <w:t>合同争议的解决方式</w:t>
      </w:r>
    </w:p>
    <w:p w14:paraId="6D4BA8E3">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本合同在履行过程中发生的争议，由当事人双方协商解决。协商不成时，按下列第</w:t>
      </w:r>
      <w:r>
        <w:rPr>
          <w:rFonts w:hint="eastAsia" w:ascii="华文仿宋" w:hAnsi="华文仿宋" w:eastAsia="华文仿宋" w:cs="仿宋"/>
          <w:color w:val="auto"/>
          <w:kern w:val="1"/>
          <w:sz w:val="28"/>
          <w:szCs w:val="28"/>
          <w:highlight w:val="none"/>
          <w:u w:val="single"/>
        </w:rPr>
        <w:t xml:space="preserve">    </w:t>
      </w:r>
      <w:r>
        <w:rPr>
          <w:rFonts w:hint="eastAsia" w:ascii="华文仿宋" w:hAnsi="华文仿宋" w:eastAsia="华文仿宋" w:cs="仿宋"/>
          <w:color w:val="auto"/>
          <w:kern w:val="1"/>
          <w:sz w:val="28"/>
          <w:szCs w:val="28"/>
          <w:highlight w:val="none"/>
        </w:rPr>
        <w:t>种方式解决。</w:t>
      </w:r>
    </w:p>
    <w:p w14:paraId="0A9AFD63">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⑴提交</w:t>
      </w:r>
      <w:r>
        <w:rPr>
          <w:rFonts w:ascii="华文仿宋" w:hAnsi="华文仿宋" w:eastAsia="华文仿宋" w:cs="仿宋"/>
          <w:color w:val="auto"/>
          <w:kern w:val="1"/>
          <w:sz w:val="28"/>
          <w:szCs w:val="28"/>
          <w:highlight w:val="none"/>
          <w:u w:val="single"/>
        </w:rPr>
        <w:t xml:space="preserve"> </w:t>
      </w:r>
      <w:r>
        <w:rPr>
          <w:rFonts w:hint="eastAsia" w:ascii="华文仿宋" w:hAnsi="华文仿宋" w:eastAsia="华文仿宋" w:cs="仿宋"/>
          <w:color w:val="auto"/>
          <w:kern w:val="1"/>
          <w:sz w:val="28"/>
          <w:szCs w:val="28"/>
          <w:highlight w:val="none"/>
          <w:u w:val="single"/>
        </w:rPr>
        <w:t xml:space="preserve">   </w:t>
      </w:r>
      <w:r>
        <w:rPr>
          <w:rFonts w:hint="eastAsia" w:ascii="华文仿宋" w:hAnsi="华文仿宋" w:eastAsia="华文仿宋" w:cs="仿宋"/>
          <w:color w:val="auto"/>
          <w:kern w:val="1"/>
          <w:sz w:val="28"/>
          <w:szCs w:val="28"/>
          <w:highlight w:val="none"/>
        </w:rPr>
        <w:t>仲裁委员会仲裁；</w:t>
      </w:r>
    </w:p>
    <w:p w14:paraId="76F7683F">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⑵依法向人民法院起诉。</w:t>
      </w:r>
    </w:p>
    <w:p w14:paraId="0C673C50">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37.2</w:t>
      </w:r>
      <w:r>
        <w:rPr>
          <w:rFonts w:hint="eastAsia" w:ascii="华文仿宋" w:hAnsi="华文仿宋" w:eastAsia="华文仿宋" w:cs="仿宋"/>
          <w:color w:val="auto"/>
          <w:kern w:val="1"/>
          <w:sz w:val="28"/>
          <w:szCs w:val="28"/>
          <w:highlight w:val="none"/>
        </w:rPr>
        <w:t>发生争议后，除非出现下列情况的，双方都应继续履行合同，保持施工连续，保护好已完工程：</w:t>
      </w:r>
    </w:p>
    <w:p w14:paraId="6F81939D">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⑴单方违约导致合同确已无法履行，双方协议停止施工；</w:t>
      </w:r>
    </w:p>
    <w:p w14:paraId="5908E3F9">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⑵调解要求停止施工，且为双方接受；</w:t>
      </w:r>
    </w:p>
    <w:p w14:paraId="451E9DB3">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⑶仲裁机构要求停止施工；</w:t>
      </w:r>
    </w:p>
    <w:p w14:paraId="4294B87D">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⑷法院要求停止施工。</w:t>
      </w:r>
    </w:p>
    <w:p w14:paraId="5E7672CB">
      <w:pPr>
        <w:spacing w:line="360" w:lineRule="auto"/>
        <w:ind w:firstLine="560"/>
        <w:outlineLvl w:val="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十一、其他</w:t>
      </w:r>
    </w:p>
    <w:p w14:paraId="011EB85B">
      <w:pPr>
        <w:spacing w:line="360" w:lineRule="auto"/>
        <w:ind w:firstLine="562"/>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38．工程分包</w:t>
      </w:r>
    </w:p>
    <w:p w14:paraId="12933009">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38.1</w:t>
      </w:r>
      <w:r>
        <w:rPr>
          <w:rFonts w:hint="eastAsia" w:ascii="华文仿宋" w:hAnsi="华文仿宋" w:eastAsia="华文仿宋" w:cs="仿宋"/>
          <w:color w:val="auto"/>
          <w:kern w:val="1"/>
          <w:sz w:val="28"/>
          <w:szCs w:val="28"/>
          <w:highlight w:val="none"/>
        </w:rPr>
        <w:t>承包人按专用条款的约定分包所承包的部分工程，并与分包单位签订分包合同。非经发包人书面同意，承包人不得将承包工程的任意部分分包。</w:t>
      </w:r>
    </w:p>
    <w:p w14:paraId="33A68CDB">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38.2</w:t>
      </w:r>
      <w:r>
        <w:rPr>
          <w:rFonts w:hint="eastAsia" w:ascii="华文仿宋" w:hAnsi="华文仿宋" w:eastAsia="华文仿宋" w:cs="仿宋"/>
          <w:color w:val="auto"/>
          <w:kern w:val="1"/>
          <w:sz w:val="28"/>
          <w:szCs w:val="28"/>
          <w:highlight w:val="none"/>
        </w:rPr>
        <w:t>承包人不得将其承包的全部工程转包给他人，也不得将其承包的全部工程肢解以后以分包的名义分别转包给他人。</w:t>
      </w:r>
    </w:p>
    <w:p w14:paraId="17768CC2">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38.3</w:t>
      </w:r>
      <w:r>
        <w:rPr>
          <w:rFonts w:hint="eastAsia" w:ascii="华文仿宋" w:hAnsi="华文仿宋" w:eastAsia="华文仿宋" w:cs="仿宋"/>
          <w:color w:val="auto"/>
          <w:kern w:val="1"/>
          <w:sz w:val="28"/>
          <w:szCs w:val="28"/>
          <w:highlight w:val="none"/>
        </w:rPr>
        <w:t>工程分包不能解除承包人任何责任与义务。承包人应在分包场地派驻相应管理人员，保证本合同的履行。分包单位的任何违约行为或疏忽导致工程损害或给发包人造成其他损失，承包人承担连带责任。</w:t>
      </w:r>
    </w:p>
    <w:p w14:paraId="3A02AC7B">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38.4</w:t>
      </w:r>
      <w:r>
        <w:rPr>
          <w:rFonts w:hint="eastAsia" w:ascii="华文仿宋" w:hAnsi="华文仿宋" w:eastAsia="华文仿宋" w:cs="仿宋"/>
          <w:color w:val="auto"/>
          <w:kern w:val="1"/>
          <w:sz w:val="28"/>
          <w:szCs w:val="28"/>
          <w:highlight w:val="none"/>
        </w:rPr>
        <w:t>分包工程价款由承包人与分包单位结算。发包人未经承包人同意不得以任何形式向分包单位支付各种工程款项。</w:t>
      </w:r>
    </w:p>
    <w:p w14:paraId="139FBD25">
      <w:pPr>
        <w:spacing w:line="360" w:lineRule="auto"/>
        <w:ind w:firstLine="562"/>
        <w:outlineLvl w:val="0"/>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39．不可抗力</w:t>
      </w:r>
    </w:p>
    <w:p w14:paraId="7227F720">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39.1</w:t>
      </w:r>
      <w:r>
        <w:rPr>
          <w:rFonts w:hint="eastAsia" w:ascii="华文仿宋" w:hAnsi="华文仿宋" w:eastAsia="华文仿宋" w:cs="仿宋"/>
          <w:color w:val="auto"/>
          <w:kern w:val="1"/>
          <w:sz w:val="28"/>
          <w:szCs w:val="28"/>
          <w:highlight w:val="none"/>
        </w:rPr>
        <w:t>不可抗力包括因战争、动乱、空中飞行物体坠落或其他非发包人承包人责任造成的爆炸、火灾，以及专用条款约定的风、雨、雪、洪、震等自然灾害。</w:t>
      </w:r>
    </w:p>
    <w:p w14:paraId="024079CB">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39.2</w:t>
      </w:r>
      <w:r>
        <w:rPr>
          <w:rFonts w:hint="eastAsia" w:ascii="华文仿宋" w:hAnsi="华文仿宋" w:eastAsia="华文仿宋" w:cs="仿宋"/>
          <w:color w:val="auto"/>
          <w:kern w:val="1"/>
          <w:sz w:val="28"/>
          <w:szCs w:val="28"/>
          <w:highlight w:val="none"/>
        </w:rPr>
        <w:t>不可抗力事件发生后，承包人应立即通知工程师，并在力所能及的条件下迅速采取措施，尽力减少损失，发包人应协助承包人采取措施。工程师认为应当暂停施工的，承包人应暂停施工。不可抗力事件结束后</w:t>
      </w:r>
      <w:r>
        <w:rPr>
          <w:rFonts w:ascii="华文仿宋" w:hAnsi="华文仿宋" w:eastAsia="华文仿宋" w:cs="仿宋"/>
          <w:color w:val="auto"/>
          <w:kern w:val="1"/>
          <w:sz w:val="28"/>
          <w:szCs w:val="28"/>
          <w:highlight w:val="none"/>
        </w:rPr>
        <w:t>48</w:t>
      </w:r>
      <w:r>
        <w:rPr>
          <w:rFonts w:hint="eastAsia" w:ascii="华文仿宋" w:hAnsi="华文仿宋" w:eastAsia="华文仿宋" w:cs="仿宋"/>
          <w:color w:val="auto"/>
          <w:kern w:val="1"/>
          <w:sz w:val="28"/>
          <w:szCs w:val="28"/>
          <w:highlight w:val="none"/>
        </w:rPr>
        <w:t>小时内承包人向工程师通报受害情况的损失情况，及预计清理和修复的费用。不可抗力事件持续发生，承包人应每隔</w:t>
      </w:r>
      <w:r>
        <w:rPr>
          <w:rFonts w:ascii="华文仿宋" w:hAnsi="华文仿宋" w:eastAsia="华文仿宋" w:cs="仿宋"/>
          <w:color w:val="auto"/>
          <w:kern w:val="1"/>
          <w:sz w:val="28"/>
          <w:szCs w:val="28"/>
          <w:highlight w:val="none"/>
        </w:rPr>
        <w:t>7</w:t>
      </w:r>
      <w:r>
        <w:rPr>
          <w:rFonts w:hint="eastAsia" w:ascii="华文仿宋" w:hAnsi="华文仿宋" w:eastAsia="华文仿宋" w:cs="仿宋"/>
          <w:color w:val="auto"/>
          <w:kern w:val="1"/>
          <w:sz w:val="28"/>
          <w:szCs w:val="28"/>
          <w:highlight w:val="none"/>
        </w:rPr>
        <w:t>天向工程师报告一次受害情况。不可抗力事件结束后</w:t>
      </w:r>
      <w:r>
        <w:rPr>
          <w:rFonts w:ascii="华文仿宋" w:hAnsi="华文仿宋" w:eastAsia="华文仿宋" w:cs="仿宋"/>
          <w:color w:val="auto"/>
          <w:kern w:val="1"/>
          <w:sz w:val="28"/>
          <w:szCs w:val="28"/>
          <w:highlight w:val="none"/>
        </w:rPr>
        <w:t>14</w:t>
      </w:r>
      <w:r>
        <w:rPr>
          <w:rFonts w:hint="eastAsia" w:ascii="华文仿宋" w:hAnsi="华文仿宋" w:eastAsia="华文仿宋" w:cs="仿宋"/>
          <w:color w:val="auto"/>
          <w:kern w:val="1"/>
          <w:sz w:val="28"/>
          <w:szCs w:val="28"/>
          <w:highlight w:val="none"/>
        </w:rPr>
        <w:t>天内，承包人向工程师提交清理和修复费用的正式报告及有关资料。</w:t>
      </w:r>
    </w:p>
    <w:p w14:paraId="7E8D1B43">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39.3</w:t>
      </w:r>
      <w:r>
        <w:rPr>
          <w:rFonts w:hint="eastAsia" w:ascii="华文仿宋" w:hAnsi="华文仿宋" w:eastAsia="华文仿宋" w:cs="仿宋"/>
          <w:color w:val="auto"/>
          <w:kern w:val="1"/>
          <w:sz w:val="28"/>
          <w:szCs w:val="28"/>
          <w:highlight w:val="none"/>
        </w:rPr>
        <w:t>因不可抗力事件导致的费用及延误的工期由双方按以下方法分别承担：</w:t>
      </w:r>
    </w:p>
    <w:p w14:paraId="065BD43A">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⑴工程本身的损害、因工程损害导致第三人人员伤亡和财产损失以及运至施工场地用于施工的材料和待安装的设备的损害，由发包人承担；</w:t>
      </w:r>
    </w:p>
    <w:p w14:paraId="0BE97B6E">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⑵发包人承包人人员伤亡由其所在单位负责，并承担相应费用；</w:t>
      </w:r>
    </w:p>
    <w:p w14:paraId="1730F3F2">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⑶承包人机械设备损坏及停工损失，由承包人承担；</w:t>
      </w:r>
    </w:p>
    <w:p w14:paraId="4C0B3B3E">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⑷停工期间，承包人应工程师要求留在施工场地的必要的管理人员及保卫人员的费用由发包人承担；</w:t>
      </w:r>
    </w:p>
    <w:p w14:paraId="65EC996E">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⑸工程所需清理、修复费用，由发包人承担；</w:t>
      </w:r>
    </w:p>
    <w:p w14:paraId="40C6FDFB">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⑹延误的工期相应顺延。</w:t>
      </w:r>
    </w:p>
    <w:p w14:paraId="2D0A6B0A">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39.4</w:t>
      </w:r>
      <w:r>
        <w:rPr>
          <w:rFonts w:hint="eastAsia" w:ascii="华文仿宋" w:hAnsi="华文仿宋" w:eastAsia="华文仿宋" w:cs="仿宋"/>
          <w:color w:val="auto"/>
          <w:kern w:val="1"/>
          <w:sz w:val="28"/>
          <w:szCs w:val="28"/>
          <w:highlight w:val="none"/>
        </w:rPr>
        <w:t>因合同一方迟延履行合同后发生不可抗力的，不能免除迟延履行方的相应责任。</w:t>
      </w:r>
    </w:p>
    <w:p w14:paraId="03B924D8">
      <w:pPr>
        <w:spacing w:line="360" w:lineRule="auto"/>
        <w:ind w:firstLine="562"/>
        <w:outlineLvl w:val="0"/>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40．保险</w:t>
      </w:r>
    </w:p>
    <w:p w14:paraId="70C72D82">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40.1</w:t>
      </w:r>
      <w:r>
        <w:rPr>
          <w:rFonts w:hint="eastAsia" w:ascii="华文仿宋" w:hAnsi="华文仿宋" w:eastAsia="华文仿宋" w:cs="仿宋"/>
          <w:color w:val="auto"/>
          <w:kern w:val="1"/>
          <w:sz w:val="28"/>
          <w:szCs w:val="28"/>
          <w:highlight w:val="none"/>
        </w:rPr>
        <w:t>工程开工前，发包人为建设工程和施工场地内的自有人员及第三人人员生命财产办理保险，支付保险费用。</w:t>
      </w:r>
    </w:p>
    <w:p w14:paraId="2429D987">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40.2</w:t>
      </w:r>
      <w:r>
        <w:rPr>
          <w:rFonts w:hint="eastAsia" w:ascii="华文仿宋" w:hAnsi="华文仿宋" w:eastAsia="华文仿宋" w:cs="仿宋"/>
          <w:color w:val="auto"/>
          <w:kern w:val="1"/>
          <w:sz w:val="28"/>
          <w:szCs w:val="28"/>
          <w:highlight w:val="none"/>
        </w:rPr>
        <w:t>运至施工场地内用于工程的材料和待安装设备，由发包人办理保险，并支付保险费用。</w:t>
      </w:r>
    </w:p>
    <w:p w14:paraId="748AC8E9">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40.3</w:t>
      </w:r>
      <w:r>
        <w:rPr>
          <w:rFonts w:hint="eastAsia" w:ascii="华文仿宋" w:hAnsi="华文仿宋" w:eastAsia="华文仿宋" w:cs="仿宋"/>
          <w:color w:val="auto"/>
          <w:kern w:val="1"/>
          <w:sz w:val="28"/>
          <w:szCs w:val="28"/>
          <w:highlight w:val="none"/>
        </w:rPr>
        <w:t>发包人可以将有关保险事项委托承包人办理，费用由发包人承担。</w:t>
      </w:r>
    </w:p>
    <w:p w14:paraId="0B4A8DAE">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40.4</w:t>
      </w:r>
      <w:r>
        <w:rPr>
          <w:rFonts w:hint="eastAsia" w:ascii="华文仿宋" w:hAnsi="华文仿宋" w:eastAsia="华文仿宋" w:cs="仿宋"/>
          <w:color w:val="auto"/>
          <w:kern w:val="1"/>
          <w:sz w:val="28"/>
          <w:szCs w:val="28"/>
          <w:highlight w:val="none"/>
        </w:rPr>
        <w:t>承包人必须为从事危险作业的职工办理意外伤害保险，并为施工场地内自有人员生命财产和施工机械设备办理保险，支付保险费用。</w:t>
      </w:r>
    </w:p>
    <w:p w14:paraId="462A0994">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40.5</w:t>
      </w:r>
      <w:r>
        <w:rPr>
          <w:rFonts w:hint="eastAsia" w:ascii="华文仿宋" w:hAnsi="华文仿宋" w:eastAsia="华文仿宋" w:cs="仿宋"/>
          <w:color w:val="auto"/>
          <w:kern w:val="1"/>
          <w:sz w:val="28"/>
          <w:szCs w:val="28"/>
          <w:highlight w:val="none"/>
        </w:rPr>
        <w:t>保险事故发生后，发包人承包人有责任尽力采取必要的措施，防止或者减少损失。</w:t>
      </w:r>
    </w:p>
    <w:p w14:paraId="55BE438A">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40.6</w:t>
      </w:r>
      <w:r>
        <w:rPr>
          <w:rFonts w:hint="eastAsia" w:ascii="华文仿宋" w:hAnsi="华文仿宋" w:eastAsia="华文仿宋" w:cs="仿宋"/>
          <w:color w:val="auto"/>
          <w:kern w:val="1"/>
          <w:sz w:val="28"/>
          <w:szCs w:val="28"/>
          <w:highlight w:val="none"/>
        </w:rPr>
        <w:t>具体投保内容和相关责任，发包人承包人在专用条款中约定。</w:t>
      </w:r>
    </w:p>
    <w:p w14:paraId="7F31D7A0">
      <w:pPr>
        <w:spacing w:line="360" w:lineRule="auto"/>
        <w:ind w:firstLine="562"/>
        <w:outlineLvl w:val="0"/>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41．担保</w:t>
      </w:r>
    </w:p>
    <w:p w14:paraId="362A14CE">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41.1</w:t>
      </w:r>
      <w:r>
        <w:rPr>
          <w:rFonts w:hint="eastAsia" w:ascii="华文仿宋" w:hAnsi="华文仿宋" w:eastAsia="华文仿宋" w:cs="仿宋"/>
          <w:color w:val="auto"/>
          <w:kern w:val="1"/>
          <w:sz w:val="28"/>
          <w:szCs w:val="28"/>
          <w:highlight w:val="none"/>
        </w:rPr>
        <w:t>发包人承包人为了全面履行合同，应互相提供以下担保：</w:t>
      </w:r>
    </w:p>
    <w:p w14:paraId="076CEA19">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⑴发包人向承包人提供履约担保，按合同约定支付工程价款及履行合同约定的其他义务；</w:t>
      </w:r>
    </w:p>
    <w:p w14:paraId="785D6A97">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⑵承包人向发包人提供履约担保，按合同约定履行自己的各项义务。</w:t>
      </w:r>
    </w:p>
    <w:p w14:paraId="32CF14D3">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41.2</w:t>
      </w:r>
      <w:r>
        <w:rPr>
          <w:rFonts w:hint="eastAsia" w:ascii="华文仿宋" w:hAnsi="华文仿宋" w:eastAsia="华文仿宋" w:cs="仿宋"/>
          <w:color w:val="auto"/>
          <w:kern w:val="1"/>
          <w:sz w:val="28"/>
          <w:szCs w:val="28"/>
          <w:highlight w:val="none"/>
        </w:rPr>
        <w:t>一方违约后，另一方可要求提供担保的第三人承担相应责任。</w:t>
      </w:r>
    </w:p>
    <w:p w14:paraId="4D5EA0C4">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41.3</w:t>
      </w:r>
      <w:r>
        <w:rPr>
          <w:rFonts w:hint="eastAsia" w:ascii="华文仿宋" w:hAnsi="华文仿宋" w:eastAsia="华文仿宋" w:cs="仿宋"/>
          <w:color w:val="auto"/>
          <w:kern w:val="1"/>
          <w:sz w:val="28"/>
          <w:szCs w:val="28"/>
          <w:highlight w:val="none"/>
        </w:rPr>
        <w:t>提供担保的内容、方式和相关责任，发包人承包人除在专用条款中约定外，被担保方与担保方还应签订担保合同，作为本合同附件。</w:t>
      </w:r>
    </w:p>
    <w:p w14:paraId="424A6F4C">
      <w:pPr>
        <w:spacing w:line="360" w:lineRule="auto"/>
        <w:ind w:firstLine="562"/>
        <w:outlineLvl w:val="0"/>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42．专利技术及特殊工艺</w:t>
      </w:r>
    </w:p>
    <w:p w14:paraId="3C9C8642">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42.1</w:t>
      </w:r>
      <w:r>
        <w:rPr>
          <w:rFonts w:hint="eastAsia" w:ascii="华文仿宋" w:hAnsi="华文仿宋" w:eastAsia="华文仿宋" w:cs="仿宋"/>
          <w:color w:val="auto"/>
          <w:kern w:val="1"/>
          <w:sz w:val="28"/>
          <w:szCs w:val="28"/>
          <w:highlight w:val="none"/>
        </w:rPr>
        <w:t>发包人要求使用专利技术或特殊工艺，应负责办理相应的申报手续，承担申报、试验、使用等费用；承包人提出使用专利技术或特殊工艺，应取得工程师认可，承包人负责办理申报手续并承担有关费用。</w:t>
      </w:r>
    </w:p>
    <w:p w14:paraId="5BD76F09">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42.2</w:t>
      </w:r>
      <w:r>
        <w:rPr>
          <w:rFonts w:hint="eastAsia" w:ascii="华文仿宋" w:hAnsi="华文仿宋" w:eastAsia="华文仿宋" w:cs="仿宋"/>
          <w:color w:val="auto"/>
          <w:kern w:val="1"/>
          <w:sz w:val="28"/>
          <w:szCs w:val="28"/>
          <w:highlight w:val="none"/>
        </w:rPr>
        <w:t>擅自使用专利技术侵犯他人专利权的，责任者依法承担相应责任。</w:t>
      </w:r>
    </w:p>
    <w:p w14:paraId="72CB9D09">
      <w:pPr>
        <w:spacing w:line="360" w:lineRule="auto"/>
        <w:ind w:firstLine="562"/>
        <w:outlineLvl w:val="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43．文物和地下障碍物</w:t>
      </w:r>
    </w:p>
    <w:p w14:paraId="08544A46">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43.1</w:t>
      </w:r>
      <w:r>
        <w:rPr>
          <w:rFonts w:hint="eastAsia" w:ascii="华文仿宋" w:hAnsi="华文仿宋" w:eastAsia="华文仿宋" w:cs="仿宋"/>
          <w:color w:val="auto"/>
          <w:kern w:val="1"/>
          <w:sz w:val="28"/>
          <w:szCs w:val="28"/>
          <w:highlight w:val="none"/>
        </w:rPr>
        <w:t>在施工中发现古墓、古建筑遗址等文物及化石或其他有考古、地质研究等价值的物品时，承包人应立即保护好现场并于</w:t>
      </w:r>
      <w:r>
        <w:rPr>
          <w:rFonts w:ascii="华文仿宋" w:hAnsi="华文仿宋" w:eastAsia="华文仿宋" w:cs="仿宋"/>
          <w:color w:val="auto"/>
          <w:kern w:val="1"/>
          <w:sz w:val="28"/>
          <w:szCs w:val="28"/>
          <w:highlight w:val="none"/>
        </w:rPr>
        <w:t>4</w:t>
      </w:r>
      <w:r>
        <w:rPr>
          <w:rFonts w:hint="eastAsia" w:ascii="华文仿宋" w:hAnsi="华文仿宋" w:eastAsia="华文仿宋" w:cs="仿宋"/>
          <w:color w:val="auto"/>
          <w:kern w:val="1"/>
          <w:sz w:val="28"/>
          <w:szCs w:val="28"/>
          <w:highlight w:val="none"/>
        </w:rPr>
        <w:t>小时内以书面形式通知工程师，工程师应于收到书面通知后</w:t>
      </w:r>
      <w:r>
        <w:rPr>
          <w:rFonts w:ascii="华文仿宋" w:hAnsi="华文仿宋" w:eastAsia="华文仿宋" w:cs="仿宋"/>
          <w:color w:val="auto"/>
          <w:kern w:val="1"/>
          <w:sz w:val="28"/>
          <w:szCs w:val="28"/>
          <w:highlight w:val="none"/>
        </w:rPr>
        <w:t>24</w:t>
      </w:r>
      <w:r>
        <w:rPr>
          <w:rFonts w:hint="eastAsia" w:ascii="华文仿宋" w:hAnsi="华文仿宋" w:eastAsia="华文仿宋" w:cs="仿宋"/>
          <w:color w:val="auto"/>
          <w:kern w:val="1"/>
          <w:sz w:val="28"/>
          <w:szCs w:val="28"/>
          <w:highlight w:val="none"/>
        </w:rPr>
        <w:t>小时内报告当地文物管理部门，发包人承包人按文物管理部门的要求采取妥善保护措施。发包人承担由此发生的费用，顺延延误的工期。如发现后隐瞒不报，致使文物遭受破坏，责任者依法承担相应责任。</w:t>
      </w:r>
    </w:p>
    <w:p w14:paraId="24B21767">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43.2</w:t>
      </w:r>
      <w:r>
        <w:rPr>
          <w:rFonts w:hint="eastAsia" w:ascii="华文仿宋" w:hAnsi="华文仿宋" w:eastAsia="华文仿宋" w:cs="仿宋"/>
          <w:color w:val="auto"/>
          <w:kern w:val="1"/>
          <w:sz w:val="28"/>
          <w:szCs w:val="28"/>
          <w:highlight w:val="none"/>
        </w:rPr>
        <w:t>施工中发现影响施工的地下障碍物时，承包人应于</w:t>
      </w:r>
      <w:r>
        <w:rPr>
          <w:rFonts w:ascii="华文仿宋" w:hAnsi="华文仿宋" w:eastAsia="华文仿宋" w:cs="仿宋"/>
          <w:color w:val="auto"/>
          <w:kern w:val="1"/>
          <w:sz w:val="28"/>
          <w:szCs w:val="28"/>
          <w:highlight w:val="none"/>
        </w:rPr>
        <w:t>8</w:t>
      </w:r>
      <w:r>
        <w:rPr>
          <w:rFonts w:hint="eastAsia" w:ascii="华文仿宋" w:hAnsi="华文仿宋" w:eastAsia="华文仿宋" w:cs="仿宋"/>
          <w:color w:val="auto"/>
          <w:kern w:val="1"/>
          <w:sz w:val="28"/>
          <w:szCs w:val="28"/>
          <w:highlight w:val="none"/>
        </w:rPr>
        <w:t>小时内以书面形式通知工程师，同时提出处置方案，工程师收到处置方案后</w:t>
      </w:r>
      <w:r>
        <w:rPr>
          <w:rFonts w:ascii="华文仿宋" w:hAnsi="华文仿宋" w:eastAsia="华文仿宋" w:cs="仿宋"/>
          <w:color w:val="auto"/>
          <w:kern w:val="1"/>
          <w:sz w:val="28"/>
          <w:szCs w:val="28"/>
          <w:highlight w:val="none"/>
        </w:rPr>
        <w:t>24</w:t>
      </w:r>
      <w:r>
        <w:rPr>
          <w:rFonts w:hint="eastAsia" w:ascii="华文仿宋" w:hAnsi="华文仿宋" w:eastAsia="华文仿宋" w:cs="仿宋"/>
          <w:color w:val="auto"/>
          <w:kern w:val="1"/>
          <w:sz w:val="28"/>
          <w:szCs w:val="28"/>
          <w:highlight w:val="none"/>
        </w:rPr>
        <w:t>小时内予以认可或提出修正方案。发包人承担由此发生的费用，顺延延误的工期。</w:t>
      </w:r>
    </w:p>
    <w:p w14:paraId="5F389831">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所发现的地下障碍物有归属单位时，发包人应报请有关部门协同处置。</w:t>
      </w:r>
    </w:p>
    <w:p w14:paraId="19337E79">
      <w:pPr>
        <w:spacing w:line="360" w:lineRule="auto"/>
        <w:ind w:firstLine="562"/>
        <w:outlineLvl w:val="0"/>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44．合同解除</w:t>
      </w:r>
    </w:p>
    <w:p w14:paraId="6787A64C">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44.1</w:t>
      </w:r>
      <w:r>
        <w:rPr>
          <w:rFonts w:hint="eastAsia" w:ascii="华文仿宋" w:hAnsi="华文仿宋" w:eastAsia="华文仿宋" w:cs="仿宋"/>
          <w:color w:val="auto"/>
          <w:kern w:val="1"/>
          <w:sz w:val="28"/>
          <w:szCs w:val="28"/>
          <w:highlight w:val="none"/>
        </w:rPr>
        <w:t>发包人承包人协商一致，可以解除合同。</w:t>
      </w:r>
    </w:p>
    <w:p w14:paraId="5A03903E">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44.2</w:t>
      </w:r>
      <w:r>
        <w:rPr>
          <w:rFonts w:hint="eastAsia" w:ascii="华文仿宋" w:hAnsi="华文仿宋" w:eastAsia="华文仿宋" w:cs="仿宋"/>
          <w:color w:val="auto"/>
          <w:kern w:val="1"/>
          <w:sz w:val="28"/>
          <w:szCs w:val="28"/>
          <w:highlight w:val="none"/>
        </w:rPr>
        <w:t>发生本通用条款第</w:t>
      </w:r>
      <w:r>
        <w:rPr>
          <w:rFonts w:ascii="华文仿宋" w:hAnsi="华文仿宋" w:eastAsia="华文仿宋" w:cs="仿宋"/>
          <w:color w:val="auto"/>
          <w:kern w:val="1"/>
          <w:sz w:val="28"/>
          <w:szCs w:val="28"/>
          <w:highlight w:val="none"/>
        </w:rPr>
        <w:t>26.4</w:t>
      </w:r>
      <w:r>
        <w:rPr>
          <w:rFonts w:hint="eastAsia" w:ascii="华文仿宋" w:hAnsi="华文仿宋" w:eastAsia="华文仿宋" w:cs="仿宋"/>
          <w:color w:val="auto"/>
          <w:kern w:val="1"/>
          <w:sz w:val="28"/>
          <w:szCs w:val="28"/>
          <w:highlight w:val="none"/>
        </w:rPr>
        <w:t>款情况，停止施工超过</w:t>
      </w:r>
      <w:r>
        <w:rPr>
          <w:rFonts w:ascii="华文仿宋" w:hAnsi="华文仿宋" w:eastAsia="华文仿宋" w:cs="仿宋"/>
          <w:color w:val="auto"/>
          <w:kern w:val="1"/>
          <w:sz w:val="28"/>
          <w:szCs w:val="28"/>
          <w:highlight w:val="none"/>
        </w:rPr>
        <w:t>56</w:t>
      </w:r>
      <w:r>
        <w:rPr>
          <w:rFonts w:hint="eastAsia" w:ascii="华文仿宋" w:hAnsi="华文仿宋" w:eastAsia="华文仿宋" w:cs="仿宋"/>
          <w:color w:val="auto"/>
          <w:kern w:val="1"/>
          <w:sz w:val="28"/>
          <w:szCs w:val="28"/>
          <w:highlight w:val="none"/>
        </w:rPr>
        <w:t>天，发包人仍不支付工程款（进度款），承包人有权解除合同。</w:t>
      </w:r>
    </w:p>
    <w:p w14:paraId="55C1842C">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44.3</w:t>
      </w:r>
      <w:r>
        <w:rPr>
          <w:rFonts w:hint="eastAsia" w:ascii="华文仿宋" w:hAnsi="华文仿宋" w:eastAsia="华文仿宋" w:cs="仿宋"/>
          <w:color w:val="auto"/>
          <w:kern w:val="1"/>
          <w:sz w:val="28"/>
          <w:szCs w:val="28"/>
          <w:highlight w:val="none"/>
        </w:rPr>
        <w:t>发生本通用条款第</w:t>
      </w:r>
      <w:r>
        <w:rPr>
          <w:rFonts w:ascii="华文仿宋" w:hAnsi="华文仿宋" w:eastAsia="华文仿宋" w:cs="仿宋"/>
          <w:color w:val="auto"/>
          <w:kern w:val="1"/>
          <w:sz w:val="28"/>
          <w:szCs w:val="28"/>
          <w:highlight w:val="none"/>
        </w:rPr>
        <w:t>38.2</w:t>
      </w:r>
      <w:r>
        <w:rPr>
          <w:rFonts w:hint="eastAsia" w:ascii="华文仿宋" w:hAnsi="华文仿宋" w:eastAsia="华文仿宋" w:cs="仿宋"/>
          <w:color w:val="auto"/>
          <w:kern w:val="1"/>
          <w:sz w:val="28"/>
          <w:szCs w:val="28"/>
          <w:highlight w:val="none"/>
        </w:rPr>
        <w:t>款禁止的情况，承包人将其承包的全部工程转包给他人或者肢解以后以分包的名义分别转包给他人，发包人有权解除合同。</w:t>
      </w:r>
    </w:p>
    <w:p w14:paraId="7BF86A2A">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44.4</w:t>
      </w:r>
      <w:r>
        <w:rPr>
          <w:rFonts w:hint="eastAsia" w:ascii="华文仿宋" w:hAnsi="华文仿宋" w:eastAsia="华文仿宋" w:cs="仿宋"/>
          <w:color w:val="auto"/>
          <w:kern w:val="1"/>
          <w:sz w:val="28"/>
          <w:szCs w:val="28"/>
          <w:highlight w:val="none"/>
        </w:rPr>
        <w:t>有下列情形之一的，发包人承包人可以解除合同：</w:t>
      </w:r>
    </w:p>
    <w:p w14:paraId="040DD9D4">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⑴因不可抗力致使合同无法履行；</w:t>
      </w:r>
    </w:p>
    <w:p w14:paraId="226A4434">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⑵因一方违约致使合同无法履行。</w:t>
      </w:r>
    </w:p>
    <w:p w14:paraId="61C73C7B">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44.5</w:t>
      </w:r>
      <w:r>
        <w:rPr>
          <w:rFonts w:hint="eastAsia" w:ascii="华文仿宋" w:hAnsi="华文仿宋" w:eastAsia="华文仿宋" w:cs="仿宋"/>
          <w:color w:val="auto"/>
          <w:kern w:val="1"/>
          <w:sz w:val="28"/>
          <w:szCs w:val="28"/>
          <w:highlight w:val="none"/>
        </w:rPr>
        <w:t>一方依据</w:t>
      </w:r>
      <w:r>
        <w:rPr>
          <w:rFonts w:ascii="华文仿宋" w:hAnsi="华文仿宋" w:eastAsia="华文仿宋" w:cs="仿宋"/>
          <w:color w:val="auto"/>
          <w:kern w:val="1"/>
          <w:sz w:val="28"/>
          <w:szCs w:val="28"/>
          <w:highlight w:val="none"/>
        </w:rPr>
        <w:t>44.2</w:t>
      </w:r>
      <w:r>
        <w:rPr>
          <w:rFonts w:hint="eastAsia" w:ascii="华文仿宋" w:hAnsi="华文仿宋" w:eastAsia="华文仿宋" w:cs="仿宋"/>
          <w:color w:val="auto"/>
          <w:kern w:val="1"/>
          <w:sz w:val="28"/>
          <w:szCs w:val="28"/>
          <w:highlight w:val="none"/>
        </w:rPr>
        <w:t>、</w:t>
      </w:r>
      <w:r>
        <w:rPr>
          <w:rFonts w:ascii="华文仿宋" w:hAnsi="华文仿宋" w:eastAsia="华文仿宋" w:cs="仿宋"/>
          <w:color w:val="auto"/>
          <w:kern w:val="1"/>
          <w:sz w:val="28"/>
          <w:szCs w:val="28"/>
          <w:highlight w:val="none"/>
        </w:rPr>
        <w:t>44.3</w:t>
      </w:r>
      <w:r>
        <w:rPr>
          <w:rFonts w:hint="eastAsia" w:ascii="华文仿宋" w:hAnsi="华文仿宋" w:eastAsia="华文仿宋" w:cs="仿宋"/>
          <w:color w:val="auto"/>
          <w:kern w:val="1"/>
          <w:sz w:val="28"/>
          <w:szCs w:val="28"/>
          <w:highlight w:val="none"/>
        </w:rPr>
        <w:t>、</w:t>
      </w:r>
      <w:r>
        <w:rPr>
          <w:rFonts w:ascii="华文仿宋" w:hAnsi="华文仿宋" w:eastAsia="华文仿宋" w:cs="仿宋"/>
          <w:color w:val="auto"/>
          <w:kern w:val="1"/>
          <w:sz w:val="28"/>
          <w:szCs w:val="28"/>
          <w:highlight w:val="none"/>
        </w:rPr>
        <w:t>44.4</w:t>
      </w:r>
      <w:r>
        <w:rPr>
          <w:rFonts w:hint="eastAsia" w:ascii="华文仿宋" w:hAnsi="华文仿宋" w:eastAsia="华文仿宋" w:cs="仿宋"/>
          <w:color w:val="auto"/>
          <w:kern w:val="1"/>
          <w:sz w:val="28"/>
          <w:szCs w:val="28"/>
          <w:highlight w:val="none"/>
        </w:rPr>
        <w:t>款约定要求解除合同的，应以书面形式向对方发出解除合同的通知，并在发出通知前</w:t>
      </w:r>
      <w:r>
        <w:rPr>
          <w:rFonts w:ascii="华文仿宋" w:hAnsi="华文仿宋" w:eastAsia="华文仿宋" w:cs="仿宋"/>
          <w:color w:val="auto"/>
          <w:kern w:val="1"/>
          <w:sz w:val="28"/>
          <w:szCs w:val="28"/>
          <w:highlight w:val="none"/>
        </w:rPr>
        <w:t>7</w:t>
      </w:r>
      <w:r>
        <w:rPr>
          <w:rFonts w:hint="eastAsia" w:ascii="华文仿宋" w:hAnsi="华文仿宋" w:eastAsia="华文仿宋" w:cs="仿宋"/>
          <w:color w:val="auto"/>
          <w:kern w:val="1"/>
          <w:sz w:val="28"/>
          <w:szCs w:val="28"/>
          <w:highlight w:val="none"/>
        </w:rPr>
        <w:t>天告知对方，通知到达对方时合同解除。对解除合同有争议的，按本通用条款第</w:t>
      </w:r>
      <w:r>
        <w:rPr>
          <w:rFonts w:ascii="华文仿宋" w:hAnsi="华文仿宋" w:eastAsia="华文仿宋" w:cs="仿宋"/>
          <w:color w:val="auto"/>
          <w:kern w:val="1"/>
          <w:sz w:val="28"/>
          <w:szCs w:val="28"/>
          <w:highlight w:val="none"/>
        </w:rPr>
        <w:t>37</w:t>
      </w:r>
      <w:r>
        <w:rPr>
          <w:rFonts w:hint="eastAsia" w:ascii="华文仿宋" w:hAnsi="华文仿宋" w:eastAsia="华文仿宋" w:cs="仿宋"/>
          <w:color w:val="auto"/>
          <w:kern w:val="1"/>
          <w:sz w:val="28"/>
          <w:szCs w:val="28"/>
          <w:highlight w:val="none"/>
        </w:rPr>
        <w:t>条关于争议的约定处理。</w:t>
      </w:r>
    </w:p>
    <w:p w14:paraId="3368205D">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44.6</w:t>
      </w:r>
      <w:r>
        <w:rPr>
          <w:rFonts w:hint="eastAsia" w:ascii="华文仿宋" w:hAnsi="华文仿宋" w:eastAsia="华文仿宋" w:cs="仿宋"/>
          <w:color w:val="auto"/>
          <w:kern w:val="1"/>
          <w:sz w:val="28"/>
          <w:szCs w:val="28"/>
          <w:highlight w:val="none"/>
        </w:rPr>
        <w:t>合同解除后，承包人应妥善做好已完工程和已购材料、设备的保护和移交工作，按发包人要求将自有机械设备和人员撤出施工场地。发包人应为承包人撤出提供必要条件，支付以上所发生的费用，并按合同约定支付已完工程价款。已经订货的材料、设备由订货方负责退货或解除订货合同，不能退还的货款和因退货、解除订货合同发生的费用，由发包人承担，因未及时退货造成的损失由责任方承担。除此之外，有过错的一方应当赔偿因合同解除给对方造成的损失。</w:t>
      </w:r>
    </w:p>
    <w:p w14:paraId="3CAE55EB">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44.7</w:t>
      </w:r>
      <w:r>
        <w:rPr>
          <w:rFonts w:hint="eastAsia" w:ascii="华文仿宋" w:hAnsi="华文仿宋" w:eastAsia="华文仿宋" w:cs="仿宋"/>
          <w:color w:val="auto"/>
          <w:kern w:val="1"/>
          <w:sz w:val="28"/>
          <w:szCs w:val="28"/>
          <w:highlight w:val="none"/>
        </w:rPr>
        <w:t>合同解除后，不影响双方在合同中约定的结算和清理条款的效力。</w:t>
      </w:r>
    </w:p>
    <w:p w14:paraId="0722F2D0">
      <w:pPr>
        <w:spacing w:line="360" w:lineRule="auto"/>
        <w:ind w:firstLine="562"/>
        <w:outlineLvl w:val="0"/>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45．合同生效与终止</w:t>
      </w:r>
    </w:p>
    <w:p w14:paraId="62C9D241">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45.1</w:t>
      </w:r>
      <w:r>
        <w:rPr>
          <w:rFonts w:hint="eastAsia" w:ascii="华文仿宋" w:hAnsi="华文仿宋" w:eastAsia="华文仿宋" w:cs="仿宋"/>
          <w:color w:val="auto"/>
          <w:kern w:val="1"/>
          <w:sz w:val="28"/>
          <w:szCs w:val="28"/>
          <w:highlight w:val="none"/>
        </w:rPr>
        <w:t>双方在协议书中约定合同生效方式。</w:t>
      </w:r>
    </w:p>
    <w:p w14:paraId="7393E665">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45.2</w:t>
      </w:r>
      <w:r>
        <w:rPr>
          <w:rFonts w:hint="eastAsia" w:ascii="华文仿宋" w:hAnsi="华文仿宋" w:eastAsia="华文仿宋" w:cs="仿宋"/>
          <w:color w:val="auto"/>
          <w:kern w:val="1"/>
          <w:sz w:val="28"/>
          <w:szCs w:val="28"/>
          <w:highlight w:val="none"/>
        </w:rPr>
        <w:t>除本通用条款第</w:t>
      </w:r>
      <w:r>
        <w:rPr>
          <w:rFonts w:ascii="华文仿宋" w:hAnsi="华文仿宋" w:eastAsia="华文仿宋" w:cs="仿宋"/>
          <w:color w:val="auto"/>
          <w:kern w:val="1"/>
          <w:sz w:val="28"/>
          <w:szCs w:val="28"/>
          <w:highlight w:val="none"/>
        </w:rPr>
        <w:t>34</w:t>
      </w:r>
      <w:r>
        <w:rPr>
          <w:rFonts w:hint="eastAsia" w:ascii="华文仿宋" w:hAnsi="华文仿宋" w:eastAsia="华文仿宋" w:cs="仿宋"/>
          <w:color w:val="auto"/>
          <w:kern w:val="1"/>
          <w:sz w:val="28"/>
          <w:szCs w:val="28"/>
          <w:highlight w:val="none"/>
        </w:rPr>
        <w:t>条外，发包人承包人履行合同全部义务，承包人向发包人交付竣工工程且竣工结算价款支付完毕后，本合同即告终止。</w:t>
      </w:r>
    </w:p>
    <w:p w14:paraId="0BFAA848">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45.3</w:t>
      </w:r>
      <w:r>
        <w:rPr>
          <w:rFonts w:hint="eastAsia" w:ascii="华文仿宋" w:hAnsi="华文仿宋" w:eastAsia="华文仿宋" w:cs="仿宋"/>
          <w:color w:val="auto"/>
          <w:kern w:val="1"/>
          <w:sz w:val="28"/>
          <w:szCs w:val="28"/>
          <w:highlight w:val="none"/>
        </w:rPr>
        <w:t>合同的权利义务终止后，发包人承包人应当遵循诚实信用原则，履行通知、协助、保密等义务。</w:t>
      </w:r>
    </w:p>
    <w:p w14:paraId="2A1681BD">
      <w:pPr>
        <w:spacing w:line="360" w:lineRule="auto"/>
        <w:ind w:firstLine="562"/>
        <w:outlineLvl w:val="0"/>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46．合同份数</w:t>
      </w:r>
    </w:p>
    <w:p w14:paraId="3C7BF040">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46.1</w:t>
      </w:r>
      <w:r>
        <w:rPr>
          <w:rFonts w:hint="eastAsia" w:ascii="华文仿宋" w:hAnsi="华文仿宋" w:eastAsia="华文仿宋" w:cs="仿宋"/>
          <w:color w:val="auto"/>
          <w:kern w:val="1"/>
          <w:sz w:val="28"/>
          <w:szCs w:val="28"/>
          <w:highlight w:val="none"/>
        </w:rPr>
        <w:t>本合同一式拾贰份，发包人执陆份，承包人执陆份，具有同等法律效力。</w:t>
      </w:r>
    </w:p>
    <w:p w14:paraId="79BC90C0">
      <w:pPr>
        <w:spacing w:line="360" w:lineRule="auto"/>
        <w:ind w:firstLine="562"/>
        <w:outlineLvl w:val="0"/>
        <w:rPr>
          <w:rFonts w:ascii="华文仿宋" w:hAnsi="华文仿宋" w:eastAsia="华文仿宋" w:cs="仿宋"/>
          <w:b/>
          <w:color w:val="auto"/>
          <w:kern w:val="1"/>
          <w:sz w:val="28"/>
          <w:szCs w:val="28"/>
          <w:highlight w:val="none"/>
        </w:rPr>
      </w:pPr>
      <w:r>
        <w:rPr>
          <w:rFonts w:ascii="华文仿宋" w:hAnsi="华文仿宋" w:eastAsia="华文仿宋" w:cs="仿宋"/>
          <w:b/>
          <w:color w:val="auto"/>
          <w:kern w:val="1"/>
          <w:sz w:val="28"/>
          <w:szCs w:val="28"/>
          <w:highlight w:val="none"/>
        </w:rPr>
        <w:t>47</w:t>
      </w:r>
      <w:r>
        <w:rPr>
          <w:rFonts w:hint="eastAsia" w:ascii="华文仿宋" w:hAnsi="华文仿宋" w:eastAsia="华文仿宋" w:cs="仿宋"/>
          <w:b/>
          <w:color w:val="auto"/>
          <w:kern w:val="1"/>
          <w:sz w:val="28"/>
          <w:szCs w:val="28"/>
          <w:highlight w:val="none"/>
        </w:rPr>
        <w:t>．补充条款</w:t>
      </w:r>
    </w:p>
    <w:p w14:paraId="520A1D38">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双方根据有关法律、行政法规规定，结合工程实际，发包人承包人经协商一致后，可对本通用条款内容具体化、补充或修改，在专用条款内约定。</w:t>
      </w:r>
    </w:p>
    <w:p w14:paraId="690FD6C4">
      <w:pPr>
        <w:spacing w:line="360" w:lineRule="auto"/>
        <w:ind w:firstLine="560"/>
        <w:rPr>
          <w:rFonts w:ascii="华文仿宋" w:hAnsi="华文仿宋" w:eastAsia="华文仿宋" w:cs="仿宋"/>
          <w:color w:val="auto"/>
          <w:kern w:val="1"/>
          <w:sz w:val="28"/>
          <w:szCs w:val="28"/>
          <w:highlight w:val="none"/>
        </w:rPr>
      </w:pPr>
    </w:p>
    <w:p w14:paraId="1FAF0CD9">
      <w:pPr>
        <w:spacing w:line="360" w:lineRule="auto"/>
        <w:ind w:firstLine="560"/>
        <w:rPr>
          <w:rFonts w:ascii="华文仿宋" w:hAnsi="华文仿宋" w:eastAsia="华文仿宋" w:cs="仿宋"/>
          <w:color w:val="auto"/>
          <w:kern w:val="1"/>
          <w:sz w:val="28"/>
          <w:szCs w:val="28"/>
          <w:highlight w:val="none"/>
        </w:rPr>
      </w:pPr>
    </w:p>
    <w:p w14:paraId="198CAD09">
      <w:pPr>
        <w:spacing w:line="360" w:lineRule="auto"/>
        <w:ind w:firstLine="560"/>
        <w:rPr>
          <w:rFonts w:ascii="华文仿宋" w:hAnsi="华文仿宋" w:eastAsia="华文仿宋" w:cs="仿宋"/>
          <w:color w:val="auto"/>
          <w:kern w:val="1"/>
          <w:sz w:val="28"/>
          <w:szCs w:val="28"/>
          <w:highlight w:val="none"/>
        </w:rPr>
      </w:pPr>
    </w:p>
    <w:p w14:paraId="44D701B2">
      <w:pPr>
        <w:spacing w:line="360" w:lineRule="auto"/>
        <w:ind w:firstLine="560"/>
        <w:rPr>
          <w:rFonts w:ascii="华文仿宋" w:hAnsi="华文仿宋" w:eastAsia="华文仿宋" w:cs="仿宋"/>
          <w:color w:val="auto"/>
          <w:kern w:val="1"/>
          <w:sz w:val="28"/>
          <w:szCs w:val="28"/>
          <w:highlight w:val="none"/>
        </w:rPr>
      </w:pPr>
    </w:p>
    <w:p w14:paraId="0768D1D3">
      <w:pPr>
        <w:spacing w:line="360" w:lineRule="auto"/>
        <w:ind w:firstLine="560"/>
        <w:rPr>
          <w:rFonts w:ascii="华文仿宋" w:hAnsi="华文仿宋" w:eastAsia="华文仿宋" w:cs="仿宋"/>
          <w:color w:val="auto"/>
          <w:kern w:val="1"/>
          <w:sz w:val="28"/>
          <w:szCs w:val="28"/>
          <w:highlight w:val="none"/>
        </w:rPr>
      </w:pPr>
    </w:p>
    <w:p w14:paraId="5B463C0E">
      <w:pPr>
        <w:spacing w:line="360" w:lineRule="auto"/>
        <w:ind w:firstLine="560"/>
        <w:rPr>
          <w:rFonts w:ascii="华文仿宋" w:hAnsi="华文仿宋" w:eastAsia="华文仿宋" w:cs="仿宋"/>
          <w:color w:val="auto"/>
          <w:kern w:val="1"/>
          <w:sz w:val="28"/>
          <w:szCs w:val="28"/>
          <w:highlight w:val="none"/>
        </w:rPr>
      </w:pPr>
    </w:p>
    <w:p w14:paraId="307ACBF7">
      <w:pPr>
        <w:spacing w:line="360" w:lineRule="auto"/>
        <w:ind w:firstLine="560"/>
        <w:rPr>
          <w:rFonts w:ascii="华文仿宋" w:hAnsi="华文仿宋" w:eastAsia="华文仿宋" w:cs="仿宋"/>
          <w:color w:val="auto"/>
          <w:kern w:val="1"/>
          <w:sz w:val="28"/>
          <w:szCs w:val="28"/>
          <w:highlight w:val="none"/>
        </w:rPr>
      </w:pPr>
    </w:p>
    <w:p w14:paraId="71EF8544">
      <w:pPr>
        <w:spacing w:line="360" w:lineRule="auto"/>
        <w:ind w:firstLine="560"/>
        <w:rPr>
          <w:rFonts w:ascii="华文仿宋" w:hAnsi="华文仿宋" w:eastAsia="华文仿宋" w:cs="仿宋"/>
          <w:color w:val="auto"/>
          <w:kern w:val="1"/>
          <w:sz w:val="28"/>
          <w:szCs w:val="28"/>
          <w:highlight w:val="none"/>
        </w:rPr>
      </w:pPr>
    </w:p>
    <w:p w14:paraId="0CD866EF">
      <w:pPr>
        <w:spacing w:line="360" w:lineRule="auto"/>
        <w:ind w:firstLine="560"/>
        <w:rPr>
          <w:rFonts w:ascii="华文仿宋" w:hAnsi="华文仿宋" w:eastAsia="华文仿宋" w:cs="仿宋"/>
          <w:color w:val="auto"/>
          <w:kern w:val="1"/>
          <w:sz w:val="28"/>
          <w:szCs w:val="28"/>
          <w:highlight w:val="none"/>
        </w:rPr>
      </w:pPr>
    </w:p>
    <w:p w14:paraId="64F1A195">
      <w:pPr>
        <w:spacing w:line="360" w:lineRule="auto"/>
        <w:ind w:firstLine="560"/>
        <w:rPr>
          <w:rFonts w:ascii="华文仿宋" w:hAnsi="华文仿宋" w:eastAsia="华文仿宋" w:cs="仿宋"/>
          <w:color w:val="auto"/>
          <w:kern w:val="1"/>
          <w:sz w:val="28"/>
          <w:szCs w:val="28"/>
          <w:highlight w:val="none"/>
        </w:rPr>
      </w:pPr>
    </w:p>
    <w:p w14:paraId="24D0CB44">
      <w:pPr>
        <w:spacing w:line="360" w:lineRule="auto"/>
        <w:ind w:firstLine="560"/>
        <w:rPr>
          <w:rFonts w:ascii="华文仿宋" w:hAnsi="华文仿宋" w:eastAsia="华文仿宋" w:cs="仿宋"/>
          <w:color w:val="auto"/>
          <w:kern w:val="1"/>
          <w:sz w:val="28"/>
          <w:szCs w:val="28"/>
          <w:highlight w:val="none"/>
        </w:rPr>
      </w:pPr>
    </w:p>
    <w:p w14:paraId="7912A606">
      <w:pPr>
        <w:spacing w:line="360" w:lineRule="auto"/>
        <w:ind w:firstLine="560"/>
        <w:rPr>
          <w:rFonts w:ascii="华文仿宋" w:hAnsi="华文仿宋" w:eastAsia="华文仿宋" w:cs="仿宋"/>
          <w:color w:val="auto"/>
          <w:kern w:val="1"/>
          <w:sz w:val="28"/>
          <w:szCs w:val="28"/>
          <w:highlight w:val="none"/>
        </w:rPr>
      </w:pPr>
    </w:p>
    <w:p w14:paraId="5B782878">
      <w:pPr>
        <w:spacing w:line="360" w:lineRule="auto"/>
        <w:ind w:firstLine="560"/>
        <w:rPr>
          <w:rFonts w:ascii="华文仿宋" w:hAnsi="华文仿宋" w:eastAsia="华文仿宋" w:cs="仿宋"/>
          <w:color w:val="auto"/>
          <w:kern w:val="1"/>
          <w:sz w:val="28"/>
          <w:szCs w:val="28"/>
          <w:highlight w:val="none"/>
        </w:rPr>
      </w:pPr>
    </w:p>
    <w:p w14:paraId="2BB559D6">
      <w:pPr>
        <w:spacing w:line="360" w:lineRule="auto"/>
        <w:ind w:firstLine="560"/>
        <w:rPr>
          <w:rFonts w:ascii="华文仿宋" w:hAnsi="华文仿宋" w:eastAsia="华文仿宋" w:cs="仿宋"/>
          <w:color w:val="auto"/>
          <w:kern w:val="1"/>
          <w:sz w:val="28"/>
          <w:szCs w:val="28"/>
          <w:highlight w:val="none"/>
        </w:rPr>
      </w:pPr>
    </w:p>
    <w:p w14:paraId="67444334">
      <w:pPr>
        <w:spacing w:line="360" w:lineRule="auto"/>
        <w:ind w:firstLine="560"/>
        <w:rPr>
          <w:rFonts w:ascii="华文仿宋" w:hAnsi="华文仿宋" w:eastAsia="华文仿宋" w:cs="仿宋"/>
          <w:color w:val="auto"/>
          <w:kern w:val="1"/>
          <w:sz w:val="28"/>
          <w:szCs w:val="28"/>
          <w:highlight w:val="none"/>
        </w:rPr>
      </w:pPr>
    </w:p>
    <w:p w14:paraId="40D30146">
      <w:pPr>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br w:type="page"/>
      </w:r>
    </w:p>
    <w:p w14:paraId="20284C1C">
      <w:pPr>
        <w:pStyle w:val="2"/>
        <w:numPr>
          <w:numId w:val="0"/>
        </w:numPr>
        <w:ind w:left="176" w:leftChars="0"/>
      </w:pPr>
    </w:p>
    <w:p w14:paraId="79E4BD08">
      <w:pPr>
        <w:pStyle w:val="14"/>
        <w:spacing w:after="0" w:line="360" w:lineRule="auto"/>
        <w:jc w:val="center"/>
        <w:rPr>
          <w:rFonts w:ascii="华文仿宋" w:hAnsi="华文仿宋" w:eastAsia="华文仿宋" w:cs="仿宋"/>
          <w:b/>
          <w:color w:val="auto"/>
          <w:sz w:val="28"/>
          <w:szCs w:val="28"/>
          <w:highlight w:val="none"/>
        </w:rPr>
      </w:pPr>
      <w:r>
        <w:rPr>
          <w:rFonts w:hint="eastAsia" w:ascii="华文仿宋" w:hAnsi="华文仿宋" w:eastAsia="华文仿宋" w:cs="仿宋"/>
          <w:b/>
          <w:color w:val="auto"/>
          <w:sz w:val="28"/>
          <w:szCs w:val="28"/>
          <w:highlight w:val="none"/>
        </w:rPr>
        <w:t>第三部分  专用条款</w:t>
      </w:r>
    </w:p>
    <w:p w14:paraId="5734DD9B">
      <w:pPr>
        <w:pStyle w:val="14"/>
        <w:spacing w:after="0" w:line="360" w:lineRule="auto"/>
        <w:rPr>
          <w:rFonts w:ascii="华文仿宋" w:hAnsi="华文仿宋" w:eastAsia="华文仿宋" w:cs="仿宋"/>
          <w:b/>
          <w:color w:val="auto"/>
          <w:sz w:val="28"/>
          <w:szCs w:val="28"/>
          <w:highlight w:val="none"/>
        </w:rPr>
      </w:pPr>
    </w:p>
    <w:p w14:paraId="22266D56">
      <w:pPr>
        <w:pStyle w:val="14"/>
        <w:spacing w:after="0" w:line="360" w:lineRule="auto"/>
        <w:ind w:firstLine="562"/>
        <w:outlineLvl w:val="0"/>
        <w:rPr>
          <w:rFonts w:ascii="华文仿宋" w:hAnsi="华文仿宋" w:eastAsia="华文仿宋" w:cs="仿宋"/>
          <w:b/>
          <w:color w:val="auto"/>
          <w:sz w:val="28"/>
          <w:szCs w:val="28"/>
          <w:highlight w:val="none"/>
        </w:rPr>
      </w:pPr>
      <w:r>
        <w:rPr>
          <w:rFonts w:hint="eastAsia" w:ascii="华文仿宋" w:hAnsi="华文仿宋" w:eastAsia="华文仿宋" w:cs="仿宋"/>
          <w:b/>
          <w:color w:val="auto"/>
          <w:sz w:val="28"/>
          <w:szCs w:val="28"/>
          <w:highlight w:val="none"/>
        </w:rPr>
        <w:t>一、词语定义及合同文件</w:t>
      </w:r>
      <w:r>
        <w:rPr>
          <w:rFonts w:ascii="华文仿宋" w:hAnsi="华文仿宋" w:eastAsia="华文仿宋" w:cs="仿宋"/>
          <w:b/>
          <w:color w:val="auto"/>
          <w:sz w:val="28"/>
          <w:szCs w:val="28"/>
          <w:highlight w:val="none"/>
        </w:rPr>
        <w:t xml:space="preserve"> </w:t>
      </w:r>
    </w:p>
    <w:p w14:paraId="373D308B">
      <w:pPr>
        <w:spacing w:line="360" w:lineRule="auto"/>
        <w:ind w:firstLine="562"/>
        <w:rPr>
          <w:rFonts w:ascii="华文仿宋" w:hAnsi="华文仿宋" w:eastAsia="华文仿宋" w:cs="仿宋"/>
          <w:b/>
          <w:color w:val="auto"/>
          <w:kern w:val="1"/>
          <w:sz w:val="28"/>
          <w:szCs w:val="28"/>
          <w:highlight w:val="none"/>
        </w:rPr>
      </w:pPr>
      <w:r>
        <w:rPr>
          <w:rFonts w:ascii="华文仿宋" w:hAnsi="华文仿宋" w:eastAsia="华文仿宋" w:cs="仿宋"/>
          <w:b/>
          <w:color w:val="auto"/>
          <w:kern w:val="1"/>
          <w:sz w:val="28"/>
          <w:szCs w:val="28"/>
          <w:highlight w:val="none"/>
        </w:rPr>
        <w:t>1</w:t>
      </w:r>
      <w:r>
        <w:rPr>
          <w:rFonts w:hint="eastAsia" w:ascii="华文仿宋" w:hAnsi="华文仿宋" w:eastAsia="华文仿宋" w:cs="仿宋"/>
          <w:b/>
          <w:color w:val="auto"/>
          <w:kern w:val="1"/>
          <w:sz w:val="28"/>
          <w:szCs w:val="28"/>
          <w:highlight w:val="none"/>
        </w:rPr>
        <w:t>．词语定义</w:t>
      </w:r>
    </w:p>
    <w:p w14:paraId="417C1618">
      <w:pPr>
        <w:pStyle w:val="14"/>
        <w:spacing w:after="0" w:line="360" w:lineRule="auto"/>
        <w:ind w:firstLine="562"/>
        <w:rPr>
          <w:rFonts w:ascii="华文仿宋" w:hAnsi="华文仿宋" w:eastAsia="华文仿宋" w:cs="仿宋"/>
          <w:b/>
          <w:color w:val="auto"/>
          <w:sz w:val="28"/>
          <w:szCs w:val="28"/>
          <w:highlight w:val="none"/>
        </w:rPr>
      </w:pPr>
      <w:r>
        <w:rPr>
          <w:rFonts w:ascii="华文仿宋" w:hAnsi="华文仿宋" w:eastAsia="华文仿宋" w:cs="仿宋"/>
          <w:b/>
          <w:color w:val="auto"/>
          <w:sz w:val="28"/>
          <w:szCs w:val="28"/>
          <w:highlight w:val="none"/>
        </w:rPr>
        <w:t xml:space="preserve">2、合同文件及解释顺序 </w:t>
      </w:r>
    </w:p>
    <w:p w14:paraId="50686924">
      <w:pPr>
        <w:pStyle w:val="14"/>
        <w:spacing w:after="0" w:line="360" w:lineRule="auto"/>
        <w:ind w:firstLine="560"/>
        <w:rPr>
          <w:rFonts w:ascii="华文仿宋" w:hAnsi="华文仿宋" w:eastAsia="华文仿宋" w:cs="仿宋"/>
          <w:b/>
          <w:color w:val="auto"/>
          <w:sz w:val="28"/>
          <w:szCs w:val="28"/>
          <w:highlight w:val="none"/>
        </w:rPr>
      </w:pPr>
      <w:r>
        <w:rPr>
          <w:rFonts w:ascii="华文仿宋" w:hAnsi="华文仿宋" w:eastAsia="华文仿宋" w:cs="仿宋"/>
          <w:color w:val="auto"/>
          <w:sz w:val="28"/>
          <w:szCs w:val="28"/>
          <w:highlight w:val="none"/>
        </w:rPr>
        <w:t>下列组成本合同的文件是一个合同整体，彼此应当能相互解释，互为说明。当出现相互矛盾时，组成本合同文件的优先解释顺序如下：</w:t>
      </w:r>
    </w:p>
    <w:p w14:paraId="50965C6C">
      <w:pPr>
        <w:spacing w:line="360" w:lineRule="auto"/>
        <w:ind w:firstLine="560"/>
        <w:jc w:val="left"/>
        <w:rPr>
          <w:rFonts w:ascii="华文仿宋" w:hAnsi="华文仿宋" w:eastAsia="华文仿宋" w:cs="仿宋"/>
          <w:color w:val="auto"/>
          <w:sz w:val="28"/>
          <w:szCs w:val="28"/>
          <w:highlight w:val="none"/>
        </w:rPr>
      </w:pPr>
      <w:r>
        <w:rPr>
          <w:rFonts w:ascii="华文仿宋" w:hAnsi="华文仿宋" w:eastAsia="华文仿宋" w:cs="仿宋"/>
          <w:color w:val="auto"/>
          <w:kern w:val="1"/>
          <w:sz w:val="28"/>
          <w:szCs w:val="28"/>
          <w:highlight w:val="none"/>
        </w:rPr>
        <w:t>（1）本合同履行期间发包人与承包人双方签订的补充合同（协议）或修正文件；</w:t>
      </w:r>
    </w:p>
    <w:p w14:paraId="33648CFA">
      <w:pPr>
        <w:pStyle w:val="14"/>
        <w:spacing w:after="0" w:line="360" w:lineRule="auto"/>
        <w:ind w:firstLine="435"/>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（2）本合同协议书</w:t>
      </w:r>
    </w:p>
    <w:p w14:paraId="33812252">
      <w:pPr>
        <w:pStyle w:val="14"/>
        <w:spacing w:after="0" w:line="360" w:lineRule="auto"/>
        <w:ind w:firstLine="435"/>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（3）中标通知书</w:t>
      </w:r>
    </w:p>
    <w:p w14:paraId="7C0E72E9">
      <w:pPr>
        <w:pStyle w:val="14"/>
        <w:spacing w:after="0" w:line="360" w:lineRule="auto"/>
        <w:ind w:firstLine="42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（4）本合同专用条款</w:t>
      </w:r>
    </w:p>
    <w:p w14:paraId="515B4DA7">
      <w:pPr>
        <w:pStyle w:val="14"/>
        <w:spacing w:after="0" w:line="360" w:lineRule="auto"/>
        <w:ind w:firstLine="42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（5）本合同通用条款</w:t>
      </w:r>
    </w:p>
    <w:p w14:paraId="36BEE6FF">
      <w:pPr>
        <w:pStyle w:val="14"/>
        <w:spacing w:after="0" w:line="360" w:lineRule="auto"/>
        <w:ind w:firstLine="42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（6）招标文件（包括补充、修改、澄清文件、答疑纪要、工程量清单及总说明等）</w:t>
      </w:r>
    </w:p>
    <w:p w14:paraId="54B08A9E">
      <w:pPr>
        <w:pStyle w:val="14"/>
        <w:spacing w:after="0" w:line="360" w:lineRule="auto"/>
        <w:ind w:firstLine="42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（7）投标文件及其附件（含投标文件澄清等）</w:t>
      </w:r>
    </w:p>
    <w:p w14:paraId="13C2C244">
      <w:pPr>
        <w:pStyle w:val="14"/>
        <w:spacing w:after="0" w:line="360" w:lineRule="auto"/>
        <w:ind w:firstLine="42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（8）标准、规范及有关技术文件</w:t>
      </w:r>
    </w:p>
    <w:p w14:paraId="31A36FA3">
      <w:pPr>
        <w:pStyle w:val="14"/>
        <w:spacing w:after="0" w:line="360" w:lineRule="auto"/>
        <w:ind w:firstLine="42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（9）双方确认的施工图纸</w:t>
      </w:r>
    </w:p>
    <w:p w14:paraId="65FE9E3F">
      <w:pPr>
        <w:pStyle w:val="14"/>
        <w:spacing w:after="0" w:line="360" w:lineRule="auto"/>
        <w:ind w:firstLine="48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（10）组成合同的其他文件</w:t>
      </w:r>
    </w:p>
    <w:p w14:paraId="7409D583">
      <w:pPr>
        <w:pStyle w:val="14"/>
        <w:spacing w:after="0" w:line="360" w:lineRule="auto"/>
        <w:ind w:firstLine="562"/>
        <w:rPr>
          <w:rFonts w:ascii="华文仿宋" w:hAnsi="华文仿宋" w:eastAsia="华文仿宋" w:cs="仿宋"/>
          <w:color w:val="auto"/>
          <w:sz w:val="28"/>
          <w:szCs w:val="28"/>
          <w:highlight w:val="none"/>
        </w:rPr>
      </w:pPr>
      <w:r>
        <w:rPr>
          <w:rFonts w:ascii="华文仿宋" w:hAnsi="华文仿宋" w:eastAsia="华文仿宋" w:cs="仿宋"/>
          <w:b/>
          <w:color w:val="auto"/>
          <w:sz w:val="28"/>
          <w:szCs w:val="28"/>
          <w:highlight w:val="none"/>
        </w:rPr>
        <w:t>3</w:t>
      </w:r>
      <w:r>
        <w:rPr>
          <w:rFonts w:hint="eastAsia" w:ascii="华文仿宋" w:hAnsi="华文仿宋" w:eastAsia="华文仿宋" w:cs="仿宋"/>
          <w:b/>
          <w:color w:val="auto"/>
          <w:sz w:val="28"/>
          <w:szCs w:val="28"/>
          <w:highlight w:val="none"/>
        </w:rPr>
        <w:t>、语言文字和适用法律、标准及规范</w:t>
      </w:r>
      <w:r>
        <w:rPr>
          <w:rFonts w:ascii="华文仿宋" w:hAnsi="华文仿宋" w:eastAsia="华文仿宋" w:cs="仿宋"/>
          <w:b/>
          <w:color w:val="auto"/>
          <w:sz w:val="28"/>
          <w:szCs w:val="28"/>
          <w:highlight w:val="none"/>
        </w:rPr>
        <w:t xml:space="preserve"> </w:t>
      </w:r>
    </w:p>
    <w:p w14:paraId="385101BE">
      <w:pPr>
        <w:pStyle w:val="14"/>
        <w:spacing w:after="0" w:line="360" w:lineRule="auto"/>
        <w:ind w:firstLine="560" w:firstLineChars="20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3.1本合同只使用汉语语言文字。</w:t>
      </w:r>
    </w:p>
    <w:p w14:paraId="16BCB94E">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3.2</w:t>
      </w:r>
      <w:r>
        <w:rPr>
          <w:rFonts w:hint="eastAsia" w:ascii="华文仿宋" w:hAnsi="华文仿宋" w:eastAsia="华文仿宋" w:cs="仿宋"/>
          <w:color w:val="auto"/>
          <w:sz w:val="28"/>
          <w:szCs w:val="28"/>
          <w:highlight w:val="none"/>
        </w:rPr>
        <w:t>适用法律和法规</w:t>
      </w:r>
    </w:p>
    <w:p w14:paraId="611DB2A9">
      <w:pPr>
        <w:pStyle w:val="14"/>
        <w:spacing w:after="0" w:line="360" w:lineRule="auto"/>
        <w:ind w:firstLine="560"/>
        <w:rPr>
          <w:rFonts w:ascii="华文仿宋" w:hAnsi="华文仿宋" w:eastAsia="华文仿宋" w:cs="仿宋"/>
          <w:color w:val="auto"/>
          <w:sz w:val="28"/>
          <w:szCs w:val="28"/>
          <w:highlight w:val="none"/>
          <w:u w:val="single"/>
        </w:rPr>
      </w:pPr>
      <w:r>
        <w:rPr>
          <w:rFonts w:hint="eastAsia" w:ascii="华文仿宋" w:hAnsi="华文仿宋" w:eastAsia="华文仿宋" w:cs="仿宋"/>
          <w:color w:val="auto"/>
          <w:sz w:val="28"/>
          <w:szCs w:val="28"/>
          <w:highlight w:val="none"/>
        </w:rPr>
        <w:t>需要明示的法律、行政法规：</w:t>
      </w:r>
      <w:r>
        <w:rPr>
          <w:rFonts w:hint="eastAsia" w:ascii="华文仿宋" w:hAnsi="华文仿宋" w:eastAsia="华文仿宋" w:cs="仿宋"/>
          <w:color w:val="auto"/>
          <w:sz w:val="28"/>
          <w:szCs w:val="28"/>
          <w:highlight w:val="none"/>
          <w:u w:val="single"/>
        </w:rPr>
        <w:t>《中华人民共和国民法典》、《中华人民共和国建筑法》、《中华人民共和国招投标法》、《建设工程质量管理条例》、《广东省建设工程造价管理规定》及现行有关法律法规。</w:t>
      </w:r>
    </w:p>
    <w:p w14:paraId="4B5BE89E">
      <w:pPr>
        <w:pStyle w:val="14"/>
        <w:spacing w:after="0" w:line="360" w:lineRule="auto"/>
        <w:ind w:firstLine="560" w:firstLineChars="20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3.3适用标准、规范：</w:t>
      </w:r>
    </w:p>
    <w:p w14:paraId="1FF7CC78">
      <w:pPr>
        <w:pStyle w:val="14"/>
        <w:spacing w:after="0" w:line="360" w:lineRule="auto"/>
        <w:ind w:firstLine="560" w:firstLineChars="20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适用标准、规范的名称：</w:t>
      </w:r>
      <w:r>
        <w:rPr>
          <w:rFonts w:hint="eastAsia" w:ascii="华文仿宋" w:hAnsi="华文仿宋" w:eastAsia="华文仿宋" w:cs="仿宋"/>
          <w:color w:val="auto"/>
          <w:sz w:val="28"/>
          <w:szCs w:val="28"/>
          <w:highlight w:val="none"/>
          <w:u w:val="single"/>
        </w:rPr>
        <w:t>现行最新发布适用于建筑工程的国家规范、行业标准。</w:t>
      </w:r>
    </w:p>
    <w:p w14:paraId="006BCD9F">
      <w:pPr>
        <w:pStyle w:val="14"/>
        <w:spacing w:after="0" w:line="360" w:lineRule="auto"/>
        <w:ind w:firstLine="560" w:firstLineChars="20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发包人提供标准、规范的时间：</w:t>
      </w:r>
      <w:r>
        <w:rPr>
          <w:rFonts w:ascii="华文仿宋" w:hAnsi="华文仿宋" w:eastAsia="华文仿宋" w:cs="仿宋"/>
          <w:color w:val="auto"/>
          <w:sz w:val="28"/>
          <w:szCs w:val="28"/>
          <w:highlight w:val="none"/>
          <w:u w:val="single"/>
        </w:rPr>
        <w:t xml:space="preserve"> 由承包人自备。 </w:t>
      </w:r>
    </w:p>
    <w:p w14:paraId="42BBFED0">
      <w:pPr>
        <w:pStyle w:val="14"/>
        <w:spacing w:after="0" w:line="360" w:lineRule="auto"/>
        <w:ind w:firstLine="560" w:firstLineChars="200"/>
        <w:rPr>
          <w:rFonts w:ascii="华文仿宋" w:hAnsi="华文仿宋" w:eastAsia="华文仿宋" w:cs="仿宋"/>
          <w:color w:val="auto"/>
          <w:sz w:val="28"/>
          <w:szCs w:val="28"/>
          <w:highlight w:val="none"/>
          <w:u w:val="single"/>
        </w:rPr>
      </w:pPr>
      <w:r>
        <w:rPr>
          <w:rFonts w:ascii="华文仿宋" w:hAnsi="华文仿宋" w:eastAsia="华文仿宋" w:cs="仿宋"/>
          <w:color w:val="auto"/>
          <w:sz w:val="28"/>
          <w:szCs w:val="28"/>
          <w:highlight w:val="none"/>
        </w:rPr>
        <w:t>国内没有相应标准、规范时的约定：</w:t>
      </w:r>
      <w:r>
        <w:rPr>
          <w:rFonts w:ascii="华文仿宋" w:hAnsi="华文仿宋" w:eastAsia="华文仿宋" w:cs="仿宋"/>
          <w:color w:val="auto"/>
          <w:sz w:val="28"/>
          <w:szCs w:val="28"/>
          <w:highlight w:val="none"/>
          <w:u w:val="single"/>
        </w:rPr>
        <w:t>发包人提供需求，承包人提供具体技术方案及施工工艺，经发包人及监理书面确认后执行。</w:t>
      </w:r>
    </w:p>
    <w:p w14:paraId="412B584A">
      <w:pPr>
        <w:pStyle w:val="14"/>
        <w:spacing w:after="0" w:line="360" w:lineRule="auto"/>
        <w:ind w:firstLine="560" w:firstLineChars="20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3.4承包人必须接受政府有关部门对本工程的监督，并无条件配合政府指定的审计机构的审计。</w:t>
      </w:r>
    </w:p>
    <w:p w14:paraId="36E6F550">
      <w:pPr>
        <w:pStyle w:val="14"/>
        <w:spacing w:after="0" w:line="360" w:lineRule="auto"/>
        <w:ind w:firstLine="585"/>
        <w:rPr>
          <w:rFonts w:ascii="华文仿宋" w:hAnsi="华文仿宋" w:eastAsia="华文仿宋" w:cs="仿宋"/>
          <w:b/>
          <w:color w:val="auto"/>
          <w:sz w:val="28"/>
          <w:szCs w:val="28"/>
          <w:highlight w:val="none"/>
        </w:rPr>
      </w:pPr>
      <w:r>
        <w:rPr>
          <w:rFonts w:ascii="华文仿宋" w:hAnsi="华文仿宋" w:eastAsia="华文仿宋" w:cs="仿宋"/>
          <w:b/>
          <w:color w:val="auto"/>
          <w:sz w:val="28"/>
          <w:szCs w:val="28"/>
          <w:highlight w:val="none"/>
        </w:rPr>
        <w:t>4、图纸</w:t>
      </w:r>
    </w:p>
    <w:p w14:paraId="555DBD27">
      <w:pPr>
        <w:pStyle w:val="14"/>
        <w:spacing w:after="0" w:line="360" w:lineRule="auto"/>
        <w:ind w:firstLine="585"/>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4.1</w:t>
      </w:r>
      <w:r>
        <w:rPr>
          <w:rFonts w:hint="eastAsia" w:ascii="华文仿宋" w:hAnsi="华文仿宋" w:eastAsia="华文仿宋" w:cs="仿宋"/>
          <w:color w:val="auto"/>
          <w:sz w:val="28"/>
          <w:szCs w:val="28"/>
          <w:highlight w:val="none"/>
        </w:rPr>
        <w:t>发包人向承包人提供图纸日期和套数：</w:t>
      </w:r>
      <w:r>
        <w:rPr>
          <w:rFonts w:hint="eastAsia" w:ascii="华文仿宋" w:hAnsi="华文仿宋" w:eastAsia="华文仿宋" w:cs="仿宋"/>
          <w:color w:val="auto"/>
          <w:sz w:val="28"/>
          <w:szCs w:val="28"/>
          <w:highlight w:val="none"/>
          <w:u w:val="single"/>
        </w:rPr>
        <w:t>发包人在开工前提供4套经双方确定的施工图纸。承包人确需增加图纸套数的，发包人应予以同意，所需费用由承包人自行承担。</w:t>
      </w:r>
    </w:p>
    <w:p w14:paraId="082E58C3">
      <w:pPr>
        <w:pStyle w:val="14"/>
        <w:spacing w:after="0" w:line="360" w:lineRule="auto"/>
        <w:ind w:firstLine="619"/>
        <w:rPr>
          <w:rFonts w:ascii="华文仿宋" w:hAnsi="华文仿宋" w:eastAsia="华文仿宋" w:cs="仿宋"/>
          <w:color w:val="auto"/>
          <w:sz w:val="28"/>
          <w:szCs w:val="28"/>
          <w:highlight w:val="none"/>
          <w:u w:val="single"/>
        </w:rPr>
      </w:pPr>
      <w:r>
        <w:rPr>
          <w:rFonts w:ascii="华文仿宋" w:hAnsi="华文仿宋" w:eastAsia="华文仿宋" w:cs="仿宋"/>
          <w:color w:val="auto"/>
          <w:sz w:val="28"/>
          <w:szCs w:val="28"/>
          <w:highlight w:val="none"/>
        </w:rPr>
        <w:t>发包人对图纸的保密要求：</w:t>
      </w:r>
      <w:r>
        <w:rPr>
          <w:rFonts w:ascii="华文仿宋" w:hAnsi="华文仿宋" w:eastAsia="华文仿宋" w:cs="仿宋"/>
          <w:color w:val="auto"/>
          <w:sz w:val="28"/>
          <w:szCs w:val="28"/>
          <w:highlight w:val="none"/>
          <w:u w:val="single"/>
        </w:rPr>
        <w:t>图纸、文件等，未经发包人许可，承包人不得用于或转借、出让、泄露给第三方。保密措施费用由承包人自行承担。</w:t>
      </w:r>
    </w:p>
    <w:p w14:paraId="750FF146">
      <w:pPr>
        <w:adjustRightInd w:val="0"/>
        <w:snapToGrid w:val="0"/>
        <w:spacing w:line="360" w:lineRule="auto"/>
        <w:ind w:firstLine="561"/>
        <w:outlineLvl w:val="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 xml:space="preserve">4.4 </w:t>
      </w:r>
      <w:r>
        <w:rPr>
          <w:rFonts w:hint="eastAsia" w:ascii="华文仿宋" w:hAnsi="华文仿宋" w:eastAsia="华文仿宋" w:cs="仿宋"/>
          <w:color w:val="auto"/>
          <w:sz w:val="28"/>
          <w:szCs w:val="28"/>
          <w:highlight w:val="none"/>
        </w:rPr>
        <w:t>本合同委托范围涉及各专业工程图纸的深化设计要求：按招标人发布的招标图纸、技术需求书及招标文件第五章要求对本项目进行深化设计（具体以发包人要求为准），相关费用由承包人自行承担。</w:t>
      </w:r>
    </w:p>
    <w:p w14:paraId="7FA812B8">
      <w:pPr>
        <w:spacing w:line="360" w:lineRule="auto"/>
        <w:ind w:firstLine="549" w:firstLineChars="196"/>
        <w:rPr>
          <w:rFonts w:ascii="华文仿宋" w:hAnsi="华文仿宋" w:eastAsia="华文仿宋" w:cs="仿宋"/>
          <w:b/>
          <w:color w:val="auto"/>
          <w:sz w:val="28"/>
          <w:szCs w:val="28"/>
          <w:highlight w:val="none"/>
        </w:rPr>
      </w:pPr>
      <w:r>
        <w:rPr>
          <w:rFonts w:hint="eastAsia" w:ascii="华文仿宋" w:hAnsi="华文仿宋" w:eastAsia="华文仿宋" w:cs="仿宋"/>
          <w:b/>
          <w:color w:val="auto"/>
          <w:sz w:val="28"/>
          <w:szCs w:val="28"/>
          <w:highlight w:val="none"/>
        </w:rPr>
        <w:t>二、双方一般权利和义务</w:t>
      </w:r>
      <w:r>
        <w:rPr>
          <w:rFonts w:ascii="华文仿宋" w:hAnsi="华文仿宋" w:eastAsia="华文仿宋" w:cs="仿宋"/>
          <w:b/>
          <w:color w:val="auto"/>
          <w:sz w:val="28"/>
          <w:szCs w:val="28"/>
          <w:highlight w:val="none"/>
        </w:rPr>
        <w:t xml:space="preserve"> </w:t>
      </w:r>
    </w:p>
    <w:p w14:paraId="6DE32CA1">
      <w:pPr>
        <w:pStyle w:val="14"/>
        <w:spacing w:after="0" w:line="360" w:lineRule="auto"/>
        <w:ind w:firstLine="561" w:firstLineChars="200"/>
        <w:rPr>
          <w:rFonts w:ascii="华文仿宋" w:hAnsi="华文仿宋" w:eastAsia="华文仿宋" w:cs="仿宋"/>
          <w:b/>
          <w:color w:val="auto"/>
          <w:sz w:val="28"/>
          <w:szCs w:val="28"/>
          <w:highlight w:val="none"/>
        </w:rPr>
      </w:pPr>
      <w:r>
        <w:rPr>
          <w:rFonts w:ascii="华文仿宋" w:hAnsi="华文仿宋" w:eastAsia="华文仿宋" w:cs="仿宋"/>
          <w:b/>
          <w:color w:val="auto"/>
          <w:sz w:val="28"/>
          <w:szCs w:val="28"/>
          <w:highlight w:val="none"/>
        </w:rPr>
        <w:t>5</w:t>
      </w:r>
      <w:r>
        <w:rPr>
          <w:rFonts w:hint="eastAsia" w:ascii="华文仿宋" w:hAnsi="华文仿宋" w:eastAsia="华文仿宋" w:cs="仿宋"/>
          <w:b/>
          <w:color w:val="auto"/>
          <w:sz w:val="28"/>
          <w:szCs w:val="28"/>
          <w:highlight w:val="none"/>
        </w:rPr>
        <w:t>、工程师</w:t>
      </w:r>
      <w:r>
        <w:rPr>
          <w:rFonts w:ascii="华文仿宋" w:hAnsi="华文仿宋" w:eastAsia="华文仿宋" w:cs="仿宋"/>
          <w:b/>
          <w:color w:val="auto"/>
          <w:sz w:val="28"/>
          <w:szCs w:val="28"/>
          <w:highlight w:val="none"/>
        </w:rPr>
        <w:t xml:space="preserve"> </w:t>
      </w:r>
    </w:p>
    <w:p w14:paraId="3F340C35">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5.2</w:t>
      </w:r>
      <w:r>
        <w:rPr>
          <w:rFonts w:hint="eastAsia" w:ascii="华文仿宋" w:hAnsi="华文仿宋" w:eastAsia="华文仿宋" w:cs="仿宋"/>
          <w:color w:val="auto"/>
          <w:sz w:val="28"/>
          <w:szCs w:val="28"/>
          <w:highlight w:val="none"/>
        </w:rPr>
        <w:t>监理单位及监理单位委派的工程师</w:t>
      </w:r>
      <w:r>
        <w:rPr>
          <w:rFonts w:ascii="华文仿宋" w:hAnsi="华文仿宋" w:eastAsia="华文仿宋" w:cs="仿宋"/>
          <w:color w:val="auto"/>
          <w:sz w:val="28"/>
          <w:szCs w:val="28"/>
          <w:highlight w:val="none"/>
        </w:rPr>
        <w:t xml:space="preserve"> </w:t>
      </w:r>
    </w:p>
    <w:p w14:paraId="4AC52080">
      <w:pPr>
        <w:pStyle w:val="14"/>
        <w:spacing w:line="360" w:lineRule="auto"/>
        <w:ind w:firstLine="560"/>
        <w:rPr>
          <w:rFonts w:ascii="华文仿宋" w:hAnsi="华文仿宋" w:eastAsia="华文仿宋" w:cs="仿宋"/>
          <w:color w:val="auto"/>
          <w:sz w:val="28"/>
          <w:szCs w:val="28"/>
          <w:highlight w:val="none"/>
          <w:u w:val="single"/>
        </w:rPr>
      </w:pPr>
      <w:r>
        <w:rPr>
          <w:rFonts w:hint="eastAsia" w:ascii="华文仿宋" w:hAnsi="华文仿宋" w:eastAsia="华文仿宋" w:cs="仿宋"/>
          <w:color w:val="auto"/>
          <w:sz w:val="28"/>
          <w:szCs w:val="28"/>
          <w:highlight w:val="none"/>
        </w:rPr>
        <w:t>监理单位：</w:t>
      </w:r>
      <w:r>
        <w:rPr>
          <w:rFonts w:hint="eastAsia" w:ascii="华文仿宋" w:hAnsi="华文仿宋" w:eastAsia="华文仿宋" w:cs="仿宋"/>
          <w:color w:val="auto"/>
          <w:sz w:val="28"/>
          <w:szCs w:val="28"/>
          <w:highlight w:val="none"/>
          <w:u w:val="single"/>
        </w:rPr>
        <w:t xml:space="preserve">           </w:t>
      </w:r>
    </w:p>
    <w:p w14:paraId="077CA0C6">
      <w:pPr>
        <w:pStyle w:val="14"/>
        <w:spacing w:after="0" w:line="360" w:lineRule="auto"/>
        <w:ind w:firstLine="56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姓名：</w:t>
      </w:r>
      <w:r>
        <w:rPr>
          <w:rFonts w:ascii="华文仿宋" w:hAnsi="华文仿宋" w:eastAsia="华文仿宋" w:cs="仿宋"/>
          <w:color w:val="auto"/>
          <w:sz w:val="28"/>
          <w:szCs w:val="28"/>
          <w:highlight w:val="none"/>
          <w:u w:val="single"/>
        </w:rPr>
        <w:t xml:space="preserve"> </w:t>
      </w:r>
      <w:r>
        <w:rPr>
          <w:rFonts w:hint="eastAsia" w:ascii="华文仿宋" w:hAnsi="华文仿宋" w:eastAsia="华文仿宋" w:cs="仿宋"/>
          <w:color w:val="auto"/>
          <w:sz w:val="28"/>
          <w:szCs w:val="28"/>
          <w:highlight w:val="none"/>
          <w:u w:val="single"/>
        </w:rPr>
        <w:t xml:space="preserve">      </w:t>
      </w:r>
      <w:r>
        <w:rPr>
          <w:rFonts w:hint="eastAsia" w:ascii="华文仿宋" w:hAnsi="华文仿宋" w:eastAsia="华文仿宋" w:cs="仿宋"/>
          <w:color w:val="auto"/>
          <w:sz w:val="28"/>
          <w:szCs w:val="28"/>
          <w:highlight w:val="none"/>
        </w:rPr>
        <w:t>职务：</w:t>
      </w:r>
      <w:r>
        <w:rPr>
          <w:rFonts w:hint="eastAsia" w:ascii="华文仿宋" w:hAnsi="华文仿宋" w:eastAsia="华文仿宋" w:cs="仿宋"/>
          <w:color w:val="auto"/>
          <w:sz w:val="28"/>
          <w:szCs w:val="28"/>
          <w:highlight w:val="none"/>
          <w:u w:val="single"/>
        </w:rPr>
        <w:t xml:space="preserve">       </w:t>
      </w:r>
      <w:r>
        <w:rPr>
          <w:rFonts w:hint="eastAsia" w:ascii="华文仿宋" w:hAnsi="华文仿宋" w:eastAsia="华文仿宋" w:cs="仿宋"/>
          <w:color w:val="auto"/>
          <w:sz w:val="28"/>
          <w:szCs w:val="28"/>
          <w:highlight w:val="none"/>
        </w:rPr>
        <w:t>电话：</w:t>
      </w:r>
      <w:r>
        <w:rPr>
          <w:rFonts w:hint="eastAsia" w:ascii="华文仿宋" w:hAnsi="华文仿宋" w:eastAsia="华文仿宋" w:cs="仿宋"/>
          <w:color w:val="auto"/>
          <w:sz w:val="28"/>
          <w:szCs w:val="28"/>
          <w:highlight w:val="none"/>
          <w:u w:val="single"/>
        </w:rPr>
        <w:t xml:space="preserve"> </w:t>
      </w:r>
      <w:r>
        <w:rPr>
          <w:rFonts w:ascii="华文仿宋" w:hAnsi="华文仿宋" w:eastAsia="华文仿宋" w:cs="仿宋"/>
          <w:color w:val="auto"/>
          <w:sz w:val="28"/>
          <w:szCs w:val="28"/>
          <w:highlight w:val="none"/>
          <w:u w:val="single"/>
        </w:rPr>
        <w:t xml:space="preserve">     </w:t>
      </w:r>
    </w:p>
    <w:p w14:paraId="53309057">
      <w:pPr>
        <w:pStyle w:val="14"/>
        <w:spacing w:after="0" w:line="360" w:lineRule="auto"/>
        <w:ind w:firstLine="560"/>
        <w:rPr>
          <w:rFonts w:ascii="华文仿宋" w:hAnsi="华文仿宋" w:eastAsia="华文仿宋" w:cs="仿宋"/>
          <w:color w:val="auto"/>
          <w:sz w:val="28"/>
          <w:szCs w:val="28"/>
          <w:highlight w:val="none"/>
          <w:u w:val="single"/>
        </w:rPr>
      </w:pPr>
      <w:r>
        <w:rPr>
          <w:rFonts w:ascii="华文仿宋" w:hAnsi="华文仿宋" w:eastAsia="华文仿宋" w:cs="仿宋"/>
          <w:color w:val="auto"/>
          <w:sz w:val="28"/>
          <w:szCs w:val="28"/>
          <w:highlight w:val="none"/>
        </w:rPr>
        <w:t>发包人委托的职权：</w:t>
      </w:r>
      <w:r>
        <w:rPr>
          <w:rFonts w:ascii="华文仿宋" w:hAnsi="华文仿宋" w:eastAsia="华文仿宋" w:cs="仿宋"/>
          <w:color w:val="auto"/>
          <w:sz w:val="28"/>
          <w:szCs w:val="28"/>
          <w:highlight w:val="none"/>
          <w:u w:val="single"/>
        </w:rPr>
        <w:t>_依据《监理合同》对工程建设施工的投资、进度、质量、安全进行监理及竣工预验收；对工程使用的材料、设备和施工质量进行检验。</w:t>
      </w:r>
    </w:p>
    <w:p w14:paraId="091E2D3B">
      <w:pPr>
        <w:pStyle w:val="14"/>
        <w:spacing w:after="0" w:line="360" w:lineRule="auto"/>
        <w:ind w:firstLine="480"/>
        <w:rPr>
          <w:rFonts w:ascii="华文仿宋" w:hAnsi="华文仿宋" w:eastAsia="华文仿宋" w:cs="仿宋"/>
          <w:color w:val="auto"/>
          <w:sz w:val="28"/>
          <w:szCs w:val="28"/>
          <w:highlight w:val="none"/>
          <w:u w:val="single"/>
        </w:rPr>
      </w:pPr>
      <w:r>
        <w:rPr>
          <w:rFonts w:ascii="华文仿宋" w:hAnsi="华文仿宋" w:eastAsia="华文仿宋" w:cs="仿宋"/>
          <w:color w:val="auto"/>
          <w:sz w:val="28"/>
          <w:szCs w:val="28"/>
          <w:highlight w:val="none"/>
        </w:rPr>
        <w:t>需要取得发包人批准才能行使的职权：</w:t>
      </w:r>
      <w:r>
        <w:rPr>
          <w:rFonts w:ascii="华文仿宋" w:hAnsi="华文仿宋" w:eastAsia="华文仿宋" w:cs="仿宋"/>
          <w:color w:val="auto"/>
          <w:sz w:val="28"/>
          <w:szCs w:val="28"/>
          <w:highlight w:val="none"/>
          <w:u w:val="single"/>
        </w:rPr>
        <w:t>下列情况须经监理单位审核盖章，并必须取得发包人的书面批准</w:t>
      </w:r>
      <w:r>
        <w:rPr>
          <w:rFonts w:hint="eastAsia" w:ascii="华文仿宋" w:hAnsi="华文仿宋" w:eastAsia="华文仿宋" w:cs="仿宋"/>
          <w:color w:val="auto"/>
          <w:sz w:val="28"/>
          <w:szCs w:val="28"/>
          <w:highlight w:val="none"/>
          <w:u w:val="single"/>
        </w:rPr>
        <w:t>才对发包人有约束力，若只有监理签字和（或）监理单位审核盖章而未经发包人盖章确认，承包人不得据此主张权利</w:t>
      </w:r>
      <w:r>
        <w:rPr>
          <w:rFonts w:ascii="华文仿宋" w:hAnsi="华文仿宋" w:eastAsia="华文仿宋" w:cs="仿宋"/>
          <w:color w:val="auto"/>
          <w:sz w:val="28"/>
          <w:szCs w:val="28"/>
          <w:highlight w:val="none"/>
          <w:u w:val="single"/>
        </w:rPr>
        <w:t>：</w:t>
      </w:r>
    </w:p>
    <w:p w14:paraId="65B9D8D1">
      <w:pPr>
        <w:pStyle w:val="14"/>
        <w:spacing w:after="0" w:line="360" w:lineRule="auto"/>
        <w:ind w:firstLine="48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（1）同意本工程任何部分的分包合同；</w:t>
      </w:r>
    </w:p>
    <w:p w14:paraId="25BFC675">
      <w:pPr>
        <w:pStyle w:val="14"/>
        <w:spacing w:after="0" w:line="360" w:lineRule="auto"/>
        <w:ind w:firstLine="48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（2）工程款、材料款以及其他费用的支付；</w:t>
      </w:r>
    </w:p>
    <w:p w14:paraId="492D4BFF">
      <w:pPr>
        <w:pStyle w:val="14"/>
        <w:spacing w:after="0" w:line="360" w:lineRule="auto"/>
        <w:ind w:firstLine="48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（3）施工进度更改或对工程延期的决定；</w:t>
      </w:r>
    </w:p>
    <w:p w14:paraId="69C95924">
      <w:pPr>
        <w:pStyle w:val="14"/>
        <w:spacing w:after="0" w:line="360" w:lineRule="auto"/>
        <w:ind w:firstLine="48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（4）发布工程变更、设计变更指令及签发现场签证；</w:t>
      </w:r>
    </w:p>
    <w:p w14:paraId="6C6D9C4F">
      <w:pPr>
        <w:pStyle w:val="14"/>
        <w:spacing w:after="0" w:line="360" w:lineRule="auto"/>
        <w:ind w:firstLine="48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（5）确定新增工程或设计变更工程的工程量及价格；</w:t>
      </w:r>
    </w:p>
    <w:p w14:paraId="4412618F">
      <w:pPr>
        <w:pStyle w:val="14"/>
        <w:spacing w:after="0" w:line="360" w:lineRule="auto"/>
        <w:ind w:firstLine="48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（6）承包人提出合理化建议，采用新工艺、新材料、新技术，批准重大设计变更，这些变更将改变原设计的基本功能或工期或投资等。</w:t>
      </w:r>
    </w:p>
    <w:p w14:paraId="1035834B">
      <w:pPr>
        <w:pStyle w:val="14"/>
        <w:spacing w:line="360" w:lineRule="auto"/>
        <w:ind w:firstLine="48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（7）材料、设备品牌或档次的变更；</w:t>
      </w:r>
    </w:p>
    <w:p w14:paraId="6FFA8DA3">
      <w:pPr>
        <w:pStyle w:val="14"/>
        <w:spacing w:after="0" w:line="360" w:lineRule="auto"/>
        <w:ind w:firstLine="48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（8）通过验收。</w:t>
      </w:r>
    </w:p>
    <w:p w14:paraId="7A18ABA9">
      <w:pPr>
        <w:pStyle w:val="14"/>
        <w:spacing w:after="0" w:line="360" w:lineRule="auto"/>
        <w:ind w:firstLine="480"/>
        <w:rPr>
          <w:rFonts w:ascii="华文仿宋" w:hAnsi="华文仿宋" w:eastAsia="华文仿宋" w:cs="仿宋"/>
          <w:color w:val="auto"/>
          <w:sz w:val="28"/>
          <w:szCs w:val="28"/>
          <w:highlight w:val="none"/>
          <w:u w:val="single"/>
        </w:rPr>
      </w:pPr>
      <w:r>
        <w:rPr>
          <w:rFonts w:hint="eastAsia" w:ascii="华文仿宋" w:hAnsi="华文仿宋" w:eastAsia="华文仿宋" w:cs="仿宋"/>
          <w:color w:val="auto"/>
          <w:sz w:val="28"/>
          <w:szCs w:val="28"/>
          <w:highlight w:val="none"/>
        </w:rPr>
        <w:t>监理工程师在职权方面未尽事宜或有关调整，由发包人发出书面通知确认。</w:t>
      </w:r>
    </w:p>
    <w:p w14:paraId="1F7E5F91">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5.3</w:t>
      </w:r>
      <w:r>
        <w:rPr>
          <w:rFonts w:hint="eastAsia" w:ascii="华文仿宋" w:hAnsi="华文仿宋" w:eastAsia="华文仿宋" w:cs="仿宋"/>
          <w:color w:val="auto"/>
          <w:sz w:val="28"/>
          <w:szCs w:val="28"/>
          <w:highlight w:val="none"/>
        </w:rPr>
        <w:t>发包人派驻的工程师</w:t>
      </w:r>
    </w:p>
    <w:p w14:paraId="4E250A2D">
      <w:pPr>
        <w:pStyle w:val="14"/>
        <w:spacing w:after="0" w:line="360" w:lineRule="auto"/>
        <w:ind w:firstLine="560"/>
        <w:rPr>
          <w:rFonts w:ascii="华文仿宋" w:hAnsi="华文仿宋" w:eastAsia="华文仿宋" w:cs="仿宋"/>
          <w:color w:val="auto"/>
          <w:sz w:val="28"/>
          <w:szCs w:val="28"/>
          <w:highlight w:val="none"/>
          <w:u w:val="single"/>
        </w:rPr>
      </w:pPr>
      <w:r>
        <w:rPr>
          <w:rFonts w:hint="eastAsia" w:ascii="华文仿宋" w:hAnsi="华文仿宋" w:eastAsia="华文仿宋" w:cs="仿宋"/>
          <w:color w:val="auto"/>
          <w:sz w:val="28"/>
          <w:szCs w:val="28"/>
          <w:highlight w:val="none"/>
        </w:rPr>
        <w:t>姓名：</w:t>
      </w:r>
      <w:r>
        <w:rPr>
          <w:rFonts w:hint="eastAsia" w:ascii="华文仿宋" w:hAnsi="华文仿宋" w:eastAsia="华文仿宋" w:cs="仿宋"/>
          <w:color w:val="auto"/>
          <w:sz w:val="28"/>
          <w:szCs w:val="28"/>
          <w:highlight w:val="none"/>
          <w:u w:val="single"/>
        </w:rPr>
        <w:t xml:space="preserve">      </w:t>
      </w:r>
      <w:r>
        <w:rPr>
          <w:rFonts w:hint="eastAsia" w:ascii="华文仿宋" w:hAnsi="华文仿宋" w:eastAsia="华文仿宋" w:cs="仿宋"/>
          <w:color w:val="auto"/>
          <w:sz w:val="28"/>
          <w:szCs w:val="28"/>
          <w:highlight w:val="none"/>
        </w:rPr>
        <w:t>，职务：</w:t>
      </w:r>
      <w:r>
        <w:rPr>
          <w:rFonts w:hint="eastAsia" w:ascii="华文仿宋" w:hAnsi="华文仿宋" w:eastAsia="华文仿宋" w:cs="仿宋"/>
          <w:color w:val="auto"/>
          <w:sz w:val="28"/>
          <w:szCs w:val="28"/>
          <w:highlight w:val="none"/>
          <w:u w:val="single"/>
        </w:rPr>
        <w:t>项目经理</w:t>
      </w:r>
    </w:p>
    <w:p w14:paraId="7E044BA4">
      <w:pPr>
        <w:pStyle w:val="14"/>
        <w:spacing w:after="0" w:line="360" w:lineRule="auto"/>
        <w:ind w:firstLine="560"/>
        <w:rPr>
          <w:rFonts w:ascii="华文仿宋" w:hAnsi="华文仿宋" w:eastAsia="华文仿宋" w:cs="仿宋"/>
          <w:color w:val="auto"/>
          <w:sz w:val="28"/>
          <w:szCs w:val="28"/>
          <w:highlight w:val="none"/>
          <w:u w:val="single"/>
        </w:rPr>
      </w:pPr>
      <w:r>
        <w:rPr>
          <w:rFonts w:ascii="华文仿宋" w:hAnsi="华文仿宋" w:eastAsia="华文仿宋" w:cs="仿宋"/>
          <w:color w:val="auto"/>
          <w:sz w:val="28"/>
          <w:szCs w:val="28"/>
          <w:highlight w:val="none"/>
        </w:rPr>
        <w:t>业主代表职权：</w:t>
      </w:r>
      <w:r>
        <w:rPr>
          <w:rFonts w:ascii="华文仿宋" w:hAnsi="华文仿宋" w:eastAsia="华文仿宋" w:cs="仿宋"/>
          <w:color w:val="auto"/>
          <w:sz w:val="28"/>
          <w:szCs w:val="28"/>
          <w:highlight w:val="none"/>
          <w:u w:val="single"/>
        </w:rPr>
        <w:t>作为现场管理代表，负责工程质量、进度、技术、投资控制及工程施工期间的其他日常管理工作事宜；检查和监督承包人、监理单位执行合同，会同相关部门协调组织技术交底、施工组织设计审查备案、组织计量工作及办理合同支付、参与设计变更会审、组织竣工验收等。与本工程相关的文件、资料均必须由业主代表书面确认并经发包人盖章后方可生效。</w:t>
      </w:r>
    </w:p>
    <w:p w14:paraId="05D6D6FB">
      <w:pPr>
        <w:pStyle w:val="14"/>
        <w:spacing w:after="0" w:line="360" w:lineRule="auto"/>
        <w:ind w:firstLine="56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5.7发包人、监理单位、承包人的工作往来程序：除发包人另有明确之外，原则上发包人、承包人双方的所有工作往来均须先经过监理单位，由监理单位签署意见、盖章后再报发包人或者送承包人。</w:t>
      </w:r>
    </w:p>
    <w:p w14:paraId="1E020D2A">
      <w:pPr>
        <w:pStyle w:val="14"/>
        <w:spacing w:after="0" w:line="360" w:lineRule="auto"/>
        <w:ind w:firstLine="618" w:firstLineChars="221"/>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6、工程师的委派和指令</w:t>
      </w:r>
    </w:p>
    <w:p w14:paraId="4FBFBDA7">
      <w:pPr>
        <w:spacing w:line="360" w:lineRule="auto"/>
        <w:ind w:firstLine="560" w:firstLineChars="20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6.1工程师代表</w:t>
      </w:r>
    </w:p>
    <w:p w14:paraId="09DB8EC1">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总监理工程师依照《通用条款》第6.1款的约定可委派或者撤回委派总监理工程师代表，但受委派的总监理工程师代表必须是本工程监理机构的监理人员，并具有相应的监理资质。总监理工程师代表的该种委派和撤回必须事先得到发包人的书面同意，否则该人员无权行使监理职权。</w:t>
      </w:r>
    </w:p>
    <w:p w14:paraId="470048D8">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6.2监理工程师的指令</w:t>
      </w:r>
    </w:p>
    <w:p w14:paraId="70F7724A">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因总监理工程师或者总监理工程师代表的指令错误而延误工期的，工期顺延情形只适用于一般节点工期。</w:t>
      </w:r>
    </w:p>
    <w:p w14:paraId="5FE86955">
      <w:pPr>
        <w:pStyle w:val="14"/>
        <w:spacing w:after="0" w:line="360" w:lineRule="auto"/>
        <w:ind w:firstLine="551"/>
        <w:rPr>
          <w:rFonts w:ascii="华文仿宋" w:hAnsi="华文仿宋" w:eastAsia="华文仿宋" w:cs="仿宋"/>
          <w:b/>
          <w:color w:val="auto"/>
          <w:sz w:val="28"/>
          <w:szCs w:val="28"/>
          <w:highlight w:val="none"/>
        </w:rPr>
      </w:pPr>
      <w:r>
        <w:rPr>
          <w:rFonts w:ascii="华文仿宋" w:hAnsi="华文仿宋" w:eastAsia="华文仿宋" w:cs="仿宋"/>
          <w:b/>
          <w:color w:val="auto"/>
          <w:sz w:val="28"/>
          <w:szCs w:val="28"/>
          <w:highlight w:val="none"/>
        </w:rPr>
        <w:t xml:space="preserve">7、项目经理 </w:t>
      </w:r>
    </w:p>
    <w:p w14:paraId="721DC3CF">
      <w:pPr>
        <w:pStyle w:val="14"/>
        <w:spacing w:after="0" w:line="360" w:lineRule="auto"/>
        <w:ind w:firstLine="549"/>
        <w:rPr>
          <w:rFonts w:ascii="华文仿宋" w:hAnsi="华文仿宋" w:eastAsia="华文仿宋" w:cs="仿宋"/>
          <w:b/>
          <w:color w:val="auto"/>
          <w:sz w:val="28"/>
          <w:szCs w:val="28"/>
          <w:highlight w:val="none"/>
        </w:rPr>
      </w:pPr>
      <w:r>
        <w:rPr>
          <w:rFonts w:ascii="华文仿宋" w:hAnsi="华文仿宋" w:eastAsia="华文仿宋" w:cs="仿宋"/>
          <w:color w:val="auto"/>
          <w:sz w:val="28"/>
          <w:szCs w:val="28"/>
          <w:highlight w:val="none"/>
        </w:rPr>
        <w:t>7.1项目经理及承包人现场管理机构</w:t>
      </w:r>
    </w:p>
    <w:p w14:paraId="7AEDC58C">
      <w:pPr>
        <w:pStyle w:val="14"/>
        <w:spacing w:after="0" w:line="360" w:lineRule="auto"/>
        <w:ind w:firstLine="549"/>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7.1.1承包人必须按照投标文件的承诺建立以项目经理为首的现场管理机构，并执行《建设工程项目管理规范》（GBT 50326-2017）。</w:t>
      </w:r>
    </w:p>
    <w:p w14:paraId="0EC074B0">
      <w:pPr>
        <w:pStyle w:val="14"/>
        <w:spacing w:line="360" w:lineRule="auto"/>
        <w:ind w:firstLine="549"/>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7.1.1</w:t>
      </w:r>
      <w:r>
        <w:rPr>
          <w:rFonts w:hint="eastAsia" w:ascii="华文仿宋" w:hAnsi="华文仿宋" w:eastAsia="华文仿宋" w:cs="仿宋"/>
          <w:color w:val="auto"/>
          <w:sz w:val="28"/>
          <w:szCs w:val="28"/>
          <w:highlight w:val="none"/>
        </w:rPr>
        <w:t>.1承包人派驻项目经理</w:t>
      </w:r>
    </w:p>
    <w:p w14:paraId="08493BEA">
      <w:pPr>
        <w:pStyle w:val="14"/>
        <w:spacing w:line="360" w:lineRule="auto"/>
        <w:ind w:firstLine="549"/>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姓名:</w:t>
      </w:r>
      <w:r>
        <w:rPr>
          <w:rFonts w:hint="eastAsia" w:ascii="华文仿宋" w:hAnsi="华文仿宋" w:eastAsia="华文仿宋" w:cs="仿宋"/>
          <w:color w:val="auto"/>
          <w:sz w:val="28"/>
          <w:szCs w:val="28"/>
          <w:highlight w:val="none"/>
          <w:u w:val="single"/>
        </w:rPr>
        <w:t xml:space="preserve">         </w:t>
      </w:r>
      <w:r>
        <w:rPr>
          <w:rFonts w:hint="eastAsia" w:ascii="华文仿宋" w:hAnsi="华文仿宋" w:eastAsia="华文仿宋" w:cs="仿宋"/>
          <w:color w:val="auto"/>
          <w:sz w:val="28"/>
          <w:szCs w:val="28"/>
          <w:highlight w:val="none"/>
        </w:rPr>
        <w:t>，职务：</w:t>
      </w:r>
      <w:r>
        <w:rPr>
          <w:rFonts w:hint="eastAsia" w:ascii="华文仿宋" w:hAnsi="华文仿宋" w:eastAsia="华文仿宋" w:cs="仿宋"/>
          <w:color w:val="auto"/>
          <w:sz w:val="28"/>
          <w:szCs w:val="28"/>
          <w:highlight w:val="none"/>
          <w:u w:val="single"/>
        </w:rPr>
        <w:t xml:space="preserve">         </w:t>
      </w:r>
      <w:r>
        <w:rPr>
          <w:rFonts w:hint="eastAsia" w:ascii="华文仿宋" w:hAnsi="华文仿宋" w:eastAsia="华文仿宋" w:cs="仿宋"/>
          <w:color w:val="auto"/>
          <w:sz w:val="28"/>
          <w:szCs w:val="28"/>
          <w:highlight w:val="none"/>
        </w:rPr>
        <w:t>，职称:</w:t>
      </w:r>
      <w:r>
        <w:rPr>
          <w:rFonts w:hint="eastAsia" w:ascii="华文仿宋" w:hAnsi="华文仿宋" w:eastAsia="华文仿宋" w:cs="仿宋"/>
          <w:color w:val="auto"/>
          <w:sz w:val="28"/>
          <w:szCs w:val="28"/>
          <w:highlight w:val="none"/>
          <w:u w:val="single"/>
        </w:rPr>
        <w:t xml:space="preserve">         </w:t>
      </w:r>
      <w:r>
        <w:rPr>
          <w:rFonts w:hint="eastAsia" w:ascii="华文仿宋" w:hAnsi="华文仿宋" w:eastAsia="华文仿宋" w:cs="仿宋"/>
          <w:color w:val="auto"/>
          <w:sz w:val="28"/>
          <w:szCs w:val="28"/>
          <w:highlight w:val="none"/>
        </w:rPr>
        <w:t xml:space="preserve">， </w:t>
      </w:r>
    </w:p>
    <w:p w14:paraId="7C8C276B">
      <w:pPr>
        <w:pStyle w:val="14"/>
        <w:spacing w:after="0" w:line="360" w:lineRule="auto"/>
        <w:ind w:firstLine="549"/>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注册执业证书编号：</w:t>
      </w:r>
      <w:r>
        <w:rPr>
          <w:rFonts w:hint="eastAsia" w:ascii="华文仿宋" w:hAnsi="华文仿宋" w:eastAsia="华文仿宋" w:cs="仿宋"/>
          <w:color w:val="auto"/>
          <w:sz w:val="28"/>
          <w:szCs w:val="28"/>
          <w:highlight w:val="none"/>
          <w:u w:val="single"/>
        </w:rPr>
        <w:t xml:space="preserve">              </w:t>
      </w:r>
      <w:r>
        <w:rPr>
          <w:rFonts w:hint="eastAsia" w:ascii="华文仿宋" w:hAnsi="华文仿宋" w:eastAsia="华文仿宋" w:cs="仿宋"/>
          <w:color w:val="auto"/>
          <w:sz w:val="28"/>
          <w:szCs w:val="28"/>
          <w:highlight w:val="none"/>
        </w:rPr>
        <w:t>，联系方式：</w:t>
      </w:r>
      <w:r>
        <w:rPr>
          <w:rFonts w:hint="eastAsia" w:ascii="华文仿宋" w:hAnsi="华文仿宋" w:eastAsia="华文仿宋" w:cs="仿宋"/>
          <w:color w:val="auto"/>
          <w:sz w:val="28"/>
          <w:szCs w:val="28"/>
          <w:highlight w:val="none"/>
          <w:u w:val="single"/>
        </w:rPr>
        <w:t xml:space="preserve">         </w:t>
      </w:r>
      <w:r>
        <w:rPr>
          <w:rFonts w:hint="eastAsia" w:ascii="华文仿宋" w:hAnsi="华文仿宋" w:eastAsia="华文仿宋" w:cs="仿宋"/>
          <w:color w:val="auto"/>
          <w:sz w:val="28"/>
          <w:szCs w:val="28"/>
          <w:highlight w:val="none"/>
        </w:rPr>
        <w:t>。</w:t>
      </w:r>
    </w:p>
    <w:p w14:paraId="27D1228B">
      <w:pPr>
        <w:pStyle w:val="14"/>
        <w:spacing w:after="0" w:line="360" w:lineRule="auto"/>
        <w:ind w:firstLine="549"/>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7.1.2承包人必须按照投标文件的人员配备承诺及招标文件的人员配备需求组建项目经理部。其中，主要管理人员须完全按照投标承诺不作更改，在开工前全部到位，并接受总监理工程师和业主代表的查验；未全部到位的，承包人须按照本合同约定承担违约责任。其它管理人员须在中标后5个工作日内按招标文件人员配备基本要求表之要求提交名单及相应资料报发包人确认，经发包人确认后在开工前全部到位，并接受总监理工程师和业主代表的查验；未全部到位的，承包人须按照本合同约定承担违约责任。开工具体时间以监理工程师发布的书面通知为准。</w:t>
      </w:r>
    </w:p>
    <w:p w14:paraId="1D26ECEA">
      <w:pPr>
        <w:pStyle w:val="14"/>
        <w:spacing w:after="0" w:line="360" w:lineRule="auto"/>
        <w:ind w:firstLine="549"/>
        <w:rPr>
          <w:rFonts w:ascii="华文仿宋" w:hAnsi="华文仿宋" w:eastAsia="华文仿宋" w:cs="仿宋"/>
          <w:b/>
          <w:color w:val="auto"/>
          <w:sz w:val="28"/>
          <w:szCs w:val="28"/>
          <w:highlight w:val="none"/>
        </w:rPr>
      </w:pPr>
      <w:r>
        <w:rPr>
          <w:rFonts w:ascii="华文仿宋" w:hAnsi="华文仿宋" w:eastAsia="华文仿宋" w:cs="仿宋"/>
          <w:color w:val="auto"/>
          <w:sz w:val="28"/>
          <w:szCs w:val="28"/>
          <w:highlight w:val="none"/>
        </w:rPr>
        <w:t>7.1.3项目经理及现场管理机构主要部门负责人必须全职在现场办公</w:t>
      </w:r>
      <w:r>
        <w:rPr>
          <w:rFonts w:ascii="华文仿宋" w:hAnsi="华文仿宋" w:eastAsia="华文仿宋" w:cs="仿宋"/>
          <w:iCs/>
          <w:color w:val="auto"/>
          <w:sz w:val="28"/>
          <w:szCs w:val="28"/>
          <w:highlight w:val="none"/>
        </w:rPr>
        <w:t>（即指</w:t>
      </w:r>
      <w:r>
        <w:rPr>
          <w:rFonts w:ascii="华文仿宋" w:hAnsi="华文仿宋" w:eastAsia="华文仿宋" w:cs="仿宋"/>
          <w:color w:val="auto"/>
          <w:sz w:val="28"/>
          <w:szCs w:val="28"/>
          <w:highlight w:val="none"/>
        </w:rPr>
        <w:t>在工程实施过程中，项目经理及承包人现场管理机构主要部门负责人必须在施工场地全职上班），不得兼职或者擅自离岗。</w:t>
      </w:r>
    </w:p>
    <w:p w14:paraId="795B8C3E">
      <w:pPr>
        <w:pStyle w:val="14"/>
        <w:spacing w:after="0" w:line="360" w:lineRule="auto"/>
        <w:ind w:firstLine="549"/>
        <w:rPr>
          <w:rFonts w:ascii="华文仿宋" w:hAnsi="华文仿宋" w:eastAsia="华文仿宋" w:cs="仿宋"/>
          <w:b/>
          <w:color w:val="auto"/>
          <w:sz w:val="28"/>
          <w:szCs w:val="28"/>
          <w:highlight w:val="none"/>
        </w:rPr>
      </w:pPr>
      <w:r>
        <w:rPr>
          <w:rFonts w:ascii="华文仿宋" w:hAnsi="华文仿宋" w:eastAsia="华文仿宋" w:cs="仿宋"/>
          <w:color w:val="auto"/>
          <w:sz w:val="28"/>
          <w:szCs w:val="28"/>
          <w:highlight w:val="none"/>
        </w:rPr>
        <w:t>7.1.3.1因特殊情况需短暂离岗的，承包人须事先报监理单位审批，且妥善安排工地现场的工作交接，并按以下规定执行：</w:t>
      </w:r>
    </w:p>
    <w:p w14:paraId="4820326A">
      <w:pPr>
        <w:pStyle w:val="14"/>
        <w:spacing w:after="0" w:line="360" w:lineRule="auto"/>
        <w:ind w:firstLine="48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（1）离场1天内，承包人须将工作交接情况知会现场监理工程师；</w:t>
      </w:r>
    </w:p>
    <w:p w14:paraId="163AEB25">
      <w:pPr>
        <w:pStyle w:val="14"/>
        <w:spacing w:after="0" w:line="360" w:lineRule="auto"/>
        <w:ind w:firstLine="48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（2）离场2-3天，承包人须将工作交接情况知会现场监理工程师，并经总监理工程师书面批准；</w:t>
      </w:r>
    </w:p>
    <w:p w14:paraId="6D5BADB9">
      <w:pPr>
        <w:pStyle w:val="14"/>
        <w:spacing w:after="0" w:line="360" w:lineRule="auto"/>
        <w:ind w:firstLine="48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（3）离场3天以上，承包人须将工作交接情况知会总监理工程师，并经发包人书面批准；</w:t>
      </w:r>
    </w:p>
    <w:p w14:paraId="712496C1">
      <w:pPr>
        <w:pStyle w:val="14"/>
        <w:spacing w:after="0" w:line="360" w:lineRule="auto"/>
        <w:ind w:firstLine="48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（4）一个月内累计离场时间不得超过5</w:t>
      </w:r>
      <w:r>
        <w:rPr>
          <w:rFonts w:hint="eastAsia" w:ascii="华文仿宋" w:hAnsi="华文仿宋" w:eastAsia="华文仿宋" w:cs="仿宋"/>
          <w:color w:val="auto"/>
          <w:sz w:val="28"/>
          <w:szCs w:val="28"/>
          <w:highlight w:val="none"/>
        </w:rPr>
        <w:t>个日历</w:t>
      </w:r>
      <w:r>
        <w:rPr>
          <w:rFonts w:ascii="华文仿宋" w:hAnsi="华文仿宋" w:eastAsia="华文仿宋" w:cs="仿宋"/>
          <w:color w:val="auto"/>
          <w:sz w:val="28"/>
          <w:szCs w:val="28"/>
          <w:highlight w:val="none"/>
        </w:rPr>
        <w:t>天。</w:t>
      </w:r>
    </w:p>
    <w:p w14:paraId="23B85064">
      <w:pPr>
        <w:pStyle w:val="14"/>
        <w:spacing w:after="0" w:line="360" w:lineRule="auto"/>
        <w:ind w:firstLine="619"/>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7.1.3.2如承包人委派的项目经理及主要部门负责人有兼职情况，经监理单位证实，承包人须立即撤换该人员，且承包人必须保证后任人员的资质、资历、学历、职称、业绩、从事同类工程施工经验、实际工作能力等于或优于前任人员。</w:t>
      </w:r>
    </w:p>
    <w:p w14:paraId="70F0E3EB">
      <w:pPr>
        <w:pStyle w:val="14"/>
        <w:spacing w:after="0" w:line="360" w:lineRule="auto"/>
        <w:ind w:firstLine="619"/>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7.2通用条款第7.3款所提及的工期顺延情形只适用于一般节点工期。</w:t>
      </w:r>
    </w:p>
    <w:p w14:paraId="6464952C">
      <w:pPr>
        <w:pStyle w:val="14"/>
        <w:spacing w:after="0" w:line="360" w:lineRule="auto"/>
        <w:ind w:firstLine="619"/>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7.4承包人投入的项目经理及现场管理机构主要部门负责人等工程管理人员和其他工程技术人员必须与投标文件保持一致，发包人不要求更换时不得更换。承包人擅自更换项目经理及现场管理机构主要部门负责人的，承包人必须按照本合同约定承担违约责任。</w:t>
      </w:r>
    </w:p>
    <w:p w14:paraId="01BB9AEB">
      <w:pPr>
        <w:pStyle w:val="14"/>
        <w:spacing w:after="0" w:line="360" w:lineRule="auto"/>
        <w:ind w:firstLine="619"/>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因特殊情况确需更换的，承包人应至少提前7个日历天以书面形式向监理单位提出意向（附前任和后任人员的详细履历资料），经总监理工程师签署意见后向发包人提出书面申请，并征得发包人书面同意。承包人必须保证后任人员的资质、资历、学历、职称、业绩、从事同类工程施工经验、实际工作能力等于或优于前任人员。更换项目经理后，承包人必须立即向行政主管部门办理变更《施工许可证》项目经理手续。前任人员更换后，后任继续行使合同文件约定的前任的职权，履行前任的义务。</w:t>
      </w:r>
    </w:p>
    <w:p w14:paraId="1532EC5C">
      <w:pPr>
        <w:pStyle w:val="14"/>
        <w:spacing w:after="0" w:line="360" w:lineRule="auto"/>
        <w:ind w:firstLine="619"/>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7.5项目经理或现场管理机构主要部门负责人的实际工作能力和工作表现达不到招标文件要求或投标文件承诺、或工作态度存在严重不足，不适应现场工作需要，发包人有权向承包人提出撤换。承包人须于7个日历天内提出整改意见；如发包人不予接受，或认为整改效果不明显的，则承包人必须在7个日历天内无条件按发包人要求撤换，所调换来的人员的资质、资历、学历、职称、业绩、从事同类工程施工经验、实际工作能力必须等于或优于原投标书中所承诺人员，且该更换须经监理工程师和发包人书面同意。前任人员更换后，后任继续行使合同文件约定的前任的职权，履行前任的义务。</w:t>
      </w:r>
    </w:p>
    <w:p w14:paraId="5DA247BC">
      <w:pPr>
        <w:pStyle w:val="14"/>
        <w:spacing w:after="0" w:line="360" w:lineRule="auto"/>
        <w:ind w:firstLine="621"/>
        <w:rPr>
          <w:rFonts w:ascii="华文仿宋" w:hAnsi="华文仿宋" w:eastAsia="华文仿宋" w:cs="仿宋"/>
          <w:color w:val="auto"/>
          <w:sz w:val="28"/>
          <w:szCs w:val="28"/>
          <w:highlight w:val="none"/>
        </w:rPr>
      </w:pPr>
      <w:r>
        <w:rPr>
          <w:rFonts w:ascii="华文仿宋" w:hAnsi="华文仿宋" w:eastAsia="华文仿宋" w:cs="仿宋"/>
          <w:b/>
          <w:color w:val="auto"/>
          <w:sz w:val="28"/>
          <w:szCs w:val="28"/>
          <w:highlight w:val="none"/>
        </w:rPr>
        <w:t>8</w:t>
      </w:r>
      <w:r>
        <w:rPr>
          <w:rFonts w:hint="eastAsia" w:ascii="华文仿宋" w:hAnsi="华文仿宋" w:eastAsia="华文仿宋" w:cs="仿宋"/>
          <w:b/>
          <w:color w:val="auto"/>
          <w:sz w:val="28"/>
          <w:szCs w:val="28"/>
          <w:highlight w:val="none"/>
        </w:rPr>
        <w:t>、发包人工作</w:t>
      </w:r>
      <w:r>
        <w:rPr>
          <w:rFonts w:ascii="华文仿宋" w:hAnsi="华文仿宋" w:eastAsia="华文仿宋" w:cs="仿宋"/>
          <w:b/>
          <w:color w:val="auto"/>
          <w:sz w:val="28"/>
          <w:szCs w:val="28"/>
          <w:highlight w:val="none"/>
        </w:rPr>
        <w:t xml:space="preserve"> </w:t>
      </w:r>
    </w:p>
    <w:p w14:paraId="35A6DEA0">
      <w:pPr>
        <w:pStyle w:val="15"/>
        <w:spacing w:after="0" w:line="360" w:lineRule="auto"/>
        <w:ind w:left="0" w:firstLine="560" w:firstLineChars="200"/>
        <w:rPr>
          <w:rFonts w:ascii="华文仿宋" w:hAnsi="华文仿宋" w:eastAsia="华文仿宋"/>
          <w:color w:val="auto"/>
          <w:highlight w:val="none"/>
        </w:rPr>
      </w:pPr>
      <w:r>
        <w:rPr>
          <w:rFonts w:ascii="华文仿宋" w:hAnsi="华文仿宋" w:eastAsia="华文仿宋" w:cs="仿宋"/>
          <w:color w:val="auto"/>
          <w:sz w:val="28"/>
          <w:szCs w:val="28"/>
          <w:highlight w:val="none"/>
        </w:rPr>
        <w:t xml:space="preserve">8.1 </w:t>
      </w:r>
      <w:r>
        <w:rPr>
          <w:rFonts w:hint="eastAsia" w:ascii="华文仿宋" w:hAnsi="华文仿宋" w:eastAsia="华文仿宋" w:cs="仿宋"/>
          <w:color w:val="auto"/>
          <w:sz w:val="28"/>
          <w:szCs w:val="28"/>
          <w:highlight w:val="none"/>
        </w:rPr>
        <w:t>发包人应按约定的时间和要求完成以下工作</w:t>
      </w:r>
      <w:r>
        <w:rPr>
          <w:rFonts w:ascii="华文仿宋" w:hAnsi="华文仿宋" w:eastAsia="华文仿宋" w:cs="仿宋"/>
          <w:color w:val="auto"/>
          <w:sz w:val="28"/>
          <w:szCs w:val="28"/>
          <w:highlight w:val="none"/>
        </w:rPr>
        <w:t xml:space="preserve"> </w:t>
      </w:r>
      <w:r>
        <w:rPr>
          <w:rFonts w:hint="eastAsia" w:ascii="华文仿宋" w:hAnsi="华文仿宋" w:eastAsia="华文仿宋" w:cs="仿宋"/>
          <w:color w:val="auto"/>
          <w:sz w:val="28"/>
          <w:szCs w:val="28"/>
          <w:highlight w:val="none"/>
        </w:rPr>
        <w:t>：</w:t>
      </w:r>
    </w:p>
    <w:p w14:paraId="5DB7661B">
      <w:pPr>
        <w:pStyle w:val="14"/>
        <w:spacing w:after="0" w:line="360" w:lineRule="auto"/>
        <w:ind w:firstLine="560" w:firstLineChars="20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（1）发包人提供施工场地的日期与开工</w:t>
      </w:r>
      <w:r>
        <w:rPr>
          <w:rFonts w:hint="eastAsia" w:ascii="华文仿宋" w:hAnsi="华文仿宋" w:eastAsia="华文仿宋" w:cs="仿宋"/>
          <w:color w:val="auto"/>
          <w:sz w:val="28"/>
          <w:szCs w:val="28"/>
          <w:highlight w:val="none"/>
        </w:rPr>
        <w:t>日</w:t>
      </w:r>
      <w:r>
        <w:rPr>
          <w:rFonts w:ascii="华文仿宋" w:hAnsi="华文仿宋" w:eastAsia="华文仿宋" w:cs="仿宋"/>
          <w:color w:val="auto"/>
          <w:sz w:val="28"/>
          <w:szCs w:val="28"/>
          <w:highlight w:val="none"/>
        </w:rPr>
        <w:t>期相同：发包人只能提供建设用地红线范围内的场地给承包人使用，承包人应在建设用地红线范围内的场地进行布置、安排和组织施工。承包人如需占用红线范围以外的场地，须自行办理有关手续及支付相关费用。</w:t>
      </w:r>
    </w:p>
    <w:p w14:paraId="5FD50CAC">
      <w:pPr>
        <w:spacing w:line="360" w:lineRule="auto"/>
        <w:ind w:firstLine="562"/>
        <w:rPr>
          <w:rFonts w:ascii="华文仿宋" w:hAnsi="华文仿宋" w:eastAsia="华文仿宋" w:cs="仿宋"/>
          <w:strike/>
          <w:color w:val="auto"/>
          <w:spacing w:val="-2"/>
          <w:kern w:val="28"/>
          <w:sz w:val="28"/>
          <w:szCs w:val="28"/>
          <w:highlight w:val="none"/>
        </w:rPr>
      </w:pPr>
      <w:bookmarkStart w:id="0" w:name="_Hlk143703659"/>
      <w:r>
        <w:rPr>
          <w:rFonts w:ascii="华文仿宋" w:hAnsi="华文仿宋" w:eastAsia="华文仿宋" w:cs="仿宋"/>
          <w:color w:val="auto"/>
          <w:sz w:val="28"/>
          <w:szCs w:val="28"/>
          <w:highlight w:val="none"/>
        </w:rPr>
        <w:t>（2）</w:t>
      </w:r>
      <w:r>
        <w:rPr>
          <w:rFonts w:hint="eastAsia" w:ascii="华文仿宋" w:hAnsi="华文仿宋" w:eastAsia="华文仿宋" w:cs="仿宋"/>
          <w:color w:val="auto"/>
          <w:spacing w:val="-2"/>
          <w:kern w:val="28"/>
          <w:sz w:val="28"/>
          <w:szCs w:val="28"/>
          <w:highlight w:val="none"/>
        </w:rPr>
        <w:t>本项目区域已完成区域通水通电，</w:t>
      </w:r>
      <w:r>
        <w:rPr>
          <w:rFonts w:hint="eastAsia" w:ascii="华文仿宋" w:hAnsi="华文仿宋" w:eastAsia="华文仿宋" w:cs="仿宋"/>
          <w:color w:val="auto"/>
          <w:sz w:val="28"/>
          <w:szCs w:val="28"/>
          <w:highlight w:val="none"/>
        </w:rPr>
        <w:t>由承包人自行解决施工临时用水、用电的接驳工作。施工过程产生的水、电费用由承包人自行向供水、供电部门按时足额缴纳费用，费用含在合同总价内，</w:t>
      </w:r>
      <w:r>
        <w:rPr>
          <w:rFonts w:ascii="华文仿宋" w:hAnsi="华文仿宋" w:eastAsia="华文仿宋" w:cs="仿宋"/>
          <w:color w:val="auto"/>
          <w:sz w:val="28"/>
          <w:szCs w:val="28"/>
          <w:highlight w:val="none"/>
        </w:rPr>
        <w:t>发包人不再就此支付任何费用</w:t>
      </w:r>
      <w:r>
        <w:rPr>
          <w:rFonts w:hint="eastAsia" w:ascii="华文仿宋" w:hAnsi="华文仿宋" w:eastAsia="华文仿宋" w:cs="仿宋"/>
          <w:color w:val="auto"/>
          <w:sz w:val="28"/>
          <w:szCs w:val="28"/>
          <w:highlight w:val="none"/>
        </w:rPr>
        <w:t>。</w:t>
      </w:r>
      <w:r>
        <w:rPr>
          <w:rFonts w:ascii="华文仿宋" w:hAnsi="华文仿宋" w:eastAsia="华文仿宋" w:cs="仿宋"/>
          <w:color w:val="auto"/>
          <w:spacing w:val="-2"/>
          <w:kern w:val="28"/>
          <w:sz w:val="28"/>
          <w:szCs w:val="28"/>
          <w:highlight w:val="none"/>
        </w:rPr>
        <w:t>否则，由此造成的工期延误及连带责任由承包人负责。施工水电管线由承包人根据施工需要自行解决，费用含在合同总价内。</w:t>
      </w:r>
    </w:p>
    <w:bookmarkEnd w:id="0"/>
    <w:p w14:paraId="0B540DC9">
      <w:pPr>
        <w:pStyle w:val="15"/>
        <w:spacing w:after="0" w:line="360" w:lineRule="auto"/>
        <w:ind w:left="0"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（3）施工场地与公共道路的通道开通时间和要求：</w:t>
      </w:r>
      <w:r>
        <w:rPr>
          <w:rFonts w:ascii="华文仿宋" w:hAnsi="华文仿宋" w:eastAsia="华文仿宋" w:cs="仿宋"/>
          <w:color w:val="auto"/>
          <w:sz w:val="28"/>
          <w:szCs w:val="28"/>
          <w:highlight w:val="none"/>
          <w:u w:val="thick"/>
        </w:rPr>
        <w:t>已开通</w:t>
      </w:r>
      <w:r>
        <w:rPr>
          <w:rFonts w:ascii="华文仿宋" w:hAnsi="华文仿宋" w:eastAsia="华文仿宋" w:cs="仿宋"/>
          <w:color w:val="auto"/>
          <w:sz w:val="28"/>
          <w:szCs w:val="28"/>
          <w:highlight w:val="none"/>
        </w:rPr>
        <w:t>。</w:t>
      </w:r>
    </w:p>
    <w:p w14:paraId="32A18FB1">
      <w:pPr>
        <w:pStyle w:val="15"/>
        <w:spacing w:after="0" w:line="360" w:lineRule="auto"/>
        <w:ind w:left="0"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（4）工程地质和地下管线资料的提供时间：发包人不提供</w:t>
      </w:r>
      <w:r>
        <w:rPr>
          <w:rFonts w:hint="eastAsia" w:ascii="华文仿宋" w:hAnsi="华文仿宋" w:eastAsia="华文仿宋" w:cs="仿宋"/>
          <w:color w:val="auto"/>
          <w:sz w:val="28"/>
          <w:szCs w:val="28"/>
          <w:highlight w:val="none"/>
        </w:rPr>
        <w:t>地质和</w:t>
      </w:r>
      <w:r>
        <w:rPr>
          <w:rFonts w:ascii="华文仿宋" w:hAnsi="华文仿宋" w:eastAsia="华文仿宋" w:cs="仿宋"/>
          <w:color w:val="auto"/>
          <w:sz w:val="28"/>
          <w:szCs w:val="28"/>
          <w:highlight w:val="none"/>
        </w:rPr>
        <w:t>地下管线资料，由承包人自行负责查勘，相关费用已包含在合同总价中，发包人不再就此支付任何费用。</w:t>
      </w:r>
    </w:p>
    <w:p w14:paraId="7B125190">
      <w:pPr>
        <w:pStyle w:val="15"/>
        <w:spacing w:after="0" w:line="360" w:lineRule="auto"/>
        <w:ind w:left="0"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（5）由发包人办理的施工所需证件、批件的名称和完成时间：发包人负责办理建设用地规划许可证</w:t>
      </w:r>
      <w:r>
        <w:rPr>
          <w:rFonts w:hint="eastAsia" w:ascii="华文仿宋" w:hAnsi="华文仿宋" w:eastAsia="华文仿宋" w:cs="仿宋"/>
          <w:color w:val="auto"/>
          <w:sz w:val="28"/>
          <w:szCs w:val="28"/>
          <w:highlight w:val="none"/>
        </w:rPr>
        <w:t>、</w:t>
      </w:r>
      <w:r>
        <w:rPr>
          <w:rFonts w:ascii="华文仿宋" w:hAnsi="华文仿宋" w:eastAsia="华文仿宋" w:cs="仿宋"/>
          <w:color w:val="auto"/>
          <w:sz w:val="28"/>
          <w:szCs w:val="28"/>
          <w:highlight w:val="none"/>
        </w:rPr>
        <w:t>建设用地批准书、</w:t>
      </w:r>
      <w:r>
        <w:rPr>
          <w:rFonts w:hint="eastAsia" w:ascii="华文仿宋" w:hAnsi="华文仿宋" w:eastAsia="华文仿宋" w:cs="仿宋"/>
          <w:color w:val="auto"/>
          <w:sz w:val="28"/>
          <w:szCs w:val="28"/>
          <w:highlight w:val="none"/>
        </w:rPr>
        <w:t>建设工程规划许可证</w:t>
      </w:r>
      <w:r>
        <w:rPr>
          <w:rFonts w:ascii="华文仿宋" w:hAnsi="华文仿宋" w:eastAsia="华文仿宋" w:cs="仿宋"/>
          <w:color w:val="auto"/>
          <w:sz w:val="28"/>
          <w:szCs w:val="28"/>
          <w:highlight w:val="none"/>
        </w:rPr>
        <w:t>。</w:t>
      </w:r>
    </w:p>
    <w:p w14:paraId="08D00078">
      <w:pPr>
        <w:pStyle w:val="15"/>
        <w:spacing w:after="0" w:line="360" w:lineRule="auto"/>
        <w:ind w:left="0"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（6）水准点与</w:t>
      </w:r>
      <w:r>
        <w:rPr>
          <w:rFonts w:hint="eastAsia" w:ascii="华文仿宋" w:hAnsi="华文仿宋" w:eastAsia="华文仿宋" w:cs="仿宋"/>
          <w:color w:val="auto"/>
          <w:sz w:val="28"/>
          <w:szCs w:val="28"/>
          <w:highlight w:val="none"/>
        </w:rPr>
        <w:t>坐</w:t>
      </w:r>
      <w:r>
        <w:rPr>
          <w:rFonts w:ascii="华文仿宋" w:hAnsi="华文仿宋" w:eastAsia="华文仿宋" w:cs="仿宋"/>
          <w:color w:val="auto"/>
          <w:sz w:val="28"/>
          <w:szCs w:val="28"/>
          <w:highlight w:val="none"/>
        </w:rPr>
        <w:t>标控制点交验要求：由承包人根据现场实际情况进行复核校验。</w:t>
      </w:r>
    </w:p>
    <w:p w14:paraId="2EAEB883">
      <w:pPr>
        <w:pStyle w:val="15"/>
        <w:spacing w:after="0" w:line="360" w:lineRule="auto"/>
        <w:ind w:left="0"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（7）图纸会审和设计交底时间：承包人接到施工图纸后</w:t>
      </w:r>
      <w:r>
        <w:rPr>
          <w:rFonts w:hint="eastAsia" w:ascii="华文仿宋" w:hAnsi="华文仿宋" w:eastAsia="华文仿宋" w:cs="仿宋"/>
          <w:color w:val="auto"/>
          <w:sz w:val="28"/>
          <w:szCs w:val="28"/>
          <w:highlight w:val="none"/>
          <w:u w:val="thick"/>
        </w:rPr>
        <w:t>5</w:t>
      </w:r>
      <w:r>
        <w:rPr>
          <w:rFonts w:ascii="华文仿宋" w:hAnsi="华文仿宋" w:eastAsia="华文仿宋" w:cs="仿宋"/>
          <w:color w:val="auto"/>
          <w:sz w:val="28"/>
          <w:szCs w:val="28"/>
          <w:highlight w:val="none"/>
          <w:u w:val="thick"/>
        </w:rPr>
        <w:t>个工作日</w:t>
      </w:r>
      <w:r>
        <w:rPr>
          <w:rFonts w:ascii="华文仿宋" w:hAnsi="华文仿宋" w:eastAsia="华文仿宋" w:cs="仿宋"/>
          <w:color w:val="auto"/>
          <w:sz w:val="28"/>
          <w:szCs w:val="28"/>
          <w:highlight w:val="none"/>
        </w:rPr>
        <w:t>内进行（以监理书面通知为准）。</w:t>
      </w:r>
    </w:p>
    <w:p w14:paraId="7FE946EA">
      <w:pPr>
        <w:pStyle w:val="15"/>
        <w:spacing w:after="0" w:line="360" w:lineRule="auto"/>
        <w:ind w:left="0"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8）协助承包人做好施工现场周围地铁、地下管线和邻近建筑物、构筑物（含文物保护建筑）、古树名木的保护工作：除文物保护外，上述所有保护工作及相关措施费用已包含在承包人的投标报价中，发包人不另行支付。</w:t>
      </w:r>
    </w:p>
    <w:p w14:paraId="33526A3B">
      <w:pPr>
        <w:spacing w:line="360" w:lineRule="auto"/>
        <w:ind w:firstLine="560" w:firstLineChars="20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8.2发包人要求承包人办理的工作</w:t>
      </w:r>
      <w:r>
        <w:rPr>
          <w:rFonts w:hint="eastAsia" w:ascii="华文仿宋" w:hAnsi="华文仿宋" w:eastAsia="华文仿宋" w:cs="仿宋"/>
          <w:color w:val="auto"/>
          <w:sz w:val="28"/>
          <w:szCs w:val="28"/>
          <w:highlight w:val="none"/>
        </w:rPr>
        <w:t>，包括但不限于</w:t>
      </w:r>
      <w:r>
        <w:rPr>
          <w:rFonts w:ascii="华文仿宋" w:hAnsi="华文仿宋" w:eastAsia="华文仿宋" w:cs="仿宋"/>
          <w:color w:val="auto"/>
          <w:sz w:val="28"/>
          <w:szCs w:val="28"/>
          <w:highlight w:val="none"/>
        </w:rPr>
        <w:t>：</w:t>
      </w:r>
    </w:p>
    <w:p w14:paraId="7BC23092">
      <w:pPr>
        <w:spacing w:line="360" w:lineRule="auto"/>
        <w:ind w:firstLine="560" w:firstLineChars="20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（1）办理施工许可证、工程质量安全监督报监手续、余泥排放证、施工临时排水证、占道施工许可、夜间施工、树木迁移等施工和验收必要的许可及证明。</w:t>
      </w:r>
    </w:p>
    <w:p w14:paraId="63CE5AC1">
      <w:pPr>
        <w:spacing w:line="360" w:lineRule="auto"/>
        <w:ind w:firstLine="560" w:firstLineChars="200"/>
        <w:rPr>
          <w:rFonts w:ascii="仿宋" w:hAnsi="仿宋" w:eastAsia="仿宋" w:cs="仿宋"/>
          <w:color w:val="auto"/>
          <w:sz w:val="28"/>
          <w:szCs w:val="28"/>
          <w:highlight w:val="none"/>
        </w:rPr>
      </w:pPr>
      <w:r>
        <w:rPr>
          <w:rFonts w:hint="eastAsia" w:ascii="华文仿宋" w:hAnsi="华文仿宋" w:eastAsia="华文仿宋" w:cs="仿宋"/>
          <w:color w:val="auto"/>
          <w:sz w:val="28"/>
          <w:szCs w:val="28"/>
          <w:highlight w:val="none"/>
        </w:rPr>
        <w:t>（2）</w:t>
      </w:r>
      <w:r>
        <w:rPr>
          <w:rFonts w:ascii="华文仿宋" w:hAnsi="华文仿宋" w:eastAsia="华文仿宋" w:cs="仿宋"/>
          <w:color w:val="auto"/>
          <w:sz w:val="28"/>
          <w:szCs w:val="28"/>
          <w:highlight w:val="none"/>
        </w:rPr>
        <w:t>按工程所在地建设管理相关部门规定缴纳相关基金及押金等，因承包人</w:t>
      </w:r>
      <w:r>
        <w:rPr>
          <w:rFonts w:hint="eastAsia" w:ascii="华文仿宋" w:hAnsi="华文仿宋" w:eastAsia="华文仿宋" w:cs="仿宋"/>
          <w:color w:val="auto"/>
          <w:sz w:val="28"/>
          <w:szCs w:val="28"/>
          <w:highlight w:val="none"/>
        </w:rPr>
        <w:t xml:space="preserve">违反相关规定导致的扣（罚）款项均由承包人承担。 </w:t>
      </w:r>
    </w:p>
    <w:p w14:paraId="7E7C98EB">
      <w:pPr>
        <w:pStyle w:val="15"/>
        <w:spacing w:after="0" w:line="360" w:lineRule="auto"/>
        <w:ind w:left="0"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8.3发包人未能履行专用条款第8.1款各项义务，工期顺延。</w:t>
      </w:r>
    </w:p>
    <w:p w14:paraId="0D03646A">
      <w:pPr>
        <w:pStyle w:val="15"/>
        <w:spacing w:after="0" w:line="360" w:lineRule="auto"/>
        <w:ind w:left="0"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 xml:space="preserve">8.4根据招标文件及承包人的承诺，发包人保留下列的权利： </w:t>
      </w:r>
    </w:p>
    <w:p w14:paraId="562FDF7E">
      <w:pPr>
        <w:pStyle w:val="15"/>
        <w:spacing w:after="0" w:line="360" w:lineRule="auto"/>
        <w:ind w:left="0"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8.4.1对本工程使用之主要材料品质及工程质量确认审查的权利。</w:t>
      </w:r>
    </w:p>
    <w:p w14:paraId="059DCC54">
      <w:pPr>
        <w:pStyle w:val="15"/>
        <w:spacing w:after="0" w:line="360" w:lineRule="auto"/>
        <w:ind w:left="0"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8.4.2有权根据工程实际需要增加或减少部分工程，并保留对承包的施工项目中的专业工程进行依法招标的权利，保留对工程量报价清单中暂定材料价格的主要材料进行依法招标的权利，承包人不得拒绝或要求调整任何单价及收费。</w:t>
      </w:r>
    </w:p>
    <w:p w14:paraId="11B4670B">
      <w:pPr>
        <w:pStyle w:val="15"/>
        <w:spacing w:after="0" w:line="360" w:lineRule="auto"/>
        <w:ind w:left="0"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8.4.3</w:t>
      </w:r>
      <w:r>
        <w:rPr>
          <w:rFonts w:hint="eastAsia" w:ascii="华文仿宋" w:hAnsi="华文仿宋" w:eastAsia="华文仿宋" w:cs="仿宋"/>
          <w:color w:val="auto"/>
          <w:sz w:val="28"/>
          <w:szCs w:val="28"/>
          <w:highlight w:val="none"/>
        </w:rPr>
        <w:t>若承包人未按监理单位指令施工或施工进度、质量等未达到发包人要求的，发包人有权要求承包人限期完成或另行委托第三方专业单位施工，相应费用从承包人的合同总价扣除，同时承包人按该部分费用总额的1</w:t>
      </w:r>
      <w:r>
        <w:rPr>
          <w:rFonts w:ascii="华文仿宋" w:hAnsi="华文仿宋" w:eastAsia="华文仿宋" w:cs="仿宋"/>
          <w:color w:val="auto"/>
          <w:sz w:val="28"/>
          <w:szCs w:val="28"/>
          <w:highlight w:val="none"/>
        </w:rPr>
        <w:t>0</w:t>
      </w:r>
      <w:r>
        <w:rPr>
          <w:rFonts w:hint="eastAsia" w:ascii="华文仿宋" w:hAnsi="华文仿宋" w:eastAsia="华文仿宋" w:cs="仿宋"/>
          <w:color w:val="auto"/>
          <w:sz w:val="28"/>
          <w:szCs w:val="28"/>
          <w:highlight w:val="none"/>
        </w:rPr>
        <w:t>%承担违约责任。</w:t>
      </w:r>
    </w:p>
    <w:p w14:paraId="50E1D122">
      <w:pPr>
        <w:pStyle w:val="15"/>
        <w:spacing w:after="0" w:line="360" w:lineRule="auto"/>
        <w:ind w:left="0" w:firstLine="560"/>
        <w:rPr>
          <w:rFonts w:ascii="华文仿宋" w:hAnsi="华文仿宋" w:eastAsia="华文仿宋" w:cs="仿宋"/>
          <w:b/>
          <w:color w:val="auto"/>
          <w:sz w:val="28"/>
          <w:szCs w:val="28"/>
          <w:highlight w:val="none"/>
        </w:rPr>
      </w:pPr>
      <w:r>
        <w:rPr>
          <w:rFonts w:ascii="华文仿宋" w:hAnsi="华文仿宋" w:eastAsia="华文仿宋" w:cs="仿宋"/>
          <w:b/>
          <w:color w:val="auto"/>
          <w:sz w:val="28"/>
          <w:szCs w:val="28"/>
          <w:highlight w:val="none"/>
        </w:rPr>
        <w:t>9</w:t>
      </w:r>
      <w:r>
        <w:rPr>
          <w:rFonts w:hint="eastAsia" w:ascii="华文仿宋" w:hAnsi="华文仿宋" w:eastAsia="华文仿宋" w:cs="仿宋"/>
          <w:b/>
          <w:color w:val="auto"/>
          <w:sz w:val="28"/>
          <w:szCs w:val="28"/>
          <w:highlight w:val="none"/>
        </w:rPr>
        <w:t>、承包人工作</w:t>
      </w:r>
    </w:p>
    <w:p w14:paraId="0220F1C7">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9.1承包人应按约定时间和要求，完成以下工作：</w:t>
      </w:r>
    </w:p>
    <w:p w14:paraId="44E80C66">
      <w:pPr>
        <w:pStyle w:val="19"/>
        <w:spacing w:line="360" w:lineRule="auto"/>
        <w:ind w:left="0"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（1）</w:t>
      </w:r>
      <w:r>
        <w:rPr>
          <w:rFonts w:hint="eastAsia" w:ascii="华文仿宋" w:hAnsi="华文仿宋" w:eastAsia="华文仿宋" w:cs="仿宋"/>
          <w:color w:val="auto"/>
          <w:sz w:val="28"/>
          <w:szCs w:val="28"/>
          <w:highlight w:val="none"/>
        </w:rPr>
        <w:t>根据发包人委托，在其资质等级和业务允许的范围内，完成个别专业深化设计或与工程配套的设计，经工程师确认后使用，该费用已包含在合同总价内，发包人不再就此支付任何费用</w:t>
      </w:r>
      <w:r>
        <w:rPr>
          <w:rFonts w:ascii="华文仿宋" w:hAnsi="华文仿宋" w:eastAsia="华文仿宋" w:cs="仿宋"/>
          <w:color w:val="auto"/>
          <w:sz w:val="28"/>
          <w:szCs w:val="28"/>
          <w:highlight w:val="none"/>
        </w:rPr>
        <w:t>。</w:t>
      </w:r>
    </w:p>
    <w:p w14:paraId="15308C3C">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（2）应提供计划、报表的名称及完成时间：每月20号前向监理工程师报送“工程进度月报表”和“计划支付申请书”，监理工程师确认的时间为每月</w:t>
      </w:r>
      <w:r>
        <w:rPr>
          <w:rFonts w:hint="eastAsia" w:ascii="华文仿宋" w:hAnsi="华文仿宋" w:eastAsia="华文仿宋" w:cs="仿宋"/>
          <w:color w:val="auto"/>
          <w:sz w:val="28"/>
          <w:szCs w:val="28"/>
          <w:highlight w:val="none"/>
        </w:rPr>
        <w:t>25</w:t>
      </w:r>
      <w:r>
        <w:rPr>
          <w:rFonts w:ascii="华文仿宋" w:hAnsi="华文仿宋" w:eastAsia="华文仿宋" w:cs="仿宋"/>
          <w:color w:val="auto"/>
          <w:sz w:val="28"/>
          <w:szCs w:val="28"/>
          <w:highlight w:val="none"/>
        </w:rPr>
        <w:t>日前。</w:t>
      </w:r>
      <w:r>
        <w:rPr>
          <w:rFonts w:hint="eastAsia" w:ascii="华文仿宋" w:hAnsi="华文仿宋" w:eastAsia="华文仿宋" w:cs="仿宋"/>
          <w:color w:val="auto"/>
          <w:sz w:val="28"/>
          <w:szCs w:val="28"/>
          <w:highlight w:val="none"/>
        </w:rPr>
        <w:t>工程进度月报表应当内容全面详实，针对工程进度完成情况及下月进度计划进行分析，并标注相应的工程量及材料消耗量，机械设备及劳动力投入。</w:t>
      </w:r>
    </w:p>
    <w:p w14:paraId="0280A8DA">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（3）承担施工安全保卫工作责任和要求：承包人应负责现场全部作业的安全，在合同工程施工、完工及修补缺陷的整个工程中，承包人应当全面</w:t>
      </w:r>
      <w:r>
        <w:rPr>
          <w:rFonts w:hint="eastAsia" w:ascii="华文仿宋" w:hAnsi="华文仿宋" w:eastAsia="华文仿宋" w:cs="仿宋"/>
          <w:color w:val="auto"/>
          <w:sz w:val="28"/>
          <w:szCs w:val="28"/>
          <w:highlight w:val="none"/>
        </w:rPr>
        <w:t>负责</w:t>
      </w:r>
      <w:r>
        <w:rPr>
          <w:rFonts w:ascii="华文仿宋" w:hAnsi="华文仿宋" w:eastAsia="华文仿宋" w:cs="仿宋"/>
          <w:color w:val="auto"/>
          <w:sz w:val="28"/>
          <w:szCs w:val="28"/>
          <w:highlight w:val="none"/>
        </w:rPr>
        <w:t>现场上</w:t>
      </w:r>
      <w:r>
        <w:rPr>
          <w:rFonts w:hint="eastAsia" w:ascii="华文仿宋" w:hAnsi="华文仿宋" w:eastAsia="华文仿宋" w:cs="仿宋"/>
          <w:color w:val="auto"/>
          <w:sz w:val="28"/>
          <w:szCs w:val="28"/>
          <w:highlight w:val="none"/>
        </w:rPr>
        <w:t>所有</w:t>
      </w:r>
      <w:r>
        <w:rPr>
          <w:rFonts w:ascii="华文仿宋" w:hAnsi="华文仿宋" w:eastAsia="华文仿宋" w:cs="仿宋"/>
          <w:color w:val="auto"/>
          <w:sz w:val="28"/>
          <w:szCs w:val="28"/>
          <w:highlight w:val="none"/>
        </w:rPr>
        <w:t>人员的安全，保护其管辖范围的现场和尚未完工的和建设单位尚未占用的工程处于有条不紊良好的状态。</w:t>
      </w:r>
    </w:p>
    <w:p w14:paraId="1CDA5883">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在需要的时间和地点，根据监理工程师或当地政府要求，应自费提供和维持所有的照明灯光、护板、围墙、栅栏、警告信号标志和值班人员，对工程进行保护和为公众提供安全和方便。遵守和执行防火、安全文明施工和深夜施工规范和市</w:t>
      </w:r>
      <w:r>
        <w:rPr>
          <w:rFonts w:hint="eastAsia" w:ascii="华文仿宋" w:hAnsi="华文仿宋" w:eastAsia="华文仿宋" w:cs="仿宋"/>
          <w:color w:val="auto"/>
          <w:sz w:val="28"/>
          <w:szCs w:val="28"/>
          <w:highlight w:val="none"/>
        </w:rPr>
        <w:t>住建局</w:t>
      </w:r>
      <w:r>
        <w:rPr>
          <w:rFonts w:ascii="华文仿宋" w:hAnsi="华文仿宋" w:eastAsia="华文仿宋" w:cs="仿宋"/>
          <w:color w:val="auto"/>
          <w:sz w:val="28"/>
          <w:szCs w:val="28"/>
          <w:highlight w:val="none"/>
        </w:rPr>
        <w:t>的有关规定要求。</w:t>
      </w:r>
    </w:p>
    <w:p w14:paraId="7F825E99">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承包人应保证施工期间行人、车辆的通行。施工临时占用人行道等设施，由承包人办理有关手续，发包人协助，所需费用由承包人负责。同时承包人有责任协助公安、交通等部门维护所在现场地段的交通与人流，既保证施工安全，也保护车辆和行人的畅通和安全。</w:t>
      </w:r>
    </w:p>
    <w:p w14:paraId="47740F97">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承包人应在投标报价中考虑有关费用，并保证发包人免于受到或承担应由承包人负责的上述事项所引起的或与之有关的索赔、诉讼、以及其它开支</w:t>
      </w:r>
      <w:r>
        <w:rPr>
          <w:rFonts w:hint="eastAsia" w:ascii="华文仿宋" w:hAnsi="华文仿宋" w:eastAsia="华文仿宋" w:cs="仿宋"/>
          <w:color w:val="auto"/>
          <w:sz w:val="28"/>
          <w:szCs w:val="28"/>
          <w:highlight w:val="none"/>
          <w:lang w:eastAsia="zh-Hans"/>
        </w:rPr>
        <w:t>，如造成发包人损失的，应予以赔偿</w:t>
      </w:r>
      <w:r>
        <w:rPr>
          <w:rFonts w:ascii="华文仿宋" w:hAnsi="华文仿宋" w:eastAsia="华文仿宋" w:cs="仿宋"/>
          <w:color w:val="auto"/>
          <w:sz w:val="28"/>
          <w:szCs w:val="28"/>
          <w:highlight w:val="none"/>
        </w:rPr>
        <w:t>。</w:t>
      </w:r>
    </w:p>
    <w:p w14:paraId="4A86DF02">
      <w:pPr>
        <w:spacing w:line="360" w:lineRule="auto"/>
        <w:ind w:firstLine="562"/>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（4）</w:t>
      </w:r>
      <w:r>
        <w:rPr>
          <w:rFonts w:hint="eastAsia" w:ascii="华文仿宋" w:hAnsi="华文仿宋" w:eastAsia="华文仿宋" w:cs="仿宋"/>
          <w:color w:val="auto"/>
          <w:sz w:val="28"/>
          <w:szCs w:val="28"/>
          <w:highlight w:val="none"/>
        </w:rPr>
        <w:t>向发包人及监理提供的办公和生活房屋及设施的要求，按照以下</w:t>
      </w:r>
      <w:r>
        <w:rPr>
          <w:rFonts w:ascii="华文仿宋" w:hAnsi="华文仿宋" w:eastAsia="华文仿宋" w:cs="仿宋"/>
          <w:color w:val="auto"/>
          <w:sz w:val="28"/>
          <w:szCs w:val="28"/>
          <w:highlight w:val="none"/>
          <w:u w:val="thick"/>
        </w:rPr>
        <w:t xml:space="preserve"> </w:t>
      </w:r>
      <w:r>
        <w:rPr>
          <w:rFonts w:hint="eastAsia" w:ascii="华文仿宋" w:hAnsi="华文仿宋" w:eastAsia="华文仿宋" w:cs="仿宋"/>
          <w:color w:val="auto"/>
          <w:sz w:val="28"/>
          <w:szCs w:val="28"/>
          <w:highlight w:val="none"/>
          <w:u w:val="thick"/>
        </w:rPr>
        <w:t>A</w:t>
      </w:r>
      <w:r>
        <w:rPr>
          <w:rFonts w:ascii="华文仿宋" w:hAnsi="华文仿宋" w:eastAsia="华文仿宋" w:cs="仿宋"/>
          <w:color w:val="auto"/>
          <w:sz w:val="28"/>
          <w:szCs w:val="28"/>
          <w:highlight w:val="none"/>
          <w:u w:val="thick"/>
        </w:rPr>
        <w:t xml:space="preserve"> </w:t>
      </w:r>
      <w:r>
        <w:rPr>
          <w:rFonts w:hint="eastAsia" w:ascii="华文仿宋" w:hAnsi="华文仿宋" w:eastAsia="华文仿宋" w:cs="仿宋"/>
          <w:color w:val="auto"/>
          <w:sz w:val="28"/>
          <w:szCs w:val="28"/>
          <w:highlight w:val="none"/>
        </w:rPr>
        <w:t>条款执行：</w:t>
      </w:r>
    </w:p>
    <w:p w14:paraId="332630AF">
      <w:pPr>
        <w:spacing w:line="360" w:lineRule="auto"/>
        <w:ind w:firstLine="562"/>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A：承包人负责提供发包人及监理常驻现场人员不小于</w:t>
      </w:r>
      <w:r>
        <w:rPr>
          <w:rFonts w:ascii="华文仿宋" w:hAnsi="华文仿宋" w:eastAsia="华文仿宋" w:cs="仿宋"/>
          <w:color w:val="auto"/>
          <w:sz w:val="28"/>
          <w:szCs w:val="28"/>
          <w:highlight w:val="none"/>
        </w:rPr>
        <w:t>400平方米的现场办公场所及配套设施，包括办公室（含配套设施如办公桌、文件柜、网络办公、</w:t>
      </w:r>
      <w:r>
        <w:rPr>
          <w:rFonts w:hint="eastAsia" w:ascii="华文仿宋" w:hAnsi="华文仿宋" w:eastAsia="华文仿宋" w:cs="仿宋"/>
          <w:color w:val="auto"/>
          <w:sz w:val="28"/>
          <w:szCs w:val="28"/>
          <w:highlight w:val="none"/>
        </w:rPr>
        <w:t>电脑、空调</w:t>
      </w:r>
      <w:r>
        <w:rPr>
          <w:rFonts w:ascii="华文仿宋" w:hAnsi="华文仿宋" w:eastAsia="华文仿宋" w:cs="仿宋"/>
          <w:color w:val="auto"/>
          <w:sz w:val="28"/>
          <w:szCs w:val="28"/>
          <w:highlight w:val="none"/>
        </w:rPr>
        <w:t>等）、员工宿舍（含配套设施如：床铺、饮水机、空调等）、员工用餐、用水、用电等</w:t>
      </w:r>
      <w:r>
        <w:rPr>
          <w:rFonts w:hint="eastAsia" w:ascii="华文仿宋" w:hAnsi="华文仿宋" w:eastAsia="华文仿宋" w:cs="仿宋"/>
          <w:color w:val="auto"/>
          <w:sz w:val="28"/>
          <w:szCs w:val="28"/>
          <w:highlight w:val="none"/>
        </w:rPr>
        <w:t>，</w:t>
      </w:r>
      <w:r>
        <w:rPr>
          <w:rFonts w:ascii="华文仿宋" w:hAnsi="华文仿宋" w:eastAsia="华文仿宋" w:cs="仿宋"/>
          <w:color w:val="auto"/>
          <w:sz w:val="28"/>
          <w:szCs w:val="28"/>
          <w:highlight w:val="none"/>
        </w:rPr>
        <w:t>保证现场办公条件满足本项目发包人、监理及设计</w:t>
      </w:r>
      <w:r>
        <w:rPr>
          <w:rFonts w:hint="eastAsia" w:ascii="华文仿宋" w:hAnsi="华文仿宋" w:eastAsia="华文仿宋" w:cs="仿宋"/>
          <w:color w:val="auto"/>
          <w:sz w:val="28"/>
          <w:szCs w:val="28"/>
          <w:highlight w:val="none"/>
        </w:rPr>
        <w:t>等</w:t>
      </w:r>
      <w:r>
        <w:rPr>
          <w:rFonts w:ascii="华文仿宋" w:hAnsi="华文仿宋" w:eastAsia="华文仿宋" w:cs="仿宋"/>
          <w:color w:val="auto"/>
          <w:sz w:val="28"/>
          <w:szCs w:val="28"/>
          <w:highlight w:val="none"/>
        </w:rPr>
        <w:t>驻场人员现场办公的需要</w:t>
      </w:r>
      <w:r>
        <w:rPr>
          <w:rFonts w:hint="eastAsia" w:ascii="华文仿宋" w:hAnsi="华文仿宋" w:eastAsia="华文仿宋" w:cs="仿宋"/>
          <w:color w:val="auto"/>
          <w:sz w:val="28"/>
          <w:szCs w:val="28"/>
          <w:highlight w:val="none"/>
        </w:rPr>
        <w:t>，</w:t>
      </w:r>
      <w:r>
        <w:rPr>
          <w:rFonts w:ascii="华文仿宋" w:hAnsi="华文仿宋" w:eastAsia="华文仿宋" w:cs="仿宋"/>
          <w:color w:val="auto"/>
          <w:sz w:val="28"/>
          <w:szCs w:val="28"/>
          <w:highlight w:val="none"/>
        </w:rPr>
        <w:t>相关</w:t>
      </w:r>
      <w:r>
        <w:rPr>
          <w:rFonts w:hint="eastAsia" w:ascii="华文仿宋" w:hAnsi="华文仿宋" w:eastAsia="华文仿宋" w:cs="仿宋"/>
          <w:color w:val="auto"/>
          <w:sz w:val="28"/>
          <w:szCs w:val="28"/>
          <w:highlight w:val="none"/>
        </w:rPr>
        <w:t>费用已由承包人综合考虑在投标报价内，</w:t>
      </w:r>
      <w:r>
        <w:rPr>
          <w:rFonts w:ascii="华文仿宋" w:hAnsi="华文仿宋" w:eastAsia="华文仿宋" w:cs="仿宋"/>
          <w:color w:val="auto"/>
          <w:sz w:val="28"/>
          <w:szCs w:val="28"/>
          <w:highlight w:val="none"/>
        </w:rPr>
        <w:t>发包人不再就此支付任何费用。</w:t>
      </w:r>
      <w:r>
        <w:rPr>
          <w:rFonts w:hint="eastAsia" w:ascii="华文仿宋" w:hAnsi="华文仿宋" w:eastAsia="华文仿宋" w:cs="仿宋"/>
          <w:color w:val="auto"/>
          <w:sz w:val="28"/>
          <w:szCs w:val="28"/>
          <w:highlight w:val="none"/>
        </w:rPr>
        <w:t>其中，承包人要按示范工程标准建设临时办公场地及生活区，办公区须采用带玻璃幕墙的装配式办公室。</w:t>
      </w:r>
    </w:p>
    <w:p w14:paraId="5B26850F">
      <w:pPr>
        <w:spacing w:line="360" w:lineRule="auto"/>
        <w:ind w:firstLine="562"/>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B：无。</w:t>
      </w:r>
    </w:p>
    <w:p w14:paraId="6FCB8855">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（5）需承包人办理的有关施工场地交通、环卫和施工噪音管理等手续：</w:t>
      </w:r>
    </w:p>
    <w:p w14:paraId="6E3A16B1">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承包人应当承担其出入现场所需要的专用或临时道路通行权，养路费等一切费用和税费，办理相关手续。承包人还应自费提供其所需要的工地以外的供工程使用的任何附加设施。</w:t>
      </w:r>
    </w:p>
    <w:p w14:paraId="45858135">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承包人应采取各种合理的措施，防止承包人或其分包商的运输损坏连接现场的或通往现场的道路。除合同中另有规定外，根据设备、材料或临时设施运输的需要，承包人应负责并自费加固任何与施工现场连接或通往现场的任何道路。退场前，对由于承包人自身原因引起的道路等设施的损坏自费恢复原状。</w:t>
      </w:r>
    </w:p>
    <w:p w14:paraId="2DBAA04D">
      <w:pPr>
        <w:pStyle w:val="14"/>
        <w:spacing w:after="0" w:line="360" w:lineRule="auto"/>
        <w:ind w:firstLine="552"/>
        <w:rPr>
          <w:rFonts w:ascii="华文仿宋" w:hAnsi="华文仿宋" w:eastAsia="华文仿宋" w:cs="仿宋"/>
          <w:color w:val="auto"/>
          <w:spacing w:val="-1"/>
          <w:sz w:val="28"/>
          <w:szCs w:val="28"/>
          <w:highlight w:val="none"/>
        </w:rPr>
      </w:pPr>
      <w:r>
        <w:rPr>
          <w:rFonts w:ascii="华文仿宋" w:hAnsi="华文仿宋" w:eastAsia="华文仿宋" w:cs="仿宋"/>
          <w:color w:val="auto"/>
          <w:spacing w:val="-1"/>
          <w:sz w:val="28"/>
          <w:szCs w:val="28"/>
          <w:highlight w:val="none"/>
        </w:rPr>
        <w:t>在合同工程施工期间，根据政府有关环境保护的规定，承包人应采取所有合理的措施来保护现场内外的环境，并避免由于其操作方法所造成的污染、噪声或其它问题而对附近的人员或公私财产造成的干扰、损失或损害。</w:t>
      </w:r>
    </w:p>
    <w:p w14:paraId="6BA47FD7">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承包人已在投标报价中考虑有关费用，并保证发包人免于受到或承担应由承包人负责的上述事项所引起的或与之有关的索赔、诉讼、以及其它开支。</w:t>
      </w:r>
    </w:p>
    <w:p w14:paraId="20C93B17">
      <w:pPr>
        <w:spacing w:line="360" w:lineRule="auto"/>
        <w:ind w:firstLine="560" w:firstLineChars="200"/>
        <w:rPr>
          <w:rFonts w:ascii="仿宋" w:hAnsi="仿宋" w:eastAsia="仿宋" w:cs="仿宋"/>
          <w:color w:val="auto"/>
          <w:sz w:val="28"/>
          <w:szCs w:val="28"/>
          <w:highlight w:val="none"/>
        </w:rPr>
      </w:pPr>
      <w:r>
        <w:rPr>
          <w:rFonts w:ascii="华文仿宋" w:hAnsi="华文仿宋" w:eastAsia="华文仿宋" w:cs="仿宋"/>
          <w:color w:val="auto"/>
          <w:sz w:val="28"/>
          <w:szCs w:val="28"/>
          <w:highlight w:val="none"/>
        </w:rPr>
        <w:t>（6）已完工程成品保护的特殊要求及费用承担：</w:t>
      </w:r>
      <w:r>
        <w:rPr>
          <w:rFonts w:hint="eastAsia" w:ascii="华文仿宋" w:hAnsi="华文仿宋" w:eastAsia="华文仿宋" w:cs="仿宋"/>
          <w:color w:val="auto"/>
          <w:sz w:val="28"/>
          <w:szCs w:val="28"/>
          <w:highlight w:val="none"/>
        </w:rPr>
        <w:t>按</w:t>
      </w:r>
      <w:r>
        <w:rPr>
          <w:rFonts w:hint="eastAsia" w:ascii="华文仿宋" w:hAnsi="华文仿宋" w:eastAsia="华文仿宋" w:cs="仿宋"/>
          <w:color w:val="auto"/>
          <w:sz w:val="28"/>
          <w:szCs w:val="28"/>
          <w:highlight w:val="none"/>
          <w:u w:val="single"/>
        </w:rPr>
        <w:t>招标</w:t>
      </w:r>
      <w:r>
        <w:rPr>
          <w:rFonts w:ascii="华文仿宋" w:hAnsi="华文仿宋" w:eastAsia="华文仿宋" w:cs="仿宋"/>
          <w:color w:val="auto"/>
          <w:sz w:val="28"/>
          <w:szCs w:val="28"/>
          <w:highlight w:val="none"/>
          <w:u w:val="single"/>
        </w:rPr>
        <w:t>工程量清单计价说明</w:t>
      </w:r>
      <w:r>
        <w:rPr>
          <w:rFonts w:hint="eastAsia" w:ascii="华文仿宋" w:hAnsi="华文仿宋" w:eastAsia="华文仿宋" w:cs="仿宋"/>
          <w:color w:val="auto"/>
          <w:sz w:val="28"/>
          <w:szCs w:val="28"/>
          <w:highlight w:val="none"/>
          <w:u w:val="single"/>
        </w:rPr>
        <w:t>及招标答疑纪要</w:t>
      </w:r>
      <w:r>
        <w:rPr>
          <w:rFonts w:ascii="华文仿宋" w:hAnsi="华文仿宋" w:eastAsia="华文仿宋" w:cs="仿宋"/>
          <w:color w:val="auto"/>
          <w:sz w:val="28"/>
          <w:szCs w:val="28"/>
          <w:highlight w:val="none"/>
          <w:u w:val="single"/>
        </w:rPr>
        <w:t>执行。</w:t>
      </w:r>
    </w:p>
    <w:p w14:paraId="62ECAF0E">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7）施工场地周围地下管线和邻近建筑物、构筑物（含文物保护建筑）、古树名木的保护要求及费用承担：施工期间发现文物，应按国家文物和省、市有关文物管理规定保护现场，并通知有关部门。施工期间执行市</w:t>
      </w:r>
      <w:r>
        <w:rPr>
          <w:rFonts w:hint="eastAsia" w:ascii="华文仿宋" w:hAnsi="华文仿宋" w:eastAsia="华文仿宋" w:cs="仿宋"/>
          <w:color w:val="auto"/>
          <w:sz w:val="28"/>
          <w:szCs w:val="28"/>
          <w:highlight w:val="none"/>
        </w:rPr>
        <w:t>住建局</w:t>
      </w:r>
      <w:r>
        <w:rPr>
          <w:rFonts w:ascii="华文仿宋" w:hAnsi="华文仿宋" w:eastAsia="华文仿宋" w:cs="仿宋"/>
          <w:color w:val="auto"/>
          <w:sz w:val="28"/>
          <w:szCs w:val="28"/>
          <w:highlight w:val="none"/>
        </w:rPr>
        <w:t>建设工程文明施工管理的有关规定，否则，因此造成的损失或被有关部门处罚，均由承包人负责。除文物保护外，其它保护工作费用已包含在承包人的投标价中，不另行计量支付。</w:t>
      </w:r>
    </w:p>
    <w:p w14:paraId="2D0493CA">
      <w:pPr>
        <w:spacing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凡标明有地下管线的地方，承包人应挖探坑查明管线的具体位置并作出保护措施后方可施工；如因承包人施工损坏的，则由承包人无偿负责维修及赔偿。为保护好地下管线，承包人须在钻桩开钻及排水沟、基坑开挖前进行勘探性探测，确认没有遇到地下任何管线后，方可进行开钻及开挖等工作，否则由此引起的一切损失由承包人负责。</w:t>
      </w:r>
    </w:p>
    <w:p w14:paraId="23A66ED9">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（8）施工场地文明施工的要求：</w:t>
      </w:r>
    </w:p>
    <w:p w14:paraId="42F732BB">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本合同工程现场文明施工必须严格按以下文件执行，并挂牌施工接受监督：</w:t>
      </w:r>
    </w:p>
    <w:p w14:paraId="2061F6BE">
      <w:pPr>
        <w:pStyle w:val="14"/>
        <w:spacing w:after="0" w:line="360" w:lineRule="auto"/>
        <w:ind w:firstLine="560"/>
        <w:rPr>
          <w:rFonts w:ascii="华文仿宋" w:hAnsi="华文仿宋" w:eastAsia="华文仿宋" w:cs="仿宋"/>
          <w:color w:val="auto"/>
          <w:sz w:val="28"/>
          <w:szCs w:val="28"/>
          <w:highlight w:val="none"/>
          <w:u w:val="single"/>
        </w:rPr>
      </w:pPr>
      <w:r>
        <w:rPr>
          <w:rFonts w:ascii="华文仿宋" w:hAnsi="华文仿宋" w:eastAsia="华文仿宋" w:cs="仿宋"/>
          <w:color w:val="auto"/>
          <w:sz w:val="28"/>
          <w:szCs w:val="28"/>
          <w:highlight w:val="none"/>
          <w:u w:val="single"/>
        </w:rPr>
        <w:t>安全防护和文明施工的实施须满足《建设工程安全生产管理条例》、《建筑施工安全检查标准》(JGJ59-2021)、《</w:t>
      </w:r>
      <w:r>
        <w:rPr>
          <w:rFonts w:hint="eastAsia" w:ascii="华文仿宋" w:hAnsi="华文仿宋" w:eastAsia="华文仿宋" w:cs="仿宋"/>
          <w:color w:val="auto"/>
          <w:sz w:val="28"/>
          <w:szCs w:val="28"/>
          <w:highlight w:val="none"/>
          <w:u w:val="single"/>
        </w:rPr>
        <w:t>建设工程</w:t>
      </w:r>
      <w:r>
        <w:rPr>
          <w:rFonts w:ascii="华文仿宋" w:hAnsi="华文仿宋" w:eastAsia="华文仿宋" w:cs="仿宋"/>
          <w:color w:val="auto"/>
          <w:sz w:val="28"/>
          <w:szCs w:val="28"/>
          <w:highlight w:val="none"/>
          <w:u w:val="single"/>
        </w:rPr>
        <w:t>施工现场环境与卫生标准》</w:t>
      </w:r>
      <w:r>
        <w:rPr>
          <w:rFonts w:hint="eastAsia" w:ascii="华文仿宋" w:hAnsi="华文仿宋" w:eastAsia="华文仿宋" w:cs="仿宋"/>
          <w:color w:val="auto"/>
          <w:sz w:val="28"/>
          <w:szCs w:val="28"/>
          <w:highlight w:val="none"/>
          <w:u w:val="single"/>
        </w:rPr>
        <w:t>（JGJ146-2013）</w:t>
      </w:r>
      <w:r>
        <w:rPr>
          <w:rFonts w:ascii="华文仿宋" w:hAnsi="华文仿宋" w:eastAsia="华文仿宋" w:cs="仿宋"/>
          <w:color w:val="auto"/>
          <w:sz w:val="28"/>
          <w:szCs w:val="28"/>
          <w:highlight w:val="none"/>
          <w:u w:val="single"/>
        </w:rPr>
        <w:t>、广东省建设厅转发建设部关于印发《建筑工程安全文明施工措施费用及使用管理规定》的通知（粤建管字〔2005〕116号）、</w:t>
      </w:r>
      <w:r>
        <w:rPr>
          <w:rFonts w:hint="eastAsia" w:ascii="华文仿宋" w:hAnsi="华文仿宋" w:eastAsia="华文仿宋" w:cs="仿宋"/>
          <w:color w:val="auto"/>
          <w:sz w:val="28"/>
          <w:szCs w:val="28"/>
          <w:highlight w:val="none"/>
          <w:u w:val="single"/>
        </w:rPr>
        <w:t>《广东省住房和城乡建设厅关于建筑工程绿色施工的管理办法（暂行）》（粤建质〔2016〕242号文）、</w:t>
      </w:r>
      <w:r>
        <w:rPr>
          <w:rFonts w:ascii="华文仿宋" w:hAnsi="华文仿宋" w:eastAsia="华文仿宋" w:cs="仿宋"/>
          <w:color w:val="auto"/>
          <w:sz w:val="28"/>
          <w:szCs w:val="28"/>
          <w:highlight w:val="none"/>
          <w:u w:val="single"/>
        </w:rPr>
        <w:t>广东省建设厅转发建设部关于印发《建筑施工人员个人劳动保护用品使用管理暂行规定》的通知（粤建安字〔2007〕108号）、广州市建设委员会关于印发《广州市建筑工程安全生产措施费管理办法》的通知(穗建筑[2003]106号)、《广州市建设工程现场文明施工管理办法》（穗建质〔2008〕937号）、《关于进一步规范建设工程施工现场围蔽的通知》（穗建质〔2008〕1008号）、《关于落实施工企业施工现场安全文明施工管理责任的通知》（穗建筑〔2009〕134</w:t>
      </w:r>
      <w:r>
        <w:rPr>
          <w:rFonts w:hint="eastAsia" w:ascii="华文仿宋" w:hAnsi="华文仿宋" w:eastAsia="华文仿宋" w:cs="仿宋"/>
          <w:color w:val="auto"/>
          <w:sz w:val="28"/>
          <w:szCs w:val="28"/>
          <w:highlight w:val="none"/>
          <w:u w:val="single"/>
        </w:rPr>
        <w:t>3</w:t>
      </w:r>
      <w:r>
        <w:rPr>
          <w:rFonts w:ascii="华文仿宋" w:hAnsi="华文仿宋" w:eastAsia="华文仿宋" w:cs="仿宋"/>
          <w:color w:val="auto"/>
          <w:sz w:val="28"/>
          <w:szCs w:val="28"/>
          <w:highlight w:val="none"/>
          <w:u w:val="single"/>
        </w:rPr>
        <w:t>号）、</w:t>
      </w:r>
      <w:r>
        <w:rPr>
          <w:rFonts w:hint="eastAsia" w:ascii="华文仿宋" w:hAnsi="华文仿宋" w:eastAsia="华文仿宋" w:cs="仿宋"/>
          <w:color w:val="auto"/>
          <w:sz w:val="28"/>
          <w:szCs w:val="28"/>
          <w:highlight w:val="none"/>
          <w:u w:val="single"/>
        </w:rPr>
        <w:t>《广州市城乡建设委员会关于印发广州市加强建筑工地环保管理工作方案的通知》</w:t>
      </w:r>
      <w:r>
        <w:rPr>
          <w:rFonts w:ascii="华文仿宋" w:hAnsi="华文仿宋" w:eastAsia="华文仿宋" w:cs="仿宋"/>
          <w:color w:val="auto"/>
          <w:sz w:val="28"/>
          <w:szCs w:val="28"/>
          <w:highlight w:val="none"/>
          <w:u w:val="single"/>
        </w:rPr>
        <w:t>（穗建</w:t>
      </w:r>
      <w:r>
        <w:rPr>
          <w:rFonts w:hint="eastAsia" w:ascii="华文仿宋" w:hAnsi="华文仿宋" w:eastAsia="华文仿宋" w:cs="仿宋"/>
          <w:color w:val="auto"/>
          <w:sz w:val="28"/>
          <w:szCs w:val="28"/>
          <w:highlight w:val="none"/>
          <w:u w:val="single"/>
        </w:rPr>
        <w:t>质</w:t>
      </w:r>
      <w:r>
        <w:rPr>
          <w:rFonts w:ascii="华文仿宋" w:hAnsi="华文仿宋" w:eastAsia="华文仿宋" w:cs="仿宋"/>
          <w:color w:val="auto"/>
          <w:sz w:val="28"/>
          <w:szCs w:val="28"/>
          <w:highlight w:val="none"/>
          <w:u w:val="single"/>
        </w:rPr>
        <w:t>〔2014〕754号）</w:t>
      </w:r>
      <w:r>
        <w:rPr>
          <w:rFonts w:hint="eastAsia" w:ascii="华文仿宋" w:hAnsi="华文仿宋" w:eastAsia="华文仿宋" w:cs="仿宋"/>
          <w:color w:val="auto"/>
          <w:sz w:val="28"/>
          <w:szCs w:val="28"/>
          <w:highlight w:val="none"/>
          <w:u w:val="single"/>
        </w:rPr>
        <w:t>、广州市住房和城乡建设委员会等9部门关于印发广州市建设工程绿色施工围蔽指导图集（V2.0版）的通知（穗建质</w:t>
      </w:r>
      <w:r>
        <w:rPr>
          <w:rFonts w:ascii="华文仿宋" w:hAnsi="华文仿宋" w:eastAsia="华文仿宋" w:cs="仿宋"/>
          <w:color w:val="auto"/>
          <w:sz w:val="28"/>
          <w:szCs w:val="28"/>
          <w:highlight w:val="none"/>
          <w:u w:val="single"/>
        </w:rPr>
        <w:t>〔20</w:t>
      </w:r>
      <w:r>
        <w:rPr>
          <w:rFonts w:hint="eastAsia" w:ascii="华文仿宋" w:hAnsi="华文仿宋" w:eastAsia="华文仿宋" w:cs="仿宋"/>
          <w:color w:val="auto"/>
          <w:sz w:val="28"/>
          <w:szCs w:val="28"/>
          <w:highlight w:val="none"/>
          <w:u w:val="single"/>
        </w:rPr>
        <w:t>20</w:t>
      </w:r>
      <w:r>
        <w:rPr>
          <w:rFonts w:ascii="华文仿宋" w:hAnsi="华文仿宋" w:eastAsia="华文仿宋" w:cs="仿宋"/>
          <w:color w:val="auto"/>
          <w:sz w:val="28"/>
          <w:szCs w:val="28"/>
          <w:highlight w:val="none"/>
          <w:u w:val="single"/>
        </w:rPr>
        <w:t>〕</w:t>
      </w:r>
      <w:r>
        <w:rPr>
          <w:rFonts w:hint="eastAsia" w:ascii="华文仿宋" w:hAnsi="华文仿宋" w:eastAsia="华文仿宋" w:cs="仿宋"/>
          <w:color w:val="auto"/>
          <w:sz w:val="28"/>
          <w:szCs w:val="28"/>
          <w:highlight w:val="none"/>
          <w:u w:val="single"/>
        </w:rPr>
        <w:t>1号）、</w:t>
      </w:r>
      <w:r>
        <w:rPr>
          <w:rFonts w:ascii="华文仿宋" w:hAnsi="华文仿宋" w:eastAsia="华文仿宋" w:cs="仿宋"/>
          <w:color w:val="auto"/>
          <w:sz w:val="28"/>
          <w:szCs w:val="28"/>
          <w:highlight w:val="none"/>
          <w:u w:val="single"/>
        </w:rPr>
        <w:t>《关于加强建设工程占用道路督查工作方案》、《建设工地余泥渣土运输与排放源头管理工作实施意见》、关于印发《市城投集团井盖设施管理工作方案 》的通知</w:t>
      </w:r>
      <w:r>
        <w:rPr>
          <w:rFonts w:hint="eastAsia" w:ascii="华文仿宋" w:hAnsi="华文仿宋" w:eastAsia="华文仿宋" w:cs="仿宋"/>
          <w:color w:val="auto"/>
          <w:sz w:val="28"/>
          <w:szCs w:val="28"/>
          <w:highlight w:val="none"/>
          <w:u w:val="single"/>
        </w:rPr>
        <w:t>、发包人关于安全文明施工标准及质量风险等标准</w:t>
      </w:r>
      <w:r>
        <w:rPr>
          <w:rFonts w:ascii="华文仿宋" w:hAnsi="华文仿宋" w:eastAsia="华文仿宋" w:cs="仿宋"/>
          <w:color w:val="auto"/>
          <w:sz w:val="28"/>
          <w:szCs w:val="28"/>
          <w:highlight w:val="none"/>
          <w:u w:val="single"/>
        </w:rPr>
        <w:t>的相关规定。上述标准如有更新，以最新要求为准。</w:t>
      </w:r>
    </w:p>
    <w:p w14:paraId="6943A373">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承包人应保持现场整洁，保证卫生要求，合理地安排临时设施，存放和处置好设备及材料，及时清运垃圾和余泥，处理好污水排放。工程完工后，承包人应立即从施工现场搬走或清除承包人的设备、材料、垃圾以及各种临时设施，并保持施工现场和工程清洁整齐，但承包人应保留</w:t>
      </w:r>
      <w:r>
        <w:rPr>
          <w:rFonts w:hint="eastAsia" w:ascii="华文仿宋" w:hAnsi="华文仿宋" w:eastAsia="华文仿宋" w:cs="仿宋"/>
          <w:color w:val="auto"/>
          <w:sz w:val="28"/>
          <w:szCs w:val="28"/>
          <w:highlight w:val="none"/>
        </w:rPr>
        <w:t>其</w:t>
      </w:r>
      <w:r>
        <w:rPr>
          <w:rFonts w:ascii="华文仿宋" w:hAnsi="华文仿宋" w:eastAsia="华文仿宋" w:cs="仿宋"/>
          <w:color w:val="auto"/>
          <w:sz w:val="28"/>
          <w:szCs w:val="28"/>
          <w:highlight w:val="none"/>
        </w:rPr>
        <w:t>为在缺陷责任期内履行其义务而需要</w:t>
      </w:r>
      <w:r>
        <w:rPr>
          <w:rFonts w:hint="eastAsia" w:ascii="华文仿宋" w:hAnsi="华文仿宋" w:eastAsia="华文仿宋" w:cs="仿宋"/>
          <w:color w:val="auto"/>
          <w:sz w:val="28"/>
          <w:szCs w:val="28"/>
          <w:highlight w:val="none"/>
        </w:rPr>
        <w:t>的</w:t>
      </w:r>
      <w:r>
        <w:rPr>
          <w:rFonts w:ascii="华文仿宋" w:hAnsi="华文仿宋" w:eastAsia="华文仿宋" w:cs="仿宋"/>
          <w:color w:val="auto"/>
          <w:sz w:val="28"/>
          <w:szCs w:val="28"/>
          <w:highlight w:val="none"/>
        </w:rPr>
        <w:t>材料、设备和临时设施。</w:t>
      </w:r>
    </w:p>
    <w:p w14:paraId="62E2571B">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承包人</w:t>
      </w:r>
      <w:r>
        <w:rPr>
          <w:rFonts w:hint="eastAsia" w:ascii="华文仿宋" w:hAnsi="华文仿宋" w:eastAsia="华文仿宋" w:cs="仿宋"/>
          <w:color w:val="auto"/>
          <w:sz w:val="28"/>
          <w:szCs w:val="28"/>
          <w:highlight w:val="none"/>
        </w:rPr>
        <w:t>应</w:t>
      </w:r>
      <w:r>
        <w:rPr>
          <w:rFonts w:ascii="华文仿宋" w:hAnsi="华文仿宋" w:eastAsia="华文仿宋" w:cs="仿宋"/>
          <w:color w:val="auto"/>
          <w:sz w:val="28"/>
          <w:szCs w:val="28"/>
          <w:highlight w:val="none"/>
        </w:rPr>
        <w:t>做好安全文明施工的各种措施并承担相应的责任，落实相关工作的责任人，并在开工前提交给发包人备案。承包人不按文明施工要求和规定进行施工，在发包人发出通知7日后，承包人应按要求整改，如承包人不整改或整改后仍达不到要求的，由监理方发停工令，停工期间每天罚款一万元，直到达到整改要求。停工后仍不整改的将终止合同。</w:t>
      </w:r>
    </w:p>
    <w:p w14:paraId="203488F8">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(9)双方约定承包人应做的其他工作：</w:t>
      </w:r>
    </w:p>
    <w:p w14:paraId="1A7743A0">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A、承包人须负责填写、搜集、整理、汇总办理占道开挖许可证、余泥排放许可证（余泥排放费等已包含在投标报价内，发包人</w:t>
      </w:r>
      <w:r>
        <w:rPr>
          <w:rFonts w:hint="eastAsia" w:ascii="华文仿宋" w:hAnsi="华文仿宋" w:eastAsia="华文仿宋" w:cs="仿宋"/>
          <w:color w:val="auto"/>
          <w:sz w:val="28"/>
          <w:szCs w:val="28"/>
          <w:highlight w:val="none"/>
        </w:rPr>
        <w:t>不另行支付）、临时排水、排污证、夜间施工许可证，并办理施工许可证和质监、安监登记等施工和验收必要的许可及证明。其中，施工许可证、工程质量安全监督报监手续按政府相关规定各自承担相应费用，余泥排放证及其他费用均由承包人综合考虑在投标报价内，发包人不另行支付。</w:t>
      </w:r>
    </w:p>
    <w:p w14:paraId="6C6A0712">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B</w:t>
      </w:r>
      <w:r>
        <w:rPr>
          <w:rFonts w:ascii="仿宋" w:hAnsi="仿宋" w:eastAsia="仿宋" w:cs="仿宋"/>
          <w:color w:val="auto"/>
          <w:sz w:val="28"/>
          <w:szCs w:val="28"/>
          <w:highlight w:val="none"/>
        </w:rPr>
        <w:t>、在施工中若发现设计错误或严重不合理时，承包人须立即书面通知发包人及监理</w:t>
      </w:r>
      <w:r>
        <w:rPr>
          <w:rFonts w:hint="eastAsia" w:ascii="仿宋" w:hAnsi="仿宋" w:eastAsia="仿宋" w:cs="仿宋"/>
          <w:color w:val="auto"/>
          <w:sz w:val="28"/>
          <w:szCs w:val="28"/>
          <w:highlight w:val="none"/>
        </w:rPr>
        <w:t>单位</w:t>
      </w:r>
      <w:r>
        <w:rPr>
          <w:rFonts w:ascii="仿宋" w:hAnsi="仿宋" w:eastAsia="仿宋" w:cs="仿宋"/>
          <w:color w:val="auto"/>
          <w:sz w:val="28"/>
          <w:szCs w:val="28"/>
          <w:highlight w:val="none"/>
        </w:rPr>
        <w:t>。</w:t>
      </w:r>
    </w:p>
    <w:p w14:paraId="3A9E355A">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C、承包人须自费负责处理施工期间与工程有关的居民纠纷。</w:t>
      </w:r>
    </w:p>
    <w:p w14:paraId="62718241">
      <w:pPr>
        <w:pStyle w:val="14"/>
        <w:spacing w:after="0" w:line="360" w:lineRule="auto"/>
        <w:ind w:firstLine="561"/>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D、承包人须自费负责对施工过程中自身产品、半成品、成品进行保护，发生损坏由承包人自费负责修复。</w:t>
      </w:r>
    </w:p>
    <w:p w14:paraId="379ED92C">
      <w:pPr>
        <w:pStyle w:val="14"/>
        <w:spacing w:line="360" w:lineRule="auto"/>
        <w:ind w:firstLine="56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E、关于临水</w:t>
      </w:r>
      <w:r>
        <w:rPr>
          <w:rFonts w:ascii="华文仿宋" w:hAnsi="华文仿宋" w:eastAsia="华文仿宋" w:cs="仿宋"/>
          <w:color w:val="auto"/>
          <w:sz w:val="28"/>
          <w:szCs w:val="28"/>
          <w:highlight w:val="none"/>
        </w:rPr>
        <w:t>临电</w:t>
      </w:r>
      <w:r>
        <w:rPr>
          <w:rFonts w:hint="eastAsia" w:ascii="华文仿宋" w:hAnsi="华文仿宋" w:eastAsia="华文仿宋" w:cs="仿宋"/>
          <w:color w:val="auto"/>
          <w:sz w:val="28"/>
          <w:szCs w:val="28"/>
          <w:highlight w:val="none"/>
        </w:rPr>
        <w:t>方面的</w:t>
      </w:r>
      <w:r>
        <w:rPr>
          <w:rFonts w:ascii="华文仿宋" w:hAnsi="华文仿宋" w:eastAsia="华文仿宋" w:cs="仿宋"/>
          <w:color w:val="auto"/>
          <w:sz w:val="28"/>
          <w:szCs w:val="28"/>
          <w:highlight w:val="none"/>
        </w:rPr>
        <w:t>要求</w:t>
      </w:r>
      <w:r>
        <w:rPr>
          <w:rFonts w:hint="eastAsia" w:ascii="华文仿宋" w:hAnsi="华文仿宋" w:eastAsia="华文仿宋" w:cs="仿宋"/>
          <w:color w:val="auto"/>
          <w:sz w:val="28"/>
          <w:szCs w:val="28"/>
          <w:highlight w:val="none"/>
        </w:rPr>
        <w:t>：（1）承包人的用水用电由发包人提供接驳点，由承包人向其按时足额缴纳水电费；如承包人逾期缴纳水电费造成停水停电的，则由此导致的相关工期延误、经济损失及连带责任均由承包人自行承担，且承包人应按累计欠缴水电费总额向发包人支付违约金。施工水电管线及用水用电的容量不足部分由承包人自行解决，相关费用已综合考虑在承包人投标总报价内。</w:t>
      </w:r>
    </w:p>
    <w:p w14:paraId="63FE337D">
      <w:pPr>
        <w:pStyle w:val="14"/>
        <w:spacing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9.3承包人须严格遵守国家、省、市有关防火、爆破和施工安全以及文明施工、夜间施工、环卫和城管等规定，建立规章制度和防护措施，并承担由于自身措施不力造成事故责任和发生的费用。</w:t>
      </w:r>
    </w:p>
    <w:p w14:paraId="2A0A3FB1">
      <w:pPr>
        <w:pStyle w:val="19"/>
        <w:spacing w:line="360" w:lineRule="auto"/>
        <w:ind w:left="0"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9.4承包人须对施工图、技术资料作认真的复核和检查，有预见性的发现和指正设计缺陷和错误，并提出能实质性的节约资金和缩短工期的建议和措施。</w:t>
      </w:r>
    </w:p>
    <w:p w14:paraId="663A37C0">
      <w:pPr>
        <w:pStyle w:val="19"/>
        <w:spacing w:line="360" w:lineRule="auto"/>
        <w:ind w:left="0"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9.5承包人须自行负责自身或其分包人所雇用的</w:t>
      </w:r>
      <w:r>
        <w:rPr>
          <w:rFonts w:hint="eastAsia" w:ascii="华文仿宋" w:hAnsi="华文仿宋" w:eastAsia="华文仿宋" w:cs="仿宋"/>
          <w:color w:val="auto"/>
          <w:sz w:val="28"/>
          <w:szCs w:val="28"/>
          <w:highlight w:val="none"/>
        </w:rPr>
        <w:t>建设领域</w:t>
      </w:r>
      <w:r>
        <w:rPr>
          <w:rFonts w:ascii="华文仿宋" w:hAnsi="华文仿宋" w:eastAsia="华文仿宋" w:cs="仿宋"/>
          <w:color w:val="auto"/>
          <w:sz w:val="28"/>
          <w:szCs w:val="28"/>
          <w:highlight w:val="none"/>
        </w:rPr>
        <w:t>工人出现的伤亡事故或损失（由于发包人或监理单位的行为失误所造成的除外）。对于这类伤亡或损失，发包人不负</w:t>
      </w:r>
      <w:r>
        <w:rPr>
          <w:rFonts w:hint="eastAsia" w:ascii="华文仿宋" w:hAnsi="华文仿宋" w:eastAsia="华文仿宋" w:cs="仿宋"/>
          <w:color w:val="auto"/>
          <w:sz w:val="28"/>
          <w:szCs w:val="28"/>
          <w:highlight w:val="none"/>
        </w:rPr>
        <w:t>任何责</w:t>
      </w:r>
      <w:r>
        <w:rPr>
          <w:rFonts w:ascii="华文仿宋" w:hAnsi="华文仿宋" w:eastAsia="华文仿宋" w:cs="仿宋"/>
          <w:color w:val="auto"/>
          <w:sz w:val="28"/>
          <w:szCs w:val="28"/>
          <w:highlight w:val="none"/>
        </w:rPr>
        <w:t>任，不负担涉及这类伤亡或损失的索赔、诉讼、损害赔偿及其它费用。对分包单位出现的</w:t>
      </w:r>
      <w:r>
        <w:rPr>
          <w:rFonts w:hint="eastAsia" w:ascii="华文仿宋" w:hAnsi="华文仿宋" w:eastAsia="华文仿宋" w:cs="仿宋"/>
          <w:color w:val="auto"/>
          <w:sz w:val="28"/>
          <w:szCs w:val="28"/>
          <w:highlight w:val="none"/>
        </w:rPr>
        <w:t>建设领域</w:t>
      </w:r>
      <w:r>
        <w:rPr>
          <w:rFonts w:ascii="华文仿宋" w:hAnsi="华文仿宋" w:eastAsia="华文仿宋" w:cs="仿宋"/>
          <w:color w:val="auto"/>
          <w:sz w:val="28"/>
          <w:szCs w:val="28"/>
          <w:highlight w:val="none"/>
        </w:rPr>
        <w:t>工人意外事故或伤害，由于分包单位原因造成的，承包人须承担连带责任</w:t>
      </w:r>
      <w:r>
        <w:rPr>
          <w:rFonts w:hint="eastAsia" w:ascii="华文仿宋" w:hAnsi="华文仿宋" w:eastAsia="华文仿宋" w:cs="仿宋"/>
          <w:color w:val="auto"/>
          <w:sz w:val="28"/>
          <w:szCs w:val="28"/>
          <w:highlight w:val="none"/>
        </w:rPr>
        <w:t>，发包人不负任何责任</w:t>
      </w:r>
      <w:r>
        <w:rPr>
          <w:rFonts w:ascii="华文仿宋" w:hAnsi="华文仿宋" w:eastAsia="华文仿宋" w:cs="仿宋"/>
          <w:color w:val="auto"/>
          <w:sz w:val="28"/>
          <w:szCs w:val="28"/>
          <w:highlight w:val="none"/>
        </w:rPr>
        <w:t>。</w:t>
      </w:r>
    </w:p>
    <w:p w14:paraId="6279A168">
      <w:pPr>
        <w:pStyle w:val="19"/>
        <w:spacing w:line="360" w:lineRule="auto"/>
        <w:ind w:left="0" w:firstLine="560"/>
        <w:outlineLvl w:val="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9.6干扰与协调</w:t>
      </w:r>
    </w:p>
    <w:p w14:paraId="6F31F8C2">
      <w:pPr>
        <w:pStyle w:val="19"/>
        <w:spacing w:line="360" w:lineRule="auto"/>
        <w:ind w:left="0"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9.6.1承包人应当清楚的预计到施工期间对外界可能产生的必需的不可能避免的干扰，并为此保证主动努力减少这些干扰对外界的影响，且须积极主动与外界进行协调。</w:t>
      </w:r>
    </w:p>
    <w:p w14:paraId="6B210C7B">
      <w:pPr>
        <w:pStyle w:val="19"/>
        <w:spacing w:line="360" w:lineRule="auto"/>
        <w:ind w:left="0"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9.6.2除必须发包人出面的情况外，承包人须全面负责协调施工期间外界的各种干扰。</w:t>
      </w:r>
    </w:p>
    <w:p w14:paraId="6DE8BB00">
      <w:pPr>
        <w:pStyle w:val="19"/>
        <w:spacing w:line="360" w:lineRule="auto"/>
        <w:ind w:left="0"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9.6.3发包人将在承包人的配合下，充分运用自己对各方面的影响力，尽可能的将外界对工程的干扰减少到最小程度，但此种协调并不解除承包人的责任与义务。</w:t>
      </w:r>
    </w:p>
    <w:p w14:paraId="145AD3A2">
      <w:pPr>
        <w:pStyle w:val="19"/>
        <w:spacing w:line="360" w:lineRule="auto"/>
        <w:ind w:left="0"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9.6.4承包人须自费做好工程竣工验收前场内各单位的协调配合工作，由于承包人协调配合不力或未能预见可能出现的问题，而导致工程返工或阻碍其他单位正常施工的，承包人须按专用条款承担相应违约责任。</w:t>
      </w:r>
    </w:p>
    <w:p w14:paraId="7B759F3A">
      <w:pPr>
        <w:spacing w:line="360" w:lineRule="auto"/>
        <w:ind w:firstLine="562"/>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9.7承包人须自费负责施工场地的清理、平整，对施工场地内的所有地上及地下障碍物进行清理及外运，相关费用已</w:t>
      </w:r>
      <w:r>
        <w:rPr>
          <w:rFonts w:hint="eastAsia" w:ascii="华文仿宋" w:hAnsi="华文仿宋" w:eastAsia="华文仿宋" w:cs="仿宋"/>
          <w:color w:val="auto"/>
          <w:sz w:val="28"/>
          <w:szCs w:val="28"/>
          <w:highlight w:val="none"/>
        </w:rPr>
        <w:t>由</w:t>
      </w:r>
      <w:r>
        <w:rPr>
          <w:rFonts w:ascii="华文仿宋" w:hAnsi="华文仿宋" w:eastAsia="华文仿宋" w:cs="仿宋"/>
          <w:color w:val="auto"/>
          <w:sz w:val="28"/>
          <w:szCs w:val="28"/>
          <w:highlight w:val="none"/>
        </w:rPr>
        <w:t>承包人综合考虑在投标报价中，发包人不再就此支付任何费用。</w:t>
      </w:r>
    </w:p>
    <w:p w14:paraId="6A6A68CE">
      <w:pPr>
        <w:pStyle w:val="14"/>
        <w:spacing w:after="0" w:line="360" w:lineRule="auto"/>
        <w:ind w:firstLine="56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9.</w:t>
      </w:r>
      <w:r>
        <w:rPr>
          <w:rFonts w:ascii="华文仿宋" w:hAnsi="华文仿宋" w:eastAsia="华文仿宋" w:cs="仿宋"/>
          <w:color w:val="auto"/>
          <w:sz w:val="28"/>
          <w:szCs w:val="28"/>
          <w:highlight w:val="none"/>
        </w:rPr>
        <w:t>8</w:t>
      </w:r>
      <w:r>
        <w:rPr>
          <w:rFonts w:hint="eastAsia" w:ascii="华文仿宋" w:hAnsi="华文仿宋" w:eastAsia="华文仿宋" w:cs="仿宋"/>
          <w:color w:val="auto"/>
          <w:sz w:val="28"/>
          <w:szCs w:val="28"/>
          <w:highlight w:val="none"/>
        </w:rPr>
        <w:t>承包人承诺无条件遵守发包人所制订的各项管理制度及规定，否则，发包人有权按照专用条款第35.2.</w:t>
      </w:r>
      <w:r>
        <w:rPr>
          <w:rFonts w:ascii="华文仿宋" w:hAnsi="华文仿宋" w:eastAsia="华文仿宋" w:cs="仿宋"/>
          <w:color w:val="auto"/>
          <w:sz w:val="28"/>
          <w:szCs w:val="28"/>
          <w:highlight w:val="none"/>
        </w:rPr>
        <w:t>8</w:t>
      </w:r>
      <w:r>
        <w:rPr>
          <w:rFonts w:hint="eastAsia" w:ascii="华文仿宋" w:hAnsi="华文仿宋" w:eastAsia="华文仿宋" w:cs="仿宋"/>
          <w:color w:val="auto"/>
          <w:sz w:val="28"/>
          <w:szCs w:val="28"/>
          <w:highlight w:val="none"/>
        </w:rPr>
        <w:t>条追究承包人违约责任。</w:t>
      </w:r>
    </w:p>
    <w:p w14:paraId="0F43A70B">
      <w:pPr>
        <w:pStyle w:val="14"/>
        <w:spacing w:after="0" w:line="360" w:lineRule="auto"/>
        <w:ind w:firstLine="56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9.</w:t>
      </w:r>
      <w:r>
        <w:rPr>
          <w:rFonts w:ascii="华文仿宋" w:hAnsi="华文仿宋" w:eastAsia="华文仿宋" w:cs="仿宋"/>
          <w:color w:val="auto"/>
          <w:sz w:val="28"/>
          <w:szCs w:val="28"/>
          <w:highlight w:val="none"/>
        </w:rPr>
        <w:t>9</w:t>
      </w:r>
      <w:r>
        <w:rPr>
          <w:rFonts w:hint="eastAsia" w:ascii="华文仿宋" w:hAnsi="华文仿宋" w:eastAsia="华文仿宋" w:cs="仿宋"/>
          <w:color w:val="auto"/>
          <w:sz w:val="28"/>
          <w:szCs w:val="28"/>
          <w:highlight w:val="none"/>
        </w:rPr>
        <w:t>承包人应当按照国家及广东省、广州市的有关规定和本合同的有关约定加强其参与本合同工程建设人员（包括农民工、工人、临时工等建设领域工人）的管理。</w:t>
      </w:r>
    </w:p>
    <w:p w14:paraId="316BFC4E">
      <w:pPr>
        <w:pStyle w:val="19"/>
        <w:spacing w:line="360" w:lineRule="auto"/>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（1）按时足额支付建设领域</w:t>
      </w:r>
      <w:r>
        <w:rPr>
          <w:rFonts w:ascii="华文仿宋" w:hAnsi="华文仿宋" w:eastAsia="华文仿宋" w:cs="仿宋"/>
          <w:color w:val="auto"/>
          <w:sz w:val="28"/>
          <w:szCs w:val="28"/>
          <w:highlight w:val="none"/>
        </w:rPr>
        <w:t>工人</w:t>
      </w:r>
      <w:r>
        <w:rPr>
          <w:rFonts w:hint="eastAsia" w:ascii="华文仿宋" w:hAnsi="华文仿宋" w:eastAsia="华文仿宋" w:cs="仿宋"/>
          <w:color w:val="auto"/>
          <w:sz w:val="28"/>
          <w:szCs w:val="28"/>
          <w:highlight w:val="none"/>
        </w:rPr>
        <w:t>工资</w:t>
      </w:r>
    </w:p>
    <w:p w14:paraId="16BB15BA">
      <w:pPr>
        <w:pStyle w:val="19"/>
        <w:spacing w:line="360" w:lineRule="auto"/>
        <w:ind w:left="0" w:firstLine="560" w:firstLineChars="20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1）承包人应当根据劳动合同约定的建设领域工人工资标准等内容，按照依法签订的集体合同或劳动合同约定的日期按月支付工资，并不得低于当地最低工资标准。</w:t>
      </w:r>
    </w:p>
    <w:p w14:paraId="223D4ECC">
      <w:pPr>
        <w:pStyle w:val="19"/>
        <w:spacing w:line="360" w:lineRule="auto"/>
        <w:ind w:left="0" w:firstLine="560" w:firstLineChars="20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2）承包人应每月编制建设领域工人工资支付表，如实记录支付时间、支付对象、支付金额等工资支付情况，并于每月底在其现场管理机构办公场所显眼位置公示，接受监督。</w:t>
      </w:r>
    </w:p>
    <w:p w14:paraId="2504B3DD">
      <w:pPr>
        <w:spacing w:line="360" w:lineRule="auto"/>
        <w:ind w:firstLine="560" w:firstLineChars="20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3）承包人应按上述1）、2）项要求对其专业分包或劳务分包单位工资支付</w:t>
      </w:r>
      <w:r>
        <w:rPr>
          <w:rFonts w:hint="eastAsia" w:ascii="华文仿宋" w:hAnsi="华文仿宋" w:eastAsia="华文仿宋" w:cs="仿宋"/>
          <w:b/>
          <w:bCs/>
          <w:color w:val="auto"/>
          <w:sz w:val="28"/>
          <w:szCs w:val="28"/>
          <w:highlight w:val="none"/>
        </w:rPr>
        <w:t>进行监督</w:t>
      </w:r>
      <w:r>
        <w:rPr>
          <w:rFonts w:hint="eastAsia" w:ascii="华文仿宋" w:hAnsi="华文仿宋" w:eastAsia="华文仿宋" w:cs="仿宋"/>
          <w:color w:val="auto"/>
          <w:sz w:val="28"/>
          <w:szCs w:val="28"/>
          <w:highlight w:val="none"/>
        </w:rPr>
        <w:t>，每月收集分包单位编制建设领域工人工资支付表，并于每月底提交总监理工程师备案，督促其依法支付建设领域工人工资。承包人应按国家、省、市相关规定代发分包单位工人工资。</w:t>
      </w:r>
    </w:p>
    <w:p w14:paraId="4074F143">
      <w:pPr>
        <w:spacing w:line="360" w:lineRule="auto"/>
        <w:ind w:firstLine="560" w:firstLineChars="20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4</w:t>
      </w:r>
      <w:r>
        <w:rPr>
          <w:rFonts w:hint="eastAsia" w:ascii="华文仿宋" w:hAnsi="华文仿宋" w:eastAsia="华文仿宋" w:cs="仿宋"/>
          <w:color w:val="auto"/>
          <w:sz w:val="28"/>
          <w:szCs w:val="28"/>
          <w:highlight w:val="none"/>
        </w:rPr>
        <w:t>）</w:t>
      </w:r>
      <w:r>
        <w:rPr>
          <w:rFonts w:ascii="华文仿宋" w:hAnsi="华文仿宋" w:eastAsia="华文仿宋" w:cs="仿宋"/>
          <w:color w:val="auto"/>
          <w:sz w:val="28"/>
          <w:szCs w:val="28"/>
          <w:highlight w:val="none"/>
        </w:rPr>
        <w:t>承包人应当按照有关要求，建立</w:t>
      </w:r>
      <w:r>
        <w:rPr>
          <w:rFonts w:ascii="华文仿宋" w:hAnsi="华文仿宋" w:eastAsia="华文仿宋" w:cs="仿宋"/>
          <w:b/>
          <w:bCs/>
          <w:color w:val="auto"/>
          <w:sz w:val="28"/>
          <w:szCs w:val="28"/>
          <w:highlight w:val="none"/>
        </w:rPr>
        <w:t>实名制管理</w:t>
      </w:r>
      <w:r>
        <w:rPr>
          <w:rFonts w:ascii="华文仿宋" w:hAnsi="华文仿宋" w:eastAsia="华文仿宋" w:cs="仿宋"/>
          <w:color w:val="auto"/>
          <w:sz w:val="28"/>
          <w:szCs w:val="28"/>
          <w:highlight w:val="none"/>
        </w:rPr>
        <w:t>机构，建立健全实名制信息采集、登记、报送、审核和档案管理的有关制度，落实实名管理制度，否则，由此引起的一切责任和后果（包括不限于被纳入企业“黑名单”、按招标及合同文件规定被发包人拒绝参与其后续工程招标项目投标等）均由承包人自行承担。</w:t>
      </w:r>
      <w:r>
        <w:rPr>
          <w:rFonts w:ascii="华文仿宋" w:hAnsi="华文仿宋" w:eastAsia="华文仿宋" w:cs="仿宋"/>
          <w:color w:val="auto"/>
          <w:sz w:val="28"/>
          <w:szCs w:val="28"/>
          <w:highlight w:val="none"/>
        </w:rPr>
        <w:cr/>
      </w:r>
      <w:r>
        <w:rPr>
          <w:rFonts w:ascii="华文仿宋" w:hAnsi="华文仿宋" w:eastAsia="华文仿宋" w:cs="仿宋"/>
          <w:color w:val="auto"/>
          <w:sz w:val="28"/>
          <w:szCs w:val="28"/>
          <w:highlight w:val="none"/>
        </w:rPr>
        <w:t xml:space="preserve">    5</w:t>
      </w:r>
      <w:r>
        <w:rPr>
          <w:rFonts w:hint="eastAsia" w:ascii="华文仿宋" w:hAnsi="华文仿宋" w:eastAsia="华文仿宋" w:cs="仿宋"/>
          <w:color w:val="auto"/>
          <w:sz w:val="28"/>
          <w:szCs w:val="28"/>
          <w:highlight w:val="none"/>
        </w:rPr>
        <w:t>）</w:t>
      </w:r>
      <w:r>
        <w:rPr>
          <w:rFonts w:ascii="华文仿宋" w:hAnsi="华文仿宋" w:eastAsia="华文仿宋" w:cs="仿宋"/>
          <w:color w:val="auto"/>
          <w:sz w:val="28"/>
          <w:szCs w:val="28"/>
          <w:highlight w:val="none"/>
        </w:rPr>
        <w:t>施工总承包单位对实名管理负总责，</w:t>
      </w:r>
      <w:r>
        <w:rPr>
          <w:rFonts w:hint="eastAsia" w:ascii="华文仿宋" w:hAnsi="华文仿宋" w:eastAsia="华文仿宋" w:cs="仿宋"/>
          <w:color w:val="auto"/>
          <w:sz w:val="28"/>
          <w:szCs w:val="28"/>
          <w:highlight w:val="none"/>
        </w:rPr>
        <w:t>督促各分包单位落实实名管理制度</w:t>
      </w:r>
      <w:r>
        <w:rPr>
          <w:rFonts w:ascii="华文仿宋" w:hAnsi="华文仿宋" w:eastAsia="华文仿宋" w:cs="仿宋"/>
          <w:color w:val="auto"/>
          <w:sz w:val="28"/>
          <w:szCs w:val="28"/>
          <w:highlight w:val="none"/>
        </w:rPr>
        <w:t>。</w:t>
      </w:r>
    </w:p>
    <w:p w14:paraId="61587838">
      <w:pPr>
        <w:pStyle w:val="19"/>
        <w:spacing w:line="360" w:lineRule="auto"/>
        <w:ind w:left="0" w:firstLine="560" w:firstLineChars="20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6</w:t>
      </w:r>
      <w:r>
        <w:rPr>
          <w:rFonts w:hint="eastAsia" w:ascii="华文仿宋" w:hAnsi="华文仿宋" w:eastAsia="华文仿宋" w:cs="仿宋"/>
          <w:color w:val="auto"/>
          <w:sz w:val="28"/>
          <w:szCs w:val="28"/>
          <w:highlight w:val="none"/>
        </w:rPr>
        <w:t>）承包人不按合同及有关规定按时、足额支付分包单位合同价款及建设领域工人工资，或因此而被投诉或上访属实的，发包人将严格按照合同约定追究其违约责任；如因此致使建设领域工人集体上访、集聚围阻而造成社会不良影响的，按专用条款</w:t>
      </w:r>
      <w:r>
        <w:rPr>
          <w:rFonts w:ascii="华文仿宋" w:hAnsi="华文仿宋" w:eastAsia="华文仿宋" w:cs="仿宋"/>
          <w:color w:val="auto"/>
          <w:sz w:val="28"/>
          <w:szCs w:val="28"/>
          <w:highlight w:val="none"/>
        </w:rPr>
        <w:t>35.2.8</w:t>
      </w:r>
      <w:r>
        <w:rPr>
          <w:rFonts w:hint="eastAsia" w:ascii="华文仿宋" w:hAnsi="华文仿宋" w:eastAsia="华文仿宋" w:cs="仿宋"/>
          <w:color w:val="auto"/>
          <w:sz w:val="28"/>
          <w:szCs w:val="28"/>
          <w:highlight w:val="none"/>
        </w:rPr>
        <w:t>条处罚。发包人将立即终止与承包人的合同，并上报省、市主管部门建议取消其参加广东地区省、市重大项目的投标资格，并由发包人予以公告。如属恶意煽动并造成社会不良影响的，发包人将提请司法部门追究其法律责任。</w:t>
      </w:r>
    </w:p>
    <w:p w14:paraId="1A08F73B">
      <w:pPr>
        <w:pStyle w:val="19"/>
        <w:spacing w:line="360" w:lineRule="auto"/>
        <w:ind w:left="0" w:firstLine="560" w:firstLineChars="20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7</w:t>
      </w:r>
      <w:r>
        <w:rPr>
          <w:rFonts w:hint="eastAsia" w:ascii="华文仿宋" w:hAnsi="华文仿宋" w:eastAsia="华文仿宋" w:cs="仿宋"/>
          <w:color w:val="auto"/>
          <w:sz w:val="28"/>
          <w:szCs w:val="28"/>
          <w:highlight w:val="none"/>
        </w:rPr>
        <w:t>）由于承包人或其管理的分包单位、劳务合作单位拖欠建设领域工人工资，致使发包人被投诉或起诉并被政府行政部门判令先行垫付建设领域工人工资的，发包人除追究承包人和其它相关责任单位的违约责任外，还将在工程结算时双倍扣回发包人先行垫付的建设领域工人工资金额作为补偿。</w:t>
      </w:r>
    </w:p>
    <w:p w14:paraId="650141B6">
      <w:pPr>
        <w:pStyle w:val="19"/>
        <w:spacing w:line="360" w:lineRule="auto"/>
        <w:ind w:left="0" w:firstLine="560" w:firstLineChars="20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8</w:t>
      </w:r>
      <w:r>
        <w:rPr>
          <w:rFonts w:hint="eastAsia" w:ascii="华文仿宋" w:hAnsi="华文仿宋" w:eastAsia="华文仿宋" w:cs="仿宋"/>
          <w:color w:val="auto"/>
          <w:sz w:val="28"/>
          <w:szCs w:val="28"/>
          <w:highlight w:val="none"/>
        </w:rPr>
        <w:t>）承包人必须以高度负责的态度，对存在的可能引发劳资纠纷的各种因素进行排查，及时化解、处理可能发生劳资纠纷的不稳定因素；尤其是对恶意煽动建设领域工人集体上访、集聚围阻的行为，要善于及时发现并敢于揭露、制止，为本项目工程建设召开创造安全、文明、和谐的环境。</w:t>
      </w:r>
    </w:p>
    <w:p w14:paraId="7C42D48E">
      <w:pPr>
        <w:pStyle w:val="19"/>
        <w:spacing w:line="360" w:lineRule="auto"/>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（2）成立处理劳资纠纷的协调机构</w:t>
      </w:r>
    </w:p>
    <w:p w14:paraId="2AE14BF1">
      <w:pPr>
        <w:pStyle w:val="19"/>
        <w:spacing w:line="360" w:lineRule="auto"/>
        <w:ind w:left="0" w:firstLine="56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承包人必须成立处理劳资纠纷的协调机构，承包人主管领导和项目经理要亲自负责，配备专职人员，及时化解劳资矛盾及纠纷，并及时揭露、制止恶意煽动建设领域工人集体上访、集聚围阻的行为，保证在整个工程期间不发生建设领域工人集体上访、集聚围阻等事件。</w:t>
      </w:r>
    </w:p>
    <w:p w14:paraId="202B15E0">
      <w:pPr>
        <w:pStyle w:val="19"/>
        <w:spacing w:line="360" w:lineRule="auto"/>
        <w:ind w:left="0" w:firstLine="56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（3）承包人应在本工程开工前按</w:t>
      </w:r>
      <w:r>
        <w:rPr>
          <w:rFonts w:ascii="华文仿宋" w:hAnsi="华文仿宋" w:eastAsia="华文仿宋" w:cs="仿宋"/>
          <w:color w:val="auto"/>
          <w:sz w:val="28"/>
          <w:szCs w:val="28"/>
          <w:highlight w:val="none"/>
        </w:rPr>
        <w:t>《广州市建设领域工人工资支付分账管理实施细则》（穗建规字〔2020〕37号）、</w:t>
      </w:r>
      <w:r>
        <w:rPr>
          <w:rFonts w:hint="eastAsia" w:ascii="华文仿宋" w:hAnsi="华文仿宋" w:eastAsia="华文仿宋" w:cs="仿宋"/>
          <w:color w:val="auto"/>
          <w:sz w:val="28"/>
          <w:szCs w:val="28"/>
          <w:highlight w:val="none"/>
        </w:rPr>
        <w:t>《广州市住房和城乡建设局关于进一步规范落实实名制和工人工资分账管理的通知》（穗建筑〔2022〕287号）、</w:t>
      </w:r>
      <w:r>
        <w:rPr>
          <w:rFonts w:ascii="华文仿宋" w:hAnsi="华文仿宋" w:eastAsia="华文仿宋" w:cs="仿宋"/>
          <w:color w:val="auto"/>
          <w:sz w:val="28"/>
          <w:szCs w:val="28"/>
          <w:highlight w:val="none"/>
        </w:rPr>
        <w:t>《保障农民工工资支付条例》（国务院令第724号）</w:t>
      </w:r>
      <w:r>
        <w:rPr>
          <w:rFonts w:hint="eastAsia" w:ascii="华文仿宋" w:hAnsi="华文仿宋" w:eastAsia="华文仿宋" w:cs="仿宋"/>
          <w:color w:val="auto"/>
          <w:sz w:val="28"/>
          <w:szCs w:val="28"/>
          <w:highlight w:val="none"/>
        </w:rPr>
        <w:t>、《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w:t>
      </w:r>
      <w:r>
        <w:rPr>
          <w:rFonts w:ascii="华文仿宋" w:hAnsi="华文仿宋" w:eastAsia="华文仿宋" w:cs="仿宋"/>
          <w:color w:val="auto"/>
          <w:sz w:val="28"/>
          <w:szCs w:val="28"/>
          <w:highlight w:val="none"/>
        </w:rPr>
        <w:t>等</w:t>
      </w:r>
      <w:r>
        <w:rPr>
          <w:rFonts w:hint="eastAsia" w:ascii="华文仿宋" w:hAnsi="华文仿宋" w:eastAsia="华文仿宋" w:cs="仿宋"/>
          <w:color w:val="auto"/>
          <w:sz w:val="28"/>
          <w:szCs w:val="28"/>
          <w:highlight w:val="none"/>
        </w:rPr>
        <w:t>关于用工实名制和建设领域工人工资支付分账管理的规定及行业主管部门相关规定执行（如有新版本颁布，则按最新版本执行）。</w:t>
      </w:r>
      <w:r>
        <w:rPr>
          <w:rFonts w:ascii="华文仿宋" w:hAnsi="华文仿宋" w:eastAsia="华文仿宋" w:cs="仿宋"/>
          <w:color w:val="auto"/>
          <w:sz w:val="28"/>
          <w:szCs w:val="28"/>
          <w:highlight w:val="none"/>
        </w:rPr>
        <w:t>在广州市</w:t>
      </w:r>
      <w:r>
        <w:rPr>
          <w:rFonts w:hint="eastAsia" w:ascii="华文仿宋" w:hAnsi="华文仿宋" w:eastAsia="华文仿宋" w:cs="仿宋"/>
          <w:color w:val="auto"/>
          <w:sz w:val="28"/>
          <w:szCs w:val="28"/>
          <w:highlight w:val="none"/>
        </w:rPr>
        <w:t>设立本项目的建筑工人工资支付专用账户（</w:t>
      </w:r>
      <w:r>
        <w:rPr>
          <w:rFonts w:ascii="华文仿宋" w:hAnsi="华文仿宋" w:eastAsia="华文仿宋" w:cs="仿宋"/>
          <w:color w:val="auto"/>
          <w:sz w:val="28"/>
          <w:szCs w:val="28"/>
          <w:highlight w:val="none"/>
        </w:rPr>
        <w:t>在办理施工许可证时，按</w:t>
      </w:r>
      <w:r>
        <w:rPr>
          <w:rFonts w:hint="eastAsia" w:ascii="华文仿宋" w:hAnsi="华文仿宋" w:eastAsia="华文仿宋" w:cs="仿宋"/>
          <w:color w:val="auto"/>
          <w:sz w:val="28"/>
          <w:szCs w:val="28"/>
          <w:highlight w:val="none"/>
        </w:rPr>
        <w:t>广州市住建</w:t>
      </w:r>
      <w:r>
        <w:rPr>
          <w:rFonts w:ascii="华文仿宋" w:hAnsi="华文仿宋" w:eastAsia="华文仿宋" w:cs="仿宋"/>
          <w:color w:val="auto"/>
          <w:sz w:val="28"/>
          <w:szCs w:val="28"/>
          <w:highlight w:val="none"/>
        </w:rPr>
        <w:t>局和</w:t>
      </w:r>
      <w:r>
        <w:rPr>
          <w:rFonts w:hint="eastAsia" w:ascii="华文仿宋" w:hAnsi="华文仿宋" w:eastAsia="华文仿宋" w:cs="仿宋"/>
          <w:color w:val="auto"/>
          <w:sz w:val="28"/>
          <w:szCs w:val="28"/>
          <w:highlight w:val="none"/>
        </w:rPr>
        <w:t>广州市</w:t>
      </w:r>
      <w:r>
        <w:rPr>
          <w:rFonts w:ascii="华文仿宋" w:hAnsi="华文仿宋" w:eastAsia="华文仿宋" w:cs="仿宋"/>
          <w:color w:val="auto"/>
          <w:sz w:val="28"/>
          <w:szCs w:val="28"/>
          <w:highlight w:val="none"/>
        </w:rPr>
        <w:t>劳动和社会保障局的要求办理相关手续</w:t>
      </w:r>
      <w:r>
        <w:rPr>
          <w:rFonts w:hint="eastAsia" w:ascii="华文仿宋" w:hAnsi="华文仿宋" w:eastAsia="华文仿宋" w:cs="仿宋"/>
          <w:color w:val="auto"/>
          <w:sz w:val="28"/>
          <w:szCs w:val="28"/>
          <w:highlight w:val="none"/>
        </w:rPr>
        <w:t>）；对本项目的建设领域工人实行实名制管理，确保将本项目工资按时足额发放至建设领域工人的工资卡，</w:t>
      </w:r>
      <w:r>
        <w:rPr>
          <w:rFonts w:ascii="华文仿宋" w:hAnsi="华文仿宋" w:eastAsia="华文仿宋" w:cs="仿宋"/>
          <w:color w:val="auto"/>
          <w:sz w:val="28"/>
          <w:szCs w:val="28"/>
          <w:highlight w:val="none"/>
        </w:rPr>
        <w:t>并应建立用工及工资管理台账，真实、准确记录</w:t>
      </w:r>
      <w:r>
        <w:rPr>
          <w:rFonts w:hint="eastAsia" w:ascii="华文仿宋" w:hAnsi="华文仿宋" w:eastAsia="华文仿宋" w:cs="仿宋"/>
          <w:color w:val="auto"/>
          <w:sz w:val="28"/>
          <w:szCs w:val="28"/>
          <w:highlight w:val="none"/>
        </w:rPr>
        <w:t>建设领域工人</w:t>
      </w:r>
      <w:r>
        <w:rPr>
          <w:rFonts w:ascii="华文仿宋" w:hAnsi="华文仿宋" w:eastAsia="华文仿宋" w:cs="仿宋"/>
          <w:color w:val="auto"/>
          <w:sz w:val="28"/>
          <w:szCs w:val="28"/>
          <w:highlight w:val="none"/>
        </w:rPr>
        <w:t>名册、劳动合同、劳务合同、工程进度、工时、劳务承包款和</w:t>
      </w:r>
      <w:r>
        <w:rPr>
          <w:rFonts w:hint="eastAsia" w:ascii="华文仿宋" w:hAnsi="华文仿宋" w:eastAsia="华文仿宋" w:cs="仿宋"/>
          <w:color w:val="auto"/>
          <w:sz w:val="28"/>
          <w:szCs w:val="28"/>
          <w:highlight w:val="none"/>
        </w:rPr>
        <w:t>建设领域工人</w:t>
      </w:r>
      <w:r>
        <w:rPr>
          <w:rFonts w:ascii="华文仿宋" w:hAnsi="华文仿宋" w:eastAsia="华文仿宋" w:cs="仿宋"/>
          <w:color w:val="auto"/>
          <w:sz w:val="28"/>
          <w:szCs w:val="28"/>
          <w:highlight w:val="none"/>
        </w:rPr>
        <w:t>工资支付情况等信息，并保存两年以上备查。</w:t>
      </w:r>
      <w:r>
        <w:rPr>
          <w:rFonts w:hint="eastAsia" w:ascii="华文仿宋" w:hAnsi="华文仿宋" w:eastAsia="华文仿宋" w:cs="仿宋"/>
          <w:color w:val="auto"/>
          <w:sz w:val="28"/>
          <w:szCs w:val="28"/>
          <w:highlight w:val="none"/>
        </w:rPr>
        <w:t>发包人有权查阅台账，若发现有拖欠建设领域工人工资未发放的情况，可要求承包人另行提供建设领域工人工资支付保函。如因承包人未按规定设立、使用、变更、撤销建设领域工人工资支付专用账户导致本工程施工许可证未能如期办理、拖欠、克扣建设领域工人工资造成群体性事件或其他不良行为，引起的相关责任全部由承包人承担，并视为承包人未按合同约定履行其责任义务，发包人有权按本合同专用条件第35.2.6条追究承包人违约责任。</w:t>
      </w:r>
    </w:p>
    <w:p w14:paraId="2FF2E421">
      <w:pPr>
        <w:pStyle w:val="19"/>
        <w:spacing w:line="360" w:lineRule="auto"/>
        <w:ind w:left="0" w:firstLine="56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9</w:t>
      </w:r>
      <w:r>
        <w:rPr>
          <w:rFonts w:ascii="华文仿宋" w:hAnsi="华文仿宋" w:eastAsia="华文仿宋" w:cs="仿宋"/>
          <w:color w:val="auto"/>
          <w:sz w:val="28"/>
          <w:szCs w:val="28"/>
          <w:highlight w:val="none"/>
        </w:rPr>
        <w:t>.10承包人应按时参加发包人召开的会议，严格执行会议纪要的决定，服从调度，服从协调。</w:t>
      </w:r>
    </w:p>
    <w:p w14:paraId="142690D8">
      <w:pPr>
        <w:pStyle w:val="19"/>
        <w:spacing w:line="360" w:lineRule="auto"/>
        <w:ind w:left="0" w:firstLine="56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9</w:t>
      </w:r>
      <w:r>
        <w:rPr>
          <w:rFonts w:ascii="华文仿宋" w:hAnsi="华文仿宋" w:eastAsia="华文仿宋" w:cs="仿宋"/>
          <w:color w:val="auto"/>
          <w:sz w:val="28"/>
          <w:szCs w:val="28"/>
          <w:highlight w:val="none"/>
        </w:rPr>
        <w:t>.11承包人应遵守有关工程的施工、材料、设备存放等一切规章制度，施工场地范围内的安全、防火、保卫、文明施工及环境卫生工作由承包人负责。</w:t>
      </w:r>
    </w:p>
    <w:p w14:paraId="268F738E">
      <w:pPr>
        <w:pStyle w:val="15"/>
        <w:spacing w:after="0" w:line="360" w:lineRule="auto"/>
        <w:ind w:left="0" w:firstLine="56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9.1</w:t>
      </w:r>
      <w:r>
        <w:rPr>
          <w:rFonts w:ascii="华文仿宋" w:hAnsi="华文仿宋" w:eastAsia="华文仿宋" w:cs="仿宋"/>
          <w:color w:val="auto"/>
          <w:sz w:val="28"/>
          <w:szCs w:val="28"/>
          <w:highlight w:val="none"/>
        </w:rPr>
        <w:t>2</w:t>
      </w:r>
      <w:r>
        <w:rPr>
          <w:rFonts w:hint="eastAsia" w:ascii="华文仿宋" w:hAnsi="华文仿宋" w:eastAsia="华文仿宋" w:cs="仿宋"/>
          <w:color w:val="auto"/>
          <w:sz w:val="28"/>
          <w:szCs w:val="28"/>
          <w:highlight w:val="none"/>
        </w:rPr>
        <w:t>发包人提供的参考资料并不意味减免承包人对场地踏勘的责任。承包人同意及接受项目现场的一切现状，自行摸查并充分预计其风险并承担由此风险引起的所有费用，相关</w:t>
      </w:r>
      <w:r>
        <w:rPr>
          <w:rFonts w:ascii="华文仿宋" w:hAnsi="华文仿宋" w:eastAsia="华文仿宋" w:cs="仿宋"/>
          <w:color w:val="auto"/>
          <w:sz w:val="28"/>
          <w:szCs w:val="28"/>
          <w:highlight w:val="none"/>
        </w:rPr>
        <w:t>费用</w:t>
      </w:r>
      <w:r>
        <w:rPr>
          <w:rFonts w:hint="eastAsia" w:ascii="华文仿宋" w:hAnsi="华文仿宋" w:eastAsia="华文仿宋" w:cs="仿宋"/>
          <w:color w:val="auto"/>
          <w:sz w:val="28"/>
          <w:szCs w:val="28"/>
          <w:highlight w:val="none"/>
        </w:rPr>
        <w:t>已由承包人综合考虑在投标报价内，</w:t>
      </w:r>
      <w:r>
        <w:rPr>
          <w:rFonts w:ascii="华文仿宋" w:hAnsi="华文仿宋" w:eastAsia="华文仿宋" w:cs="仿宋"/>
          <w:color w:val="auto"/>
          <w:sz w:val="28"/>
          <w:szCs w:val="28"/>
          <w:highlight w:val="none"/>
        </w:rPr>
        <w:t>发包人不再就此支付任何费用</w:t>
      </w:r>
      <w:r>
        <w:rPr>
          <w:rFonts w:hint="eastAsia" w:ascii="华文仿宋" w:hAnsi="华文仿宋" w:eastAsia="华文仿宋" w:cs="仿宋"/>
          <w:color w:val="auto"/>
          <w:sz w:val="28"/>
          <w:szCs w:val="28"/>
          <w:highlight w:val="none"/>
        </w:rPr>
        <w:t>。</w:t>
      </w:r>
    </w:p>
    <w:p w14:paraId="6850D431">
      <w:pPr>
        <w:pStyle w:val="19"/>
        <w:spacing w:line="360" w:lineRule="auto"/>
        <w:ind w:left="0" w:firstLine="56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9</w:t>
      </w:r>
      <w:r>
        <w:rPr>
          <w:rFonts w:ascii="华文仿宋" w:hAnsi="华文仿宋" w:eastAsia="华文仿宋" w:cs="仿宋"/>
          <w:color w:val="auto"/>
          <w:sz w:val="28"/>
          <w:szCs w:val="28"/>
          <w:highlight w:val="none"/>
        </w:rPr>
        <w:t>.13承包人需</w:t>
      </w:r>
      <w:r>
        <w:rPr>
          <w:rFonts w:hint="eastAsia" w:ascii="华文仿宋" w:hAnsi="华文仿宋" w:eastAsia="华文仿宋" w:cs="仿宋"/>
          <w:color w:val="auto"/>
          <w:sz w:val="28"/>
          <w:szCs w:val="28"/>
          <w:highlight w:val="none"/>
        </w:rPr>
        <w:t>无条件配合本</w:t>
      </w:r>
      <w:r>
        <w:rPr>
          <w:rFonts w:ascii="华文仿宋" w:hAnsi="华文仿宋" w:eastAsia="华文仿宋" w:cs="仿宋"/>
          <w:color w:val="auto"/>
          <w:sz w:val="28"/>
          <w:szCs w:val="28"/>
          <w:highlight w:val="none"/>
        </w:rPr>
        <w:t>项目销售</w:t>
      </w:r>
      <w:r>
        <w:rPr>
          <w:rFonts w:hint="eastAsia" w:ascii="华文仿宋" w:hAnsi="华文仿宋" w:eastAsia="华文仿宋" w:cs="仿宋"/>
          <w:color w:val="auto"/>
          <w:sz w:val="28"/>
          <w:szCs w:val="28"/>
          <w:highlight w:val="none"/>
        </w:rPr>
        <w:t>及交楼</w:t>
      </w:r>
      <w:r>
        <w:rPr>
          <w:rFonts w:ascii="华文仿宋" w:hAnsi="华文仿宋" w:eastAsia="华文仿宋" w:cs="仿宋"/>
          <w:color w:val="auto"/>
          <w:sz w:val="28"/>
          <w:szCs w:val="28"/>
          <w:highlight w:val="none"/>
        </w:rPr>
        <w:t>工作</w:t>
      </w:r>
      <w:r>
        <w:rPr>
          <w:rFonts w:hint="eastAsia" w:ascii="华文仿宋" w:hAnsi="华文仿宋" w:eastAsia="华文仿宋" w:cs="仿宋"/>
          <w:color w:val="auto"/>
          <w:sz w:val="28"/>
          <w:szCs w:val="28"/>
          <w:highlight w:val="none"/>
        </w:rPr>
        <w:t>，否则视为承包人未按合同约定履行其责任义务，发包人有权按本合同专用条件第35.2.6条追究承包人违约责任。该配合费用已包含在合同总价内，发包人不再就此支付任何费用</w:t>
      </w:r>
      <w:r>
        <w:rPr>
          <w:rFonts w:ascii="华文仿宋" w:hAnsi="华文仿宋" w:eastAsia="华文仿宋" w:cs="仿宋"/>
          <w:color w:val="auto"/>
          <w:sz w:val="28"/>
          <w:szCs w:val="28"/>
          <w:highlight w:val="none"/>
        </w:rPr>
        <w:t>。</w:t>
      </w:r>
    </w:p>
    <w:p w14:paraId="7FE9522F">
      <w:pPr>
        <w:pStyle w:val="15"/>
        <w:spacing w:after="0" w:line="360" w:lineRule="auto"/>
        <w:ind w:left="0" w:firstLine="56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9</w:t>
      </w:r>
      <w:r>
        <w:rPr>
          <w:rFonts w:ascii="华文仿宋" w:hAnsi="华文仿宋" w:eastAsia="华文仿宋" w:cs="仿宋"/>
          <w:color w:val="auto"/>
          <w:sz w:val="28"/>
          <w:szCs w:val="28"/>
          <w:highlight w:val="none"/>
        </w:rPr>
        <w:t>.14</w:t>
      </w:r>
      <w:r>
        <w:rPr>
          <w:rFonts w:hint="eastAsia" w:ascii="华文仿宋" w:hAnsi="华文仿宋" w:eastAsia="华文仿宋" w:cs="仿宋"/>
          <w:color w:val="auto"/>
          <w:sz w:val="28"/>
          <w:szCs w:val="28"/>
          <w:highlight w:val="none"/>
        </w:rPr>
        <w:t>在开始交楼的两个月内承包人项目负责人必须在场协调交楼维护工作，并在发包人集中交楼期组建“快修队”以配合发包人交楼工作。“快修队”需配备足够的各工种维修人员及备品备件，须在发包人发出指令后30分钟内到场并按发包人要求及时进行整改。</w:t>
      </w:r>
    </w:p>
    <w:p w14:paraId="3502D4FA">
      <w:pPr>
        <w:pStyle w:val="14"/>
        <w:spacing w:after="0" w:line="360" w:lineRule="auto"/>
        <w:ind w:firstLine="551"/>
        <w:outlineLvl w:val="0"/>
        <w:rPr>
          <w:rFonts w:ascii="华文仿宋" w:hAnsi="华文仿宋" w:eastAsia="华文仿宋" w:cs="仿宋"/>
          <w:b/>
          <w:color w:val="auto"/>
          <w:sz w:val="28"/>
          <w:szCs w:val="28"/>
          <w:highlight w:val="none"/>
        </w:rPr>
      </w:pPr>
      <w:r>
        <w:rPr>
          <w:rFonts w:ascii="华文仿宋" w:hAnsi="华文仿宋" w:eastAsia="华文仿宋" w:cs="仿宋"/>
          <w:b/>
          <w:color w:val="auto"/>
          <w:sz w:val="28"/>
          <w:szCs w:val="28"/>
          <w:highlight w:val="none"/>
        </w:rPr>
        <w:t xml:space="preserve">三、施工组织设计和工期 </w:t>
      </w:r>
    </w:p>
    <w:p w14:paraId="48B1570F">
      <w:pPr>
        <w:pStyle w:val="15"/>
        <w:spacing w:after="0" w:line="360" w:lineRule="auto"/>
        <w:ind w:left="0" w:firstLine="551"/>
        <w:rPr>
          <w:rFonts w:ascii="华文仿宋" w:hAnsi="华文仿宋" w:eastAsia="华文仿宋" w:cs="仿宋"/>
          <w:b/>
          <w:color w:val="auto"/>
          <w:sz w:val="28"/>
          <w:szCs w:val="28"/>
          <w:highlight w:val="none"/>
        </w:rPr>
      </w:pPr>
      <w:r>
        <w:rPr>
          <w:rFonts w:ascii="华文仿宋" w:hAnsi="华文仿宋" w:eastAsia="华文仿宋" w:cs="仿宋"/>
          <w:b/>
          <w:color w:val="auto"/>
          <w:sz w:val="28"/>
          <w:szCs w:val="28"/>
          <w:highlight w:val="none"/>
        </w:rPr>
        <w:t>10、进度计划</w:t>
      </w:r>
    </w:p>
    <w:p w14:paraId="5665A4ED">
      <w:pPr>
        <w:pStyle w:val="15"/>
        <w:spacing w:after="0" w:line="360" w:lineRule="auto"/>
        <w:ind w:left="0"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10.1计划的提交和确认</w:t>
      </w:r>
    </w:p>
    <w:p w14:paraId="14750712">
      <w:pPr>
        <w:spacing w:line="360" w:lineRule="auto"/>
        <w:ind w:firstLine="560" w:firstLineChars="200"/>
        <w:rPr>
          <w:rFonts w:ascii="华文仿宋" w:hAnsi="华文仿宋" w:eastAsia="华文仿宋" w:cs="仿宋"/>
          <w:color w:val="auto"/>
          <w:sz w:val="28"/>
          <w:szCs w:val="28"/>
          <w:highlight w:val="none"/>
          <w:u w:val="single"/>
        </w:rPr>
      </w:pPr>
      <w:r>
        <w:rPr>
          <w:rFonts w:ascii="华文仿宋" w:hAnsi="华文仿宋" w:eastAsia="华文仿宋" w:cs="仿宋"/>
          <w:color w:val="auto"/>
          <w:sz w:val="28"/>
          <w:szCs w:val="28"/>
          <w:highlight w:val="none"/>
        </w:rPr>
        <w:t>10.1.1承包人须于接到中标通知书后4个日历天内按发包人规定格式和详细程度，向发包人和监理</w:t>
      </w:r>
      <w:r>
        <w:rPr>
          <w:rFonts w:hint="eastAsia" w:ascii="华文仿宋" w:hAnsi="华文仿宋" w:eastAsia="华文仿宋" w:cs="仿宋"/>
          <w:color w:val="auto"/>
          <w:sz w:val="28"/>
          <w:szCs w:val="28"/>
          <w:highlight w:val="none"/>
        </w:rPr>
        <w:t>单位</w:t>
      </w:r>
      <w:r>
        <w:rPr>
          <w:rFonts w:ascii="华文仿宋" w:hAnsi="华文仿宋" w:eastAsia="华文仿宋" w:cs="仿宋"/>
          <w:color w:val="auto"/>
          <w:sz w:val="28"/>
          <w:szCs w:val="28"/>
          <w:highlight w:val="none"/>
        </w:rPr>
        <w:t>提交</w:t>
      </w:r>
      <w:r>
        <w:rPr>
          <w:rFonts w:ascii="华文仿宋" w:hAnsi="华文仿宋" w:eastAsia="华文仿宋" w:cs="仿宋"/>
          <w:b/>
          <w:bCs/>
          <w:color w:val="auto"/>
          <w:sz w:val="28"/>
          <w:szCs w:val="28"/>
          <w:highlight w:val="none"/>
        </w:rPr>
        <w:t>工程总进度计划（网络计划）</w:t>
      </w:r>
      <w:r>
        <w:rPr>
          <w:rFonts w:hint="eastAsia" w:ascii="华文仿宋" w:hAnsi="华文仿宋" w:eastAsia="华文仿宋" w:cs="仿宋"/>
          <w:color w:val="auto"/>
          <w:sz w:val="28"/>
          <w:szCs w:val="28"/>
          <w:highlight w:val="none"/>
        </w:rPr>
        <w:t>；</w:t>
      </w:r>
      <w:r>
        <w:rPr>
          <w:rFonts w:ascii="华文仿宋" w:hAnsi="华文仿宋" w:eastAsia="华文仿宋" w:cs="仿宋"/>
          <w:color w:val="auto"/>
          <w:sz w:val="28"/>
          <w:szCs w:val="28"/>
          <w:highlight w:val="none"/>
        </w:rPr>
        <w:t>于本合同签订后10个日历天内提交</w:t>
      </w:r>
      <w:r>
        <w:rPr>
          <w:rFonts w:ascii="华文仿宋" w:hAnsi="华文仿宋" w:eastAsia="华文仿宋" w:cs="仿宋"/>
          <w:b/>
          <w:bCs/>
          <w:color w:val="auto"/>
          <w:sz w:val="28"/>
          <w:szCs w:val="28"/>
          <w:highlight w:val="none"/>
        </w:rPr>
        <w:t>施工组织设计（施工方案）</w:t>
      </w:r>
      <w:r>
        <w:rPr>
          <w:rFonts w:hint="eastAsia" w:ascii="华文仿宋" w:hAnsi="华文仿宋" w:eastAsia="华文仿宋" w:cs="仿宋"/>
          <w:color w:val="auto"/>
          <w:sz w:val="28"/>
          <w:szCs w:val="28"/>
          <w:highlight w:val="none"/>
        </w:rPr>
        <w:t>，</w:t>
      </w:r>
      <w:r>
        <w:rPr>
          <w:rFonts w:ascii="华文仿宋" w:hAnsi="华文仿宋" w:eastAsia="华文仿宋" w:cs="仿宋"/>
          <w:color w:val="auto"/>
          <w:sz w:val="28"/>
          <w:szCs w:val="28"/>
          <w:highlight w:val="none"/>
        </w:rPr>
        <w:t>承包人提交的施工组织设计</w:t>
      </w:r>
      <w:r>
        <w:rPr>
          <w:rFonts w:hint="eastAsia" w:ascii="华文仿宋" w:hAnsi="华文仿宋" w:eastAsia="华文仿宋" w:cs="仿宋"/>
          <w:color w:val="auto"/>
          <w:sz w:val="28"/>
          <w:szCs w:val="28"/>
          <w:highlight w:val="none"/>
        </w:rPr>
        <w:t>须满足招标文件</w:t>
      </w:r>
      <w:r>
        <w:rPr>
          <w:rFonts w:hint="eastAsia" w:ascii="华文仿宋" w:hAnsi="华文仿宋" w:eastAsia="华文仿宋" w:cs="仿宋"/>
          <w:color w:val="auto"/>
          <w:sz w:val="28"/>
          <w:szCs w:val="28"/>
          <w:highlight w:val="none"/>
          <w:u w:val="single"/>
        </w:rPr>
        <w:t>第五章“技术条件”要求</w:t>
      </w:r>
      <w:r>
        <w:rPr>
          <w:rFonts w:hint="eastAsia" w:ascii="华文仿宋" w:hAnsi="华文仿宋" w:eastAsia="华文仿宋" w:cs="仿宋"/>
          <w:color w:val="auto"/>
          <w:sz w:val="28"/>
          <w:szCs w:val="28"/>
          <w:highlight w:val="none"/>
        </w:rPr>
        <w:t>。</w:t>
      </w:r>
      <w:r>
        <w:rPr>
          <w:rFonts w:ascii="华文仿宋" w:hAnsi="华文仿宋" w:eastAsia="华文仿宋" w:cs="仿宋"/>
          <w:color w:val="auto"/>
          <w:sz w:val="28"/>
          <w:szCs w:val="28"/>
          <w:highlight w:val="none"/>
        </w:rPr>
        <w:t>在各进度计划实施时，承包人应提前14天向发包人和监理</w:t>
      </w:r>
      <w:r>
        <w:rPr>
          <w:rFonts w:hint="eastAsia" w:ascii="华文仿宋" w:hAnsi="华文仿宋" w:eastAsia="华文仿宋" w:cs="仿宋"/>
          <w:color w:val="auto"/>
          <w:sz w:val="28"/>
          <w:szCs w:val="28"/>
          <w:highlight w:val="none"/>
        </w:rPr>
        <w:t>单位</w:t>
      </w:r>
      <w:r>
        <w:rPr>
          <w:rFonts w:ascii="华文仿宋" w:hAnsi="华文仿宋" w:eastAsia="华文仿宋" w:cs="仿宋"/>
          <w:color w:val="auto"/>
          <w:sz w:val="28"/>
          <w:szCs w:val="28"/>
          <w:highlight w:val="none"/>
        </w:rPr>
        <w:t>提交一份</w:t>
      </w:r>
      <w:r>
        <w:rPr>
          <w:rFonts w:ascii="华文仿宋" w:hAnsi="华文仿宋" w:eastAsia="华文仿宋" w:cs="仿宋"/>
          <w:b/>
          <w:bCs/>
          <w:color w:val="auto"/>
          <w:sz w:val="28"/>
          <w:szCs w:val="28"/>
          <w:highlight w:val="none"/>
        </w:rPr>
        <w:t>年、季、月度工程进度计划</w:t>
      </w:r>
      <w:r>
        <w:rPr>
          <w:rFonts w:ascii="华文仿宋" w:hAnsi="华文仿宋" w:eastAsia="华文仿宋" w:cs="仿宋"/>
          <w:color w:val="auto"/>
          <w:sz w:val="28"/>
          <w:szCs w:val="28"/>
          <w:highlight w:val="none"/>
        </w:rPr>
        <w:t>，以便于总工期的控制</w:t>
      </w:r>
      <w:r>
        <w:rPr>
          <w:rFonts w:hint="eastAsia" w:ascii="华文仿宋" w:hAnsi="华文仿宋" w:eastAsia="华文仿宋" w:cs="仿宋"/>
          <w:color w:val="auto"/>
          <w:sz w:val="28"/>
          <w:szCs w:val="28"/>
          <w:highlight w:val="none"/>
        </w:rPr>
        <w:t>。</w:t>
      </w:r>
    </w:p>
    <w:p w14:paraId="689CF163">
      <w:pPr>
        <w:pStyle w:val="15"/>
        <w:spacing w:after="0" w:line="360" w:lineRule="auto"/>
        <w:ind w:left="0"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工程进度计划应当内容全面详实，针对工程的全部或分项施工作业和特点提出施工方法、安排、顺序和时间表，并在各节点位置标注有相应的工程量及材料消耗量，劳动力投入。</w:t>
      </w:r>
    </w:p>
    <w:p w14:paraId="67E5577A">
      <w:pPr>
        <w:pStyle w:val="15"/>
        <w:spacing w:after="0" w:line="360" w:lineRule="auto"/>
        <w:ind w:left="0" w:firstLine="56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10.1.2总监理工程师在接到承包人提交的施工组织设计和工程总进度计划后7个工作日内予以确认或提出修改意见；发包人收到监理单位提交的施工总进度计划、施工组织设计在4个工作日内完成审批。</w:t>
      </w:r>
    </w:p>
    <w:p w14:paraId="6459CE77">
      <w:pPr>
        <w:pStyle w:val="15"/>
        <w:spacing w:after="0" w:line="360" w:lineRule="auto"/>
        <w:ind w:left="0"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10.2计划的执行</w:t>
      </w:r>
    </w:p>
    <w:p w14:paraId="6452A1B1">
      <w:pPr>
        <w:pStyle w:val="15"/>
        <w:spacing w:after="0" w:line="360" w:lineRule="auto"/>
        <w:ind w:left="0"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10.2.1承包人应加强计划管理，严格按照总监理工程师确认的工程进度计划组织施工，并接受总监理工程师对工程进度的检查、监督。尽管在合同中发包人做出了关键工期要求以及工程的初步计划，但发包人有权根据工程客观条件而改变计划，承包人不得因此而向发包人提出任何的补偿要求。</w:t>
      </w:r>
    </w:p>
    <w:p w14:paraId="5111E3CF">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10.2.2为便于总监理工程师掌握和控制工期，承包人应按照专用条款第</w:t>
      </w:r>
      <w:r>
        <w:rPr>
          <w:rFonts w:ascii="华文仿宋" w:hAnsi="华文仿宋" w:eastAsia="华文仿宋" w:cs="仿宋"/>
          <w:color w:val="auto"/>
          <w:kern w:val="1"/>
          <w:sz w:val="28"/>
          <w:szCs w:val="28"/>
          <w:highlight w:val="none"/>
        </w:rPr>
        <w:t>9.1条第（2）款的要求向总监理工程师上报相应计划及报表，总监理工程师在接到报告后5天</w:t>
      </w:r>
      <w:r>
        <w:rPr>
          <w:rFonts w:hint="eastAsia" w:ascii="华文仿宋" w:hAnsi="华文仿宋" w:eastAsia="华文仿宋" w:cs="仿宋"/>
          <w:color w:val="auto"/>
          <w:kern w:val="1"/>
          <w:sz w:val="28"/>
          <w:szCs w:val="28"/>
          <w:highlight w:val="none"/>
        </w:rPr>
        <w:t>内应予以确认或提出书面意见，发包人在5个工作日内完成审批；工程实际进度与经确认的总进度计划或上月进度计划不符时，承包人须按工程师的要求及时提出改进措施，经工程师确认后执行。因承包人的原因导致实际进度与经确认的进度计划不符，承包人除须承担工期延误违约责任外，同时无权就改进措施提出追加合同价款。</w:t>
      </w:r>
    </w:p>
    <w:p w14:paraId="365D543E">
      <w:pPr>
        <w:spacing w:line="360" w:lineRule="auto"/>
        <w:ind w:firstLine="551"/>
        <w:rPr>
          <w:rFonts w:ascii="华文仿宋" w:hAnsi="华文仿宋" w:eastAsia="华文仿宋" w:cs="仿宋"/>
          <w:b/>
          <w:color w:val="auto"/>
          <w:kern w:val="1"/>
          <w:sz w:val="28"/>
          <w:szCs w:val="28"/>
          <w:highlight w:val="none"/>
        </w:rPr>
      </w:pPr>
      <w:r>
        <w:rPr>
          <w:rFonts w:ascii="华文仿宋" w:hAnsi="华文仿宋" w:eastAsia="华文仿宋" w:cs="仿宋"/>
          <w:b/>
          <w:color w:val="auto"/>
          <w:kern w:val="1"/>
          <w:sz w:val="28"/>
          <w:szCs w:val="28"/>
          <w:highlight w:val="none"/>
        </w:rPr>
        <w:t>11、</w:t>
      </w:r>
      <w:r>
        <w:rPr>
          <w:rFonts w:ascii="华文仿宋" w:hAnsi="华文仿宋" w:eastAsia="华文仿宋" w:cs="仿宋"/>
          <w:b/>
          <w:bCs/>
          <w:color w:val="auto"/>
          <w:kern w:val="1"/>
          <w:sz w:val="28"/>
          <w:szCs w:val="28"/>
          <w:highlight w:val="none"/>
        </w:rPr>
        <w:t>开工及延期开工</w:t>
      </w:r>
    </w:p>
    <w:p w14:paraId="35759269">
      <w:pPr>
        <w:pStyle w:val="15"/>
        <w:spacing w:after="0" w:line="360" w:lineRule="auto"/>
        <w:ind w:left="0"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11.1开工</w:t>
      </w:r>
    </w:p>
    <w:p w14:paraId="7A7E8F59">
      <w:pPr>
        <w:pStyle w:val="15"/>
        <w:spacing w:after="0" w:line="360" w:lineRule="auto"/>
        <w:ind w:left="0"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承包人必须按发包人要求提前进入施工场地，做好施工准备工作，并按照监理工程师书面通知的进场日期开工。否则承包人须按专用条款第35条规定承担违约责任。</w:t>
      </w:r>
    </w:p>
    <w:p w14:paraId="644E34ED">
      <w:pPr>
        <w:pStyle w:val="15"/>
        <w:spacing w:after="0" w:line="360" w:lineRule="auto"/>
        <w:ind w:left="0" w:firstLine="551"/>
        <w:rPr>
          <w:rFonts w:ascii="华文仿宋" w:hAnsi="华文仿宋" w:eastAsia="华文仿宋" w:cs="仿宋"/>
          <w:b/>
          <w:color w:val="auto"/>
          <w:sz w:val="28"/>
          <w:szCs w:val="28"/>
          <w:highlight w:val="none"/>
        </w:rPr>
      </w:pPr>
      <w:r>
        <w:rPr>
          <w:rFonts w:ascii="华文仿宋" w:hAnsi="华文仿宋" w:eastAsia="华文仿宋" w:cs="仿宋"/>
          <w:b/>
          <w:color w:val="auto"/>
          <w:sz w:val="28"/>
          <w:szCs w:val="28"/>
          <w:highlight w:val="none"/>
        </w:rPr>
        <w:t>12、暂停施工</w:t>
      </w:r>
    </w:p>
    <w:p w14:paraId="27516202">
      <w:pPr>
        <w:pStyle w:val="15"/>
        <w:spacing w:after="0" w:line="360" w:lineRule="auto"/>
        <w:ind w:left="0" w:firstLine="525"/>
        <w:rPr>
          <w:rFonts w:ascii="华文仿宋" w:hAnsi="华文仿宋" w:eastAsia="华文仿宋" w:cs="仿宋"/>
          <w:b/>
          <w:color w:val="auto"/>
          <w:sz w:val="28"/>
          <w:szCs w:val="28"/>
          <w:highlight w:val="none"/>
        </w:rPr>
      </w:pPr>
      <w:r>
        <w:rPr>
          <w:rFonts w:ascii="华文仿宋" w:hAnsi="华文仿宋" w:eastAsia="华文仿宋" w:cs="仿宋"/>
          <w:color w:val="auto"/>
          <w:spacing w:val="-6"/>
          <w:sz w:val="28"/>
          <w:szCs w:val="28"/>
          <w:highlight w:val="none"/>
        </w:rPr>
        <w:t>12.1因下列原因，总监理工程师报经发包人书面同意后，可通知承包人暂停施工：</w:t>
      </w:r>
    </w:p>
    <w:p w14:paraId="7829AE81">
      <w:pPr>
        <w:pStyle w:val="15"/>
        <w:spacing w:after="0" w:line="360" w:lineRule="auto"/>
        <w:ind w:left="0" w:firstLine="549"/>
        <w:rPr>
          <w:rFonts w:ascii="华文仿宋" w:hAnsi="华文仿宋" w:eastAsia="华文仿宋" w:cs="仿宋"/>
          <w:b/>
          <w:color w:val="auto"/>
          <w:sz w:val="28"/>
          <w:szCs w:val="28"/>
          <w:highlight w:val="none"/>
        </w:rPr>
      </w:pPr>
      <w:r>
        <w:rPr>
          <w:rFonts w:ascii="华文仿宋" w:hAnsi="华文仿宋" w:eastAsia="华文仿宋" w:cs="仿宋"/>
          <w:color w:val="auto"/>
          <w:sz w:val="28"/>
          <w:szCs w:val="28"/>
          <w:highlight w:val="none"/>
        </w:rPr>
        <w:t>（1）政府对本工程建设项目</w:t>
      </w:r>
      <w:r>
        <w:rPr>
          <w:rFonts w:hint="eastAsia" w:ascii="华文仿宋" w:hAnsi="华文仿宋" w:eastAsia="华文仿宋" w:cs="仿宋"/>
          <w:color w:val="auto"/>
          <w:sz w:val="28"/>
          <w:szCs w:val="28"/>
          <w:highlight w:val="none"/>
        </w:rPr>
        <w:t>做出</w:t>
      </w:r>
      <w:r>
        <w:rPr>
          <w:rFonts w:ascii="华文仿宋" w:hAnsi="华文仿宋" w:eastAsia="华文仿宋" w:cs="仿宋"/>
          <w:color w:val="auto"/>
          <w:sz w:val="28"/>
          <w:szCs w:val="28"/>
          <w:highlight w:val="none"/>
        </w:rPr>
        <w:t>停建、缓建的决定；</w:t>
      </w:r>
    </w:p>
    <w:p w14:paraId="72188B83">
      <w:pPr>
        <w:pStyle w:val="15"/>
        <w:spacing w:after="0" w:line="360" w:lineRule="auto"/>
        <w:ind w:left="0" w:firstLine="549"/>
        <w:rPr>
          <w:rFonts w:ascii="华文仿宋" w:hAnsi="华文仿宋" w:eastAsia="华文仿宋" w:cs="仿宋"/>
          <w:b/>
          <w:color w:val="auto"/>
          <w:sz w:val="28"/>
          <w:szCs w:val="28"/>
          <w:highlight w:val="none"/>
        </w:rPr>
      </w:pPr>
      <w:r>
        <w:rPr>
          <w:rFonts w:ascii="华文仿宋" w:hAnsi="华文仿宋" w:eastAsia="华文仿宋" w:cs="仿宋"/>
          <w:color w:val="auto"/>
          <w:sz w:val="28"/>
          <w:szCs w:val="28"/>
          <w:highlight w:val="none"/>
        </w:rPr>
        <w:t>（2）重大设计变更导致本工程在规划、使用、功能方面有重大调整；</w:t>
      </w:r>
    </w:p>
    <w:p w14:paraId="32AD1C26">
      <w:pPr>
        <w:pStyle w:val="15"/>
        <w:spacing w:after="0" w:line="360" w:lineRule="auto"/>
        <w:ind w:left="0" w:firstLine="549"/>
        <w:rPr>
          <w:rFonts w:ascii="华文仿宋" w:hAnsi="华文仿宋" w:eastAsia="华文仿宋" w:cs="仿宋"/>
          <w:b/>
          <w:color w:val="auto"/>
          <w:sz w:val="28"/>
          <w:szCs w:val="28"/>
          <w:highlight w:val="none"/>
        </w:rPr>
      </w:pPr>
      <w:r>
        <w:rPr>
          <w:rFonts w:ascii="华文仿宋" w:hAnsi="华文仿宋" w:eastAsia="华文仿宋" w:cs="仿宋"/>
          <w:color w:val="auto"/>
          <w:sz w:val="28"/>
          <w:szCs w:val="28"/>
          <w:highlight w:val="none"/>
        </w:rPr>
        <w:t>（3）不可抗力；</w:t>
      </w:r>
    </w:p>
    <w:p w14:paraId="361DA583">
      <w:pPr>
        <w:pStyle w:val="15"/>
        <w:spacing w:after="0" w:line="360" w:lineRule="auto"/>
        <w:ind w:left="0" w:firstLine="549"/>
        <w:rPr>
          <w:rFonts w:ascii="华文仿宋" w:hAnsi="华文仿宋" w:eastAsia="华文仿宋" w:cs="仿宋"/>
          <w:b/>
          <w:color w:val="auto"/>
          <w:sz w:val="28"/>
          <w:szCs w:val="28"/>
          <w:highlight w:val="none"/>
        </w:rPr>
      </w:pPr>
      <w:r>
        <w:rPr>
          <w:rFonts w:ascii="华文仿宋" w:hAnsi="华文仿宋" w:eastAsia="华文仿宋" w:cs="仿宋"/>
          <w:color w:val="auto"/>
          <w:sz w:val="28"/>
          <w:szCs w:val="28"/>
          <w:highlight w:val="none"/>
        </w:rPr>
        <w:t>（4）质量事故；</w:t>
      </w:r>
    </w:p>
    <w:p w14:paraId="2A6365E9">
      <w:pPr>
        <w:pStyle w:val="15"/>
        <w:spacing w:after="0" w:line="360" w:lineRule="auto"/>
        <w:ind w:left="0" w:firstLine="549"/>
        <w:rPr>
          <w:rFonts w:ascii="华文仿宋" w:hAnsi="华文仿宋" w:eastAsia="华文仿宋" w:cs="仿宋"/>
          <w:b/>
          <w:color w:val="auto"/>
          <w:sz w:val="28"/>
          <w:szCs w:val="28"/>
          <w:highlight w:val="none"/>
        </w:rPr>
      </w:pPr>
      <w:r>
        <w:rPr>
          <w:rFonts w:ascii="华文仿宋" w:hAnsi="华文仿宋" w:eastAsia="华文仿宋" w:cs="仿宋"/>
          <w:color w:val="auto"/>
          <w:sz w:val="28"/>
          <w:szCs w:val="28"/>
          <w:highlight w:val="none"/>
        </w:rPr>
        <w:t>（5）安全生产事故；</w:t>
      </w:r>
    </w:p>
    <w:p w14:paraId="424974E2">
      <w:pPr>
        <w:pStyle w:val="15"/>
        <w:spacing w:after="0" w:line="360" w:lineRule="auto"/>
        <w:ind w:left="0" w:firstLine="549"/>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（6）承包人材料设备供应发生重大变故；</w:t>
      </w:r>
    </w:p>
    <w:p w14:paraId="1715E8C2">
      <w:pPr>
        <w:pStyle w:val="15"/>
        <w:spacing w:after="0" w:line="360" w:lineRule="auto"/>
        <w:ind w:left="0" w:firstLine="549"/>
        <w:rPr>
          <w:rFonts w:ascii="仿宋" w:hAnsi="仿宋" w:eastAsia="仿宋" w:cs="仿宋"/>
          <w:b/>
          <w:color w:val="auto"/>
          <w:sz w:val="28"/>
          <w:szCs w:val="28"/>
          <w:highlight w:val="none"/>
        </w:rPr>
      </w:pPr>
      <w:r>
        <w:rPr>
          <w:rFonts w:hint="eastAsia" w:ascii="仿宋" w:hAnsi="仿宋" w:eastAsia="仿宋" w:cs="仿宋"/>
          <w:color w:val="auto"/>
          <w:sz w:val="28"/>
          <w:szCs w:val="28"/>
          <w:highlight w:val="none"/>
        </w:rPr>
        <w:t>（7）发包人书面要求。</w:t>
      </w:r>
    </w:p>
    <w:p w14:paraId="3E8F081C">
      <w:pPr>
        <w:pStyle w:val="15"/>
        <w:spacing w:after="0" w:line="360" w:lineRule="auto"/>
        <w:ind w:left="0" w:firstLine="549"/>
        <w:rPr>
          <w:rFonts w:ascii="华文仿宋" w:hAnsi="华文仿宋" w:eastAsia="华文仿宋" w:cs="仿宋"/>
          <w:b/>
          <w:color w:val="auto"/>
          <w:sz w:val="28"/>
          <w:szCs w:val="28"/>
          <w:highlight w:val="none"/>
        </w:rPr>
      </w:pPr>
      <w:r>
        <w:rPr>
          <w:rFonts w:ascii="华文仿宋" w:hAnsi="华文仿宋" w:eastAsia="华文仿宋" w:cs="仿宋"/>
          <w:color w:val="auto"/>
          <w:sz w:val="28"/>
          <w:szCs w:val="28"/>
          <w:highlight w:val="none"/>
        </w:rPr>
        <w:t>除上述情形外,承包人不得以任何理由(包括以与发包人有争议或争议未解决为由)单方面停工或消极怠工，否则须按专用条款第35条约定承担工期延误违约责任。</w:t>
      </w:r>
    </w:p>
    <w:p w14:paraId="1036E567">
      <w:pPr>
        <w:pStyle w:val="15"/>
        <w:spacing w:after="0" w:line="360" w:lineRule="auto"/>
        <w:ind w:left="0" w:firstLine="549"/>
        <w:rPr>
          <w:rFonts w:ascii="华文仿宋" w:hAnsi="华文仿宋" w:eastAsia="华文仿宋" w:cs="仿宋"/>
          <w:b/>
          <w:color w:val="auto"/>
          <w:sz w:val="28"/>
          <w:szCs w:val="28"/>
          <w:highlight w:val="none"/>
        </w:rPr>
      </w:pPr>
      <w:r>
        <w:rPr>
          <w:rFonts w:ascii="华文仿宋" w:hAnsi="华文仿宋" w:eastAsia="华文仿宋" w:cs="仿宋"/>
          <w:color w:val="auto"/>
          <w:sz w:val="28"/>
          <w:szCs w:val="28"/>
          <w:highlight w:val="none"/>
        </w:rPr>
        <w:t>12.2因不可抗力引起的工期延误或工程停工，费用承担应按以下原则费用：</w:t>
      </w:r>
    </w:p>
    <w:p w14:paraId="250B61FB">
      <w:pPr>
        <w:pStyle w:val="15"/>
        <w:spacing w:after="0" w:line="360" w:lineRule="auto"/>
        <w:ind w:left="0" w:firstLine="525"/>
        <w:rPr>
          <w:rFonts w:ascii="华文仿宋" w:hAnsi="华文仿宋" w:eastAsia="华文仿宋" w:cs="仿宋"/>
          <w:b/>
          <w:color w:val="auto"/>
          <w:sz w:val="28"/>
          <w:szCs w:val="28"/>
          <w:highlight w:val="none"/>
        </w:rPr>
      </w:pPr>
      <w:r>
        <w:rPr>
          <w:rFonts w:ascii="华文仿宋" w:hAnsi="华文仿宋" w:eastAsia="华文仿宋" w:cs="仿宋"/>
          <w:color w:val="auto"/>
          <w:spacing w:val="-6"/>
          <w:sz w:val="28"/>
          <w:szCs w:val="28"/>
          <w:highlight w:val="none"/>
        </w:rPr>
        <w:t>（1）工程本身的损坏及因工程损坏导致第三方人员伤亡和财产损失，由发包人承担。</w:t>
      </w:r>
    </w:p>
    <w:p w14:paraId="40BAB18D">
      <w:pPr>
        <w:pStyle w:val="15"/>
        <w:spacing w:after="0" w:line="360" w:lineRule="auto"/>
        <w:ind w:left="0" w:firstLine="549"/>
        <w:rPr>
          <w:rFonts w:ascii="华文仿宋" w:hAnsi="华文仿宋" w:eastAsia="华文仿宋" w:cs="仿宋"/>
          <w:b/>
          <w:color w:val="auto"/>
          <w:sz w:val="28"/>
          <w:szCs w:val="28"/>
          <w:highlight w:val="none"/>
        </w:rPr>
      </w:pPr>
      <w:r>
        <w:rPr>
          <w:rFonts w:ascii="华文仿宋" w:hAnsi="华文仿宋" w:eastAsia="华文仿宋" w:cs="仿宋"/>
          <w:color w:val="auto"/>
          <w:sz w:val="28"/>
          <w:szCs w:val="28"/>
          <w:highlight w:val="none"/>
        </w:rPr>
        <w:t>（2）发包人、承包人人员伤亡由其所在单位负责，并承担相应费用；</w:t>
      </w:r>
    </w:p>
    <w:p w14:paraId="553A401E">
      <w:pPr>
        <w:pStyle w:val="15"/>
        <w:spacing w:after="0" w:line="360" w:lineRule="auto"/>
        <w:ind w:left="0" w:firstLine="549"/>
        <w:rPr>
          <w:rFonts w:ascii="华文仿宋" w:hAnsi="华文仿宋" w:eastAsia="华文仿宋" w:cs="仿宋"/>
          <w:b/>
          <w:color w:val="auto"/>
          <w:sz w:val="28"/>
          <w:szCs w:val="28"/>
          <w:highlight w:val="none"/>
        </w:rPr>
      </w:pPr>
      <w:r>
        <w:rPr>
          <w:rFonts w:ascii="华文仿宋" w:hAnsi="华文仿宋" w:eastAsia="华文仿宋" w:cs="仿宋"/>
          <w:color w:val="auto"/>
          <w:sz w:val="28"/>
          <w:szCs w:val="28"/>
          <w:highlight w:val="none"/>
        </w:rPr>
        <w:t>（3）承包人机械设备损坏及停工损失，由承包人承担；</w:t>
      </w:r>
    </w:p>
    <w:p w14:paraId="36BAAD32">
      <w:pPr>
        <w:pStyle w:val="15"/>
        <w:spacing w:after="0" w:line="360" w:lineRule="auto"/>
        <w:ind w:left="0" w:firstLine="549"/>
        <w:rPr>
          <w:rFonts w:ascii="华文仿宋" w:hAnsi="华文仿宋" w:eastAsia="华文仿宋" w:cs="仿宋"/>
          <w:b/>
          <w:color w:val="auto"/>
          <w:sz w:val="28"/>
          <w:szCs w:val="28"/>
          <w:highlight w:val="none"/>
        </w:rPr>
      </w:pPr>
      <w:r>
        <w:rPr>
          <w:rFonts w:ascii="华文仿宋" w:hAnsi="华文仿宋" w:eastAsia="华文仿宋" w:cs="仿宋"/>
          <w:color w:val="auto"/>
          <w:sz w:val="28"/>
          <w:szCs w:val="28"/>
          <w:highlight w:val="none"/>
        </w:rPr>
        <w:t>（4）</w:t>
      </w:r>
      <w:r>
        <w:rPr>
          <w:rFonts w:hint="eastAsia" w:ascii="华文仿宋" w:hAnsi="华文仿宋" w:eastAsia="华文仿宋" w:cs="仿宋"/>
          <w:color w:val="auto"/>
          <w:sz w:val="28"/>
          <w:szCs w:val="28"/>
          <w:highlight w:val="none"/>
        </w:rPr>
        <w:t>停工超过30天的，</w:t>
      </w:r>
      <w:r>
        <w:rPr>
          <w:rFonts w:ascii="华文仿宋" w:hAnsi="华文仿宋" w:eastAsia="华文仿宋" w:cs="仿宋"/>
          <w:color w:val="auto"/>
          <w:sz w:val="28"/>
          <w:szCs w:val="28"/>
          <w:highlight w:val="none"/>
        </w:rPr>
        <w:t>停工期间承包人按监理工程师的要求留在施工场地的必要管理人员及保卫人员的费用由发包人承担；</w:t>
      </w:r>
    </w:p>
    <w:p w14:paraId="32931907">
      <w:pPr>
        <w:pStyle w:val="15"/>
        <w:spacing w:after="0" w:line="360" w:lineRule="auto"/>
        <w:ind w:left="0" w:firstLine="549"/>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（5）工程所需清理、修复费用由承包人承担。</w:t>
      </w:r>
    </w:p>
    <w:p w14:paraId="5033EE6B">
      <w:pPr>
        <w:pStyle w:val="15"/>
        <w:spacing w:after="0" w:line="360" w:lineRule="auto"/>
        <w:ind w:left="0" w:firstLine="549"/>
        <w:rPr>
          <w:rFonts w:ascii="华文仿宋" w:hAnsi="华文仿宋" w:eastAsia="华文仿宋" w:cs="仿宋"/>
          <w:color w:val="auto"/>
          <w:sz w:val="28"/>
          <w:szCs w:val="28"/>
          <w:highlight w:val="none"/>
          <w:lang w:val="en-US"/>
        </w:rPr>
      </w:pPr>
      <w:r>
        <w:rPr>
          <w:rFonts w:ascii="华文仿宋" w:hAnsi="华文仿宋" w:eastAsia="华文仿宋" w:cs="仿宋"/>
          <w:color w:val="auto"/>
          <w:sz w:val="28"/>
          <w:szCs w:val="28"/>
          <w:highlight w:val="none"/>
        </w:rPr>
        <w:t>（6）</w:t>
      </w:r>
      <w:r>
        <w:rPr>
          <w:rFonts w:hint="eastAsia" w:ascii="华文仿宋" w:hAnsi="华文仿宋" w:eastAsia="华文仿宋" w:cs="仿宋"/>
          <w:color w:val="auto"/>
          <w:sz w:val="28"/>
          <w:szCs w:val="28"/>
          <w:highlight w:val="none"/>
        </w:rPr>
        <w:t>导致承包人停工的费用损失由承包人承担；停工期间必须支付的建设领域工人工资由承包人承担。</w:t>
      </w:r>
    </w:p>
    <w:p w14:paraId="734E66A5">
      <w:pPr>
        <w:pStyle w:val="15"/>
        <w:spacing w:after="0" w:line="360" w:lineRule="auto"/>
        <w:ind w:left="0" w:firstLine="551"/>
        <w:rPr>
          <w:rFonts w:ascii="华文仿宋" w:hAnsi="华文仿宋" w:eastAsia="华文仿宋" w:cs="仿宋"/>
          <w:b/>
          <w:color w:val="auto"/>
          <w:kern w:val="0"/>
          <w:sz w:val="28"/>
          <w:szCs w:val="28"/>
          <w:highlight w:val="none"/>
        </w:rPr>
      </w:pPr>
      <w:r>
        <w:rPr>
          <w:rFonts w:ascii="华文仿宋" w:hAnsi="华文仿宋" w:eastAsia="华文仿宋" w:cs="仿宋"/>
          <w:b/>
          <w:color w:val="auto"/>
          <w:kern w:val="0"/>
          <w:sz w:val="28"/>
          <w:szCs w:val="28"/>
          <w:highlight w:val="none"/>
        </w:rPr>
        <w:t>13、工期延误</w:t>
      </w:r>
    </w:p>
    <w:p w14:paraId="21C4B7BD">
      <w:pPr>
        <w:pStyle w:val="15"/>
        <w:spacing w:after="0" w:line="360" w:lineRule="auto"/>
        <w:ind w:left="0" w:firstLine="549"/>
        <w:rPr>
          <w:rFonts w:ascii="华文仿宋" w:hAnsi="华文仿宋" w:eastAsia="华文仿宋" w:cs="仿宋"/>
          <w:color w:val="auto"/>
          <w:kern w:val="0"/>
          <w:sz w:val="28"/>
          <w:szCs w:val="28"/>
          <w:highlight w:val="none"/>
        </w:rPr>
      </w:pPr>
      <w:r>
        <w:rPr>
          <w:rFonts w:ascii="华文仿宋" w:hAnsi="华文仿宋" w:eastAsia="华文仿宋" w:cs="仿宋"/>
          <w:color w:val="auto"/>
          <w:kern w:val="0"/>
          <w:sz w:val="28"/>
          <w:szCs w:val="28"/>
          <w:highlight w:val="none"/>
        </w:rPr>
        <w:t>13.1工期控制与调整</w:t>
      </w:r>
    </w:p>
    <w:p w14:paraId="12C98170">
      <w:pPr>
        <w:pStyle w:val="15"/>
        <w:spacing w:after="0" w:line="360" w:lineRule="auto"/>
        <w:ind w:left="0" w:firstLine="549"/>
        <w:rPr>
          <w:rFonts w:ascii="华文仿宋" w:hAnsi="华文仿宋" w:eastAsia="华文仿宋" w:cs="仿宋"/>
          <w:color w:val="auto"/>
          <w:kern w:val="0"/>
          <w:sz w:val="28"/>
          <w:szCs w:val="28"/>
          <w:highlight w:val="none"/>
        </w:rPr>
      </w:pPr>
      <w:r>
        <w:rPr>
          <w:rFonts w:ascii="华文仿宋" w:hAnsi="华文仿宋" w:eastAsia="华文仿宋" w:cs="仿宋"/>
          <w:color w:val="auto"/>
          <w:kern w:val="0"/>
          <w:sz w:val="28"/>
          <w:szCs w:val="28"/>
          <w:highlight w:val="none"/>
        </w:rPr>
        <w:t>（1）本工程工期分为关键节点工期和一般节点工期两类，承包人必须在施工组织设计文件中分专业详细区分和列明本工程</w:t>
      </w:r>
      <w:r>
        <w:rPr>
          <w:rFonts w:ascii="华文仿宋" w:hAnsi="华文仿宋" w:eastAsia="华文仿宋" w:cs="仿宋"/>
          <w:bCs/>
          <w:color w:val="auto"/>
          <w:kern w:val="0"/>
          <w:sz w:val="28"/>
          <w:szCs w:val="28"/>
          <w:highlight w:val="none"/>
        </w:rPr>
        <w:t>总体及各单体工程</w:t>
      </w:r>
      <w:r>
        <w:rPr>
          <w:rFonts w:ascii="华文仿宋" w:hAnsi="华文仿宋" w:eastAsia="华文仿宋" w:cs="仿宋"/>
          <w:color w:val="auto"/>
          <w:kern w:val="0"/>
          <w:sz w:val="28"/>
          <w:szCs w:val="28"/>
          <w:highlight w:val="none"/>
        </w:rPr>
        <w:t>的关键节点工期和一般节点工期，并报总监理工程师和发包人批准后实施。</w:t>
      </w:r>
    </w:p>
    <w:p w14:paraId="57776CDE">
      <w:pPr>
        <w:pStyle w:val="15"/>
        <w:spacing w:after="0" w:line="360" w:lineRule="auto"/>
        <w:ind w:left="0" w:firstLine="549"/>
        <w:rPr>
          <w:rFonts w:ascii="华文仿宋" w:hAnsi="华文仿宋" w:eastAsia="华文仿宋" w:cs="仿宋"/>
          <w:color w:val="auto"/>
          <w:kern w:val="0"/>
          <w:sz w:val="28"/>
          <w:szCs w:val="28"/>
          <w:highlight w:val="none"/>
        </w:rPr>
      </w:pPr>
      <w:r>
        <w:rPr>
          <w:rFonts w:ascii="华文仿宋" w:hAnsi="华文仿宋" w:eastAsia="华文仿宋" w:cs="仿宋"/>
          <w:color w:val="auto"/>
          <w:kern w:val="0"/>
          <w:sz w:val="28"/>
          <w:szCs w:val="28"/>
          <w:highlight w:val="none"/>
        </w:rPr>
        <w:t>（2）工期调整的原则：对于承包人原因造成的工期延误，工期一概不得顺延；对于非承包人原因造成的工期延误，一般节点工期可以相应顺延，但该项顺延以不对关键节点工期和总工期构成不利影响为限。关键节点工期一般不予调整，承包人应当采取合理有效的赶工措施予以消化，而且这些合理有效的赶工措施费已包括在投标总报价中，发包人不予补偿。</w:t>
      </w:r>
    </w:p>
    <w:p w14:paraId="1B986FEB">
      <w:pPr>
        <w:pStyle w:val="15"/>
        <w:spacing w:after="0" w:line="360" w:lineRule="auto"/>
        <w:ind w:left="0" w:firstLine="549"/>
        <w:rPr>
          <w:rFonts w:ascii="华文仿宋" w:hAnsi="华文仿宋" w:eastAsia="华文仿宋" w:cs="仿宋"/>
          <w:color w:val="auto"/>
          <w:kern w:val="0"/>
          <w:sz w:val="28"/>
          <w:szCs w:val="28"/>
          <w:highlight w:val="none"/>
        </w:rPr>
      </w:pPr>
      <w:r>
        <w:rPr>
          <w:rFonts w:ascii="华文仿宋" w:hAnsi="华文仿宋" w:eastAsia="华文仿宋" w:cs="仿宋"/>
          <w:color w:val="auto"/>
          <w:kern w:val="0"/>
          <w:sz w:val="28"/>
          <w:szCs w:val="28"/>
          <w:highlight w:val="none"/>
        </w:rPr>
        <w:t>在特殊情况下，关键节点工期确需调整的，承包人必须重新编制总工期控制计划和关键节点工期调整计划并报请总监理工程师和发包人审核。经总监理工程师、发包人审核，确认承包人编制的关键节点工期调整计划已符合要求，且已采取了合理的赶工措施足以确保工程按期竣工的，</w:t>
      </w:r>
      <w:r>
        <w:rPr>
          <w:rFonts w:hint="eastAsia" w:ascii="华文仿宋" w:hAnsi="华文仿宋" w:eastAsia="华文仿宋" w:cs="仿宋"/>
          <w:color w:val="auto"/>
          <w:kern w:val="0"/>
          <w:sz w:val="28"/>
          <w:szCs w:val="28"/>
          <w:highlight w:val="none"/>
        </w:rPr>
        <w:t>原则上</w:t>
      </w:r>
      <w:r>
        <w:rPr>
          <w:rFonts w:ascii="华文仿宋" w:hAnsi="华文仿宋" w:eastAsia="华文仿宋" w:cs="仿宋"/>
          <w:color w:val="auto"/>
          <w:kern w:val="0"/>
          <w:sz w:val="28"/>
          <w:szCs w:val="28"/>
          <w:highlight w:val="none"/>
        </w:rPr>
        <w:t>应当同意工期调整。承包人必须按照调整后的总工期控制计划和关键节点工期计划执行。</w:t>
      </w:r>
    </w:p>
    <w:p w14:paraId="420A5A18">
      <w:pPr>
        <w:pStyle w:val="15"/>
        <w:spacing w:after="0" w:line="360" w:lineRule="auto"/>
        <w:ind w:left="0" w:firstLine="549"/>
        <w:rPr>
          <w:rFonts w:ascii="华文仿宋" w:hAnsi="华文仿宋" w:eastAsia="华文仿宋" w:cs="仿宋"/>
          <w:color w:val="auto"/>
          <w:kern w:val="0"/>
          <w:sz w:val="28"/>
          <w:szCs w:val="28"/>
          <w:highlight w:val="none"/>
        </w:rPr>
      </w:pPr>
      <w:r>
        <w:rPr>
          <w:rFonts w:ascii="华文仿宋" w:hAnsi="华文仿宋" w:eastAsia="华文仿宋" w:cs="仿宋"/>
          <w:color w:val="auto"/>
          <w:kern w:val="0"/>
          <w:sz w:val="28"/>
          <w:szCs w:val="28"/>
          <w:highlight w:val="none"/>
        </w:rPr>
        <w:t>13.2工期延误的原因及其处理</w:t>
      </w:r>
    </w:p>
    <w:p w14:paraId="222F2EC0">
      <w:pPr>
        <w:pStyle w:val="15"/>
        <w:spacing w:after="0" w:line="360" w:lineRule="auto"/>
        <w:ind w:left="0" w:firstLine="549"/>
        <w:rPr>
          <w:rFonts w:ascii="华文仿宋" w:hAnsi="华文仿宋" w:eastAsia="华文仿宋" w:cs="仿宋"/>
          <w:color w:val="auto"/>
          <w:kern w:val="0"/>
          <w:sz w:val="28"/>
          <w:szCs w:val="28"/>
          <w:highlight w:val="none"/>
        </w:rPr>
      </w:pPr>
      <w:r>
        <w:rPr>
          <w:rFonts w:ascii="华文仿宋" w:hAnsi="华文仿宋" w:eastAsia="华文仿宋" w:cs="仿宋"/>
          <w:bCs/>
          <w:color w:val="auto"/>
          <w:kern w:val="0"/>
          <w:sz w:val="28"/>
          <w:szCs w:val="28"/>
          <w:highlight w:val="none"/>
        </w:rPr>
        <w:t>（1）</w:t>
      </w:r>
      <w:r>
        <w:rPr>
          <w:rFonts w:ascii="华文仿宋" w:hAnsi="华文仿宋" w:eastAsia="华文仿宋" w:cs="仿宋"/>
          <w:color w:val="auto"/>
          <w:kern w:val="0"/>
          <w:sz w:val="28"/>
          <w:szCs w:val="28"/>
          <w:highlight w:val="none"/>
        </w:rPr>
        <w:t>非承包人原因造成的工期延误，是指有确凿证据证实因下列原因而直接造成承包人的原定工期计划延误：</w:t>
      </w:r>
    </w:p>
    <w:p w14:paraId="07214209">
      <w:pPr>
        <w:pStyle w:val="15"/>
        <w:spacing w:after="0" w:line="360" w:lineRule="auto"/>
        <w:ind w:left="0" w:firstLine="549"/>
        <w:rPr>
          <w:rFonts w:ascii="华文仿宋" w:hAnsi="华文仿宋" w:eastAsia="华文仿宋"/>
          <w:color w:val="auto"/>
          <w:spacing w:val="-4"/>
          <w:szCs w:val="28"/>
          <w:highlight w:val="none"/>
        </w:rPr>
      </w:pPr>
      <w:r>
        <w:rPr>
          <w:rFonts w:hint="eastAsia" w:ascii="华文仿宋" w:hAnsi="华文仿宋" w:eastAsia="华文仿宋" w:cs="仿宋"/>
          <w:color w:val="auto"/>
          <w:spacing w:val="-4"/>
          <w:kern w:val="0"/>
          <w:sz w:val="28"/>
          <w:szCs w:val="28"/>
          <w:highlight w:val="none"/>
        </w:rPr>
        <w:t>A.政府对本工程建设项目作出停建、缓建的决定（非承包人原因）；</w:t>
      </w:r>
    </w:p>
    <w:p w14:paraId="21EF1549">
      <w:pPr>
        <w:pStyle w:val="15"/>
        <w:spacing w:after="0" w:line="360" w:lineRule="auto"/>
        <w:ind w:left="0" w:firstLine="549"/>
        <w:rPr>
          <w:rFonts w:ascii="华文仿宋" w:hAnsi="华文仿宋" w:eastAsia="华文仿宋" w:cs="仿宋"/>
          <w:color w:val="auto"/>
          <w:kern w:val="0"/>
          <w:sz w:val="28"/>
          <w:szCs w:val="28"/>
          <w:highlight w:val="none"/>
        </w:rPr>
      </w:pPr>
      <w:r>
        <w:rPr>
          <w:rFonts w:hint="eastAsia" w:ascii="华文仿宋" w:hAnsi="华文仿宋" w:eastAsia="华文仿宋" w:cs="仿宋"/>
          <w:color w:val="auto"/>
          <w:kern w:val="0"/>
          <w:sz w:val="28"/>
          <w:szCs w:val="28"/>
          <w:highlight w:val="none"/>
        </w:rPr>
        <w:t>B.</w:t>
      </w:r>
      <w:r>
        <w:rPr>
          <w:rFonts w:ascii="华文仿宋" w:hAnsi="华文仿宋" w:eastAsia="华文仿宋" w:cs="仿宋"/>
          <w:color w:val="auto"/>
          <w:kern w:val="0"/>
          <w:sz w:val="28"/>
          <w:szCs w:val="28"/>
          <w:highlight w:val="none"/>
        </w:rPr>
        <w:t>不可抗力</w:t>
      </w:r>
      <w:r>
        <w:rPr>
          <w:rFonts w:hint="eastAsia" w:ascii="华文仿宋" w:hAnsi="华文仿宋" w:eastAsia="华文仿宋" w:cs="仿宋"/>
          <w:color w:val="auto"/>
          <w:kern w:val="0"/>
          <w:sz w:val="28"/>
          <w:szCs w:val="28"/>
          <w:highlight w:val="none"/>
        </w:rPr>
        <w:t>持续影响</w:t>
      </w:r>
      <w:r>
        <w:rPr>
          <w:rFonts w:ascii="华文仿宋" w:hAnsi="华文仿宋" w:eastAsia="华文仿宋" w:cs="仿宋"/>
          <w:color w:val="auto"/>
          <w:kern w:val="0"/>
          <w:sz w:val="28"/>
          <w:szCs w:val="28"/>
          <w:highlight w:val="none"/>
        </w:rPr>
        <w:t>；</w:t>
      </w:r>
    </w:p>
    <w:p w14:paraId="6C1045F8">
      <w:pPr>
        <w:pStyle w:val="15"/>
        <w:spacing w:after="0" w:line="360" w:lineRule="auto"/>
        <w:ind w:left="0" w:firstLine="549"/>
        <w:rPr>
          <w:rFonts w:ascii="华文仿宋" w:hAnsi="华文仿宋" w:eastAsia="华文仿宋" w:cs="仿宋"/>
          <w:color w:val="auto"/>
          <w:kern w:val="0"/>
          <w:sz w:val="28"/>
          <w:szCs w:val="28"/>
          <w:highlight w:val="none"/>
        </w:rPr>
      </w:pPr>
      <w:r>
        <w:rPr>
          <w:rFonts w:hint="eastAsia" w:ascii="华文仿宋" w:hAnsi="华文仿宋" w:eastAsia="华文仿宋" w:cs="仿宋"/>
          <w:color w:val="auto"/>
          <w:kern w:val="0"/>
          <w:sz w:val="28"/>
          <w:szCs w:val="28"/>
          <w:highlight w:val="none"/>
        </w:rPr>
        <w:t>C.重大设计变更导致本工程在规划、使用、功能方面有重大调整</w:t>
      </w:r>
      <w:r>
        <w:rPr>
          <w:rFonts w:ascii="华文仿宋" w:hAnsi="华文仿宋" w:eastAsia="华文仿宋" w:cs="仿宋"/>
          <w:color w:val="auto"/>
          <w:kern w:val="0"/>
          <w:sz w:val="28"/>
          <w:szCs w:val="28"/>
          <w:highlight w:val="none"/>
        </w:rPr>
        <w:t>；</w:t>
      </w:r>
    </w:p>
    <w:p w14:paraId="47591AA1">
      <w:pPr>
        <w:pStyle w:val="15"/>
        <w:spacing w:after="0" w:line="360" w:lineRule="auto"/>
        <w:ind w:left="0" w:firstLine="549"/>
        <w:rPr>
          <w:rFonts w:ascii="华文仿宋" w:hAnsi="华文仿宋" w:eastAsia="华文仿宋" w:cs="仿宋"/>
          <w:color w:val="auto"/>
          <w:kern w:val="0"/>
          <w:sz w:val="28"/>
          <w:szCs w:val="28"/>
          <w:highlight w:val="none"/>
        </w:rPr>
      </w:pPr>
      <w:r>
        <w:rPr>
          <w:rFonts w:hint="eastAsia" w:ascii="华文仿宋" w:hAnsi="华文仿宋" w:eastAsia="华文仿宋" w:cs="仿宋"/>
          <w:color w:val="auto"/>
          <w:kern w:val="0"/>
          <w:sz w:val="28"/>
          <w:szCs w:val="28"/>
          <w:highlight w:val="none"/>
        </w:rPr>
        <w:t>D.</w:t>
      </w:r>
      <w:r>
        <w:rPr>
          <w:rFonts w:ascii="华文仿宋" w:hAnsi="华文仿宋" w:eastAsia="华文仿宋" w:cs="仿宋"/>
          <w:color w:val="auto"/>
          <w:kern w:val="0"/>
          <w:sz w:val="28"/>
          <w:szCs w:val="28"/>
          <w:highlight w:val="none"/>
        </w:rPr>
        <w:t>发包人延期交付施工场地；</w:t>
      </w:r>
    </w:p>
    <w:p w14:paraId="405F5CBE">
      <w:pPr>
        <w:pStyle w:val="15"/>
        <w:spacing w:after="0" w:line="360" w:lineRule="auto"/>
        <w:ind w:left="0" w:firstLine="549"/>
        <w:rPr>
          <w:rFonts w:ascii="华文仿宋" w:hAnsi="华文仿宋" w:eastAsia="华文仿宋" w:cs="仿宋"/>
          <w:color w:val="auto"/>
          <w:spacing w:val="-4"/>
          <w:kern w:val="0"/>
          <w:sz w:val="28"/>
          <w:szCs w:val="28"/>
          <w:highlight w:val="none"/>
        </w:rPr>
      </w:pPr>
      <w:r>
        <w:rPr>
          <w:rFonts w:hint="eastAsia" w:ascii="华文仿宋" w:hAnsi="华文仿宋" w:eastAsia="华文仿宋" w:cs="仿宋"/>
          <w:color w:val="auto"/>
          <w:spacing w:val="-4"/>
          <w:kern w:val="0"/>
          <w:sz w:val="28"/>
          <w:szCs w:val="28"/>
          <w:highlight w:val="none"/>
        </w:rPr>
        <w:t>E.</w:t>
      </w:r>
      <w:r>
        <w:rPr>
          <w:rFonts w:ascii="华文仿宋" w:hAnsi="华文仿宋" w:eastAsia="华文仿宋" w:cs="仿宋"/>
          <w:color w:val="auto"/>
          <w:spacing w:val="-4"/>
          <w:kern w:val="0"/>
          <w:sz w:val="28"/>
          <w:szCs w:val="28"/>
          <w:highlight w:val="none"/>
        </w:rPr>
        <w:t>施工图纸供应时间影响工期进度，并经总监理工程师</w:t>
      </w:r>
      <w:r>
        <w:rPr>
          <w:rFonts w:hint="eastAsia" w:ascii="华文仿宋" w:hAnsi="华文仿宋" w:eastAsia="华文仿宋" w:cs="仿宋"/>
          <w:color w:val="auto"/>
          <w:spacing w:val="-4"/>
          <w:kern w:val="0"/>
          <w:sz w:val="28"/>
          <w:szCs w:val="28"/>
          <w:highlight w:val="none"/>
        </w:rPr>
        <w:t>书面</w:t>
      </w:r>
      <w:r>
        <w:rPr>
          <w:rFonts w:ascii="华文仿宋" w:hAnsi="华文仿宋" w:eastAsia="华文仿宋" w:cs="仿宋"/>
          <w:color w:val="auto"/>
          <w:spacing w:val="-4"/>
          <w:kern w:val="0"/>
          <w:sz w:val="28"/>
          <w:szCs w:val="28"/>
          <w:highlight w:val="none"/>
        </w:rPr>
        <w:t>确认的；</w:t>
      </w:r>
    </w:p>
    <w:p w14:paraId="2575BF17">
      <w:pPr>
        <w:pStyle w:val="15"/>
        <w:spacing w:after="0" w:line="360" w:lineRule="auto"/>
        <w:ind w:left="0" w:firstLine="549"/>
        <w:rPr>
          <w:rFonts w:ascii="华文仿宋" w:hAnsi="华文仿宋" w:eastAsia="华文仿宋" w:cs="仿宋"/>
          <w:color w:val="auto"/>
          <w:kern w:val="0"/>
          <w:sz w:val="28"/>
          <w:szCs w:val="28"/>
          <w:highlight w:val="none"/>
        </w:rPr>
      </w:pPr>
      <w:r>
        <w:rPr>
          <w:rFonts w:hint="eastAsia" w:ascii="华文仿宋" w:hAnsi="华文仿宋" w:eastAsia="华文仿宋" w:cs="仿宋"/>
          <w:color w:val="auto"/>
          <w:kern w:val="0"/>
          <w:sz w:val="28"/>
          <w:szCs w:val="28"/>
          <w:highlight w:val="none"/>
        </w:rPr>
        <w:t>F.</w:t>
      </w:r>
      <w:r>
        <w:rPr>
          <w:rFonts w:ascii="华文仿宋" w:hAnsi="华文仿宋" w:eastAsia="华文仿宋" w:cs="仿宋"/>
          <w:color w:val="auto"/>
          <w:kern w:val="0"/>
          <w:sz w:val="28"/>
          <w:szCs w:val="28"/>
          <w:highlight w:val="none"/>
        </w:rPr>
        <w:t>发包人指令（非承包人原因）引起的停工；</w:t>
      </w:r>
    </w:p>
    <w:p w14:paraId="31309592">
      <w:pPr>
        <w:pStyle w:val="15"/>
        <w:spacing w:after="0" w:line="360" w:lineRule="auto"/>
        <w:ind w:left="0" w:firstLine="549"/>
        <w:rPr>
          <w:rFonts w:ascii="华文仿宋" w:hAnsi="华文仿宋" w:eastAsia="华文仿宋" w:cs="仿宋"/>
          <w:color w:val="auto"/>
          <w:kern w:val="0"/>
          <w:sz w:val="28"/>
          <w:szCs w:val="28"/>
          <w:highlight w:val="none"/>
        </w:rPr>
      </w:pPr>
      <w:r>
        <w:rPr>
          <w:rFonts w:ascii="华文仿宋" w:hAnsi="华文仿宋" w:eastAsia="华文仿宋" w:cs="仿宋"/>
          <w:color w:val="auto"/>
          <w:kern w:val="0"/>
          <w:sz w:val="28"/>
          <w:szCs w:val="28"/>
          <w:highlight w:val="none"/>
        </w:rPr>
        <w:t>除上述原因之外，其他所有工期延误均为承包人原因造成的延误。</w:t>
      </w:r>
    </w:p>
    <w:p w14:paraId="2FE6CF11">
      <w:pPr>
        <w:pStyle w:val="15"/>
        <w:spacing w:after="0" w:line="360" w:lineRule="auto"/>
        <w:ind w:left="0" w:firstLine="549"/>
        <w:rPr>
          <w:rFonts w:ascii="华文仿宋" w:hAnsi="华文仿宋" w:eastAsia="华文仿宋" w:cs="仿宋"/>
          <w:color w:val="auto"/>
          <w:kern w:val="0"/>
          <w:sz w:val="28"/>
          <w:szCs w:val="28"/>
          <w:highlight w:val="none"/>
        </w:rPr>
      </w:pPr>
      <w:r>
        <w:rPr>
          <w:rFonts w:ascii="华文仿宋" w:hAnsi="华文仿宋" w:eastAsia="华文仿宋" w:cs="仿宋"/>
          <w:bCs/>
          <w:color w:val="auto"/>
          <w:kern w:val="0"/>
          <w:sz w:val="28"/>
          <w:szCs w:val="28"/>
          <w:highlight w:val="none"/>
        </w:rPr>
        <w:t>（2）</w:t>
      </w:r>
      <w:r>
        <w:rPr>
          <w:rFonts w:ascii="华文仿宋" w:hAnsi="华文仿宋" w:eastAsia="华文仿宋" w:cs="仿宋"/>
          <w:color w:val="auto"/>
          <w:kern w:val="0"/>
          <w:sz w:val="28"/>
          <w:szCs w:val="28"/>
          <w:highlight w:val="none"/>
        </w:rPr>
        <w:t>因承包人原因造成的工期延误，工期一概不得顺延。承包人还应当按照合同专用条件有关约定承担违约责任。</w:t>
      </w:r>
    </w:p>
    <w:p w14:paraId="44A28E86">
      <w:pPr>
        <w:pStyle w:val="15"/>
        <w:spacing w:after="0" w:line="360" w:lineRule="auto"/>
        <w:ind w:left="0" w:firstLine="549"/>
        <w:rPr>
          <w:rFonts w:ascii="华文仿宋" w:hAnsi="华文仿宋" w:eastAsia="华文仿宋" w:cs="仿宋"/>
          <w:color w:val="auto"/>
          <w:kern w:val="0"/>
          <w:sz w:val="28"/>
          <w:szCs w:val="28"/>
          <w:highlight w:val="none"/>
        </w:rPr>
      </w:pPr>
      <w:r>
        <w:rPr>
          <w:rFonts w:ascii="华文仿宋" w:hAnsi="华文仿宋" w:eastAsia="华文仿宋" w:cs="仿宋"/>
          <w:color w:val="auto"/>
          <w:spacing w:val="-4"/>
          <w:kern w:val="0"/>
          <w:sz w:val="28"/>
          <w:szCs w:val="28"/>
          <w:highlight w:val="none"/>
        </w:rPr>
        <w:t>（3）因承包人对现场组织管理不力或未能提供协调、配合服务，以致专业工程的进度影响工期，承包人不得以此为由提出延长工期的要求。</w:t>
      </w:r>
    </w:p>
    <w:p w14:paraId="2B42923B">
      <w:pPr>
        <w:spacing w:line="360" w:lineRule="auto"/>
        <w:ind w:firstLine="552" w:firstLineChars="200"/>
        <w:outlineLvl w:val="3"/>
        <w:rPr>
          <w:rFonts w:ascii="华文仿宋" w:hAnsi="华文仿宋" w:eastAsia="华文仿宋" w:cs="仿宋"/>
          <w:color w:val="auto"/>
          <w:spacing w:val="-2"/>
          <w:sz w:val="28"/>
          <w:szCs w:val="28"/>
          <w:highlight w:val="none"/>
        </w:rPr>
      </w:pPr>
      <w:r>
        <w:rPr>
          <w:rFonts w:ascii="华文仿宋" w:hAnsi="华文仿宋" w:eastAsia="华文仿宋" w:cs="仿宋"/>
          <w:bCs/>
          <w:color w:val="auto"/>
          <w:spacing w:val="-2"/>
          <w:sz w:val="28"/>
          <w:szCs w:val="28"/>
          <w:highlight w:val="none"/>
        </w:rPr>
        <w:t>13.3</w:t>
      </w:r>
      <w:r>
        <w:rPr>
          <w:rFonts w:ascii="华文仿宋" w:hAnsi="华文仿宋" w:eastAsia="华文仿宋" w:cs="仿宋"/>
          <w:color w:val="auto"/>
          <w:spacing w:val="-2"/>
          <w:sz w:val="28"/>
          <w:szCs w:val="28"/>
          <w:highlight w:val="none"/>
        </w:rPr>
        <w:t>非因承包人原因造成关键节点工期延误，一次性延误</w:t>
      </w:r>
      <w:r>
        <w:rPr>
          <w:rFonts w:ascii="华文仿宋" w:hAnsi="华文仿宋" w:eastAsia="华文仿宋" w:cs="仿宋"/>
          <w:iCs/>
          <w:color w:val="auto"/>
          <w:spacing w:val="-2"/>
          <w:sz w:val="28"/>
          <w:szCs w:val="28"/>
          <w:highlight w:val="none"/>
        </w:rPr>
        <w:t>不满10</w:t>
      </w:r>
      <w:r>
        <w:rPr>
          <w:rFonts w:ascii="华文仿宋" w:hAnsi="华文仿宋" w:eastAsia="华文仿宋" w:cs="仿宋"/>
          <w:color w:val="auto"/>
          <w:spacing w:val="-2"/>
          <w:sz w:val="28"/>
          <w:szCs w:val="28"/>
          <w:highlight w:val="none"/>
        </w:rPr>
        <w:t>天的，工期不予顺延，由承包人采取措施自行消化；一次性延</w:t>
      </w:r>
      <w:r>
        <w:rPr>
          <w:rFonts w:ascii="华文仿宋" w:hAnsi="华文仿宋" w:eastAsia="华文仿宋" w:cs="仿宋"/>
          <w:iCs/>
          <w:color w:val="auto"/>
          <w:spacing w:val="-2"/>
          <w:sz w:val="28"/>
          <w:szCs w:val="28"/>
          <w:highlight w:val="none"/>
        </w:rPr>
        <w:t>误达到10天不满20天的</w:t>
      </w:r>
      <w:r>
        <w:rPr>
          <w:rFonts w:ascii="华文仿宋" w:hAnsi="华文仿宋" w:eastAsia="华文仿宋" w:cs="仿宋"/>
          <w:color w:val="auto"/>
          <w:spacing w:val="-2"/>
          <w:sz w:val="28"/>
          <w:szCs w:val="28"/>
          <w:highlight w:val="none"/>
        </w:rPr>
        <w:t>，</w:t>
      </w:r>
      <w:r>
        <w:rPr>
          <w:rFonts w:hint="eastAsia" w:ascii="华文仿宋" w:hAnsi="华文仿宋" w:eastAsia="华文仿宋" w:cs="仿宋"/>
          <w:color w:val="auto"/>
          <w:spacing w:val="-2"/>
          <w:sz w:val="28"/>
          <w:szCs w:val="28"/>
          <w:highlight w:val="none"/>
        </w:rPr>
        <w:t>一般</w:t>
      </w:r>
      <w:r>
        <w:rPr>
          <w:rFonts w:ascii="华文仿宋" w:hAnsi="华文仿宋" w:eastAsia="华文仿宋" w:cs="仿宋"/>
          <w:color w:val="auto"/>
          <w:spacing w:val="-2"/>
          <w:sz w:val="28"/>
          <w:szCs w:val="28"/>
          <w:highlight w:val="none"/>
        </w:rPr>
        <w:t>节点工期可顺延5天，承包人应采取措施在下一个节点工期内消化</w:t>
      </w:r>
      <w:r>
        <w:rPr>
          <w:rFonts w:hint="eastAsia" w:ascii="华文仿宋" w:hAnsi="华文仿宋" w:eastAsia="华文仿宋" w:cs="仿宋"/>
          <w:color w:val="auto"/>
          <w:spacing w:val="-2"/>
          <w:sz w:val="28"/>
          <w:szCs w:val="28"/>
          <w:highlight w:val="none"/>
        </w:rPr>
        <w:t>，</w:t>
      </w:r>
      <w:r>
        <w:rPr>
          <w:rFonts w:ascii="华文仿宋" w:hAnsi="华文仿宋" w:eastAsia="华文仿宋" w:cs="仿宋"/>
          <w:color w:val="auto"/>
          <w:spacing w:val="-2"/>
          <w:sz w:val="28"/>
          <w:szCs w:val="28"/>
          <w:highlight w:val="none"/>
        </w:rPr>
        <w:t>但承包人必须在</w:t>
      </w:r>
      <w:r>
        <w:rPr>
          <w:rFonts w:hint="eastAsia" w:ascii="华文仿宋" w:hAnsi="华文仿宋" w:eastAsia="华文仿宋" w:cs="仿宋"/>
          <w:color w:val="auto"/>
          <w:spacing w:val="-2"/>
          <w:sz w:val="28"/>
          <w:szCs w:val="28"/>
          <w:highlight w:val="none"/>
        </w:rPr>
        <w:t>关键节点</w:t>
      </w:r>
      <w:r>
        <w:rPr>
          <w:rFonts w:ascii="华文仿宋" w:hAnsi="华文仿宋" w:eastAsia="华文仿宋" w:cs="仿宋"/>
          <w:color w:val="auto"/>
          <w:spacing w:val="-2"/>
          <w:sz w:val="28"/>
          <w:szCs w:val="28"/>
          <w:highlight w:val="none"/>
        </w:rPr>
        <w:t>工期内采取措施消化被延误工期；一次</w:t>
      </w:r>
      <w:r>
        <w:rPr>
          <w:rFonts w:ascii="华文仿宋" w:hAnsi="华文仿宋" w:eastAsia="华文仿宋" w:cs="仿宋"/>
          <w:iCs/>
          <w:color w:val="auto"/>
          <w:spacing w:val="-2"/>
          <w:sz w:val="28"/>
          <w:szCs w:val="28"/>
          <w:highlight w:val="none"/>
        </w:rPr>
        <w:t>性延误达到20天不满30天的</w:t>
      </w:r>
      <w:r>
        <w:rPr>
          <w:rFonts w:ascii="华文仿宋" w:hAnsi="华文仿宋" w:eastAsia="华文仿宋" w:cs="仿宋"/>
          <w:color w:val="auto"/>
          <w:spacing w:val="-2"/>
          <w:sz w:val="28"/>
          <w:szCs w:val="28"/>
          <w:highlight w:val="none"/>
        </w:rPr>
        <w:t>，</w:t>
      </w:r>
      <w:r>
        <w:rPr>
          <w:rFonts w:hint="eastAsia" w:ascii="华文仿宋" w:hAnsi="华文仿宋" w:eastAsia="华文仿宋" w:cs="仿宋"/>
          <w:color w:val="auto"/>
          <w:spacing w:val="-2"/>
          <w:sz w:val="28"/>
          <w:szCs w:val="28"/>
          <w:highlight w:val="none"/>
        </w:rPr>
        <w:t>关键</w:t>
      </w:r>
      <w:r>
        <w:rPr>
          <w:rFonts w:ascii="华文仿宋" w:hAnsi="华文仿宋" w:eastAsia="华文仿宋" w:cs="仿宋"/>
          <w:color w:val="auto"/>
          <w:spacing w:val="-2"/>
          <w:sz w:val="28"/>
          <w:szCs w:val="28"/>
          <w:highlight w:val="none"/>
        </w:rPr>
        <w:t>节点工期可顺延</w:t>
      </w:r>
      <w:r>
        <w:rPr>
          <w:rFonts w:ascii="华文仿宋" w:hAnsi="华文仿宋" w:eastAsia="华文仿宋" w:cs="仿宋"/>
          <w:iCs/>
          <w:color w:val="auto"/>
          <w:spacing w:val="-2"/>
          <w:sz w:val="28"/>
          <w:szCs w:val="28"/>
          <w:highlight w:val="none"/>
        </w:rPr>
        <w:t>10</w:t>
      </w:r>
      <w:r>
        <w:rPr>
          <w:rFonts w:ascii="华文仿宋" w:hAnsi="华文仿宋" w:eastAsia="华文仿宋" w:cs="仿宋"/>
          <w:color w:val="auto"/>
          <w:spacing w:val="-2"/>
          <w:sz w:val="28"/>
          <w:szCs w:val="28"/>
          <w:highlight w:val="none"/>
        </w:rPr>
        <w:t>天，但承包人必须在总工期内采取措施消化被延误工期；一次性延误达到30天以上的，工期可以顺延15天</w:t>
      </w:r>
      <w:r>
        <w:rPr>
          <w:rFonts w:hint="eastAsia" w:ascii="华文仿宋" w:hAnsi="华文仿宋" w:eastAsia="华文仿宋" w:cs="仿宋"/>
          <w:color w:val="auto"/>
          <w:spacing w:val="-2"/>
          <w:sz w:val="28"/>
          <w:szCs w:val="28"/>
          <w:highlight w:val="none"/>
        </w:rPr>
        <w:t>（经发包人批准或不可抗力的情况除外）</w:t>
      </w:r>
      <w:r>
        <w:rPr>
          <w:rFonts w:ascii="华文仿宋" w:hAnsi="华文仿宋" w:eastAsia="华文仿宋" w:cs="仿宋"/>
          <w:color w:val="auto"/>
          <w:spacing w:val="-2"/>
          <w:sz w:val="28"/>
          <w:szCs w:val="28"/>
          <w:highlight w:val="none"/>
        </w:rPr>
        <w:t>。</w:t>
      </w:r>
    </w:p>
    <w:p w14:paraId="33F0BC53">
      <w:pPr>
        <w:spacing w:line="360" w:lineRule="auto"/>
        <w:ind w:firstLine="560"/>
        <w:outlineLvl w:val="3"/>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13.4对于非因承包人原因发生的工期延误，承包人应当在工期延误发生后7天内就延误的内容和因此发生的经济支出向发包人提出书面报告；逾期不报告的，发包人不予确认。发包人代表在收到报告后10天内予以确认、答复，逾期不予答复的，承包人即可视为延期要求已被确认。</w:t>
      </w:r>
    </w:p>
    <w:p w14:paraId="35757C4B">
      <w:pPr>
        <w:spacing w:line="360" w:lineRule="auto"/>
        <w:ind w:firstLine="560"/>
        <w:outlineLvl w:val="3"/>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13.5本合同工期已充分考虑本合同委托范围内所有专业工程的衔接（含依法分包或发包招标等所需时限）以及所有主要材料设备的采购、供货、运输等所需时限，承包人必须采取一切措施确保工程按期完工，所有相应费用已包含在合同总价中,发包人不予另行支付；但若施工过程中发包人书面提出缩短合同工期，则承包人有权相应索赔</w:t>
      </w:r>
      <w:r>
        <w:rPr>
          <w:rFonts w:hint="eastAsia" w:ascii="华文仿宋" w:hAnsi="华文仿宋" w:eastAsia="华文仿宋" w:cs="仿宋"/>
          <w:color w:val="auto"/>
          <w:kern w:val="1"/>
          <w:sz w:val="28"/>
          <w:szCs w:val="28"/>
          <w:highlight w:val="none"/>
        </w:rPr>
        <w:t>合理的</w:t>
      </w:r>
      <w:r>
        <w:rPr>
          <w:rFonts w:ascii="华文仿宋" w:hAnsi="华文仿宋" w:eastAsia="华文仿宋" w:cs="仿宋"/>
          <w:color w:val="auto"/>
          <w:kern w:val="1"/>
          <w:sz w:val="28"/>
          <w:szCs w:val="28"/>
          <w:highlight w:val="none"/>
        </w:rPr>
        <w:t>赶工费用。</w:t>
      </w:r>
    </w:p>
    <w:p w14:paraId="772E0F4D">
      <w:pPr>
        <w:spacing w:line="360" w:lineRule="auto"/>
        <w:ind w:firstLine="562"/>
        <w:outlineLvl w:val="3"/>
        <w:rPr>
          <w:rFonts w:ascii="华文仿宋" w:hAnsi="华文仿宋" w:eastAsia="华文仿宋" w:cs="仿宋"/>
          <w:color w:val="auto"/>
          <w:sz w:val="28"/>
          <w:szCs w:val="28"/>
          <w:highlight w:val="none"/>
        </w:rPr>
      </w:pPr>
      <w:r>
        <w:rPr>
          <w:rFonts w:ascii="华文仿宋" w:hAnsi="华文仿宋" w:eastAsia="华文仿宋" w:cs="仿宋"/>
          <w:b/>
          <w:color w:val="auto"/>
          <w:kern w:val="1"/>
          <w:sz w:val="28"/>
          <w:szCs w:val="28"/>
          <w:highlight w:val="none"/>
        </w:rPr>
        <w:t xml:space="preserve">四、质量与验收 </w:t>
      </w:r>
    </w:p>
    <w:p w14:paraId="3D0DF6CE">
      <w:pPr>
        <w:spacing w:line="360" w:lineRule="auto"/>
        <w:ind w:firstLine="562"/>
        <w:rPr>
          <w:rFonts w:ascii="华文仿宋" w:hAnsi="华文仿宋" w:eastAsia="华文仿宋" w:cs="仿宋"/>
          <w:b/>
          <w:color w:val="auto"/>
          <w:kern w:val="1"/>
          <w:sz w:val="28"/>
          <w:szCs w:val="28"/>
          <w:highlight w:val="none"/>
        </w:rPr>
      </w:pPr>
      <w:r>
        <w:rPr>
          <w:rFonts w:ascii="华文仿宋" w:hAnsi="华文仿宋" w:eastAsia="华文仿宋" w:cs="仿宋"/>
          <w:b/>
          <w:color w:val="auto"/>
          <w:kern w:val="1"/>
          <w:sz w:val="28"/>
          <w:szCs w:val="28"/>
          <w:highlight w:val="none"/>
        </w:rPr>
        <w:t>15、工程质量</w:t>
      </w:r>
    </w:p>
    <w:p w14:paraId="5BC22429">
      <w:pPr>
        <w:spacing w:line="360" w:lineRule="auto"/>
        <w:ind w:firstLine="560"/>
        <w:outlineLvl w:val="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15.1工程质量标准</w:t>
      </w:r>
    </w:p>
    <w:p w14:paraId="41F2253E">
      <w:pPr>
        <w:spacing w:line="360" w:lineRule="auto"/>
        <w:ind w:firstLine="560" w:firstLineChars="200"/>
        <w:rPr>
          <w:rFonts w:ascii="华文仿宋" w:hAnsi="华文仿宋" w:eastAsia="华文仿宋" w:cs="仿宋"/>
          <w:color w:val="auto"/>
          <w:kern w:val="1"/>
          <w:sz w:val="28"/>
          <w:szCs w:val="28"/>
          <w:highlight w:val="none"/>
          <w:u w:val="single"/>
        </w:rPr>
      </w:pPr>
      <w:r>
        <w:rPr>
          <w:rFonts w:ascii="华文仿宋" w:hAnsi="华文仿宋" w:eastAsia="华文仿宋" w:cs="仿宋"/>
          <w:color w:val="auto"/>
          <w:kern w:val="1"/>
          <w:sz w:val="28"/>
          <w:szCs w:val="28"/>
          <w:highlight w:val="none"/>
        </w:rPr>
        <w:t>15.1.1本工程的质量要求为</w:t>
      </w:r>
      <w:bookmarkStart w:id="1" w:name="_Hlk195691179"/>
      <w:r>
        <w:rPr>
          <w:rFonts w:hint="eastAsia" w:ascii="华文仿宋" w:hAnsi="华文仿宋" w:eastAsia="华文仿宋" w:cs="仿宋"/>
          <w:color w:val="auto"/>
          <w:kern w:val="1"/>
          <w:sz w:val="28"/>
          <w:szCs w:val="28"/>
          <w:highlight w:val="none"/>
          <w:u w:val="single"/>
        </w:rPr>
        <w:t>满足设计文件要求、符合招标文件所要求的设计规范、标准和国家、地方行业有关标准及投标文件承诺。符合《建筑工程质量统一验收标准最新版为GB50300-2023》、《建设工程质量管理条例》及国家现行各专业工程施工质量验收规范等，并达到合格(或以上)标准。(如有新规范标准按新的执行)</w:t>
      </w:r>
    </w:p>
    <w:bookmarkEnd w:id="1"/>
    <w:p w14:paraId="018B8808">
      <w:pPr>
        <w:spacing w:line="360" w:lineRule="auto"/>
        <w:ind w:firstLine="560" w:firstLineChars="200"/>
        <w:rPr>
          <w:rFonts w:ascii="华文仿宋" w:hAnsi="华文仿宋" w:eastAsia="华文仿宋" w:cs="仿宋"/>
          <w:color w:val="auto"/>
          <w:kern w:val="1"/>
          <w:sz w:val="28"/>
          <w:szCs w:val="28"/>
          <w:highlight w:val="none"/>
          <w:u w:val="single"/>
        </w:rPr>
      </w:pPr>
      <w:r>
        <w:rPr>
          <w:rFonts w:ascii="华文仿宋" w:hAnsi="华文仿宋" w:eastAsia="华文仿宋" w:cs="仿宋"/>
          <w:color w:val="auto"/>
          <w:kern w:val="1"/>
          <w:sz w:val="28"/>
          <w:szCs w:val="28"/>
          <w:highlight w:val="none"/>
        </w:rPr>
        <w:t>15.1.2</w:t>
      </w:r>
      <w:r>
        <w:rPr>
          <w:rFonts w:hint="eastAsia" w:ascii="华文仿宋" w:hAnsi="华文仿宋" w:eastAsia="华文仿宋" w:cs="仿宋"/>
          <w:color w:val="auto"/>
          <w:kern w:val="1"/>
          <w:sz w:val="28"/>
          <w:szCs w:val="28"/>
          <w:highlight w:val="none"/>
        </w:rPr>
        <w:t>因承包人原因造成工程质量未达到前款规定标准，承包人应承担违约责任，并赔偿发包人的所有损失（包括但不限于律师费、诉讼费、执行费、保全费、鉴定费、公证费等费用损失及其他有关经济损失）。</w:t>
      </w:r>
    </w:p>
    <w:p w14:paraId="60EE397A">
      <w:pPr>
        <w:spacing w:line="360" w:lineRule="auto"/>
        <w:ind w:firstLine="560"/>
        <w:outlineLvl w:val="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15.2工程质量争议与鉴定</w:t>
      </w:r>
    </w:p>
    <w:p w14:paraId="2E1FDB5C">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双方对工程质量有争议，同意依据《建筑工程施工质量验收统一标准》（GB50300-2013）（如有新版本</w:t>
      </w:r>
      <w:r>
        <w:rPr>
          <w:rFonts w:hint="eastAsia" w:ascii="华文仿宋" w:hAnsi="华文仿宋" w:eastAsia="华文仿宋" w:cs="仿宋"/>
          <w:color w:val="auto"/>
          <w:kern w:val="1"/>
          <w:sz w:val="28"/>
          <w:szCs w:val="28"/>
          <w:highlight w:val="none"/>
        </w:rPr>
        <w:t>颁布</w:t>
      </w:r>
      <w:r>
        <w:rPr>
          <w:rFonts w:ascii="华文仿宋" w:hAnsi="华文仿宋" w:eastAsia="华文仿宋" w:cs="仿宋"/>
          <w:color w:val="auto"/>
          <w:kern w:val="1"/>
          <w:sz w:val="28"/>
          <w:szCs w:val="28"/>
          <w:highlight w:val="none"/>
        </w:rPr>
        <w:t>，则按最新版本执行），</w:t>
      </w:r>
      <w:r>
        <w:rPr>
          <w:rFonts w:hint="eastAsia" w:ascii="华文仿宋" w:hAnsi="华文仿宋" w:eastAsia="华文仿宋" w:cs="仿宋"/>
          <w:color w:val="auto"/>
          <w:kern w:val="1"/>
          <w:sz w:val="28"/>
          <w:szCs w:val="28"/>
          <w:highlight w:val="none"/>
        </w:rPr>
        <w:t>以有关质量安全监督部门或发包人指定的工程质量检测机构鉴定为准</w:t>
      </w:r>
      <w:r>
        <w:rPr>
          <w:rFonts w:ascii="华文仿宋" w:hAnsi="华文仿宋" w:eastAsia="华文仿宋" w:cs="仿宋"/>
          <w:color w:val="auto"/>
          <w:kern w:val="1"/>
          <w:sz w:val="28"/>
          <w:szCs w:val="28"/>
          <w:highlight w:val="none"/>
        </w:rPr>
        <w:t>。</w:t>
      </w:r>
    </w:p>
    <w:p w14:paraId="172F15CA">
      <w:pPr>
        <w:spacing w:line="360" w:lineRule="auto"/>
        <w:ind w:firstLine="560"/>
        <w:outlineLvl w:val="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15.3工程质量保证体系</w:t>
      </w:r>
    </w:p>
    <w:p w14:paraId="0463B729">
      <w:pPr>
        <w:spacing w:line="360" w:lineRule="auto"/>
        <w:ind w:firstLine="536"/>
        <w:rPr>
          <w:rFonts w:ascii="华文仿宋" w:hAnsi="华文仿宋" w:eastAsia="华文仿宋" w:cs="仿宋"/>
          <w:color w:val="auto"/>
          <w:spacing w:val="-6"/>
          <w:kern w:val="1"/>
          <w:sz w:val="28"/>
          <w:szCs w:val="28"/>
          <w:highlight w:val="none"/>
        </w:rPr>
      </w:pPr>
      <w:r>
        <w:rPr>
          <w:rFonts w:ascii="华文仿宋" w:hAnsi="华文仿宋" w:eastAsia="华文仿宋" w:cs="仿宋"/>
          <w:color w:val="auto"/>
          <w:spacing w:val="-6"/>
          <w:kern w:val="1"/>
          <w:sz w:val="28"/>
          <w:szCs w:val="28"/>
          <w:highlight w:val="none"/>
        </w:rPr>
        <w:t>承包人应当完善质量管理制度，建立质量控制流程，进行全面质量管理，以《质量管理体系标准要求》（GB/T19000-2008）为标准，建立并保持一个健全的工程质量保证体系，承包人应做到（包括但不限于）：</w:t>
      </w:r>
    </w:p>
    <w:p w14:paraId="00764C08">
      <w:pPr>
        <w:spacing w:line="360" w:lineRule="auto"/>
        <w:ind w:firstLine="536"/>
        <w:rPr>
          <w:rFonts w:ascii="华文仿宋" w:hAnsi="华文仿宋" w:eastAsia="华文仿宋" w:cs="仿宋"/>
          <w:color w:val="auto"/>
          <w:spacing w:val="-6"/>
          <w:kern w:val="1"/>
          <w:sz w:val="28"/>
          <w:szCs w:val="28"/>
          <w:highlight w:val="none"/>
        </w:rPr>
      </w:pPr>
      <w:r>
        <w:rPr>
          <w:rFonts w:ascii="华文仿宋" w:hAnsi="华文仿宋" w:eastAsia="华文仿宋" w:cs="仿宋"/>
          <w:color w:val="auto"/>
          <w:spacing w:val="-6"/>
          <w:kern w:val="1"/>
          <w:sz w:val="28"/>
          <w:szCs w:val="28"/>
          <w:highlight w:val="none"/>
        </w:rPr>
        <w:t>（1）建立完整的质量保证体系，委派专人负责工程质量管理，现场管理机构、工区（段）设有专职质检人员，班组设质检员，必须附有项目架构人员名单，各类人员必须持有上岗资格证，于本合同签订后5天内将上述人员报总监理工程师备查。承包人还应建立并完善各项目质量管理检查制度及企业质量管理文件等。同时，承包人应积极配合工程质量第三方检测工作，并积极采用新材料、新工艺、新技术。</w:t>
      </w:r>
    </w:p>
    <w:p w14:paraId="554F81DB">
      <w:pPr>
        <w:spacing w:line="360" w:lineRule="auto"/>
        <w:ind w:firstLine="536"/>
        <w:rPr>
          <w:rFonts w:ascii="华文仿宋" w:hAnsi="华文仿宋" w:eastAsia="华文仿宋" w:cs="仿宋"/>
          <w:color w:val="auto"/>
          <w:spacing w:val="-6"/>
          <w:kern w:val="1"/>
          <w:sz w:val="28"/>
          <w:szCs w:val="28"/>
          <w:highlight w:val="none"/>
        </w:rPr>
      </w:pPr>
      <w:r>
        <w:rPr>
          <w:rFonts w:ascii="华文仿宋" w:hAnsi="华文仿宋" w:eastAsia="华文仿宋" w:cs="仿宋"/>
          <w:color w:val="auto"/>
          <w:spacing w:val="-6"/>
          <w:kern w:val="1"/>
          <w:sz w:val="28"/>
          <w:szCs w:val="28"/>
          <w:highlight w:val="none"/>
        </w:rPr>
        <w:t>（2）承包人提交总监理工程师批准的施工组织设计或者施工方案必须附有完备的工程质量保证措施，包括：工程质量预控措施，工序质量控制点，工程的标准工艺流程图和技术、组织措施，工程各分部、分项的关键工序、特殊工序控制等，以及重点分部（项）工程的施工方法，材料、制品试件取样及送检试验的方法或检测方案，成品保护的措施和方法，质量报表和质量事故的报告制度等等。</w:t>
      </w:r>
    </w:p>
    <w:p w14:paraId="66359C2E">
      <w:pPr>
        <w:spacing w:line="360" w:lineRule="auto"/>
        <w:ind w:firstLine="536"/>
        <w:rPr>
          <w:rFonts w:ascii="华文仿宋" w:hAnsi="华文仿宋" w:eastAsia="华文仿宋" w:cs="仿宋"/>
          <w:color w:val="auto"/>
          <w:spacing w:val="-6"/>
          <w:kern w:val="1"/>
          <w:sz w:val="28"/>
          <w:szCs w:val="28"/>
          <w:highlight w:val="none"/>
        </w:rPr>
      </w:pPr>
      <w:r>
        <w:rPr>
          <w:rFonts w:ascii="华文仿宋" w:hAnsi="华文仿宋" w:eastAsia="华文仿宋" w:cs="仿宋"/>
          <w:color w:val="auto"/>
          <w:spacing w:val="-6"/>
          <w:kern w:val="1"/>
          <w:sz w:val="28"/>
          <w:szCs w:val="28"/>
          <w:highlight w:val="none"/>
        </w:rPr>
        <w:t>（3）单项工程开工前，承包人必须按要求对职工分级进行技术交底，组织学习有关规程、标准、规范和工艺要求（规程包括但不限于施工企业标准和作业指导书），在施工中必须按规程及工艺进行操作。</w:t>
      </w:r>
    </w:p>
    <w:p w14:paraId="31B56C0D">
      <w:pPr>
        <w:spacing w:line="360" w:lineRule="auto"/>
        <w:ind w:firstLine="536"/>
        <w:rPr>
          <w:rFonts w:ascii="华文仿宋" w:hAnsi="华文仿宋" w:eastAsia="华文仿宋" w:cs="仿宋"/>
          <w:color w:val="auto"/>
          <w:spacing w:val="-6"/>
          <w:kern w:val="1"/>
          <w:sz w:val="28"/>
          <w:szCs w:val="28"/>
          <w:highlight w:val="none"/>
        </w:rPr>
      </w:pPr>
      <w:r>
        <w:rPr>
          <w:rFonts w:ascii="华文仿宋" w:hAnsi="华文仿宋" w:eastAsia="华文仿宋" w:cs="仿宋"/>
          <w:color w:val="auto"/>
          <w:spacing w:val="-6"/>
          <w:kern w:val="1"/>
          <w:sz w:val="28"/>
          <w:szCs w:val="28"/>
          <w:highlight w:val="none"/>
        </w:rPr>
        <w:t>（4）单项工程和重要部位必须遵循先试验后铺开施工的程序，开工前承包人应熟悉施工图纸会审和设计变更内容并完成施工组织设计和必要的施工准备，送总监理工程师审查批准后方可进行试验性施工，完工后由总监理工程师检验，符合要求后才能铺开施工或者批量生产。</w:t>
      </w:r>
    </w:p>
    <w:p w14:paraId="17FEF250">
      <w:pPr>
        <w:spacing w:line="360" w:lineRule="auto"/>
        <w:ind w:firstLine="536"/>
        <w:rPr>
          <w:rFonts w:ascii="华文仿宋" w:hAnsi="华文仿宋" w:eastAsia="华文仿宋" w:cs="仿宋"/>
          <w:color w:val="auto"/>
          <w:spacing w:val="-6"/>
          <w:kern w:val="1"/>
          <w:sz w:val="28"/>
          <w:szCs w:val="28"/>
          <w:highlight w:val="none"/>
        </w:rPr>
      </w:pPr>
      <w:r>
        <w:rPr>
          <w:rFonts w:hint="eastAsia" w:ascii="华文仿宋" w:hAnsi="华文仿宋" w:eastAsia="华文仿宋" w:cs="仿宋"/>
          <w:color w:val="auto"/>
          <w:spacing w:val="-6"/>
          <w:kern w:val="1"/>
          <w:sz w:val="28"/>
          <w:szCs w:val="28"/>
          <w:highlight w:val="none"/>
        </w:rPr>
        <w:t>15.4 第三方质量巡检</w:t>
      </w:r>
    </w:p>
    <w:p w14:paraId="2AA29465">
      <w:pPr>
        <w:spacing w:line="360" w:lineRule="auto"/>
        <w:ind w:firstLine="536"/>
        <w:rPr>
          <w:rFonts w:ascii="华文仿宋" w:hAnsi="华文仿宋" w:eastAsia="华文仿宋" w:cs="仿宋"/>
          <w:color w:val="auto"/>
          <w:spacing w:val="-6"/>
          <w:kern w:val="1"/>
          <w:sz w:val="28"/>
          <w:szCs w:val="28"/>
          <w:highlight w:val="none"/>
        </w:rPr>
      </w:pPr>
      <w:r>
        <w:rPr>
          <w:rFonts w:hint="eastAsia" w:ascii="华文仿宋" w:hAnsi="华文仿宋" w:eastAsia="华文仿宋" w:cs="仿宋"/>
          <w:color w:val="auto"/>
          <w:spacing w:val="-6"/>
          <w:kern w:val="1"/>
          <w:sz w:val="28"/>
          <w:szCs w:val="28"/>
          <w:highlight w:val="none"/>
        </w:rPr>
        <w:t>施工过程中发包人有权委托第三方机构对工程进行质量巡检，质量评估指标包括实测实量、安全文明、质量风险等，由第三方机构出具书面质量评估报告，对各项指标进行评分及综合评分（合格率）。承包人应认可上述评分结论，承诺每次评估时综合评分及各单项评分均不低于发包人所要求的最低得分标准，并应按照评估报告的整改建议及发包人的整改要求及时整改。如承包人在质量评估时综合评分或某单项得分未达到上述标准的，或承包人未按评估报告的整改建议及发包人的整改要求及时整改的，应按本合同专用条款第35.2.2款承担违约责任。</w:t>
      </w:r>
    </w:p>
    <w:p w14:paraId="3A23BC69">
      <w:pPr>
        <w:spacing w:line="360" w:lineRule="auto"/>
        <w:ind w:firstLine="562"/>
        <w:outlineLvl w:val="0"/>
        <w:rPr>
          <w:rFonts w:ascii="华文仿宋" w:hAnsi="华文仿宋" w:eastAsia="华文仿宋" w:cs="仿宋"/>
          <w:b/>
          <w:color w:val="auto"/>
          <w:kern w:val="1"/>
          <w:sz w:val="28"/>
          <w:szCs w:val="28"/>
          <w:highlight w:val="none"/>
        </w:rPr>
      </w:pPr>
      <w:r>
        <w:rPr>
          <w:rFonts w:ascii="华文仿宋" w:hAnsi="华文仿宋" w:eastAsia="华文仿宋" w:cs="仿宋"/>
          <w:b/>
          <w:color w:val="auto"/>
          <w:kern w:val="1"/>
          <w:sz w:val="28"/>
          <w:szCs w:val="28"/>
          <w:highlight w:val="none"/>
        </w:rPr>
        <w:t>16、检查和返工</w:t>
      </w:r>
    </w:p>
    <w:p w14:paraId="07FFDA32">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16.1承包人须保证本合同范围内的所有工程在合同规定的总工期内完成、全部达到设计的功能和标准、所有工程均顺利通过验收。</w:t>
      </w:r>
    </w:p>
    <w:p w14:paraId="7D625FAA">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由于承包人原因造成工程质量达不到约定标准的部分，工程师要求拆除和重新施工直到符合约定标准，由承包人承担拆除和重新施工的费用，且工期不予顺延。若因此带给其他项目（专业）的施工单位连带损失，一切赔偿由本项目承包人承担；造成发包人被他人索赔时，发包人保留向承包人索赔的权利</w:t>
      </w:r>
      <w:r>
        <w:rPr>
          <w:rFonts w:hint="eastAsia" w:ascii="华文仿宋" w:hAnsi="华文仿宋" w:eastAsia="华文仿宋" w:cs="仿宋"/>
          <w:color w:val="auto"/>
          <w:kern w:val="1"/>
          <w:sz w:val="28"/>
          <w:szCs w:val="28"/>
          <w:highlight w:val="none"/>
        </w:rPr>
        <w:t>，发包人垫付了赔偿款后，除有权要求承包人返还外，还有权向承包人追讨相应的损失</w:t>
      </w:r>
      <w:r>
        <w:rPr>
          <w:rFonts w:hint="eastAsia" w:ascii="华文仿宋" w:hAnsi="华文仿宋" w:eastAsia="华文仿宋" w:cs="仿宋"/>
          <w:color w:val="auto"/>
          <w:sz w:val="28"/>
          <w:szCs w:val="28"/>
          <w:highlight w:val="none"/>
        </w:rPr>
        <w:t>，包括但不限于调查费、公证费、律师费、差旅费、诉讼费、执行费、保全费、鉴定费等费用损失及其他有关经济损失。</w:t>
      </w:r>
    </w:p>
    <w:p w14:paraId="41FD031B">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无论工程材料是由承包人自行供应或是由发包人指定的供应商供应，均不</w:t>
      </w:r>
      <w:r>
        <w:rPr>
          <w:rFonts w:hint="eastAsia" w:ascii="华文仿宋" w:hAnsi="华文仿宋" w:eastAsia="华文仿宋" w:cs="仿宋"/>
          <w:color w:val="auto"/>
          <w:kern w:val="1"/>
          <w:sz w:val="28"/>
          <w:szCs w:val="28"/>
          <w:highlight w:val="none"/>
        </w:rPr>
        <w:t>免</w:t>
      </w:r>
      <w:r>
        <w:rPr>
          <w:rFonts w:ascii="华文仿宋" w:hAnsi="华文仿宋" w:eastAsia="华文仿宋" w:cs="仿宋"/>
          <w:color w:val="auto"/>
          <w:kern w:val="1"/>
          <w:sz w:val="28"/>
          <w:szCs w:val="28"/>
          <w:highlight w:val="none"/>
        </w:rPr>
        <w:t>除承包人所负的工程全面质量的责任，承包人应对各种材料、器材、设备按规范进行检查，拒绝不符合要求的材料、器材、设备用于工程。无论何种原因，出现不合格材料、设备用于工程情况</w:t>
      </w:r>
      <w:r>
        <w:rPr>
          <w:rFonts w:hint="eastAsia" w:ascii="华文仿宋" w:hAnsi="华文仿宋" w:eastAsia="华文仿宋" w:cs="仿宋"/>
          <w:color w:val="auto"/>
          <w:kern w:val="1"/>
          <w:sz w:val="28"/>
          <w:szCs w:val="28"/>
          <w:highlight w:val="none"/>
        </w:rPr>
        <w:t>的</w:t>
      </w:r>
      <w:r>
        <w:rPr>
          <w:rFonts w:ascii="华文仿宋" w:hAnsi="华文仿宋" w:eastAsia="华文仿宋" w:cs="仿宋"/>
          <w:color w:val="auto"/>
          <w:kern w:val="1"/>
          <w:sz w:val="28"/>
          <w:szCs w:val="28"/>
          <w:highlight w:val="none"/>
        </w:rPr>
        <w:t>，均由承包人承担应有的责任。</w:t>
      </w:r>
    </w:p>
    <w:p w14:paraId="226CF083">
      <w:pPr>
        <w:spacing w:line="360" w:lineRule="auto"/>
        <w:ind w:firstLine="560"/>
        <w:outlineLvl w:val="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16.5对承包人采购的工程材料、设备及采用的工艺的查验</w:t>
      </w:r>
    </w:p>
    <w:p w14:paraId="485392ED">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16.5.1工程所用材料、工程技术与质量按国家有关规范与规定，均须在用于工程之前经过检验或试验（原材料、设备的监督送检费用包含在合同总价内），不合格的材料不得使用。承包人须建立检验、试验制度，随时按总监理工程师的要求，在材料、设备的制造、加工或制配地点，或施工场地进行检验或试验，并须无偿提供一切正常需要的手段及措施；在材料、设备及工艺用于工程之前承包人须提供样品、样件，按照总监理工程师的选择和要求进行检验和试验。上述一切相关费用由承包人承担。</w:t>
      </w:r>
    </w:p>
    <w:p w14:paraId="493876EC">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16.5.2总监理工程师有权在施工场地、库房以及为工程生产、加工、制配材料、设备的地点检查和检验按合同提供的材料、设备。承包人应为总监理工程师的检查和检验提供一切便利。总监理工程师或发包人的检查结果证明该材料、设备不符合合同要求的，必须拒绝这些材料、设备的使用，并立即通知承包人并说明不合格的理由。承包人在接到通知后须立即无条件将该批材料、设备清运出场并按照总监理工程师或发包人的要求重新采购，工期不予顺延。</w:t>
      </w:r>
    </w:p>
    <w:p w14:paraId="163719FF">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发包人和总监理工程师认为有必要的，有权对已检查、检验过的材料、设备的使用进行抽查、检验，承包人应遵照执行，相关费用由承包人承担。</w:t>
      </w:r>
    </w:p>
    <w:p w14:paraId="5AED1271">
      <w:pPr>
        <w:spacing w:line="360" w:lineRule="auto"/>
        <w:ind w:firstLine="560" w:firstLineChars="200"/>
        <w:rPr>
          <w:rFonts w:ascii="华文仿宋" w:hAnsi="华文仿宋" w:eastAsia="华文仿宋" w:cs="仿宋"/>
          <w:color w:val="auto"/>
          <w:sz w:val="28"/>
          <w:szCs w:val="28"/>
          <w:highlight w:val="none"/>
          <w:u w:val="single"/>
        </w:rPr>
      </w:pPr>
      <w:r>
        <w:rPr>
          <w:rFonts w:ascii="华文仿宋" w:hAnsi="华文仿宋" w:eastAsia="华文仿宋" w:cs="仿宋"/>
          <w:color w:val="auto"/>
          <w:kern w:val="1"/>
          <w:sz w:val="28"/>
          <w:szCs w:val="28"/>
          <w:highlight w:val="none"/>
        </w:rPr>
        <w:t>16.6</w:t>
      </w:r>
      <w:r>
        <w:rPr>
          <w:rFonts w:hint="eastAsia" w:ascii="华文仿宋" w:hAnsi="华文仿宋" w:eastAsia="华文仿宋" w:cs="仿宋"/>
          <w:color w:val="auto"/>
          <w:kern w:val="1"/>
          <w:sz w:val="28"/>
          <w:szCs w:val="28"/>
          <w:highlight w:val="none"/>
        </w:rPr>
        <w:t>本项目所涉及的</w:t>
      </w:r>
      <w:r>
        <w:rPr>
          <w:rFonts w:ascii="华文仿宋" w:hAnsi="华文仿宋" w:eastAsia="华文仿宋" w:cs="仿宋"/>
          <w:color w:val="auto"/>
          <w:kern w:val="1"/>
          <w:sz w:val="28"/>
          <w:szCs w:val="28"/>
          <w:highlight w:val="none"/>
        </w:rPr>
        <w:t>第三方检测</w:t>
      </w:r>
      <w:r>
        <w:rPr>
          <w:rFonts w:hint="eastAsia" w:ascii="华文仿宋" w:hAnsi="华文仿宋" w:eastAsia="华文仿宋" w:cs="仿宋"/>
          <w:color w:val="auto"/>
          <w:kern w:val="1"/>
          <w:sz w:val="28"/>
          <w:szCs w:val="28"/>
          <w:highlight w:val="none"/>
        </w:rPr>
        <w:t>及验收</w:t>
      </w:r>
      <w:r>
        <w:rPr>
          <w:rFonts w:ascii="华文仿宋" w:hAnsi="华文仿宋" w:eastAsia="华文仿宋" w:cs="仿宋"/>
          <w:color w:val="auto"/>
          <w:kern w:val="1"/>
          <w:sz w:val="28"/>
          <w:szCs w:val="28"/>
          <w:highlight w:val="none"/>
        </w:rPr>
        <w:t>所有相关费用</w:t>
      </w:r>
      <w:r>
        <w:rPr>
          <w:rFonts w:hint="eastAsia" w:ascii="华文仿宋" w:hAnsi="华文仿宋" w:eastAsia="华文仿宋" w:cs="仿宋"/>
          <w:color w:val="auto"/>
          <w:sz w:val="28"/>
          <w:szCs w:val="28"/>
          <w:highlight w:val="none"/>
        </w:rPr>
        <w:t>按招标工程量清单计价说明及招标答疑纪要执行。</w:t>
      </w:r>
    </w:p>
    <w:p w14:paraId="53E96BD7">
      <w:pPr>
        <w:spacing w:line="360" w:lineRule="auto"/>
        <w:ind w:firstLine="560"/>
        <w:rPr>
          <w:rFonts w:ascii="华文仿宋" w:hAnsi="华文仿宋" w:eastAsia="华文仿宋" w:cs="仿宋"/>
          <w:b/>
          <w:color w:val="auto"/>
          <w:kern w:val="1"/>
          <w:sz w:val="28"/>
          <w:szCs w:val="28"/>
          <w:highlight w:val="none"/>
        </w:rPr>
      </w:pPr>
      <w:r>
        <w:rPr>
          <w:rFonts w:ascii="华文仿宋" w:hAnsi="华文仿宋" w:eastAsia="华文仿宋" w:cs="仿宋"/>
          <w:b/>
          <w:color w:val="auto"/>
          <w:sz w:val="28"/>
          <w:szCs w:val="28"/>
          <w:highlight w:val="none"/>
        </w:rPr>
        <w:t>17、隐蔽工</w:t>
      </w:r>
      <w:r>
        <w:rPr>
          <w:rFonts w:ascii="华文仿宋" w:hAnsi="华文仿宋" w:eastAsia="华文仿宋" w:cs="仿宋"/>
          <w:b/>
          <w:color w:val="auto"/>
          <w:kern w:val="1"/>
          <w:sz w:val="28"/>
          <w:szCs w:val="28"/>
          <w:highlight w:val="none"/>
        </w:rPr>
        <w:t>程</w:t>
      </w:r>
      <w:r>
        <w:rPr>
          <w:rFonts w:hint="eastAsia" w:ascii="华文仿宋" w:hAnsi="华文仿宋" w:eastAsia="华文仿宋" w:cs="仿宋"/>
          <w:b/>
          <w:color w:val="auto"/>
          <w:kern w:val="1"/>
          <w:sz w:val="28"/>
          <w:szCs w:val="28"/>
          <w:highlight w:val="none"/>
        </w:rPr>
        <w:t>、</w:t>
      </w:r>
      <w:r>
        <w:rPr>
          <w:rFonts w:ascii="华文仿宋" w:hAnsi="华文仿宋" w:eastAsia="华文仿宋" w:cs="仿宋"/>
          <w:b/>
          <w:color w:val="auto"/>
          <w:kern w:val="1"/>
          <w:sz w:val="28"/>
          <w:szCs w:val="28"/>
          <w:highlight w:val="none"/>
        </w:rPr>
        <w:t>中间验收</w:t>
      </w:r>
      <w:r>
        <w:rPr>
          <w:rFonts w:hint="eastAsia" w:ascii="华文仿宋" w:hAnsi="华文仿宋" w:eastAsia="华文仿宋" w:cs="仿宋"/>
          <w:b/>
          <w:color w:val="auto"/>
          <w:kern w:val="1"/>
          <w:sz w:val="28"/>
          <w:szCs w:val="28"/>
          <w:highlight w:val="none"/>
        </w:rPr>
        <w:t>和竣工验收</w:t>
      </w:r>
    </w:p>
    <w:p w14:paraId="3CDAFB6F">
      <w:pPr>
        <w:pStyle w:val="36"/>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17.1隐蔽工程在隐蔽前，必须经承包人质检人员进行三级验收，并书面通知发包人</w:t>
      </w:r>
      <w:r>
        <w:rPr>
          <w:rFonts w:hint="eastAsia" w:ascii="华文仿宋" w:hAnsi="华文仿宋" w:eastAsia="华文仿宋" w:cs="仿宋"/>
          <w:color w:val="auto"/>
          <w:sz w:val="28"/>
          <w:szCs w:val="28"/>
          <w:highlight w:val="none"/>
        </w:rPr>
        <w:t>、</w:t>
      </w:r>
      <w:r>
        <w:rPr>
          <w:rFonts w:ascii="华文仿宋" w:hAnsi="华文仿宋" w:eastAsia="华文仿宋" w:cs="仿宋"/>
          <w:color w:val="auto"/>
          <w:sz w:val="28"/>
          <w:szCs w:val="28"/>
          <w:highlight w:val="none"/>
        </w:rPr>
        <w:t>监理</w:t>
      </w:r>
      <w:r>
        <w:rPr>
          <w:rFonts w:hint="eastAsia" w:ascii="华文仿宋" w:hAnsi="华文仿宋" w:eastAsia="华文仿宋" w:cs="仿宋"/>
          <w:color w:val="auto"/>
          <w:sz w:val="28"/>
          <w:szCs w:val="28"/>
          <w:highlight w:val="none"/>
        </w:rPr>
        <w:t>单位</w:t>
      </w:r>
      <w:r>
        <w:rPr>
          <w:rFonts w:ascii="华文仿宋" w:hAnsi="华文仿宋" w:eastAsia="华文仿宋" w:cs="仿宋"/>
          <w:color w:val="auto"/>
          <w:sz w:val="28"/>
          <w:szCs w:val="28"/>
          <w:highlight w:val="none"/>
        </w:rPr>
        <w:t>会同验收，经各方签字确认后方能隐蔽和进行下一工序的作业。发包人及监理</w:t>
      </w:r>
      <w:r>
        <w:rPr>
          <w:rFonts w:hint="eastAsia" w:ascii="华文仿宋" w:hAnsi="华文仿宋" w:eastAsia="华文仿宋" w:cs="仿宋"/>
          <w:color w:val="auto"/>
          <w:sz w:val="28"/>
          <w:szCs w:val="28"/>
          <w:highlight w:val="none"/>
        </w:rPr>
        <w:t>单位</w:t>
      </w:r>
      <w:r>
        <w:rPr>
          <w:rFonts w:ascii="华文仿宋" w:hAnsi="华文仿宋" w:eastAsia="华文仿宋" w:cs="仿宋"/>
          <w:color w:val="auto"/>
          <w:sz w:val="28"/>
          <w:szCs w:val="28"/>
          <w:highlight w:val="none"/>
        </w:rPr>
        <w:t>在接到</w:t>
      </w:r>
      <w:r>
        <w:rPr>
          <w:rFonts w:hint="eastAsia" w:ascii="华文仿宋" w:hAnsi="华文仿宋" w:eastAsia="华文仿宋" w:cs="仿宋"/>
          <w:color w:val="auto"/>
          <w:sz w:val="28"/>
          <w:szCs w:val="28"/>
          <w:highlight w:val="none"/>
        </w:rPr>
        <w:t>书面</w:t>
      </w:r>
      <w:r>
        <w:rPr>
          <w:rFonts w:ascii="华文仿宋" w:hAnsi="华文仿宋" w:eastAsia="华文仿宋" w:cs="仿宋"/>
          <w:color w:val="auto"/>
          <w:sz w:val="28"/>
          <w:szCs w:val="28"/>
          <w:highlight w:val="none"/>
        </w:rPr>
        <w:t>通知后24小时内派出人员进行验收，否则承包人可自行验收并填写隐蔽工程验收记录，进行隐蔽作业，发包人应予承认。凡不按上述程序办理，无承包人质检人员验收签证确认的资料或无</w:t>
      </w:r>
      <w:r>
        <w:rPr>
          <w:rFonts w:hint="eastAsia" w:ascii="华文仿宋" w:hAnsi="华文仿宋" w:eastAsia="华文仿宋" w:cs="仿宋"/>
          <w:color w:val="auto"/>
          <w:sz w:val="28"/>
          <w:szCs w:val="28"/>
          <w:highlight w:val="none"/>
        </w:rPr>
        <w:t>书面</w:t>
      </w:r>
      <w:r>
        <w:rPr>
          <w:rFonts w:ascii="华文仿宋" w:hAnsi="华文仿宋" w:eastAsia="华文仿宋" w:cs="仿宋"/>
          <w:color w:val="auto"/>
          <w:sz w:val="28"/>
          <w:szCs w:val="28"/>
          <w:highlight w:val="none"/>
        </w:rPr>
        <w:t>通知发包人或监理</w:t>
      </w:r>
      <w:r>
        <w:rPr>
          <w:rFonts w:hint="eastAsia" w:ascii="华文仿宋" w:hAnsi="华文仿宋" w:eastAsia="华文仿宋" w:cs="仿宋"/>
          <w:color w:val="auto"/>
          <w:sz w:val="28"/>
          <w:szCs w:val="28"/>
          <w:highlight w:val="none"/>
        </w:rPr>
        <w:t>单位</w:t>
      </w:r>
      <w:r>
        <w:rPr>
          <w:rFonts w:ascii="华文仿宋" w:hAnsi="华文仿宋" w:eastAsia="华文仿宋" w:cs="仿宋"/>
          <w:color w:val="auto"/>
          <w:sz w:val="28"/>
          <w:szCs w:val="28"/>
          <w:highlight w:val="none"/>
        </w:rPr>
        <w:t>会同验收的，发包人及监理单位可拒绝验收签证；凡无</w:t>
      </w:r>
      <w:r>
        <w:rPr>
          <w:rFonts w:hint="eastAsia" w:ascii="华文仿宋" w:hAnsi="华文仿宋" w:eastAsia="华文仿宋" w:cs="仿宋"/>
          <w:color w:val="auto"/>
          <w:sz w:val="28"/>
          <w:szCs w:val="28"/>
          <w:highlight w:val="none"/>
        </w:rPr>
        <w:t>书面</w:t>
      </w:r>
      <w:r>
        <w:rPr>
          <w:rFonts w:ascii="华文仿宋" w:hAnsi="华文仿宋" w:eastAsia="华文仿宋" w:cs="仿宋"/>
          <w:color w:val="auto"/>
          <w:sz w:val="28"/>
          <w:szCs w:val="28"/>
          <w:highlight w:val="none"/>
        </w:rPr>
        <w:t>通知发包人验收签证的工程，或发包人及监理单位合法拒绝签证的工程，若承包人擅自隐蔽的，则发包人视该部分工程为不合格，有权不予拨付该部分工程的进度款，监理单位也不得颁发下续工序的施工令，由此发生的一切责任及损失全部由承包人承担。</w:t>
      </w:r>
    </w:p>
    <w:p w14:paraId="37ECB37B">
      <w:pPr>
        <w:pStyle w:val="36"/>
        <w:spacing w:after="0" w:line="360" w:lineRule="auto"/>
        <w:ind w:firstLine="56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1</w:t>
      </w:r>
      <w:r>
        <w:rPr>
          <w:rFonts w:ascii="华文仿宋" w:hAnsi="华文仿宋" w:eastAsia="华文仿宋" w:cs="仿宋"/>
          <w:color w:val="auto"/>
          <w:sz w:val="28"/>
          <w:szCs w:val="28"/>
          <w:highlight w:val="none"/>
        </w:rPr>
        <w:t>7.4</w:t>
      </w:r>
      <w:r>
        <w:rPr>
          <w:rFonts w:hint="eastAsia"/>
          <w:color w:val="auto"/>
          <w:highlight w:val="none"/>
        </w:rPr>
        <w:t xml:space="preserve"> </w:t>
      </w:r>
      <w:r>
        <w:rPr>
          <w:rFonts w:hint="eastAsia" w:ascii="华文仿宋" w:hAnsi="华文仿宋" w:eastAsia="华文仿宋" w:cs="仿宋"/>
          <w:color w:val="auto"/>
          <w:sz w:val="28"/>
          <w:szCs w:val="28"/>
          <w:highlight w:val="none"/>
        </w:rPr>
        <w:t>竣工验收</w:t>
      </w:r>
    </w:p>
    <w:p w14:paraId="0EAE4D94">
      <w:pPr>
        <w:pStyle w:val="36"/>
        <w:spacing w:after="0" w:line="360" w:lineRule="auto"/>
        <w:ind w:firstLine="56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承包人应向发包人提供完整的竣工资料及竣工验收报告。</w:t>
      </w:r>
    </w:p>
    <w:p w14:paraId="4FE2DCB7">
      <w:pPr>
        <w:pStyle w:val="36"/>
        <w:spacing w:after="0" w:line="360" w:lineRule="auto"/>
        <w:ind w:firstLine="56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工程竣工验收依据：工程所在地城市建设档案管理相关规定及建设工程相关的法律、法规；发包人确认的施工图纸、图纸说明、设计变更资料、图纸会审记录和技术交底纪要等（具体以发包人相关管理办法规定为准）；由发包人确认的材料、构件样板，施工样板。</w:t>
      </w:r>
    </w:p>
    <w:p w14:paraId="4D3A29ED">
      <w:pPr>
        <w:pStyle w:val="36"/>
        <w:spacing w:after="0" w:line="360" w:lineRule="auto"/>
        <w:ind w:firstLine="562"/>
        <w:rPr>
          <w:rFonts w:ascii="华文仿宋" w:hAnsi="华文仿宋" w:eastAsia="华文仿宋" w:cs="仿宋"/>
          <w:color w:val="auto"/>
          <w:sz w:val="28"/>
          <w:szCs w:val="28"/>
          <w:highlight w:val="none"/>
          <w:lang w:val="zh-CN"/>
        </w:rPr>
      </w:pPr>
      <w:r>
        <w:rPr>
          <w:rFonts w:ascii="华文仿宋" w:hAnsi="华文仿宋" w:eastAsia="华文仿宋" w:cs="仿宋"/>
          <w:b/>
          <w:bCs/>
          <w:color w:val="auto"/>
          <w:sz w:val="28"/>
          <w:szCs w:val="28"/>
          <w:highlight w:val="none"/>
        </w:rPr>
        <w:t>18、重新检验</w:t>
      </w:r>
    </w:p>
    <w:p w14:paraId="4B6753F2">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无论工程师是否进行验收，当其要求对已隐蔽的工程重新检验时，承包人须按要求进行剥离或开孔，并在检验后按要求重新覆盖或修复。检验合格，发包人承担由此发生的全部追加合同价款，赔偿承包人损失，但工期不予顺延。检验不合格，承包人承担发生的全部费用，工期不予顺延。</w:t>
      </w:r>
    </w:p>
    <w:p w14:paraId="560C4580">
      <w:pPr>
        <w:pStyle w:val="14"/>
        <w:spacing w:after="0" w:line="360" w:lineRule="auto"/>
        <w:ind w:firstLine="562"/>
        <w:outlineLvl w:val="0"/>
        <w:rPr>
          <w:rFonts w:ascii="华文仿宋" w:hAnsi="华文仿宋" w:eastAsia="华文仿宋" w:cs="仿宋"/>
          <w:b/>
          <w:color w:val="auto"/>
          <w:sz w:val="28"/>
          <w:szCs w:val="28"/>
          <w:highlight w:val="none"/>
        </w:rPr>
      </w:pPr>
      <w:r>
        <w:rPr>
          <w:rFonts w:ascii="华文仿宋" w:hAnsi="华文仿宋" w:eastAsia="华文仿宋" w:cs="仿宋"/>
          <w:b/>
          <w:color w:val="auto"/>
          <w:sz w:val="28"/>
          <w:szCs w:val="28"/>
          <w:highlight w:val="none"/>
        </w:rPr>
        <w:t>19</w:t>
      </w:r>
      <w:r>
        <w:rPr>
          <w:rFonts w:hint="eastAsia" w:ascii="华文仿宋" w:hAnsi="华文仿宋" w:eastAsia="华文仿宋" w:cs="仿宋"/>
          <w:b/>
          <w:color w:val="auto"/>
          <w:sz w:val="28"/>
          <w:szCs w:val="28"/>
          <w:highlight w:val="none"/>
        </w:rPr>
        <w:t>、工程试车</w:t>
      </w:r>
      <w:r>
        <w:rPr>
          <w:rFonts w:ascii="华文仿宋" w:hAnsi="华文仿宋" w:eastAsia="华文仿宋" w:cs="仿宋"/>
          <w:b/>
          <w:color w:val="auto"/>
          <w:sz w:val="28"/>
          <w:szCs w:val="28"/>
          <w:highlight w:val="none"/>
        </w:rPr>
        <w:t xml:space="preserve"> </w:t>
      </w:r>
    </w:p>
    <w:p w14:paraId="2FD3307E">
      <w:pPr>
        <w:pStyle w:val="14"/>
        <w:spacing w:after="0" w:line="360" w:lineRule="auto"/>
        <w:ind w:firstLine="585"/>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19.5(4)试车费用的承担：</w:t>
      </w:r>
      <w:r>
        <w:rPr>
          <w:rFonts w:ascii="华文仿宋" w:hAnsi="华文仿宋" w:eastAsia="华文仿宋" w:cs="仿宋"/>
          <w:color w:val="auto"/>
          <w:sz w:val="28"/>
          <w:szCs w:val="28"/>
          <w:highlight w:val="none"/>
          <w:u w:val="single"/>
        </w:rPr>
        <w:t>已包含在承包投标报价内，发包人不另行计量支付。</w:t>
      </w:r>
      <w:r>
        <w:rPr>
          <w:rFonts w:ascii="华文仿宋" w:hAnsi="华文仿宋" w:eastAsia="华文仿宋" w:cs="仿宋"/>
          <w:color w:val="auto"/>
          <w:sz w:val="28"/>
          <w:szCs w:val="28"/>
          <w:highlight w:val="none"/>
        </w:rPr>
        <w:t xml:space="preserve"> </w:t>
      </w:r>
    </w:p>
    <w:p w14:paraId="53F82851">
      <w:pPr>
        <w:pStyle w:val="14"/>
        <w:spacing w:after="0" w:line="360" w:lineRule="auto"/>
        <w:ind w:firstLine="585"/>
        <w:rPr>
          <w:rFonts w:ascii="华文仿宋" w:hAnsi="华文仿宋" w:eastAsia="华文仿宋" w:cs="仿宋"/>
          <w:b/>
          <w:color w:val="auto"/>
          <w:sz w:val="28"/>
          <w:szCs w:val="28"/>
          <w:highlight w:val="none"/>
        </w:rPr>
      </w:pPr>
      <w:r>
        <w:rPr>
          <w:rFonts w:ascii="华文仿宋" w:hAnsi="华文仿宋" w:eastAsia="华文仿宋" w:cs="仿宋"/>
          <w:b/>
          <w:color w:val="auto"/>
          <w:sz w:val="28"/>
          <w:szCs w:val="28"/>
          <w:highlight w:val="none"/>
        </w:rPr>
        <w:t>五、安全施工</w:t>
      </w:r>
    </w:p>
    <w:p w14:paraId="722F7D65">
      <w:pPr>
        <w:pStyle w:val="14"/>
        <w:spacing w:after="0" w:line="360" w:lineRule="auto"/>
        <w:ind w:firstLine="560"/>
        <w:rPr>
          <w:rFonts w:ascii="华文仿宋" w:hAnsi="华文仿宋" w:eastAsia="华文仿宋" w:cs="仿宋"/>
          <w:b/>
          <w:color w:val="auto"/>
          <w:sz w:val="28"/>
          <w:szCs w:val="28"/>
          <w:highlight w:val="none"/>
        </w:rPr>
      </w:pPr>
      <w:r>
        <w:rPr>
          <w:rFonts w:hint="eastAsia" w:ascii="华文仿宋" w:hAnsi="华文仿宋" w:eastAsia="华文仿宋" w:cs="仿宋"/>
          <w:bCs/>
          <w:color w:val="auto"/>
          <w:sz w:val="28"/>
          <w:szCs w:val="28"/>
          <w:highlight w:val="none"/>
        </w:rPr>
        <w:t>承包人须按国家有关要求和规定</w:t>
      </w:r>
      <w:r>
        <w:rPr>
          <w:rFonts w:ascii="华文仿宋" w:hAnsi="华文仿宋" w:eastAsia="华文仿宋" w:cs="仿宋"/>
          <w:bCs/>
          <w:color w:val="auto"/>
          <w:sz w:val="28"/>
          <w:szCs w:val="28"/>
          <w:highlight w:val="none"/>
        </w:rPr>
        <w:t>[包括但不限于</w:t>
      </w:r>
      <w:r>
        <w:rPr>
          <w:rFonts w:hint="eastAsia" w:ascii="华文仿宋" w:hAnsi="华文仿宋" w:eastAsia="华文仿宋" w:cs="仿宋"/>
          <w:color w:val="auto"/>
          <w:sz w:val="28"/>
          <w:szCs w:val="28"/>
          <w:highlight w:val="none"/>
        </w:rPr>
        <w:t>《建筑施工安全检查标准》（</w:t>
      </w:r>
      <w:r>
        <w:rPr>
          <w:rFonts w:ascii="华文仿宋" w:hAnsi="华文仿宋" w:eastAsia="华文仿宋" w:cs="仿宋"/>
          <w:color w:val="auto"/>
          <w:sz w:val="28"/>
          <w:szCs w:val="28"/>
          <w:highlight w:val="none"/>
        </w:rPr>
        <w:t>JGJ59-2021）和</w:t>
      </w:r>
      <w:r>
        <w:rPr>
          <w:rFonts w:ascii="华文仿宋" w:hAnsi="华文仿宋" w:eastAsia="华文仿宋" w:cs="仿宋"/>
          <w:color w:val="auto"/>
          <w:kern w:val="1"/>
          <w:sz w:val="28"/>
          <w:szCs w:val="28"/>
          <w:highlight w:val="none"/>
        </w:rPr>
        <w:t>《广州市建筑工程安全生产措施费管理办法》</w:t>
      </w:r>
      <w:r>
        <w:rPr>
          <w:rFonts w:hint="eastAsia" w:ascii="华文仿宋" w:hAnsi="华文仿宋" w:eastAsia="华文仿宋" w:cs="仿宋"/>
          <w:color w:val="auto"/>
          <w:sz w:val="28"/>
          <w:szCs w:val="28"/>
          <w:highlight w:val="none"/>
        </w:rPr>
        <w:t>及《广东省住房和城乡建设厅关于建筑工程绿色施工的管理办法（暂行）》（粤建质〔2016〕242号文）等现行规范（如有新版本颁布，则按最新版本执行）]采取相应措施安全施工，并承担有关安全施工的全部责任及费用。</w:t>
      </w:r>
      <w:r>
        <w:rPr>
          <w:rFonts w:ascii="华文仿宋" w:hAnsi="华文仿宋" w:eastAsia="华文仿宋" w:cs="仿宋"/>
          <w:b/>
          <w:color w:val="auto"/>
          <w:sz w:val="28"/>
          <w:szCs w:val="28"/>
          <w:highlight w:val="none"/>
        </w:rPr>
        <w:t xml:space="preserve"> </w:t>
      </w:r>
    </w:p>
    <w:p w14:paraId="22EA80F5">
      <w:pPr>
        <w:pStyle w:val="14"/>
        <w:spacing w:after="0" w:line="360" w:lineRule="auto"/>
        <w:ind w:firstLine="562"/>
        <w:outlineLvl w:val="0"/>
        <w:rPr>
          <w:rFonts w:ascii="华文仿宋" w:hAnsi="华文仿宋" w:eastAsia="华文仿宋" w:cs="仿宋"/>
          <w:b/>
          <w:color w:val="auto"/>
          <w:sz w:val="28"/>
          <w:szCs w:val="28"/>
          <w:highlight w:val="none"/>
        </w:rPr>
      </w:pPr>
      <w:r>
        <w:rPr>
          <w:rFonts w:ascii="华文仿宋" w:hAnsi="华文仿宋" w:eastAsia="华文仿宋" w:cs="仿宋"/>
          <w:b/>
          <w:color w:val="auto"/>
          <w:sz w:val="28"/>
          <w:szCs w:val="28"/>
          <w:highlight w:val="none"/>
        </w:rPr>
        <w:t>20、安全施工与检查</w:t>
      </w:r>
    </w:p>
    <w:p w14:paraId="1961F4D3">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20.1安全施工措施</w:t>
      </w:r>
    </w:p>
    <w:p w14:paraId="5DF9F082">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20.1.1承包人须建立健全建筑施工安全生产组织机构和安全保证体系，落实安全生产责任制，按照工程建设安全生产的有关管理规定，采取相应措施，负责现场全部作业的安全，并对此承担全部责任。</w:t>
      </w:r>
    </w:p>
    <w:p w14:paraId="588C8B5C">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20.1.2承包人必须将投标时承诺的安全生产施工措施落实到位，否则须按专用条款第35条约定承担违约责任。</w:t>
      </w:r>
    </w:p>
    <w:p w14:paraId="22CB23FD">
      <w:pPr>
        <w:pStyle w:val="14"/>
        <w:spacing w:after="0" w:line="360" w:lineRule="auto"/>
        <w:ind w:firstLine="560"/>
        <w:outlineLvl w:val="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20.2文明施工与环境保护</w:t>
      </w:r>
    </w:p>
    <w:p w14:paraId="66305309">
      <w:pPr>
        <w:pStyle w:val="14"/>
        <w:spacing w:after="0" w:line="360" w:lineRule="auto"/>
        <w:ind w:firstLine="552"/>
        <w:rPr>
          <w:rFonts w:ascii="华文仿宋" w:hAnsi="华文仿宋" w:eastAsia="华文仿宋" w:cs="仿宋"/>
          <w:color w:val="auto"/>
          <w:spacing w:val="-1"/>
          <w:sz w:val="28"/>
          <w:szCs w:val="28"/>
          <w:highlight w:val="none"/>
        </w:rPr>
      </w:pPr>
      <w:r>
        <w:rPr>
          <w:rFonts w:ascii="华文仿宋" w:hAnsi="华文仿宋" w:eastAsia="华文仿宋" w:cs="仿宋"/>
          <w:color w:val="auto"/>
          <w:spacing w:val="-1"/>
          <w:sz w:val="28"/>
          <w:szCs w:val="28"/>
          <w:highlight w:val="none"/>
        </w:rPr>
        <w:t>20.2.1</w:t>
      </w:r>
      <w:r>
        <w:rPr>
          <w:rFonts w:hint="eastAsia" w:ascii="华文仿宋" w:hAnsi="华文仿宋" w:eastAsia="华文仿宋" w:cs="仿宋"/>
          <w:color w:val="auto"/>
          <w:spacing w:val="-1"/>
          <w:sz w:val="28"/>
          <w:szCs w:val="28"/>
          <w:highlight w:val="none"/>
        </w:rPr>
        <w:t>承包人必须按照《广州市建筑工程安全生产措施费管理办法》及《广东省住房和城乡建设厅关于建筑工程绿色施工的管理办法（暂行）》（粤建质〔2016〕242号文）（如有新版本颁布，则按最新版本执行）等现行规范，在施工组织设计中专章编制文明施工措施，将投标时承诺的文明施工措施落实到位。</w:t>
      </w:r>
    </w:p>
    <w:p w14:paraId="66EE6DF6">
      <w:pPr>
        <w:pStyle w:val="14"/>
        <w:spacing w:after="0" w:line="360" w:lineRule="auto"/>
        <w:ind w:firstLine="560"/>
        <w:outlineLvl w:val="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20.3施工场地的占用与管理</w:t>
      </w:r>
    </w:p>
    <w:p w14:paraId="63FD7392">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20.3.1承包人必须按照有关规定、规范对有关施工现场进行管理。在工程实施期间，施工场地一经移交给承包人，承包人即对施工场地负有全过程、全面的管理责任，必须对施工场地范围内的治安次序、安全保卫、环境卫生以及周围房屋、市政设施等负全责，对施工场地范围内的交通道路、用水、用电、场地内的施工协调负责。承包人应当在施工场地四周设置维护，确保不对周边环境、道路、行人和相邻施工现场造成不利影响，并不得干扰周围居民的正常生活。</w:t>
      </w:r>
    </w:p>
    <w:p w14:paraId="0D4795E3">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21、安全防护</w:t>
      </w:r>
    </w:p>
    <w:p w14:paraId="0E4DE3E2">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21.1安全防护措施费用</w:t>
      </w:r>
    </w:p>
    <w:p w14:paraId="5D2C1457">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本工程的所有安全防护措施费用已包含在投标报价中，发包人不予另行计量支付。</w:t>
      </w:r>
    </w:p>
    <w:p w14:paraId="7F153321">
      <w:pPr>
        <w:pStyle w:val="14"/>
        <w:spacing w:after="0" w:line="360" w:lineRule="auto"/>
        <w:ind w:firstLine="560"/>
        <w:outlineLvl w:val="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21.2安全防护措施</w:t>
      </w:r>
    </w:p>
    <w:p w14:paraId="6B577DE9">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 xml:space="preserve">21.2.1承包人须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 </w:t>
      </w:r>
    </w:p>
    <w:p w14:paraId="1686367A">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21.2.2承包人应对其在施工场地的工作人员进行安全教育，并对他们的安全负责。发包人不得要求承包人违反安全管理的规定进行施工。因发包人原因导致的安全事故，由发包人承担相应责任及发生的费用。</w:t>
      </w:r>
    </w:p>
    <w:p w14:paraId="35E4B047">
      <w:pPr>
        <w:pStyle w:val="14"/>
        <w:spacing w:after="0" w:line="360" w:lineRule="auto"/>
        <w:ind w:firstLine="560"/>
        <w:outlineLvl w:val="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22、事故处理</w:t>
      </w:r>
    </w:p>
    <w:p w14:paraId="214B51FC">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22.1因承包人责任过失造成工程质量安全事故的，承包人除须按照国家规定承担相应处罚外，还须赔偿由此造成的发包人损失</w:t>
      </w:r>
      <w:r>
        <w:rPr>
          <w:rFonts w:hint="eastAsia" w:ascii="华文仿宋" w:hAnsi="华文仿宋" w:eastAsia="华文仿宋" w:cs="仿宋"/>
          <w:color w:val="auto"/>
          <w:sz w:val="28"/>
          <w:szCs w:val="28"/>
          <w:highlight w:val="none"/>
        </w:rPr>
        <w:t>，包括但不限于调查费、公证费、律师费、差旅费、诉讼费、执行费、保全费、鉴定费等费用损失及其他有关经济损失。</w:t>
      </w:r>
    </w:p>
    <w:p w14:paraId="6195013E">
      <w:pPr>
        <w:pStyle w:val="14"/>
        <w:spacing w:after="0" w:line="360" w:lineRule="auto"/>
        <w:ind w:firstLine="560"/>
        <w:rPr>
          <w:rFonts w:ascii="华文仿宋" w:hAnsi="华文仿宋" w:eastAsia="华文仿宋" w:cs="仿宋"/>
          <w:color w:val="auto"/>
          <w:sz w:val="28"/>
          <w:szCs w:val="28"/>
          <w:highlight w:val="none"/>
        </w:rPr>
      </w:pPr>
      <w:r>
        <w:rPr>
          <w:rFonts w:hint="eastAsia" w:ascii="华文仿宋" w:hAnsi="华文仿宋" w:eastAsia="华文仿宋" w:cs="仿宋"/>
          <w:b/>
          <w:color w:val="auto"/>
          <w:sz w:val="28"/>
          <w:szCs w:val="28"/>
          <w:highlight w:val="none"/>
        </w:rPr>
        <w:t>六、合同价款与支付</w:t>
      </w:r>
      <w:r>
        <w:rPr>
          <w:rFonts w:ascii="华文仿宋" w:hAnsi="华文仿宋" w:eastAsia="华文仿宋" w:cs="仿宋"/>
          <w:b/>
          <w:color w:val="auto"/>
          <w:sz w:val="28"/>
          <w:szCs w:val="28"/>
          <w:highlight w:val="none"/>
        </w:rPr>
        <w:t xml:space="preserve"> </w:t>
      </w:r>
    </w:p>
    <w:p w14:paraId="2C5D996A">
      <w:pPr>
        <w:pStyle w:val="14"/>
        <w:spacing w:after="0" w:line="360" w:lineRule="auto"/>
        <w:ind w:firstLine="561" w:firstLineChars="200"/>
        <w:rPr>
          <w:rFonts w:ascii="华文仿宋" w:hAnsi="华文仿宋" w:eastAsia="华文仿宋" w:cs="仿宋"/>
          <w:b/>
          <w:color w:val="auto"/>
          <w:sz w:val="28"/>
          <w:szCs w:val="28"/>
          <w:highlight w:val="none"/>
        </w:rPr>
      </w:pPr>
      <w:r>
        <w:rPr>
          <w:rFonts w:ascii="华文仿宋" w:hAnsi="华文仿宋" w:eastAsia="华文仿宋" w:cs="仿宋"/>
          <w:b/>
          <w:color w:val="auto"/>
          <w:sz w:val="28"/>
          <w:szCs w:val="28"/>
          <w:highlight w:val="none"/>
        </w:rPr>
        <w:t>23</w:t>
      </w:r>
      <w:r>
        <w:rPr>
          <w:rFonts w:hint="eastAsia" w:ascii="华文仿宋" w:hAnsi="华文仿宋" w:eastAsia="华文仿宋" w:cs="仿宋"/>
          <w:b/>
          <w:color w:val="auto"/>
          <w:sz w:val="28"/>
          <w:szCs w:val="28"/>
          <w:highlight w:val="none"/>
        </w:rPr>
        <w:t>、合同价款及调整</w:t>
      </w:r>
      <w:r>
        <w:rPr>
          <w:rFonts w:ascii="华文仿宋" w:hAnsi="华文仿宋" w:eastAsia="华文仿宋" w:cs="仿宋"/>
          <w:b/>
          <w:color w:val="auto"/>
          <w:sz w:val="28"/>
          <w:szCs w:val="28"/>
          <w:highlight w:val="none"/>
        </w:rPr>
        <w:t xml:space="preserve"> </w:t>
      </w:r>
    </w:p>
    <w:p w14:paraId="1DD354F2">
      <w:pPr>
        <w:pStyle w:val="85"/>
        <w:ind w:firstLine="576"/>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23.1合同总价</w:t>
      </w:r>
      <w:r>
        <w:rPr>
          <w:rFonts w:hint="eastAsia" w:ascii="华文仿宋" w:hAnsi="华文仿宋" w:eastAsia="华文仿宋" w:cs="仿宋"/>
          <w:color w:val="auto"/>
          <w:kern w:val="1"/>
          <w:sz w:val="28"/>
          <w:szCs w:val="28"/>
          <w:highlight w:val="none"/>
        </w:rPr>
        <w:t>：以本合同第一部分合同协议书第七条为准。</w:t>
      </w:r>
    </w:p>
    <w:p w14:paraId="4F6E8ECC">
      <w:pPr>
        <w:spacing w:line="360" w:lineRule="auto"/>
        <w:ind w:firstLine="560" w:firstLineChars="200"/>
        <w:rPr>
          <w:rFonts w:ascii="华文仿宋" w:hAnsi="华文仿宋" w:eastAsia="华文仿宋" w:cs="仿宋"/>
          <w:color w:val="auto"/>
          <w:kern w:val="1"/>
          <w:sz w:val="28"/>
          <w:szCs w:val="28"/>
          <w:highlight w:val="none"/>
        </w:rPr>
      </w:pPr>
      <w:bookmarkStart w:id="2" w:name="_Hlk195691295"/>
      <w:r>
        <w:rPr>
          <w:rFonts w:hint="eastAsia" w:ascii="华文仿宋" w:hAnsi="华文仿宋" w:eastAsia="华文仿宋" w:cs="仿宋"/>
          <w:color w:val="auto"/>
          <w:kern w:val="1"/>
          <w:sz w:val="28"/>
          <w:szCs w:val="28"/>
          <w:highlight w:val="none"/>
        </w:rPr>
        <w:t>上述税款</w:t>
      </w:r>
      <w:r>
        <w:rPr>
          <w:rFonts w:ascii="华文仿宋" w:hAnsi="华文仿宋" w:eastAsia="华文仿宋" w:cs="仿宋"/>
          <w:color w:val="auto"/>
          <w:kern w:val="1"/>
          <w:sz w:val="28"/>
          <w:szCs w:val="28"/>
          <w:highlight w:val="none"/>
        </w:rPr>
        <w:t>按</w:t>
      </w:r>
      <w:r>
        <w:rPr>
          <w:rFonts w:hint="eastAsia" w:ascii="华文仿宋" w:hAnsi="华文仿宋" w:eastAsia="华文仿宋" w:cs="仿宋"/>
          <w:color w:val="auto"/>
          <w:kern w:val="1"/>
          <w:sz w:val="28"/>
          <w:szCs w:val="28"/>
          <w:highlight w:val="none"/>
        </w:rPr>
        <w:t>《住房和城乡建设部办公厅关于重新调整建设工程计价依据增值税率的通知（建办标函[2019]193号文）》，《广东省住房和城乡建设厅关于调整广东省建设工程计价依据增值税税率的通知》（粤建标函[2019]819号）</w:t>
      </w:r>
      <w:r>
        <w:rPr>
          <w:rFonts w:ascii="华文仿宋" w:hAnsi="华文仿宋" w:eastAsia="华文仿宋" w:cs="仿宋"/>
          <w:color w:val="auto"/>
          <w:kern w:val="1"/>
          <w:sz w:val="28"/>
          <w:szCs w:val="28"/>
          <w:highlight w:val="none"/>
        </w:rPr>
        <w:t>规定</w:t>
      </w:r>
      <w:r>
        <w:rPr>
          <w:rFonts w:hint="eastAsia" w:ascii="华文仿宋" w:hAnsi="华文仿宋" w:eastAsia="华文仿宋" w:cs="仿宋"/>
          <w:color w:val="auto"/>
          <w:kern w:val="1"/>
          <w:sz w:val="28"/>
          <w:szCs w:val="28"/>
          <w:highlight w:val="none"/>
        </w:rPr>
        <w:t>执行</w:t>
      </w:r>
      <w:r>
        <w:rPr>
          <w:rFonts w:ascii="华文仿宋" w:hAnsi="华文仿宋" w:eastAsia="华文仿宋" w:cs="仿宋"/>
          <w:color w:val="auto"/>
          <w:kern w:val="1"/>
          <w:sz w:val="28"/>
          <w:szCs w:val="28"/>
          <w:highlight w:val="none"/>
        </w:rPr>
        <w:t>，采用一般计税方法计算</w:t>
      </w:r>
      <w:r>
        <w:rPr>
          <w:rFonts w:hint="eastAsia" w:ascii="华文仿宋" w:hAnsi="华文仿宋" w:eastAsia="华文仿宋" w:cs="仿宋"/>
          <w:color w:val="auto"/>
          <w:kern w:val="1"/>
          <w:sz w:val="28"/>
          <w:szCs w:val="28"/>
          <w:highlight w:val="none"/>
        </w:rPr>
        <w:t>，如遇国家税务政策法规变化,</w:t>
      </w:r>
      <w:r>
        <w:rPr>
          <w:rFonts w:hint="eastAsia" w:ascii="华文仿宋" w:hAnsi="华文仿宋" w:eastAsia="华文仿宋"/>
          <w:color w:val="auto"/>
          <w:highlight w:val="none"/>
        </w:rPr>
        <w:t xml:space="preserve"> </w:t>
      </w:r>
      <w:r>
        <w:rPr>
          <w:rFonts w:hint="eastAsia" w:ascii="华文仿宋" w:hAnsi="华文仿宋" w:eastAsia="华文仿宋" w:cs="仿宋"/>
          <w:color w:val="auto"/>
          <w:kern w:val="1"/>
          <w:sz w:val="28"/>
          <w:szCs w:val="28"/>
          <w:highlight w:val="none"/>
        </w:rPr>
        <w:t>合同不含税价款部分保持不变，税款部分按相关规定进行调整。</w:t>
      </w:r>
      <w:r>
        <w:rPr>
          <w:rFonts w:ascii="华文仿宋" w:hAnsi="华文仿宋" w:eastAsia="华文仿宋" w:cs="仿宋"/>
          <w:color w:val="auto"/>
          <w:kern w:val="1"/>
          <w:sz w:val="28"/>
          <w:szCs w:val="28"/>
          <w:highlight w:val="none"/>
        </w:rPr>
        <w:t>除本合同另有约定外，</w:t>
      </w:r>
      <w:r>
        <w:rPr>
          <w:rFonts w:hint="eastAsia" w:ascii="华文仿宋" w:hAnsi="华文仿宋" w:eastAsia="华文仿宋" w:cs="仿宋"/>
          <w:color w:val="auto"/>
          <w:kern w:val="1"/>
          <w:sz w:val="28"/>
          <w:szCs w:val="28"/>
          <w:highlight w:val="none"/>
        </w:rPr>
        <w:t>发包人</w:t>
      </w:r>
      <w:r>
        <w:rPr>
          <w:rFonts w:ascii="华文仿宋" w:hAnsi="华文仿宋" w:eastAsia="华文仿宋" w:cs="仿宋"/>
          <w:color w:val="auto"/>
          <w:kern w:val="1"/>
          <w:sz w:val="28"/>
          <w:szCs w:val="28"/>
          <w:highlight w:val="none"/>
        </w:rPr>
        <w:t>无需另行向承包人支付其它任何费用。</w:t>
      </w:r>
      <w:r>
        <w:rPr>
          <w:rFonts w:hint="eastAsia" w:ascii="华文仿宋" w:hAnsi="华文仿宋" w:eastAsia="华文仿宋" w:cs="仿宋"/>
          <w:color w:val="auto"/>
          <w:kern w:val="1"/>
          <w:sz w:val="28"/>
          <w:szCs w:val="28"/>
          <w:highlight w:val="none"/>
        </w:rPr>
        <w:t>承包人需缴纳的一切税费，均由承包人承担。</w:t>
      </w:r>
    </w:p>
    <w:bookmarkEnd w:id="2"/>
    <w:p w14:paraId="5F68FB81">
      <w:pPr>
        <w:spacing w:line="360" w:lineRule="auto"/>
        <w:ind w:firstLine="560" w:firstLineChars="20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本合同所涉及的</w:t>
      </w:r>
      <w:r>
        <w:rPr>
          <w:rFonts w:hint="eastAsia" w:ascii="华文仿宋" w:hAnsi="华文仿宋" w:eastAsia="华文仿宋" w:cs="仿宋"/>
          <w:color w:val="auto"/>
          <w:kern w:val="1"/>
          <w:sz w:val="28"/>
          <w:szCs w:val="28"/>
          <w:highlight w:val="none"/>
        </w:rPr>
        <w:t>发包人</w:t>
      </w:r>
      <w:r>
        <w:rPr>
          <w:rFonts w:ascii="华文仿宋" w:hAnsi="华文仿宋" w:eastAsia="华文仿宋" w:cs="仿宋"/>
          <w:color w:val="auto"/>
          <w:kern w:val="1"/>
          <w:sz w:val="28"/>
          <w:szCs w:val="28"/>
          <w:highlight w:val="none"/>
        </w:rPr>
        <w:t>应支付的其他款项也全部为含税价。</w:t>
      </w:r>
    </w:p>
    <w:p w14:paraId="59856412">
      <w:pPr>
        <w:pStyle w:val="14"/>
        <w:spacing w:after="0" w:line="360" w:lineRule="auto"/>
        <w:ind w:firstLine="561"/>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23.2合同价款的风险包干范围及结算方式</w:t>
      </w:r>
      <w:r>
        <w:rPr>
          <w:rFonts w:hint="eastAsia" w:ascii="华文仿宋" w:hAnsi="华文仿宋" w:eastAsia="华文仿宋" w:cs="仿宋"/>
          <w:color w:val="auto"/>
          <w:sz w:val="28"/>
          <w:szCs w:val="28"/>
          <w:highlight w:val="none"/>
        </w:rPr>
        <w:t>按招标工程量清单计价说明及招标答疑纪要执行：</w:t>
      </w:r>
    </w:p>
    <w:p w14:paraId="6D5CE911">
      <w:pPr>
        <w:adjustRightInd w:val="0"/>
        <w:snapToGrid w:val="0"/>
        <w:spacing w:line="360" w:lineRule="auto"/>
        <w:ind w:firstLine="561"/>
        <w:outlineLvl w:val="0"/>
        <w:rPr>
          <w:rFonts w:ascii="华文仿宋" w:hAnsi="华文仿宋" w:eastAsia="华文仿宋"/>
          <w:color w:val="auto"/>
          <w:sz w:val="28"/>
          <w:szCs w:val="28"/>
          <w:highlight w:val="none"/>
        </w:rPr>
      </w:pPr>
      <w:r>
        <w:rPr>
          <w:rFonts w:ascii="华文仿宋" w:hAnsi="华文仿宋" w:eastAsia="华文仿宋" w:cs="仿宋"/>
          <w:color w:val="auto"/>
          <w:kern w:val="1"/>
          <w:sz w:val="28"/>
          <w:szCs w:val="28"/>
          <w:highlight w:val="none"/>
        </w:rPr>
        <w:t>23.2.</w:t>
      </w:r>
      <w:r>
        <w:rPr>
          <w:rFonts w:ascii="华文仿宋" w:hAnsi="华文仿宋" w:eastAsia="华文仿宋"/>
          <w:color w:val="auto"/>
          <w:sz w:val="28"/>
          <w:szCs w:val="28"/>
          <w:highlight w:val="none"/>
        </w:rPr>
        <w:t xml:space="preserve">1 </w:t>
      </w:r>
      <w:r>
        <w:rPr>
          <w:rFonts w:hint="eastAsia" w:ascii="仿宋" w:hAnsi="仿宋" w:eastAsia="仿宋" w:cs="仿宋"/>
          <w:color w:val="auto"/>
          <w:kern w:val="1"/>
          <w:sz w:val="28"/>
          <w:szCs w:val="28"/>
          <w:highlight w:val="none"/>
          <w:u w:val="single"/>
        </w:rPr>
        <w:t>电梯工程、抗震支架</w:t>
      </w:r>
      <w:r>
        <w:rPr>
          <w:rFonts w:hint="eastAsia" w:ascii="华文仿宋" w:hAnsi="华文仿宋" w:eastAsia="华文仿宋" w:cs="仿宋"/>
          <w:color w:val="auto"/>
          <w:sz w:val="28"/>
          <w:szCs w:val="28"/>
          <w:highlight w:val="none"/>
        </w:rPr>
        <w:t>专业工程均采用总价包干形式，</w:t>
      </w:r>
      <w:r>
        <w:rPr>
          <w:rFonts w:hint="eastAsia" w:ascii="华文仿宋" w:hAnsi="华文仿宋" w:eastAsia="华文仿宋" w:cs="仿宋"/>
          <w:color w:val="auto"/>
          <w:sz w:val="28"/>
          <w:szCs w:val="28"/>
          <w:highlight w:val="none"/>
          <w:u w:val="single"/>
        </w:rPr>
        <w:t>具体以招标工程量清单计价说明及招标答疑纪要为准</w:t>
      </w:r>
      <w:r>
        <w:rPr>
          <w:rFonts w:hint="eastAsia" w:ascii="华文仿宋" w:hAnsi="华文仿宋" w:eastAsia="华文仿宋"/>
          <w:color w:val="auto"/>
          <w:sz w:val="28"/>
          <w:szCs w:val="28"/>
          <w:highlight w:val="none"/>
        </w:rPr>
        <w:t>。</w:t>
      </w:r>
    </w:p>
    <w:p w14:paraId="20662BE9">
      <w:pPr>
        <w:adjustRightInd w:val="0"/>
        <w:snapToGrid w:val="0"/>
        <w:spacing w:line="360" w:lineRule="auto"/>
        <w:ind w:firstLine="561"/>
        <w:outlineLvl w:val="0"/>
        <w:rPr>
          <w:rFonts w:ascii="华文仿宋" w:hAnsi="华文仿宋" w:eastAsia="华文仿宋" w:cs="仿宋"/>
          <w:color w:val="auto"/>
          <w:sz w:val="28"/>
          <w:szCs w:val="28"/>
          <w:highlight w:val="none"/>
          <w:u w:val="single"/>
        </w:rPr>
      </w:pPr>
      <w:r>
        <w:rPr>
          <w:rFonts w:ascii="华文仿宋" w:hAnsi="华文仿宋" w:eastAsia="华文仿宋" w:cs="仿宋"/>
          <w:color w:val="auto"/>
          <w:sz w:val="28"/>
          <w:szCs w:val="28"/>
          <w:highlight w:val="none"/>
        </w:rPr>
        <w:t>23.2.2除</w:t>
      </w:r>
      <w:r>
        <w:rPr>
          <w:rFonts w:hint="eastAsia" w:ascii="仿宋" w:hAnsi="仿宋" w:eastAsia="仿宋" w:cs="仿宋"/>
          <w:color w:val="auto"/>
          <w:kern w:val="1"/>
          <w:sz w:val="28"/>
          <w:szCs w:val="28"/>
          <w:highlight w:val="none"/>
          <w:u w:val="single"/>
        </w:rPr>
        <w:t>电梯工程、抗震支架</w:t>
      </w:r>
      <w:r>
        <w:rPr>
          <w:rFonts w:hint="eastAsia" w:ascii="华文仿宋" w:hAnsi="华文仿宋" w:eastAsia="华文仿宋" w:cs="仿宋"/>
          <w:color w:val="auto"/>
          <w:sz w:val="28"/>
          <w:szCs w:val="28"/>
          <w:highlight w:val="none"/>
        </w:rPr>
        <w:t>专业工程外的其他项目采用综合单价包干形式、工程量按实结算，</w:t>
      </w:r>
      <w:r>
        <w:rPr>
          <w:rFonts w:hint="eastAsia" w:ascii="华文仿宋" w:hAnsi="华文仿宋" w:eastAsia="华文仿宋" w:cs="仿宋"/>
          <w:color w:val="auto"/>
          <w:sz w:val="28"/>
          <w:szCs w:val="28"/>
          <w:highlight w:val="none"/>
          <w:u w:val="single"/>
        </w:rPr>
        <w:t>具体以招标工程量清单计价说明及招标答疑纪要为准</w:t>
      </w:r>
      <w:r>
        <w:rPr>
          <w:rFonts w:ascii="华文仿宋" w:hAnsi="华文仿宋" w:eastAsia="华文仿宋" w:cs="仿宋"/>
          <w:color w:val="auto"/>
          <w:sz w:val="28"/>
          <w:szCs w:val="28"/>
          <w:highlight w:val="none"/>
          <w:u w:val="single"/>
        </w:rPr>
        <w:t xml:space="preserve">。 </w:t>
      </w:r>
    </w:p>
    <w:p w14:paraId="0AAF5181">
      <w:pPr>
        <w:adjustRightInd w:val="0"/>
        <w:snapToGrid w:val="0"/>
        <w:spacing w:line="360" w:lineRule="auto"/>
        <w:ind w:firstLine="561"/>
        <w:outlineLvl w:val="0"/>
        <w:rPr>
          <w:rFonts w:ascii="华文仿宋" w:hAnsi="华文仿宋" w:eastAsia="华文仿宋" w:cs="仿宋"/>
          <w:color w:val="auto"/>
          <w:sz w:val="28"/>
          <w:szCs w:val="28"/>
          <w:highlight w:val="none"/>
          <w:u w:val="single"/>
        </w:rPr>
      </w:pPr>
      <w:r>
        <w:rPr>
          <w:rFonts w:ascii="华文仿宋" w:hAnsi="华文仿宋" w:eastAsia="华文仿宋" w:cs="仿宋"/>
          <w:color w:val="auto"/>
          <w:sz w:val="28"/>
          <w:szCs w:val="28"/>
          <w:highlight w:val="none"/>
        </w:rPr>
        <w:t>23.2.3措施项目费以综合</w:t>
      </w:r>
      <w:r>
        <w:rPr>
          <w:rFonts w:hint="eastAsia" w:ascii="华文仿宋" w:hAnsi="华文仿宋" w:eastAsia="华文仿宋" w:cs="仿宋"/>
          <w:color w:val="auto"/>
          <w:sz w:val="28"/>
          <w:szCs w:val="28"/>
          <w:highlight w:val="none"/>
        </w:rPr>
        <w:t>合价包干，结算时不予调整，</w:t>
      </w:r>
      <w:r>
        <w:rPr>
          <w:rFonts w:hint="eastAsia" w:ascii="华文仿宋" w:hAnsi="华文仿宋" w:eastAsia="华文仿宋" w:cs="仿宋"/>
          <w:color w:val="auto"/>
          <w:sz w:val="28"/>
          <w:szCs w:val="28"/>
          <w:highlight w:val="none"/>
          <w:u w:val="single"/>
        </w:rPr>
        <w:t>具体以招标工程量清单计价说明及招标答疑纪要为准</w:t>
      </w:r>
      <w:r>
        <w:rPr>
          <w:rFonts w:ascii="华文仿宋" w:hAnsi="华文仿宋" w:eastAsia="华文仿宋" w:cs="仿宋"/>
          <w:color w:val="auto"/>
          <w:sz w:val="28"/>
          <w:szCs w:val="28"/>
          <w:highlight w:val="none"/>
          <w:u w:val="single"/>
        </w:rPr>
        <w:t>。</w:t>
      </w:r>
      <w:r>
        <w:rPr>
          <w:rFonts w:hint="eastAsia" w:ascii="华文仿宋" w:hAnsi="华文仿宋" w:eastAsia="华文仿宋" w:cs="仿宋"/>
          <w:color w:val="auto"/>
          <w:sz w:val="28"/>
          <w:szCs w:val="28"/>
          <w:highlight w:val="none"/>
          <w:u w:val="single"/>
        </w:rPr>
        <w:t xml:space="preserve"> </w:t>
      </w:r>
    </w:p>
    <w:p w14:paraId="02D67CC3">
      <w:pPr>
        <w:adjustRightInd w:val="0"/>
        <w:snapToGrid w:val="0"/>
        <w:spacing w:line="360" w:lineRule="auto"/>
        <w:ind w:firstLine="544" w:firstLineChars="200"/>
        <w:outlineLvl w:val="0"/>
        <w:rPr>
          <w:rFonts w:ascii="华文仿宋" w:hAnsi="华文仿宋" w:eastAsia="华文仿宋" w:cs="仿宋"/>
          <w:color w:val="auto"/>
          <w:spacing w:val="-4"/>
          <w:sz w:val="28"/>
          <w:szCs w:val="28"/>
          <w:highlight w:val="none"/>
        </w:rPr>
      </w:pPr>
      <w:r>
        <w:rPr>
          <w:rFonts w:hint="eastAsia" w:ascii="华文仿宋" w:hAnsi="华文仿宋" w:eastAsia="华文仿宋" w:cs="仿宋"/>
          <w:color w:val="auto"/>
          <w:spacing w:val="-4"/>
          <w:sz w:val="28"/>
          <w:szCs w:val="28"/>
          <w:highlight w:val="none"/>
        </w:rPr>
        <w:t>23.2.4若实际实施时，发包人因项目需要确定部分工程内容不再实施的，则发包人有权对该部分工程费用进行扣减，承包人承诺不就此提出异议和任何赔偿要求；承包人须无条件按照发包人明确的施工界面进行施工，由此引致的损失及费用均已包含在合同总价内，发包人不予另行支付或补偿。</w:t>
      </w:r>
    </w:p>
    <w:p w14:paraId="797CEF79">
      <w:pPr>
        <w:adjustRightInd w:val="0"/>
        <w:snapToGrid w:val="0"/>
        <w:spacing w:line="360" w:lineRule="auto"/>
        <w:ind w:firstLine="560" w:firstLineChars="200"/>
        <w:outlineLvl w:val="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sz w:val="28"/>
          <w:szCs w:val="28"/>
          <w:highlight w:val="none"/>
        </w:rPr>
        <w:t>23.3合同价款的调整与确定原则：在实施过程中任何原因引起的合同价款调整，均必须经过监理工程师和发包人的书面审核确认并完善相关审批手续后，方可作为支付进度款及结算的依据。</w:t>
      </w:r>
      <w:r>
        <w:rPr>
          <w:rFonts w:hint="eastAsia" w:ascii="华文仿宋" w:hAnsi="华文仿宋" w:eastAsia="华文仿宋" w:cs="仿宋"/>
          <w:color w:val="auto"/>
          <w:sz w:val="28"/>
          <w:szCs w:val="28"/>
          <w:highlight w:val="none"/>
          <w:u w:val="single"/>
        </w:rPr>
        <w:t>具体按招标工程量清单计价说明及招标答疑纪要执行。</w:t>
      </w:r>
    </w:p>
    <w:p w14:paraId="48FBDC5C">
      <w:pPr>
        <w:adjustRightInd w:val="0"/>
        <w:snapToGrid w:val="0"/>
        <w:spacing w:line="360" w:lineRule="auto"/>
        <w:ind w:firstLine="560" w:firstLineChars="200"/>
        <w:outlineLvl w:val="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23.3.1变更及新增项目计价办法：</w:t>
      </w:r>
      <w:r>
        <w:rPr>
          <w:rFonts w:hint="eastAsia" w:ascii="华文仿宋" w:hAnsi="华文仿宋" w:eastAsia="华文仿宋" w:cs="仿宋"/>
          <w:color w:val="auto"/>
          <w:sz w:val="28"/>
          <w:szCs w:val="28"/>
          <w:highlight w:val="none"/>
        </w:rPr>
        <w:t>以</w:t>
      </w:r>
      <w:r>
        <w:rPr>
          <w:rFonts w:hint="eastAsia" w:ascii="华文仿宋" w:hAnsi="华文仿宋" w:eastAsia="华文仿宋" w:cs="仿宋"/>
          <w:color w:val="auto"/>
          <w:sz w:val="28"/>
          <w:szCs w:val="28"/>
          <w:highlight w:val="none"/>
          <w:u w:val="single"/>
        </w:rPr>
        <w:t>招标工程量清单计价说明及招标答疑纪要为准。</w:t>
      </w:r>
    </w:p>
    <w:p w14:paraId="01419975">
      <w:pPr>
        <w:adjustRightInd w:val="0"/>
        <w:snapToGrid w:val="0"/>
        <w:spacing w:line="360" w:lineRule="auto"/>
        <w:ind w:firstLine="560" w:firstLineChars="200"/>
        <w:outlineLvl w:val="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23.3.2材料设备变更调整办法：</w:t>
      </w:r>
      <w:r>
        <w:rPr>
          <w:rFonts w:hint="eastAsia" w:ascii="华文仿宋" w:hAnsi="华文仿宋" w:eastAsia="华文仿宋" w:cs="仿宋"/>
          <w:color w:val="auto"/>
          <w:sz w:val="28"/>
          <w:szCs w:val="28"/>
          <w:highlight w:val="none"/>
        </w:rPr>
        <w:t>以</w:t>
      </w:r>
      <w:r>
        <w:rPr>
          <w:rFonts w:hint="eastAsia" w:ascii="华文仿宋" w:hAnsi="华文仿宋" w:eastAsia="华文仿宋" w:cs="仿宋"/>
          <w:color w:val="auto"/>
          <w:sz w:val="28"/>
          <w:szCs w:val="28"/>
          <w:highlight w:val="none"/>
          <w:u w:val="single"/>
        </w:rPr>
        <w:t>招标工程量清单计价说明及招标答疑纪要为准。</w:t>
      </w:r>
    </w:p>
    <w:p w14:paraId="4CA8BD6C">
      <w:pPr>
        <w:spacing w:line="360" w:lineRule="auto"/>
        <w:ind w:firstLine="560" w:firstLineChars="200"/>
        <w:rPr>
          <w:rFonts w:ascii="华文仿宋" w:hAnsi="华文仿宋" w:eastAsia="华文仿宋" w:cs="仿宋"/>
          <w:color w:val="auto"/>
          <w:sz w:val="28"/>
          <w:szCs w:val="28"/>
          <w:highlight w:val="none"/>
        </w:rPr>
      </w:pPr>
      <w:r>
        <w:rPr>
          <w:rFonts w:ascii="华文仿宋" w:hAnsi="华文仿宋" w:eastAsia="华文仿宋" w:cs="仿宋"/>
          <w:color w:val="auto"/>
          <w:kern w:val="1"/>
          <w:sz w:val="28"/>
          <w:szCs w:val="28"/>
          <w:highlight w:val="none"/>
        </w:rPr>
        <w:t>23.3.3人工、主要材料调差原则及办法：</w:t>
      </w:r>
      <w:r>
        <w:rPr>
          <w:rFonts w:hint="eastAsia" w:ascii="华文仿宋" w:hAnsi="华文仿宋" w:eastAsia="华文仿宋" w:cs="仿宋"/>
          <w:color w:val="auto"/>
          <w:sz w:val="28"/>
          <w:szCs w:val="28"/>
          <w:highlight w:val="none"/>
        </w:rPr>
        <w:t>以</w:t>
      </w:r>
      <w:r>
        <w:rPr>
          <w:rFonts w:hint="eastAsia" w:ascii="华文仿宋" w:hAnsi="华文仿宋" w:eastAsia="华文仿宋" w:cs="仿宋"/>
          <w:color w:val="auto"/>
          <w:sz w:val="28"/>
          <w:szCs w:val="28"/>
          <w:highlight w:val="none"/>
          <w:u w:val="single"/>
        </w:rPr>
        <w:t>招标工程量清单计价说明及招标答疑纪要为准。</w:t>
      </w:r>
    </w:p>
    <w:p w14:paraId="0077C09D">
      <w:pPr>
        <w:pStyle w:val="14"/>
        <w:spacing w:after="0" w:line="360" w:lineRule="auto"/>
        <w:ind w:firstLine="551"/>
        <w:rPr>
          <w:rFonts w:ascii="华文仿宋" w:hAnsi="华文仿宋" w:eastAsia="华文仿宋" w:cs="仿宋"/>
          <w:b/>
          <w:color w:val="auto"/>
          <w:sz w:val="28"/>
          <w:szCs w:val="28"/>
          <w:highlight w:val="none"/>
        </w:rPr>
      </w:pPr>
      <w:r>
        <w:rPr>
          <w:rFonts w:ascii="华文仿宋" w:hAnsi="华文仿宋" w:eastAsia="华文仿宋" w:cs="仿宋"/>
          <w:b/>
          <w:color w:val="auto"/>
          <w:sz w:val="28"/>
          <w:szCs w:val="28"/>
          <w:highlight w:val="none"/>
        </w:rPr>
        <w:t>24、</w:t>
      </w:r>
      <w:r>
        <w:rPr>
          <w:rFonts w:hint="eastAsia" w:ascii="华文仿宋" w:hAnsi="华文仿宋" w:eastAsia="华文仿宋" w:cs="仿宋"/>
          <w:b/>
          <w:color w:val="auto"/>
          <w:sz w:val="28"/>
          <w:szCs w:val="28"/>
          <w:highlight w:val="none"/>
        </w:rPr>
        <w:t>工程履约保函及预付款</w:t>
      </w:r>
    </w:p>
    <w:p w14:paraId="0D2506F4">
      <w:pPr>
        <w:pStyle w:val="14"/>
        <w:spacing w:after="0" w:line="360" w:lineRule="auto"/>
        <w:ind w:firstLine="56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24、工程履约保函及预付款</w:t>
      </w:r>
    </w:p>
    <w:p w14:paraId="60886FCB">
      <w:pPr>
        <w:pStyle w:val="14"/>
        <w:spacing w:after="0" w:line="360" w:lineRule="auto"/>
        <w:ind w:firstLine="56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 xml:space="preserve">24.1在本合同签订且承包人向发包人提供合同总价（扣除绿色施工安全防护措施费）10%的履约担保（银行保函格式详见附件2）。 </w:t>
      </w:r>
    </w:p>
    <w:p w14:paraId="6D35AA14">
      <w:pPr>
        <w:pStyle w:val="14"/>
        <w:spacing w:after="0" w:line="360" w:lineRule="auto"/>
        <w:ind w:firstLine="56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24.2履约担保形式：银行保函或保证保险或担保保函。</w:t>
      </w:r>
    </w:p>
    <w:p w14:paraId="3ECAB601">
      <w:pPr>
        <w:pStyle w:val="14"/>
        <w:spacing w:after="0" w:line="360" w:lineRule="auto"/>
        <w:ind w:firstLine="56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24.3工程预付款：在本合同签订且承包人向发包人提供履约担保后，在承包人据此提出付款申请、并经监理及发包人审核确认后15个工作日内，发包人支付合同总价（须扣除绿色施工安全防护措施费）的</w:t>
      </w:r>
      <w:r>
        <w:rPr>
          <w:rFonts w:ascii="华文仿宋" w:hAnsi="华文仿宋" w:eastAsia="华文仿宋" w:cs="仿宋"/>
          <w:color w:val="auto"/>
          <w:sz w:val="28"/>
          <w:szCs w:val="28"/>
          <w:highlight w:val="none"/>
        </w:rPr>
        <w:t>10</w:t>
      </w:r>
      <w:r>
        <w:rPr>
          <w:rFonts w:hint="eastAsia" w:ascii="华文仿宋" w:hAnsi="华文仿宋" w:eastAsia="华文仿宋" w:cs="仿宋"/>
          <w:color w:val="auto"/>
          <w:sz w:val="28"/>
          <w:szCs w:val="28"/>
          <w:highlight w:val="none"/>
        </w:rPr>
        <w:t>%，即 ￥    元作为预付款。</w:t>
      </w:r>
    </w:p>
    <w:p w14:paraId="01B51E35">
      <w:pPr>
        <w:pStyle w:val="14"/>
        <w:spacing w:after="0" w:line="360" w:lineRule="auto"/>
        <w:ind w:firstLine="560"/>
        <w:rPr>
          <w:rFonts w:ascii="华文仿宋" w:hAnsi="华文仿宋" w:eastAsia="华文仿宋" w:cs="仿宋"/>
          <w:bCs/>
          <w:color w:val="auto"/>
          <w:sz w:val="28"/>
          <w:szCs w:val="28"/>
          <w:highlight w:val="none"/>
        </w:rPr>
      </w:pPr>
      <w:r>
        <w:rPr>
          <w:rFonts w:hint="eastAsia" w:ascii="华文仿宋" w:hAnsi="华文仿宋" w:eastAsia="华文仿宋" w:cs="仿宋"/>
          <w:color w:val="auto"/>
          <w:sz w:val="28"/>
          <w:szCs w:val="28"/>
          <w:highlight w:val="none"/>
        </w:rPr>
        <w:t>24.4预付款的扣回时间及比例:</w:t>
      </w:r>
    </w:p>
    <w:tbl>
      <w:tblPr>
        <w:tblStyle w:val="37"/>
        <w:tblW w:w="8306" w:type="dxa"/>
        <w:jc w:val="center"/>
        <w:tblLayout w:type="fixed"/>
        <w:tblCellMar>
          <w:top w:w="0" w:type="dxa"/>
          <w:left w:w="108" w:type="dxa"/>
          <w:bottom w:w="0" w:type="dxa"/>
          <w:right w:w="108" w:type="dxa"/>
        </w:tblCellMar>
      </w:tblPr>
      <w:tblGrid>
        <w:gridCol w:w="5446"/>
        <w:gridCol w:w="1442"/>
        <w:gridCol w:w="1418"/>
      </w:tblGrid>
      <w:tr w14:paraId="6E02F772">
        <w:tblPrEx>
          <w:tblCellMar>
            <w:top w:w="0" w:type="dxa"/>
            <w:left w:w="108" w:type="dxa"/>
            <w:bottom w:w="0" w:type="dxa"/>
            <w:right w:w="108" w:type="dxa"/>
          </w:tblCellMar>
        </w:tblPrEx>
        <w:trPr>
          <w:trHeight w:val="420" w:hRule="atLeast"/>
          <w:jc w:val="center"/>
        </w:trPr>
        <w:tc>
          <w:tcPr>
            <w:tcW w:w="5446" w:type="dxa"/>
            <w:tcBorders>
              <w:top w:val="single" w:color="000000" w:sz="4" w:space="0"/>
              <w:left w:val="single" w:color="000000" w:sz="4" w:space="0"/>
              <w:bottom w:val="single" w:color="000000" w:sz="4" w:space="0"/>
              <w:right w:val="single" w:color="000000" w:sz="4" w:space="0"/>
            </w:tcBorders>
          </w:tcPr>
          <w:p w14:paraId="1C548291">
            <w:pPr>
              <w:pStyle w:val="14"/>
              <w:spacing w:after="0" w:line="360" w:lineRule="auto"/>
              <w:ind w:firstLine="56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已完工程量与合同价之比</w:t>
            </w:r>
          </w:p>
          <w:p w14:paraId="7121A7B4">
            <w:pPr>
              <w:pStyle w:val="14"/>
              <w:spacing w:after="0" w:line="360" w:lineRule="auto"/>
              <w:ind w:firstLine="56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（扣除绿色施工安全防护措施费）</w:t>
            </w:r>
          </w:p>
        </w:tc>
        <w:tc>
          <w:tcPr>
            <w:tcW w:w="1442" w:type="dxa"/>
            <w:tcBorders>
              <w:top w:val="single" w:color="000000" w:sz="4" w:space="0"/>
              <w:left w:val="single" w:color="000000" w:sz="4" w:space="0"/>
              <w:bottom w:val="single" w:color="000000" w:sz="4" w:space="0"/>
              <w:right w:val="single" w:color="000000" w:sz="4" w:space="0"/>
            </w:tcBorders>
          </w:tcPr>
          <w:p w14:paraId="332B899F">
            <w:pPr>
              <w:pStyle w:val="14"/>
              <w:spacing w:after="0" w:line="360" w:lineRule="auto"/>
              <w:ind w:firstLine="56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预付款扣回比例</w:t>
            </w:r>
          </w:p>
        </w:tc>
        <w:tc>
          <w:tcPr>
            <w:tcW w:w="1418" w:type="dxa"/>
            <w:tcBorders>
              <w:top w:val="single" w:color="000000" w:sz="4" w:space="0"/>
              <w:left w:val="single" w:color="000000" w:sz="4" w:space="0"/>
              <w:bottom w:val="single" w:color="000000" w:sz="4" w:space="0"/>
              <w:right w:val="single" w:color="000000" w:sz="4" w:space="0"/>
            </w:tcBorders>
          </w:tcPr>
          <w:p w14:paraId="284B5B86">
            <w:pPr>
              <w:pStyle w:val="14"/>
              <w:spacing w:after="0" w:line="360" w:lineRule="auto"/>
              <w:ind w:firstLine="56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累计扣回比例</w:t>
            </w:r>
          </w:p>
        </w:tc>
      </w:tr>
      <w:tr w14:paraId="65482748">
        <w:tblPrEx>
          <w:tblCellMar>
            <w:top w:w="0" w:type="dxa"/>
            <w:left w:w="108" w:type="dxa"/>
            <w:bottom w:w="0" w:type="dxa"/>
            <w:right w:w="108" w:type="dxa"/>
          </w:tblCellMar>
        </w:tblPrEx>
        <w:trPr>
          <w:trHeight w:val="390" w:hRule="atLeast"/>
          <w:jc w:val="center"/>
        </w:trPr>
        <w:tc>
          <w:tcPr>
            <w:tcW w:w="5446" w:type="dxa"/>
            <w:tcBorders>
              <w:top w:val="single" w:color="000000" w:sz="4" w:space="0"/>
              <w:left w:val="single" w:color="000000" w:sz="4" w:space="0"/>
              <w:bottom w:val="single" w:color="000000" w:sz="4" w:space="0"/>
              <w:right w:val="single" w:color="000000" w:sz="4" w:space="0"/>
            </w:tcBorders>
          </w:tcPr>
          <w:p w14:paraId="02DBD378">
            <w:pPr>
              <w:pStyle w:val="14"/>
              <w:spacing w:after="0" w:line="360" w:lineRule="auto"/>
              <w:ind w:firstLine="56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20%≤A＜30%</w:t>
            </w:r>
          </w:p>
        </w:tc>
        <w:tc>
          <w:tcPr>
            <w:tcW w:w="1442" w:type="dxa"/>
            <w:tcBorders>
              <w:top w:val="single" w:color="000000" w:sz="4" w:space="0"/>
              <w:left w:val="single" w:color="000000" w:sz="4" w:space="0"/>
              <w:bottom w:val="single" w:color="000000" w:sz="4" w:space="0"/>
              <w:right w:val="single" w:color="000000" w:sz="4" w:space="0"/>
            </w:tcBorders>
          </w:tcPr>
          <w:p w14:paraId="464C4A3B">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10%</w:t>
            </w:r>
          </w:p>
        </w:tc>
        <w:tc>
          <w:tcPr>
            <w:tcW w:w="1418" w:type="dxa"/>
            <w:tcBorders>
              <w:top w:val="single" w:color="000000" w:sz="4" w:space="0"/>
              <w:left w:val="single" w:color="000000" w:sz="4" w:space="0"/>
              <w:bottom w:val="single" w:color="000000" w:sz="4" w:space="0"/>
              <w:right w:val="single" w:color="000000" w:sz="4" w:space="0"/>
            </w:tcBorders>
          </w:tcPr>
          <w:p w14:paraId="77C896A5">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10%</w:t>
            </w:r>
          </w:p>
        </w:tc>
      </w:tr>
      <w:tr w14:paraId="213C5E4A">
        <w:tblPrEx>
          <w:tblCellMar>
            <w:top w:w="0" w:type="dxa"/>
            <w:left w:w="108" w:type="dxa"/>
            <w:bottom w:w="0" w:type="dxa"/>
            <w:right w:w="108" w:type="dxa"/>
          </w:tblCellMar>
        </w:tblPrEx>
        <w:trPr>
          <w:trHeight w:val="345" w:hRule="atLeast"/>
          <w:jc w:val="center"/>
        </w:trPr>
        <w:tc>
          <w:tcPr>
            <w:tcW w:w="5446" w:type="dxa"/>
            <w:tcBorders>
              <w:top w:val="single" w:color="000000" w:sz="4" w:space="0"/>
              <w:left w:val="single" w:color="000000" w:sz="4" w:space="0"/>
              <w:bottom w:val="single" w:color="000000" w:sz="4" w:space="0"/>
              <w:right w:val="single" w:color="000000" w:sz="4" w:space="0"/>
            </w:tcBorders>
          </w:tcPr>
          <w:p w14:paraId="1C17F25D">
            <w:pPr>
              <w:pStyle w:val="14"/>
              <w:spacing w:after="0" w:line="360" w:lineRule="auto"/>
              <w:ind w:firstLine="56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30%≤A＜40%</w:t>
            </w:r>
          </w:p>
        </w:tc>
        <w:tc>
          <w:tcPr>
            <w:tcW w:w="1442" w:type="dxa"/>
            <w:tcBorders>
              <w:top w:val="single" w:color="000000" w:sz="4" w:space="0"/>
              <w:left w:val="single" w:color="000000" w:sz="4" w:space="0"/>
              <w:bottom w:val="single" w:color="000000" w:sz="4" w:space="0"/>
              <w:right w:val="single" w:color="000000" w:sz="4" w:space="0"/>
            </w:tcBorders>
          </w:tcPr>
          <w:p w14:paraId="5DB9A144">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20%</w:t>
            </w:r>
          </w:p>
        </w:tc>
        <w:tc>
          <w:tcPr>
            <w:tcW w:w="1418" w:type="dxa"/>
            <w:tcBorders>
              <w:top w:val="single" w:color="000000" w:sz="4" w:space="0"/>
              <w:left w:val="single" w:color="000000" w:sz="4" w:space="0"/>
              <w:bottom w:val="single" w:color="000000" w:sz="4" w:space="0"/>
              <w:right w:val="single" w:color="000000" w:sz="4" w:space="0"/>
            </w:tcBorders>
          </w:tcPr>
          <w:p w14:paraId="356C927C">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30%</w:t>
            </w:r>
          </w:p>
        </w:tc>
      </w:tr>
      <w:tr w14:paraId="3C2BAD07">
        <w:tblPrEx>
          <w:tblCellMar>
            <w:top w:w="0" w:type="dxa"/>
            <w:left w:w="108" w:type="dxa"/>
            <w:bottom w:w="0" w:type="dxa"/>
            <w:right w:w="108" w:type="dxa"/>
          </w:tblCellMar>
        </w:tblPrEx>
        <w:trPr>
          <w:trHeight w:val="435" w:hRule="atLeast"/>
          <w:jc w:val="center"/>
        </w:trPr>
        <w:tc>
          <w:tcPr>
            <w:tcW w:w="5446" w:type="dxa"/>
            <w:tcBorders>
              <w:top w:val="single" w:color="000000" w:sz="4" w:space="0"/>
              <w:left w:val="single" w:color="000000" w:sz="4" w:space="0"/>
              <w:bottom w:val="single" w:color="000000" w:sz="4" w:space="0"/>
              <w:right w:val="single" w:color="000000" w:sz="4" w:space="0"/>
            </w:tcBorders>
          </w:tcPr>
          <w:p w14:paraId="23F9FC0D">
            <w:pPr>
              <w:pStyle w:val="14"/>
              <w:spacing w:after="0" w:line="360" w:lineRule="auto"/>
              <w:ind w:firstLine="56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40%≤A＜50%</w:t>
            </w:r>
          </w:p>
        </w:tc>
        <w:tc>
          <w:tcPr>
            <w:tcW w:w="1442" w:type="dxa"/>
            <w:tcBorders>
              <w:top w:val="single" w:color="000000" w:sz="4" w:space="0"/>
              <w:left w:val="single" w:color="000000" w:sz="4" w:space="0"/>
              <w:bottom w:val="single" w:color="000000" w:sz="4" w:space="0"/>
              <w:right w:val="single" w:color="000000" w:sz="4" w:space="0"/>
            </w:tcBorders>
          </w:tcPr>
          <w:p w14:paraId="484736EB">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30%</w:t>
            </w:r>
          </w:p>
        </w:tc>
        <w:tc>
          <w:tcPr>
            <w:tcW w:w="1418" w:type="dxa"/>
            <w:tcBorders>
              <w:top w:val="single" w:color="000000" w:sz="4" w:space="0"/>
              <w:left w:val="single" w:color="000000" w:sz="4" w:space="0"/>
              <w:bottom w:val="single" w:color="000000" w:sz="4" w:space="0"/>
              <w:right w:val="single" w:color="000000" w:sz="4" w:space="0"/>
            </w:tcBorders>
          </w:tcPr>
          <w:p w14:paraId="6F12B80D">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60%</w:t>
            </w:r>
          </w:p>
        </w:tc>
      </w:tr>
      <w:tr w14:paraId="163068B3">
        <w:tblPrEx>
          <w:tblCellMar>
            <w:top w:w="0" w:type="dxa"/>
            <w:left w:w="108" w:type="dxa"/>
            <w:bottom w:w="0" w:type="dxa"/>
            <w:right w:w="108" w:type="dxa"/>
          </w:tblCellMar>
        </w:tblPrEx>
        <w:trPr>
          <w:trHeight w:val="375" w:hRule="atLeast"/>
          <w:jc w:val="center"/>
        </w:trPr>
        <w:tc>
          <w:tcPr>
            <w:tcW w:w="5446" w:type="dxa"/>
            <w:tcBorders>
              <w:top w:val="single" w:color="000000" w:sz="4" w:space="0"/>
              <w:left w:val="single" w:color="000000" w:sz="4" w:space="0"/>
              <w:bottom w:val="single" w:color="000000" w:sz="4" w:space="0"/>
              <w:right w:val="single" w:color="000000" w:sz="4" w:space="0"/>
            </w:tcBorders>
          </w:tcPr>
          <w:p w14:paraId="7299CB5E">
            <w:pPr>
              <w:pStyle w:val="14"/>
              <w:spacing w:after="0" w:line="360" w:lineRule="auto"/>
              <w:ind w:firstLine="56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50%≤A＜60%</w:t>
            </w:r>
          </w:p>
        </w:tc>
        <w:tc>
          <w:tcPr>
            <w:tcW w:w="1442" w:type="dxa"/>
            <w:tcBorders>
              <w:top w:val="single" w:color="000000" w:sz="4" w:space="0"/>
              <w:left w:val="single" w:color="000000" w:sz="4" w:space="0"/>
              <w:bottom w:val="single" w:color="000000" w:sz="4" w:space="0"/>
              <w:right w:val="single" w:color="000000" w:sz="4" w:space="0"/>
            </w:tcBorders>
          </w:tcPr>
          <w:p w14:paraId="111BCF96">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40%</w:t>
            </w:r>
          </w:p>
        </w:tc>
        <w:tc>
          <w:tcPr>
            <w:tcW w:w="1418" w:type="dxa"/>
            <w:tcBorders>
              <w:top w:val="single" w:color="000000" w:sz="4" w:space="0"/>
              <w:left w:val="single" w:color="000000" w:sz="4" w:space="0"/>
              <w:bottom w:val="single" w:color="000000" w:sz="4" w:space="0"/>
              <w:right w:val="single" w:color="000000" w:sz="4" w:space="0"/>
            </w:tcBorders>
          </w:tcPr>
          <w:p w14:paraId="72F75979">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100%</w:t>
            </w:r>
          </w:p>
        </w:tc>
      </w:tr>
    </w:tbl>
    <w:p w14:paraId="5A2D6AAD">
      <w:pPr>
        <w:pStyle w:val="14"/>
        <w:ind w:firstLine="560"/>
        <w:jc w:val="left"/>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注：A＝已完成工程量÷合同价款（扣除</w:t>
      </w:r>
      <w:r>
        <w:rPr>
          <w:rFonts w:hint="eastAsia" w:ascii="华文仿宋" w:hAnsi="华文仿宋" w:eastAsia="华文仿宋" w:cs="仿宋"/>
          <w:color w:val="auto"/>
          <w:sz w:val="28"/>
          <w:szCs w:val="28"/>
          <w:highlight w:val="none"/>
        </w:rPr>
        <w:t>绿色施工安全防护措施费</w:t>
      </w:r>
      <w:r>
        <w:rPr>
          <w:rFonts w:ascii="华文仿宋" w:hAnsi="华文仿宋" w:eastAsia="华文仿宋" w:cs="仿宋"/>
          <w:color w:val="auto"/>
          <w:sz w:val="28"/>
          <w:szCs w:val="28"/>
          <w:highlight w:val="none"/>
        </w:rPr>
        <w:t>）</w:t>
      </w:r>
    </w:p>
    <w:p w14:paraId="1B624BE9">
      <w:pPr>
        <w:spacing w:line="360" w:lineRule="auto"/>
        <w:ind w:firstLine="551"/>
        <w:rPr>
          <w:rFonts w:ascii="华文仿宋" w:hAnsi="华文仿宋" w:eastAsia="华文仿宋" w:cs="仿宋"/>
          <w:b/>
          <w:color w:val="auto"/>
          <w:kern w:val="1"/>
          <w:sz w:val="28"/>
          <w:szCs w:val="28"/>
          <w:highlight w:val="none"/>
        </w:rPr>
      </w:pPr>
      <w:r>
        <w:rPr>
          <w:rFonts w:ascii="华文仿宋" w:hAnsi="华文仿宋" w:eastAsia="华文仿宋" w:cs="仿宋"/>
          <w:b/>
          <w:color w:val="auto"/>
          <w:kern w:val="1"/>
          <w:sz w:val="28"/>
          <w:szCs w:val="28"/>
          <w:highlight w:val="none"/>
        </w:rPr>
        <w:t>25</w:t>
      </w:r>
      <w:r>
        <w:rPr>
          <w:rFonts w:hint="eastAsia" w:ascii="华文仿宋" w:hAnsi="华文仿宋" w:eastAsia="华文仿宋" w:cs="仿宋"/>
          <w:b/>
          <w:color w:val="auto"/>
          <w:kern w:val="1"/>
          <w:sz w:val="28"/>
          <w:szCs w:val="28"/>
          <w:highlight w:val="none"/>
        </w:rPr>
        <w:t>、工程量确认：</w:t>
      </w:r>
      <w:r>
        <w:rPr>
          <w:rFonts w:ascii="华文仿宋" w:hAnsi="华文仿宋" w:eastAsia="华文仿宋" w:cs="仿宋"/>
          <w:b/>
          <w:color w:val="auto"/>
          <w:kern w:val="1"/>
          <w:sz w:val="28"/>
          <w:szCs w:val="28"/>
          <w:highlight w:val="none"/>
        </w:rPr>
        <w:t xml:space="preserve"> </w:t>
      </w:r>
    </w:p>
    <w:p w14:paraId="2506F40D">
      <w:pPr>
        <w:tabs>
          <w:tab w:val="left" w:pos="0"/>
          <w:tab w:val="left" w:pos="2760"/>
          <w:tab w:val="left" w:pos="4440"/>
          <w:tab w:val="left" w:pos="5520"/>
          <w:tab w:val="left" w:pos="6840"/>
        </w:tabs>
        <w:spacing w:line="360" w:lineRule="auto"/>
        <w:ind w:firstLine="561"/>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25.1承包人向</w:t>
      </w:r>
      <w:r>
        <w:rPr>
          <w:rFonts w:hint="eastAsia" w:ascii="华文仿宋" w:hAnsi="华文仿宋" w:eastAsia="华文仿宋" w:cs="仿宋"/>
          <w:color w:val="auto"/>
          <w:kern w:val="1"/>
          <w:sz w:val="28"/>
          <w:szCs w:val="28"/>
          <w:highlight w:val="none"/>
        </w:rPr>
        <w:t>监理</w:t>
      </w:r>
      <w:r>
        <w:rPr>
          <w:rFonts w:ascii="华文仿宋" w:hAnsi="华文仿宋" w:eastAsia="华文仿宋" w:cs="仿宋"/>
          <w:color w:val="auto"/>
          <w:kern w:val="1"/>
          <w:sz w:val="28"/>
          <w:szCs w:val="28"/>
          <w:highlight w:val="none"/>
        </w:rPr>
        <w:t>工程师提交已完工程量报告的时间:</w:t>
      </w:r>
      <w:r>
        <w:rPr>
          <w:rFonts w:hint="eastAsia" w:ascii="华文仿宋" w:hAnsi="华文仿宋" w:eastAsia="华文仿宋"/>
          <w:color w:val="auto"/>
          <w:highlight w:val="none"/>
        </w:rPr>
        <w:t xml:space="preserve"> </w:t>
      </w:r>
      <w:r>
        <w:rPr>
          <w:rFonts w:hint="eastAsia" w:ascii="华文仿宋" w:hAnsi="华文仿宋" w:eastAsia="华文仿宋" w:cs="仿宋"/>
          <w:color w:val="auto"/>
          <w:kern w:val="1"/>
          <w:sz w:val="28"/>
          <w:szCs w:val="28"/>
          <w:highlight w:val="none"/>
        </w:rPr>
        <w:t>进度工程量确认按期申报（自开工之日起每月为一期），承包人须于下期首5个工作日内将上期完成的</w:t>
      </w:r>
      <w:r>
        <w:rPr>
          <w:rFonts w:ascii="华文仿宋" w:hAnsi="华文仿宋" w:eastAsia="华文仿宋" w:cs="仿宋"/>
          <w:color w:val="auto"/>
          <w:kern w:val="1"/>
          <w:sz w:val="28"/>
          <w:szCs w:val="28"/>
          <w:highlight w:val="none"/>
        </w:rPr>
        <w:t>工程量报告及相应计量依据文件（上报资料要求按发包人另行发布的相关要求或规定执行</w:t>
      </w:r>
      <w:r>
        <w:rPr>
          <w:rFonts w:hint="eastAsia" w:ascii="华文仿宋" w:hAnsi="华文仿宋" w:eastAsia="华文仿宋" w:cs="仿宋"/>
          <w:color w:val="auto"/>
          <w:kern w:val="1"/>
          <w:sz w:val="28"/>
          <w:szCs w:val="28"/>
          <w:highlight w:val="none"/>
        </w:rPr>
        <w:t>，并满足以下约定</w:t>
      </w:r>
      <w:r>
        <w:rPr>
          <w:rFonts w:ascii="华文仿宋" w:hAnsi="华文仿宋" w:eastAsia="华文仿宋" w:cs="仿宋"/>
          <w:color w:val="auto"/>
          <w:kern w:val="1"/>
          <w:sz w:val="28"/>
          <w:szCs w:val="28"/>
          <w:highlight w:val="none"/>
        </w:rPr>
        <w:t>）上报监理；监理原则上在收到承包人提交的工程量报告及齐备的计量依据文件后5个工作日内审核确定并提交发包人；发包人原则上在收到监理工程师审定的工程量报告及齐备的计量依据文件后15个工作日内审核确定。</w:t>
      </w:r>
    </w:p>
    <w:p w14:paraId="16CD585D">
      <w:pPr>
        <w:tabs>
          <w:tab w:val="left" w:pos="0"/>
          <w:tab w:val="left" w:pos="2760"/>
          <w:tab w:val="left" w:pos="4440"/>
          <w:tab w:val="left" w:pos="5520"/>
          <w:tab w:val="left" w:pos="6840"/>
        </w:tabs>
        <w:spacing w:line="360" w:lineRule="auto"/>
        <w:ind w:firstLine="561"/>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承包人申请计量时须提供第</w:t>
      </w:r>
      <w:r>
        <w:rPr>
          <w:rFonts w:ascii="仿宋" w:hAnsi="仿宋" w:eastAsia="仿宋" w:cs="仿宋"/>
          <w:color w:val="auto"/>
          <w:sz w:val="28"/>
          <w:szCs w:val="28"/>
          <w:highlight w:val="none"/>
        </w:rPr>
        <w:t>28.8</w:t>
      </w:r>
      <w:r>
        <w:rPr>
          <w:rFonts w:hint="eastAsia" w:ascii="华文仿宋" w:hAnsi="华文仿宋" w:eastAsia="华文仿宋" w:cs="仿宋"/>
          <w:color w:val="auto"/>
          <w:kern w:val="1"/>
          <w:sz w:val="28"/>
          <w:szCs w:val="28"/>
          <w:highlight w:val="none"/>
        </w:rPr>
        <w:t>条所指材料设备（如有）的依据文件，此项作为进度计量的前提条件：（1）承包人的当期进货计划及实际下单证明，（2）</w:t>
      </w:r>
      <w:r>
        <w:rPr>
          <w:rFonts w:ascii="华文仿宋" w:hAnsi="华文仿宋" w:eastAsia="华文仿宋" w:cs="仿宋"/>
          <w:color w:val="auto"/>
          <w:kern w:val="1"/>
          <w:sz w:val="28"/>
          <w:szCs w:val="28"/>
          <w:highlight w:val="none"/>
        </w:rPr>
        <w:t>经发包人、承包人、监理单位及供应商四方共同签认</w:t>
      </w:r>
      <w:r>
        <w:rPr>
          <w:rFonts w:hint="eastAsia" w:ascii="华文仿宋" w:hAnsi="华文仿宋" w:eastAsia="华文仿宋" w:cs="仿宋"/>
          <w:color w:val="auto"/>
          <w:kern w:val="1"/>
          <w:sz w:val="28"/>
          <w:szCs w:val="28"/>
          <w:highlight w:val="none"/>
        </w:rPr>
        <w:t>的当期交货验收单，（</w:t>
      </w:r>
      <w:r>
        <w:rPr>
          <w:rFonts w:ascii="华文仿宋" w:hAnsi="华文仿宋" w:eastAsia="华文仿宋" w:cs="仿宋"/>
          <w:color w:val="auto"/>
          <w:kern w:val="1"/>
          <w:sz w:val="28"/>
          <w:szCs w:val="28"/>
          <w:highlight w:val="none"/>
        </w:rPr>
        <w:t>3</w:t>
      </w:r>
      <w:r>
        <w:rPr>
          <w:rFonts w:hint="eastAsia" w:ascii="华文仿宋" w:hAnsi="华文仿宋" w:eastAsia="华文仿宋" w:cs="仿宋"/>
          <w:color w:val="auto"/>
          <w:kern w:val="1"/>
          <w:sz w:val="28"/>
          <w:szCs w:val="28"/>
          <w:highlight w:val="none"/>
        </w:rPr>
        <w:t>）承包人向供应商支付的当期货款的付款凭证、供应商向承包人开具的对应发票，（4）供应商出具的货款结清证明文件（结算时提供），（5）其他相关资料。</w:t>
      </w:r>
    </w:p>
    <w:p w14:paraId="5EC39FC1">
      <w:pPr>
        <w:tabs>
          <w:tab w:val="left" w:pos="0"/>
          <w:tab w:val="left" w:pos="2760"/>
          <w:tab w:val="left" w:pos="4440"/>
          <w:tab w:val="left" w:pos="5520"/>
          <w:tab w:val="left" w:pos="6840"/>
        </w:tabs>
        <w:spacing w:line="360" w:lineRule="auto"/>
        <w:ind w:firstLine="561"/>
        <w:rPr>
          <w:rFonts w:ascii="华文仿宋" w:hAnsi="华文仿宋" w:eastAsia="华文仿宋" w:cs="仿宋"/>
          <w:color w:val="auto"/>
          <w:kern w:val="1"/>
          <w:sz w:val="28"/>
          <w:szCs w:val="28"/>
          <w:highlight w:val="none"/>
        </w:rPr>
      </w:pPr>
      <w:r>
        <w:rPr>
          <w:rFonts w:hint="eastAsia" w:ascii="仿宋" w:hAnsi="仿宋" w:eastAsia="仿宋" w:cs="仿宋"/>
          <w:color w:val="auto"/>
          <w:sz w:val="28"/>
          <w:szCs w:val="28"/>
          <w:highlight w:val="none"/>
        </w:rPr>
        <w:t>25.2如承包人违反第</w:t>
      </w:r>
      <w:r>
        <w:rPr>
          <w:rFonts w:ascii="仿宋" w:hAnsi="仿宋" w:eastAsia="仿宋" w:cs="仿宋"/>
          <w:color w:val="auto"/>
          <w:sz w:val="28"/>
          <w:szCs w:val="28"/>
          <w:highlight w:val="none"/>
        </w:rPr>
        <w:t>28.8</w:t>
      </w:r>
      <w:r>
        <w:rPr>
          <w:rFonts w:hint="eastAsia" w:ascii="仿宋" w:hAnsi="仿宋" w:eastAsia="仿宋" w:cs="仿宋"/>
          <w:color w:val="auto"/>
          <w:sz w:val="28"/>
          <w:szCs w:val="28"/>
          <w:highlight w:val="none"/>
        </w:rPr>
        <w:t>条约定，不与发包人库内战略供应商签订供货合同，或以其它方式、附加条件拒绝和妨碍从上述供应商处采购货物，或签订供货合同、采购货物后未按第28.8条约定的原则向供应商支付货款；</w:t>
      </w:r>
      <w:r>
        <w:rPr>
          <w:rFonts w:hint="eastAsia" w:ascii="仿宋" w:hAnsi="仿宋" w:eastAsia="仿宋" w:cs="仿宋"/>
          <w:color w:val="auto"/>
          <w:kern w:val="1"/>
          <w:sz w:val="28"/>
          <w:szCs w:val="28"/>
          <w:highlight w:val="none"/>
        </w:rPr>
        <w:t>或承包人进度计量申请时未递交上述甲指乙供材料计量依据文件，或提交的计量依据文件不齐备、不符合要求，或提交的计量依据文件所载明的供应商非发包人库内战略供应商的，</w:t>
      </w:r>
      <w:r>
        <w:rPr>
          <w:rFonts w:hint="eastAsia" w:ascii="仿宋" w:hAnsi="仿宋" w:eastAsia="仿宋" w:cs="仿宋"/>
          <w:color w:val="auto"/>
          <w:sz w:val="28"/>
          <w:szCs w:val="28"/>
          <w:highlight w:val="none"/>
        </w:rPr>
        <w:t>则发包人视为不符合或未达到支付条件，发包人有权延迟或者不予进度计量，由此造成的损失和责任全部由承包人自行承担，且承包人还须按本合同专用条款第</w:t>
      </w:r>
      <w:r>
        <w:rPr>
          <w:rFonts w:ascii="仿宋" w:hAnsi="仿宋" w:eastAsia="仿宋" w:cs="仿宋"/>
          <w:color w:val="auto"/>
          <w:sz w:val="28"/>
          <w:szCs w:val="28"/>
          <w:highlight w:val="none"/>
        </w:rPr>
        <w:t>35.2.6</w:t>
      </w:r>
      <w:r>
        <w:rPr>
          <w:rFonts w:hint="eastAsia" w:ascii="仿宋" w:hAnsi="仿宋" w:eastAsia="仿宋" w:cs="仿宋"/>
          <w:color w:val="auto"/>
          <w:sz w:val="28"/>
          <w:szCs w:val="28"/>
          <w:highlight w:val="none"/>
        </w:rPr>
        <w:t>条承担违约责任。</w:t>
      </w:r>
    </w:p>
    <w:p w14:paraId="11D4A341">
      <w:pPr>
        <w:spacing w:line="360" w:lineRule="auto"/>
        <w:ind w:firstLine="549" w:firstLineChars="196"/>
        <w:rPr>
          <w:rFonts w:ascii="华文仿宋" w:hAnsi="华文仿宋" w:eastAsia="华文仿宋" w:cs="仿宋"/>
          <w:b/>
          <w:color w:val="auto"/>
          <w:kern w:val="1"/>
          <w:sz w:val="28"/>
          <w:szCs w:val="28"/>
          <w:highlight w:val="none"/>
        </w:rPr>
      </w:pPr>
      <w:r>
        <w:rPr>
          <w:rFonts w:ascii="华文仿宋" w:hAnsi="华文仿宋" w:eastAsia="华文仿宋" w:cs="仿宋"/>
          <w:b/>
          <w:color w:val="auto"/>
          <w:kern w:val="1"/>
          <w:sz w:val="28"/>
          <w:szCs w:val="28"/>
          <w:highlight w:val="none"/>
        </w:rPr>
        <w:t>26、工程进度款支付：</w:t>
      </w:r>
    </w:p>
    <w:p w14:paraId="2587BCEC">
      <w:pPr>
        <w:spacing w:line="360" w:lineRule="auto"/>
        <w:ind w:firstLine="548" w:firstLineChars="196"/>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本工程请款时承包人须按发包人制定的</w:t>
      </w:r>
      <w:r>
        <w:rPr>
          <w:rFonts w:hint="eastAsia" w:ascii="华文仿宋" w:hAnsi="华文仿宋" w:eastAsia="华文仿宋" w:cs="仿宋"/>
          <w:color w:val="auto"/>
          <w:kern w:val="1"/>
          <w:sz w:val="28"/>
          <w:szCs w:val="28"/>
          <w:highlight w:val="none"/>
        </w:rPr>
        <w:t>《建设工程类合同支付管理办法》</w:t>
      </w:r>
      <w:r>
        <w:rPr>
          <w:rFonts w:ascii="华文仿宋" w:hAnsi="华文仿宋" w:eastAsia="华文仿宋" w:cs="仿宋"/>
          <w:color w:val="auto"/>
          <w:kern w:val="1"/>
          <w:sz w:val="28"/>
          <w:szCs w:val="28"/>
          <w:highlight w:val="none"/>
        </w:rPr>
        <w:t>相关规定报审并经发包人最终审定后，再进行进度款支付。</w:t>
      </w:r>
    </w:p>
    <w:p w14:paraId="63676813">
      <w:pPr>
        <w:tabs>
          <w:tab w:val="left" w:pos="0"/>
          <w:tab w:val="left" w:pos="2760"/>
          <w:tab w:val="left" w:pos="4440"/>
          <w:tab w:val="left" w:pos="5520"/>
          <w:tab w:val="left" w:pos="6840"/>
        </w:tabs>
        <w:spacing w:line="360" w:lineRule="auto"/>
        <w:ind w:firstLine="560"/>
        <w:outlineLvl w:val="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26.1双方约定</w:t>
      </w:r>
      <w:r>
        <w:rPr>
          <w:rFonts w:hint="eastAsia" w:ascii="华文仿宋" w:hAnsi="华文仿宋" w:eastAsia="华文仿宋" w:cs="仿宋"/>
          <w:color w:val="auto"/>
          <w:kern w:val="1"/>
          <w:sz w:val="28"/>
          <w:szCs w:val="28"/>
          <w:highlight w:val="none"/>
        </w:rPr>
        <w:t>的</w:t>
      </w:r>
      <w:r>
        <w:rPr>
          <w:rFonts w:ascii="华文仿宋" w:hAnsi="华文仿宋" w:eastAsia="华文仿宋" w:cs="仿宋"/>
          <w:color w:val="auto"/>
          <w:kern w:val="1"/>
          <w:sz w:val="28"/>
          <w:szCs w:val="28"/>
          <w:highlight w:val="none"/>
        </w:rPr>
        <w:t>工程款支付方式和时间</w:t>
      </w:r>
      <w:r>
        <w:rPr>
          <w:rFonts w:hint="eastAsia" w:ascii="华文仿宋" w:hAnsi="华文仿宋" w:eastAsia="华文仿宋" w:cs="仿宋"/>
          <w:color w:val="auto"/>
          <w:kern w:val="1"/>
          <w:sz w:val="28"/>
          <w:szCs w:val="28"/>
          <w:highlight w:val="none"/>
        </w:rPr>
        <w:t>：</w:t>
      </w:r>
    </w:p>
    <w:p w14:paraId="11107F8A">
      <w:pPr>
        <w:tabs>
          <w:tab w:val="left" w:pos="0"/>
          <w:tab w:val="left" w:pos="2760"/>
          <w:tab w:val="left" w:pos="4440"/>
          <w:tab w:val="left" w:pos="5520"/>
          <w:tab w:val="left" w:pos="6840"/>
        </w:tabs>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26.1.1自开工之日起，发包人</w:t>
      </w:r>
      <w:r>
        <w:rPr>
          <w:rFonts w:hint="eastAsia" w:ascii="华文仿宋" w:hAnsi="华文仿宋" w:eastAsia="华文仿宋" w:cs="仿宋"/>
          <w:color w:val="auto"/>
          <w:kern w:val="1"/>
          <w:sz w:val="28"/>
          <w:szCs w:val="28"/>
          <w:highlight w:val="none"/>
        </w:rPr>
        <w:t>每</w:t>
      </w:r>
      <w:r>
        <w:rPr>
          <w:rFonts w:ascii="华文仿宋" w:hAnsi="华文仿宋" w:eastAsia="华文仿宋" w:cs="仿宋"/>
          <w:color w:val="auto"/>
          <w:kern w:val="1"/>
          <w:sz w:val="28"/>
          <w:szCs w:val="28"/>
          <w:highlight w:val="none"/>
        </w:rPr>
        <w:t>月按工程实际进度拨付一次</w:t>
      </w:r>
      <w:r>
        <w:rPr>
          <w:rFonts w:hint="eastAsia" w:ascii="华文仿宋" w:hAnsi="华文仿宋" w:eastAsia="华文仿宋" w:cs="仿宋"/>
          <w:color w:val="auto"/>
          <w:kern w:val="1"/>
          <w:sz w:val="28"/>
          <w:szCs w:val="28"/>
          <w:highlight w:val="none"/>
        </w:rPr>
        <w:t>工程进度款。</w:t>
      </w:r>
      <w:bookmarkStart w:id="3" w:name="_Hlk195692052"/>
      <w:r>
        <w:rPr>
          <w:rFonts w:ascii="华文仿宋" w:hAnsi="华文仿宋" w:eastAsia="华文仿宋" w:cs="仿宋"/>
          <w:color w:val="auto"/>
          <w:kern w:val="1"/>
          <w:sz w:val="28"/>
          <w:szCs w:val="28"/>
          <w:highlight w:val="none"/>
        </w:rPr>
        <w:t>在承包人按专用条款第25.1条要求上报工程量报告及相关计量依据文件、经监理及发包人审核确认后15个工作日内</w:t>
      </w:r>
      <w:r>
        <w:rPr>
          <w:rFonts w:hint="eastAsia" w:ascii="华文仿宋" w:hAnsi="华文仿宋" w:eastAsia="华文仿宋" w:cs="仿宋"/>
          <w:color w:val="auto"/>
          <w:kern w:val="1"/>
          <w:sz w:val="28"/>
          <w:szCs w:val="28"/>
          <w:highlight w:val="none"/>
        </w:rPr>
        <w:t>，</w:t>
      </w:r>
      <w:r>
        <w:rPr>
          <w:rFonts w:ascii="华文仿宋" w:hAnsi="华文仿宋" w:eastAsia="华文仿宋" w:cs="仿宋"/>
          <w:color w:val="auto"/>
          <w:kern w:val="1"/>
          <w:sz w:val="28"/>
          <w:szCs w:val="28"/>
          <w:highlight w:val="none"/>
        </w:rPr>
        <w:t>发包人付至该</w:t>
      </w:r>
      <w:r>
        <w:rPr>
          <w:rFonts w:hint="eastAsia" w:ascii="华文仿宋" w:hAnsi="华文仿宋" w:eastAsia="华文仿宋" w:cs="仿宋"/>
          <w:color w:val="auto"/>
          <w:kern w:val="1"/>
          <w:sz w:val="28"/>
          <w:szCs w:val="28"/>
          <w:highlight w:val="none"/>
        </w:rPr>
        <w:t>期</w:t>
      </w:r>
      <w:r>
        <w:rPr>
          <w:rFonts w:ascii="华文仿宋" w:hAnsi="华文仿宋" w:eastAsia="华文仿宋" w:cs="仿宋"/>
          <w:color w:val="auto"/>
          <w:kern w:val="1"/>
          <w:sz w:val="28"/>
          <w:szCs w:val="28"/>
          <w:highlight w:val="none"/>
        </w:rPr>
        <w:t>实际完</w:t>
      </w:r>
      <w:r>
        <w:rPr>
          <w:rFonts w:hint="eastAsia" w:ascii="华文仿宋" w:hAnsi="华文仿宋" w:eastAsia="华文仿宋" w:cs="仿宋"/>
          <w:color w:val="auto"/>
          <w:kern w:val="1"/>
          <w:sz w:val="28"/>
          <w:szCs w:val="28"/>
          <w:highlight w:val="none"/>
        </w:rPr>
        <w:t>成合格</w:t>
      </w:r>
      <w:r>
        <w:rPr>
          <w:rFonts w:ascii="华文仿宋" w:hAnsi="华文仿宋" w:eastAsia="华文仿宋" w:cs="仿宋"/>
          <w:color w:val="auto"/>
          <w:kern w:val="1"/>
          <w:sz w:val="28"/>
          <w:szCs w:val="28"/>
          <w:highlight w:val="none"/>
        </w:rPr>
        <w:t>工程量的</w:t>
      </w:r>
      <w:r>
        <w:rPr>
          <w:rFonts w:hint="eastAsia" w:ascii="华文仿宋" w:hAnsi="华文仿宋" w:eastAsia="华文仿宋" w:cs="仿宋"/>
          <w:color w:val="auto"/>
          <w:kern w:val="1"/>
          <w:sz w:val="28"/>
          <w:szCs w:val="28"/>
          <w:highlight w:val="none"/>
        </w:rPr>
        <w:t>80</w:t>
      </w:r>
      <w:r>
        <w:rPr>
          <w:rFonts w:ascii="华文仿宋" w:hAnsi="华文仿宋" w:eastAsia="华文仿宋" w:cs="仿宋"/>
          <w:color w:val="auto"/>
          <w:kern w:val="1"/>
          <w:sz w:val="28"/>
          <w:szCs w:val="28"/>
          <w:highlight w:val="none"/>
        </w:rPr>
        <w:t>%。</w:t>
      </w:r>
    </w:p>
    <w:bookmarkEnd w:id="3"/>
    <w:p w14:paraId="40F9946B">
      <w:pPr>
        <w:tabs>
          <w:tab w:val="left" w:pos="0"/>
          <w:tab w:val="left" w:pos="2760"/>
          <w:tab w:val="left" w:pos="4440"/>
          <w:tab w:val="left" w:pos="5520"/>
          <w:tab w:val="left" w:pos="6840"/>
        </w:tabs>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因承包人计量依据资料不齐备原因造成的计量支付延迟，相应损失及责任由承包人自担,且承包人不得以此为由公开或变相拖延工程进度，否则，承包人</w:t>
      </w:r>
      <w:r>
        <w:rPr>
          <w:rFonts w:ascii="华文仿宋" w:hAnsi="华文仿宋" w:eastAsia="华文仿宋" w:cs="仿宋"/>
          <w:bCs/>
          <w:color w:val="auto"/>
          <w:kern w:val="1"/>
          <w:sz w:val="28"/>
          <w:szCs w:val="28"/>
          <w:highlight w:val="none"/>
        </w:rPr>
        <w:t>须</w:t>
      </w:r>
      <w:r>
        <w:rPr>
          <w:rFonts w:ascii="华文仿宋" w:hAnsi="华文仿宋" w:eastAsia="华文仿宋" w:cs="仿宋"/>
          <w:color w:val="auto"/>
          <w:kern w:val="1"/>
          <w:sz w:val="28"/>
          <w:szCs w:val="28"/>
          <w:highlight w:val="none"/>
        </w:rPr>
        <w:t>按专用条款第35条承担</w:t>
      </w:r>
      <w:r>
        <w:rPr>
          <w:rFonts w:ascii="华文仿宋" w:hAnsi="华文仿宋" w:eastAsia="华文仿宋" w:cs="仿宋"/>
          <w:bCs/>
          <w:color w:val="auto"/>
          <w:kern w:val="1"/>
          <w:sz w:val="28"/>
          <w:szCs w:val="28"/>
          <w:highlight w:val="none"/>
        </w:rPr>
        <w:t>违约责任</w:t>
      </w:r>
      <w:r>
        <w:rPr>
          <w:rFonts w:ascii="华文仿宋" w:hAnsi="华文仿宋" w:eastAsia="华文仿宋" w:cs="仿宋"/>
          <w:color w:val="auto"/>
          <w:kern w:val="1"/>
          <w:sz w:val="28"/>
          <w:szCs w:val="28"/>
          <w:highlight w:val="none"/>
        </w:rPr>
        <w:t>。</w:t>
      </w:r>
    </w:p>
    <w:p w14:paraId="41BFAB0E">
      <w:pPr>
        <w:pStyle w:val="14"/>
        <w:spacing w:after="0" w:line="360" w:lineRule="auto"/>
        <w:ind w:firstLine="560"/>
        <w:rPr>
          <w:rFonts w:ascii="华文仿宋" w:hAnsi="华文仿宋" w:eastAsia="华文仿宋" w:cs="仿宋"/>
          <w:color w:val="auto"/>
          <w:sz w:val="28"/>
          <w:szCs w:val="28"/>
          <w:highlight w:val="none"/>
        </w:rPr>
      </w:pPr>
      <w:bookmarkStart w:id="4" w:name="_Hlk195692223"/>
      <w:r>
        <w:rPr>
          <w:rFonts w:hint="eastAsia" w:ascii="华文仿宋" w:hAnsi="华文仿宋" w:eastAsia="华文仿宋" w:cs="仿宋"/>
          <w:color w:val="auto"/>
          <w:sz w:val="28"/>
          <w:szCs w:val="28"/>
          <w:highlight w:val="none"/>
        </w:rPr>
        <w:t>承包人应严格遵守《关于印发广州市建设领域工人工资支付分账管理实施细则》（穗建规字〔2020〕37号）的规定，建设领域工人工资按月及时足额支付至工人工资账户中，工程进度款中的工人工资款比例以人工费金额除以中标金额计算为</w:t>
      </w:r>
      <w:r>
        <w:rPr>
          <w:rFonts w:hint="eastAsia" w:ascii="华文仿宋" w:hAnsi="华文仿宋" w:eastAsia="华文仿宋" w:cs="仿宋"/>
          <w:color w:val="auto"/>
          <w:sz w:val="28"/>
          <w:szCs w:val="28"/>
          <w:highlight w:val="none"/>
          <w:u w:val="single"/>
        </w:rPr>
        <w:t xml:space="preserve">      </w:t>
      </w:r>
      <w:r>
        <w:rPr>
          <w:rFonts w:hint="eastAsia" w:ascii="华文仿宋" w:hAnsi="华文仿宋" w:eastAsia="华文仿宋" w:cs="仿宋"/>
          <w:color w:val="auto"/>
          <w:sz w:val="28"/>
          <w:szCs w:val="28"/>
          <w:highlight w:val="none"/>
        </w:rPr>
        <w:t>%，不因发包人任何款项的支付节奏与工资支付节奏不一致或任何原因而延误支付。否则，由此引起的一切纠纷及责任由承包人承担、赔偿发包人损失并承担违约责任。</w:t>
      </w:r>
    </w:p>
    <w:bookmarkEnd w:id="4"/>
    <w:p w14:paraId="71121E49">
      <w:pPr>
        <w:spacing w:line="360" w:lineRule="auto"/>
        <w:ind w:firstLine="560"/>
        <w:rPr>
          <w:rFonts w:ascii="华文仿宋" w:hAnsi="华文仿宋" w:eastAsia="华文仿宋" w:cs="仿宋"/>
          <w:bCs/>
          <w:color w:val="auto"/>
          <w:kern w:val="1"/>
          <w:sz w:val="28"/>
          <w:szCs w:val="28"/>
          <w:highlight w:val="none"/>
        </w:rPr>
      </w:pPr>
      <w:r>
        <w:rPr>
          <w:rFonts w:ascii="华文仿宋" w:hAnsi="华文仿宋" w:eastAsia="华文仿宋" w:cs="仿宋"/>
          <w:color w:val="auto"/>
          <w:kern w:val="1"/>
          <w:sz w:val="28"/>
          <w:szCs w:val="28"/>
          <w:highlight w:val="none"/>
        </w:rPr>
        <w:t>26.1.2</w:t>
      </w:r>
      <w:r>
        <w:rPr>
          <w:rFonts w:hint="eastAsia" w:ascii="华文仿宋" w:hAnsi="华文仿宋" w:eastAsia="华文仿宋" w:cs="仿宋"/>
          <w:color w:val="auto"/>
          <w:kern w:val="1"/>
          <w:sz w:val="28"/>
          <w:szCs w:val="28"/>
          <w:highlight w:val="none"/>
        </w:rPr>
        <w:t>绿色施工安全防护措施费</w:t>
      </w:r>
      <w:r>
        <w:rPr>
          <w:rFonts w:ascii="华文仿宋" w:hAnsi="华文仿宋" w:eastAsia="华文仿宋" w:cs="仿宋"/>
          <w:color w:val="auto"/>
          <w:kern w:val="1"/>
          <w:sz w:val="28"/>
          <w:szCs w:val="28"/>
          <w:highlight w:val="none"/>
        </w:rPr>
        <w:t>（￥</w:t>
      </w:r>
      <w:r>
        <w:rPr>
          <w:rFonts w:ascii="华文仿宋" w:hAnsi="华文仿宋" w:eastAsia="华文仿宋" w:cs="仿宋"/>
          <w:color w:val="auto"/>
          <w:kern w:val="1"/>
          <w:sz w:val="28"/>
          <w:szCs w:val="28"/>
          <w:highlight w:val="none"/>
          <w:u w:val="single"/>
        </w:rPr>
        <w:t xml:space="preserve"> </w:t>
      </w:r>
      <w:r>
        <w:rPr>
          <w:rFonts w:hint="eastAsia" w:ascii="华文仿宋" w:hAnsi="华文仿宋" w:eastAsia="华文仿宋" w:cs="仿宋"/>
          <w:color w:val="auto"/>
          <w:kern w:val="1"/>
          <w:sz w:val="28"/>
          <w:szCs w:val="28"/>
          <w:highlight w:val="none"/>
          <w:u w:val="single"/>
        </w:rPr>
        <w:t xml:space="preserve">   </w:t>
      </w:r>
      <w:r>
        <w:rPr>
          <w:rFonts w:ascii="华文仿宋" w:hAnsi="华文仿宋" w:eastAsia="华文仿宋" w:cs="仿宋"/>
          <w:color w:val="auto"/>
          <w:kern w:val="1"/>
          <w:sz w:val="28"/>
          <w:szCs w:val="28"/>
          <w:highlight w:val="none"/>
          <w:u w:val="single"/>
        </w:rPr>
        <w:t xml:space="preserve"> </w:t>
      </w:r>
      <w:r>
        <w:rPr>
          <w:rFonts w:ascii="华文仿宋" w:hAnsi="华文仿宋" w:eastAsia="华文仿宋" w:cs="仿宋"/>
          <w:color w:val="auto"/>
          <w:kern w:val="1"/>
          <w:sz w:val="28"/>
          <w:szCs w:val="28"/>
          <w:highlight w:val="none"/>
        </w:rPr>
        <w:t>元）单独支付。</w:t>
      </w:r>
      <w:r>
        <w:rPr>
          <w:rFonts w:hint="eastAsia" w:ascii="华文仿宋" w:hAnsi="华文仿宋" w:eastAsia="华文仿宋" w:cs="仿宋"/>
          <w:color w:val="auto"/>
          <w:kern w:val="1"/>
          <w:sz w:val="28"/>
          <w:szCs w:val="28"/>
          <w:highlight w:val="none"/>
        </w:rPr>
        <w:t>绿色施工安全防护措施费《广州市建筑工程安全生产措施费管理办法》及《广东省住房和城乡建设厅关于建筑工程绿色施工的管理办法（暂行）》（粤建质〔2016〕242号文）（如有新版本颁布，则按最新版本执行）的规定专款专用。</w:t>
      </w:r>
      <w:r>
        <w:rPr>
          <w:rFonts w:ascii="华文仿宋" w:hAnsi="华文仿宋" w:eastAsia="华文仿宋" w:cs="仿宋"/>
          <w:bCs/>
          <w:color w:val="auto"/>
          <w:kern w:val="1"/>
          <w:sz w:val="28"/>
          <w:szCs w:val="28"/>
          <w:highlight w:val="none"/>
        </w:rPr>
        <w:t>具体支付方法如下：</w:t>
      </w:r>
    </w:p>
    <w:tbl>
      <w:tblPr>
        <w:tblStyle w:val="37"/>
        <w:tblW w:w="8648" w:type="dxa"/>
        <w:jc w:val="center"/>
        <w:tblLayout w:type="fixed"/>
        <w:tblCellMar>
          <w:top w:w="0" w:type="dxa"/>
          <w:left w:w="108" w:type="dxa"/>
          <w:bottom w:w="0" w:type="dxa"/>
          <w:right w:w="108" w:type="dxa"/>
        </w:tblCellMar>
      </w:tblPr>
      <w:tblGrid>
        <w:gridCol w:w="3261"/>
        <w:gridCol w:w="2326"/>
        <w:gridCol w:w="1529"/>
        <w:gridCol w:w="1532"/>
      </w:tblGrid>
      <w:tr w14:paraId="598C092E">
        <w:tblPrEx>
          <w:tblCellMar>
            <w:top w:w="0" w:type="dxa"/>
            <w:left w:w="108" w:type="dxa"/>
            <w:bottom w:w="0" w:type="dxa"/>
            <w:right w:w="108" w:type="dxa"/>
          </w:tblCellMar>
        </w:tblPrEx>
        <w:trPr>
          <w:jc w:val="center"/>
        </w:trPr>
        <w:tc>
          <w:tcPr>
            <w:tcW w:w="3261" w:type="dxa"/>
            <w:tcBorders>
              <w:top w:val="single" w:color="000000" w:sz="4" w:space="0"/>
              <w:left w:val="single" w:color="000000" w:sz="4" w:space="0"/>
              <w:bottom w:val="single" w:color="000000" w:sz="4" w:space="0"/>
              <w:right w:val="single" w:color="000000" w:sz="4" w:space="0"/>
            </w:tcBorders>
          </w:tcPr>
          <w:p w14:paraId="5F20CD6E">
            <w:pPr>
              <w:pStyle w:val="14"/>
              <w:spacing w:after="0" w:line="360" w:lineRule="auto"/>
              <w:jc w:val="center"/>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支付条件</w:t>
            </w:r>
          </w:p>
        </w:tc>
        <w:tc>
          <w:tcPr>
            <w:tcW w:w="2326" w:type="dxa"/>
            <w:tcBorders>
              <w:top w:val="single" w:color="000000" w:sz="4" w:space="0"/>
              <w:left w:val="single" w:color="000000" w:sz="4" w:space="0"/>
              <w:bottom w:val="single" w:color="000000" w:sz="4" w:space="0"/>
              <w:right w:val="single" w:color="000000" w:sz="4" w:space="0"/>
            </w:tcBorders>
          </w:tcPr>
          <w:p w14:paraId="0875D8FE">
            <w:pPr>
              <w:pStyle w:val="14"/>
              <w:spacing w:after="0" w:line="360" w:lineRule="auto"/>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支付金额（元）</w:t>
            </w:r>
          </w:p>
        </w:tc>
        <w:tc>
          <w:tcPr>
            <w:tcW w:w="1529" w:type="dxa"/>
            <w:tcBorders>
              <w:top w:val="single" w:color="000000" w:sz="4" w:space="0"/>
              <w:left w:val="single" w:color="000000" w:sz="4" w:space="0"/>
              <w:bottom w:val="single" w:color="000000" w:sz="4" w:space="0"/>
              <w:right w:val="single" w:color="000000" w:sz="4" w:space="0"/>
            </w:tcBorders>
          </w:tcPr>
          <w:p w14:paraId="2C124E8F">
            <w:pPr>
              <w:pStyle w:val="14"/>
              <w:spacing w:after="0" w:line="360" w:lineRule="auto"/>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支付比例</w:t>
            </w:r>
          </w:p>
        </w:tc>
        <w:tc>
          <w:tcPr>
            <w:tcW w:w="1532" w:type="dxa"/>
            <w:tcBorders>
              <w:top w:val="single" w:color="000000" w:sz="4" w:space="0"/>
              <w:left w:val="single" w:color="000000" w:sz="4" w:space="0"/>
              <w:bottom w:val="single" w:color="000000" w:sz="4" w:space="0"/>
              <w:right w:val="single" w:color="000000" w:sz="4" w:space="0"/>
            </w:tcBorders>
          </w:tcPr>
          <w:p w14:paraId="555C85F6">
            <w:pPr>
              <w:pStyle w:val="14"/>
              <w:spacing w:after="0" w:line="360" w:lineRule="auto"/>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累计支付比例</w:t>
            </w:r>
          </w:p>
        </w:tc>
      </w:tr>
      <w:tr w14:paraId="2CCAB3A3">
        <w:tblPrEx>
          <w:tblCellMar>
            <w:top w:w="0" w:type="dxa"/>
            <w:left w:w="108" w:type="dxa"/>
            <w:bottom w:w="0" w:type="dxa"/>
            <w:right w:w="108" w:type="dxa"/>
          </w:tblCellMar>
        </w:tblPrEx>
        <w:trPr>
          <w:jc w:val="center"/>
        </w:trPr>
        <w:tc>
          <w:tcPr>
            <w:tcW w:w="3261" w:type="dxa"/>
            <w:tcBorders>
              <w:top w:val="single" w:color="000000" w:sz="4" w:space="0"/>
              <w:left w:val="single" w:color="000000" w:sz="4" w:space="0"/>
              <w:bottom w:val="single" w:color="000000" w:sz="4" w:space="0"/>
              <w:right w:val="single" w:color="000000" w:sz="4" w:space="0"/>
            </w:tcBorders>
          </w:tcPr>
          <w:p w14:paraId="6C49093E">
            <w:pPr>
              <w:pStyle w:val="14"/>
              <w:spacing w:after="0" w:line="360" w:lineRule="auto"/>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经审查符合开工条件后</w:t>
            </w:r>
          </w:p>
        </w:tc>
        <w:tc>
          <w:tcPr>
            <w:tcW w:w="2326" w:type="dxa"/>
            <w:tcBorders>
              <w:top w:val="single" w:color="000000" w:sz="4" w:space="0"/>
              <w:left w:val="single" w:color="000000" w:sz="4" w:space="0"/>
              <w:bottom w:val="single" w:color="000000" w:sz="4" w:space="0"/>
              <w:right w:val="single" w:color="000000" w:sz="4" w:space="0"/>
            </w:tcBorders>
            <w:vAlign w:val="center"/>
          </w:tcPr>
          <w:p w14:paraId="48F48011">
            <w:pPr>
              <w:pStyle w:val="14"/>
              <w:spacing w:after="0" w:line="360" w:lineRule="auto"/>
              <w:rPr>
                <w:rFonts w:ascii="华文仿宋" w:hAnsi="华文仿宋" w:eastAsia="华文仿宋" w:cs="仿宋"/>
                <w:color w:val="auto"/>
                <w:sz w:val="28"/>
                <w:szCs w:val="28"/>
                <w:highlight w:val="none"/>
              </w:rPr>
            </w:pPr>
          </w:p>
        </w:tc>
        <w:tc>
          <w:tcPr>
            <w:tcW w:w="1529" w:type="dxa"/>
            <w:tcBorders>
              <w:top w:val="single" w:color="000000" w:sz="4" w:space="0"/>
              <w:left w:val="single" w:color="000000" w:sz="4" w:space="0"/>
              <w:bottom w:val="single" w:color="000000" w:sz="4" w:space="0"/>
              <w:right w:val="single" w:color="000000" w:sz="4" w:space="0"/>
            </w:tcBorders>
            <w:vAlign w:val="center"/>
          </w:tcPr>
          <w:p w14:paraId="66E1DF6B">
            <w:pPr>
              <w:pStyle w:val="14"/>
              <w:spacing w:after="0" w:line="360" w:lineRule="auto"/>
              <w:jc w:val="center"/>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60％</w:t>
            </w:r>
          </w:p>
        </w:tc>
        <w:tc>
          <w:tcPr>
            <w:tcW w:w="1532" w:type="dxa"/>
            <w:tcBorders>
              <w:top w:val="single" w:color="000000" w:sz="4" w:space="0"/>
              <w:left w:val="single" w:color="000000" w:sz="4" w:space="0"/>
              <w:bottom w:val="single" w:color="000000" w:sz="4" w:space="0"/>
              <w:right w:val="single" w:color="000000" w:sz="4" w:space="0"/>
            </w:tcBorders>
            <w:vAlign w:val="center"/>
          </w:tcPr>
          <w:p w14:paraId="02450482">
            <w:pPr>
              <w:pStyle w:val="14"/>
              <w:spacing w:after="0" w:line="360" w:lineRule="auto"/>
              <w:jc w:val="center"/>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60％</w:t>
            </w:r>
          </w:p>
        </w:tc>
      </w:tr>
      <w:tr w14:paraId="2A20D8AF">
        <w:tblPrEx>
          <w:tblCellMar>
            <w:top w:w="0" w:type="dxa"/>
            <w:left w:w="108" w:type="dxa"/>
            <w:bottom w:w="0" w:type="dxa"/>
            <w:right w:w="108" w:type="dxa"/>
          </w:tblCellMar>
        </w:tblPrEx>
        <w:trPr>
          <w:jc w:val="center"/>
        </w:trPr>
        <w:tc>
          <w:tcPr>
            <w:tcW w:w="3261" w:type="dxa"/>
            <w:tcBorders>
              <w:top w:val="single" w:color="000000" w:sz="4" w:space="0"/>
              <w:left w:val="single" w:color="000000" w:sz="4" w:space="0"/>
              <w:bottom w:val="single" w:color="000000" w:sz="4" w:space="0"/>
              <w:right w:val="single" w:color="000000" w:sz="4" w:space="0"/>
            </w:tcBorders>
          </w:tcPr>
          <w:p w14:paraId="775A47D6">
            <w:pPr>
              <w:pStyle w:val="14"/>
              <w:spacing w:after="0" w:line="360" w:lineRule="auto"/>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实际累计完成工程量至合同工程量的6</w:t>
            </w:r>
            <w:r>
              <w:rPr>
                <w:rFonts w:ascii="华文仿宋" w:hAnsi="华文仿宋" w:eastAsia="华文仿宋" w:cs="仿宋"/>
                <w:color w:val="auto"/>
                <w:sz w:val="28"/>
                <w:szCs w:val="28"/>
                <w:highlight w:val="none"/>
              </w:rPr>
              <w:t>0 %且中间安全评价合格后</w:t>
            </w:r>
          </w:p>
        </w:tc>
        <w:tc>
          <w:tcPr>
            <w:tcW w:w="2326" w:type="dxa"/>
            <w:tcBorders>
              <w:top w:val="single" w:color="000000" w:sz="4" w:space="0"/>
              <w:left w:val="single" w:color="000000" w:sz="4" w:space="0"/>
              <w:bottom w:val="single" w:color="000000" w:sz="4" w:space="0"/>
              <w:right w:val="single" w:color="000000" w:sz="4" w:space="0"/>
            </w:tcBorders>
            <w:vAlign w:val="center"/>
          </w:tcPr>
          <w:p w14:paraId="5D82C27E">
            <w:pPr>
              <w:pStyle w:val="14"/>
              <w:spacing w:after="0" w:line="360" w:lineRule="auto"/>
              <w:rPr>
                <w:rFonts w:ascii="华文仿宋" w:hAnsi="华文仿宋" w:eastAsia="华文仿宋" w:cs="仿宋"/>
                <w:color w:val="auto"/>
                <w:sz w:val="28"/>
                <w:szCs w:val="28"/>
                <w:highlight w:val="none"/>
              </w:rPr>
            </w:pPr>
          </w:p>
        </w:tc>
        <w:tc>
          <w:tcPr>
            <w:tcW w:w="1529" w:type="dxa"/>
            <w:tcBorders>
              <w:top w:val="single" w:color="000000" w:sz="4" w:space="0"/>
              <w:left w:val="single" w:color="000000" w:sz="4" w:space="0"/>
              <w:bottom w:val="single" w:color="000000" w:sz="4" w:space="0"/>
              <w:right w:val="single" w:color="000000" w:sz="4" w:space="0"/>
            </w:tcBorders>
            <w:vAlign w:val="center"/>
          </w:tcPr>
          <w:p w14:paraId="7C6C4F62">
            <w:pPr>
              <w:pStyle w:val="14"/>
              <w:spacing w:after="0" w:line="360" w:lineRule="auto"/>
              <w:jc w:val="center"/>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30％</w:t>
            </w:r>
          </w:p>
        </w:tc>
        <w:tc>
          <w:tcPr>
            <w:tcW w:w="1532" w:type="dxa"/>
            <w:tcBorders>
              <w:top w:val="single" w:color="000000" w:sz="4" w:space="0"/>
              <w:left w:val="single" w:color="000000" w:sz="4" w:space="0"/>
              <w:bottom w:val="single" w:color="000000" w:sz="4" w:space="0"/>
              <w:right w:val="single" w:color="000000" w:sz="4" w:space="0"/>
            </w:tcBorders>
            <w:vAlign w:val="center"/>
          </w:tcPr>
          <w:p w14:paraId="622E6D38">
            <w:pPr>
              <w:pStyle w:val="14"/>
              <w:spacing w:after="0" w:line="360" w:lineRule="auto"/>
              <w:jc w:val="center"/>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90％</w:t>
            </w:r>
          </w:p>
        </w:tc>
      </w:tr>
      <w:tr w14:paraId="54B8E9A5">
        <w:tblPrEx>
          <w:tblCellMar>
            <w:top w:w="0" w:type="dxa"/>
            <w:left w:w="108" w:type="dxa"/>
            <w:bottom w:w="0" w:type="dxa"/>
            <w:right w:w="108" w:type="dxa"/>
          </w:tblCellMar>
        </w:tblPrEx>
        <w:trPr>
          <w:jc w:val="center"/>
        </w:trPr>
        <w:tc>
          <w:tcPr>
            <w:tcW w:w="3261" w:type="dxa"/>
            <w:tcBorders>
              <w:top w:val="single" w:color="000000" w:sz="4" w:space="0"/>
              <w:left w:val="single" w:color="000000" w:sz="4" w:space="0"/>
              <w:bottom w:val="single" w:color="000000" w:sz="4" w:space="0"/>
              <w:right w:val="single" w:color="000000" w:sz="4" w:space="0"/>
            </w:tcBorders>
          </w:tcPr>
          <w:p w14:paraId="49257529">
            <w:pPr>
              <w:pStyle w:val="14"/>
              <w:spacing w:after="0" w:line="360" w:lineRule="auto"/>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竣工安全评价合格后</w:t>
            </w:r>
          </w:p>
        </w:tc>
        <w:tc>
          <w:tcPr>
            <w:tcW w:w="2326" w:type="dxa"/>
            <w:tcBorders>
              <w:top w:val="single" w:color="000000" w:sz="4" w:space="0"/>
              <w:left w:val="single" w:color="000000" w:sz="4" w:space="0"/>
              <w:bottom w:val="single" w:color="000000" w:sz="4" w:space="0"/>
              <w:right w:val="single" w:color="000000" w:sz="4" w:space="0"/>
            </w:tcBorders>
            <w:vAlign w:val="center"/>
          </w:tcPr>
          <w:p w14:paraId="3D0C7997">
            <w:pPr>
              <w:pStyle w:val="14"/>
              <w:spacing w:after="0" w:line="360" w:lineRule="auto"/>
              <w:rPr>
                <w:rFonts w:ascii="华文仿宋" w:hAnsi="华文仿宋" w:eastAsia="华文仿宋" w:cs="仿宋"/>
                <w:color w:val="auto"/>
                <w:sz w:val="28"/>
                <w:szCs w:val="28"/>
                <w:highlight w:val="none"/>
              </w:rPr>
            </w:pPr>
          </w:p>
        </w:tc>
        <w:tc>
          <w:tcPr>
            <w:tcW w:w="1529" w:type="dxa"/>
            <w:tcBorders>
              <w:top w:val="single" w:color="000000" w:sz="4" w:space="0"/>
              <w:left w:val="single" w:color="000000" w:sz="4" w:space="0"/>
              <w:bottom w:val="single" w:color="000000" w:sz="4" w:space="0"/>
              <w:right w:val="single" w:color="000000" w:sz="4" w:space="0"/>
            </w:tcBorders>
            <w:vAlign w:val="center"/>
          </w:tcPr>
          <w:p w14:paraId="22A16B93">
            <w:pPr>
              <w:pStyle w:val="14"/>
              <w:spacing w:after="0" w:line="360" w:lineRule="auto"/>
              <w:jc w:val="center"/>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10％</w:t>
            </w:r>
          </w:p>
        </w:tc>
        <w:tc>
          <w:tcPr>
            <w:tcW w:w="1532" w:type="dxa"/>
            <w:tcBorders>
              <w:top w:val="single" w:color="000000" w:sz="4" w:space="0"/>
              <w:left w:val="single" w:color="000000" w:sz="4" w:space="0"/>
              <w:bottom w:val="single" w:color="000000" w:sz="4" w:space="0"/>
              <w:right w:val="single" w:color="000000" w:sz="4" w:space="0"/>
            </w:tcBorders>
            <w:vAlign w:val="center"/>
          </w:tcPr>
          <w:p w14:paraId="25A8B873">
            <w:pPr>
              <w:pStyle w:val="14"/>
              <w:spacing w:after="0" w:line="360" w:lineRule="auto"/>
              <w:jc w:val="center"/>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100％</w:t>
            </w:r>
          </w:p>
        </w:tc>
      </w:tr>
    </w:tbl>
    <w:p w14:paraId="54E83EEC">
      <w:pPr>
        <w:pStyle w:val="14"/>
        <w:spacing w:after="0" w:line="360" w:lineRule="auto"/>
        <w:ind w:firstLine="560"/>
        <w:rPr>
          <w:rFonts w:ascii="华文仿宋" w:hAnsi="华文仿宋" w:eastAsia="华文仿宋" w:cs="仿宋"/>
          <w:color w:val="auto"/>
          <w:sz w:val="28"/>
          <w:szCs w:val="28"/>
          <w:highlight w:val="none"/>
          <w:u w:val="single"/>
        </w:rPr>
      </w:pPr>
      <w:r>
        <w:rPr>
          <w:rFonts w:ascii="华文仿宋" w:hAnsi="华文仿宋" w:eastAsia="华文仿宋" w:cs="仿宋"/>
          <w:color w:val="auto"/>
          <w:sz w:val="28"/>
          <w:szCs w:val="28"/>
          <w:highlight w:val="none"/>
          <w:u w:val="single"/>
        </w:rPr>
        <w:t>以上支付条件须由监理、发包人</w:t>
      </w:r>
      <w:r>
        <w:rPr>
          <w:rFonts w:hint="eastAsia" w:ascii="华文仿宋" w:hAnsi="华文仿宋" w:eastAsia="华文仿宋" w:cs="仿宋"/>
          <w:color w:val="auto"/>
          <w:sz w:val="28"/>
          <w:szCs w:val="28"/>
          <w:highlight w:val="none"/>
          <w:u w:val="single"/>
        </w:rPr>
        <w:t>等相关单位</w:t>
      </w:r>
      <w:r>
        <w:rPr>
          <w:rFonts w:ascii="华文仿宋" w:hAnsi="华文仿宋" w:eastAsia="华文仿宋" w:cs="仿宋"/>
          <w:color w:val="auto"/>
          <w:sz w:val="28"/>
          <w:szCs w:val="28"/>
          <w:highlight w:val="none"/>
          <w:u w:val="single"/>
        </w:rPr>
        <w:t>书面确认。</w:t>
      </w:r>
    </w:p>
    <w:p w14:paraId="6CC2D7B9">
      <w:pPr>
        <w:spacing w:line="360" w:lineRule="auto"/>
        <w:ind w:firstLine="560"/>
        <w:rPr>
          <w:rFonts w:ascii="华文仿宋" w:hAnsi="华文仿宋" w:eastAsia="华文仿宋" w:cs="仿宋"/>
          <w:strike/>
          <w:color w:val="auto"/>
          <w:kern w:val="1"/>
          <w:sz w:val="28"/>
          <w:szCs w:val="28"/>
          <w:highlight w:val="none"/>
        </w:rPr>
      </w:pPr>
      <w:r>
        <w:rPr>
          <w:rFonts w:ascii="华文仿宋" w:hAnsi="华文仿宋" w:eastAsia="华文仿宋" w:cs="仿宋"/>
          <w:color w:val="auto"/>
          <w:kern w:val="1"/>
          <w:sz w:val="28"/>
          <w:szCs w:val="28"/>
          <w:highlight w:val="none"/>
        </w:rPr>
        <w:t>26.1.</w:t>
      </w:r>
      <w:r>
        <w:rPr>
          <w:rFonts w:hint="eastAsia" w:ascii="华文仿宋" w:hAnsi="华文仿宋" w:eastAsia="华文仿宋" w:cs="仿宋"/>
          <w:color w:val="auto"/>
          <w:kern w:val="1"/>
          <w:sz w:val="28"/>
          <w:szCs w:val="28"/>
          <w:highlight w:val="none"/>
        </w:rPr>
        <w:t>3</w:t>
      </w:r>
      <w:r>
        <w:rPr>
          <w:rFonts w:ascii="华文仿宋" w:hAnsi="华文仿宋" w:eastAsia="华文仿宋" w:cs="仿宋"/>
          <w:color w:val="auto"/>
          <w:kern w:val="1"/>
          <w:sz w:val="28"/>
          <w:szCs w:val="28"/>
          <w:highlight w:val="none"/>
        </w:rPr>
        <w:t xml:space="preserve"> 措施项目进度款（</w:t>
      </w:r>
      <w:r>
        <w:rPr>
          <w:rFonts w:hint="eastAsia" w:ascii="华文仿宋" w:hAnsi="华文仿宋" w:eastAsia="华文仿宋" w:cs="仿宋"/>
          <w:color w:val="auto"/>
          <w:kern w:val="1"/>
          <w:sz w:val="28"/>
          <w:szCs w:val="28"/>
          <w:highlight w:val="none"/>
        </w:rPr>
        <w:t>绿色施工安全防护措施费</w:t>
      </w:r>
      <w:r>
        <w:rPr>
          <w:rFonts w:ascii="华文仿宋" w:hAnsi="华文仿宋" w:eastAsia="华文仿宋" w:cs="仿宋"/>
          <w:color w:val="auto"/>
          <w:kern w:val="1"/>
          <w:sz w:val="28"/>
          <w:szCs w:val="28"/>
          <w:highlight w:val="none"/>
        </w:rPr>
        <w:t>除外），按经监理及发包人审核确定的当期实际完成分部分项工程费占工程量清单中分部分项工程费总额累计比例，按8</w:t>
      </w:r>
      <w:r>
        <w:rPr>
          <w:rFonts w:hint="eastAsia" w:ascii="华文仿宋" w:hAnsi="华文仿宋" w:eastAsia="华文仿宋" w:cs="仿宋"/>
          <w:color w:val="auto"/>
          <w:kern w:val="1"/>
          <w:sz w:val="28"/>
          <w:szCs w:val="28"/>
          <w:highlight w:val="none"/>
        </w:rPr>
        <w:t>0</w:t>
      </w:r>
      <w:r>
        <w:rPr>
          <w:rFonts w:ascii="华文仿宋" w:hAnsi="华文仿宋" w:eastAsia="华文仿宋" w:cs="仿宋"/>
          <w:color w:val="auto"/>
          <w:kern w:val="1"/>
          <w:sz w:val="28"/>
          <w:szCs w:val="28"/>
          <w:highlight w:val="none"/>
        </w:rPr>
        <w:t>%支付</w:t>
      </w:r>
      <w:r>
        <w:rPr>
          <w:rFonts w:hint="eastAsia" w:ascii="华文仿宋" w:hAnsi="华文仿宋" w:eastAsia="华文仿宋" w:cs="仿宋"/>
          <w:color w:val="auto"/>
          <w:kern w:val="1"/>
          <w:sz w:val="28"/>
          <w:szCs w:val="28"/>
          <w:highlight w:val="none"/>
        </w:rPr>
        <w:t>。</w:t>
      </w:r>
    </w:p>
    <w:p w14:paraId="09DAB4F1">
      <w:pPr>
        <w:spacing w:line="360" w:lineRule="auto"/>
        <w:ind w:firstLine="560" w:firstLineChars="200"/>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26.1.4本项目无建筑信息模型BIM设计及安全管理平台应用费。</w:t>
      </w:r>
    </w:p>
    <w:p w14:paraId="265C4836">
      <w:pPr>
        <w:spacing w:line="360" w:lineRule="auto"/>
        <w:ind w:firstLine="560" w:firstLineChars="200"/>
        <w:rPr>
          <w:rFonts w:ascii="华文仿宋" w:hAnsi="华文仿宋" w:eastAsia="华文仿宋"/>
          <w:color w:val="auto"/>
          <w:sz w:val="28"/>
          <w:szCs w:val="28"/>
          <w:highlight w:val="none"/>
        </w:rPr>
      </w:pPr>
      <w:r>
        <w:rPr>
          <w:rFonts w:ascii="华文仿宋" w:hAnsi="华文仿宋" w:eastAsia="华文仿宋" w:cs="仿宋"/>
          <w:color w:val="auto"/>
          <w:kern w:val="1"/>
          <w:sz w:val="28"/>
          <w:szCs w:val="28"/>
          <w:highlight w:val="none"/>
        </w:rPr>
        <w:t>26.1.5</w:t>
      </w:r>
      <w:r>
        <w:rPr>
          <w:rFonts w:ascii="仿宋" w:hAnsi="仿宋" w:eastAsia="仿宋"/>
          <w:color w:val="auto"/>
          <w:sz w:val="28"/>
          <w:szCs w:val="28"/>
          <w:highlight w:val="none"/>
        </w:rPr>
        <w:t>总承包服务费（总包管理协调配合费）</w:t>
      </w:r>
      <w:r>
        <w:rPr>
          <w:rFonts w:hint="eastAsia" w:ascii="华文仿宋" w:hAnsi="华文仿宋" w:eastAsia="华文仿宋"/>
          <w:color w:val="auto"/>
          <w:sz w:val="28"/>
          <w:szCs w:val="28"/>
          <w:highlight w:val="none"/>
        </w:rPr>
        <w:t>：</w:t>
      </w:r>
      <w:r>
        <w:rPr>
          <w:rFonts w:ascii="华文仿宋" w:hAnsi="华文仿宋" w:eastAsia="华文仿宋"/>
          <w:color w:val="auto"/>
          <w:sz w:val="28"/>
          <w:szCs w:val="28"/>
          <w:highlight w:val="none"/>
        </w:rPr>
        <w:t xml:space="preserve"> </w:t>
      </w:r>
    </w:p>
    <w:p w14:paraId="3D4AFE1C">
      <w:pPr>
        <w:spacing w:line="360" w:lineRule="auto"/>
        <w:ind w:firstLine="560" w:firstLineChars="200"/>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 xml:space="preserve">发包人另行招标发包的专业分包单位，由专业分包单位向承包人支付总包配合费（永电、燃气、样板房单位除外），总包配合费不高于专业分包合同价的1.5%，除水电费外，承包人不得以任何形式向专业分包单位收取其它费用，总包配合内容包括但不限于： </w:t>
      </w:r>
    </w:p>
    <w:p w14:paraId="01033E62">
      <w:pPr>
        <w:spacing w:line="360" w:lineRule="auto"/>
        <w:ind w:firstLine="560" w:firstLineChars="200"/>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（1）在工程范围内提供临水、临电接驳电，水电费按表收费，除必要的水电耗损外，水电费价格应与自来水公司及供电局收取的水电费单价一致；</w:t>
      </w:r>
    </w:p>
    <w:p w14:paraId="747CF0A4">
      <w:pPr>
        <w:spacing w:line="360" w:lineRule="auto"/>
        <w:ind w:firstLine="560" w:firstLineChars="200"/>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（2）向分包单位提供塔吊、人货梯使用；</w:t>
      </w:r>
    </w:p>
    <w:p w14:paraId="7828C8E0">
      <w:pPr>
        <w:spacing w:line="360" w:lineRule="auto"/>
        <w:ind w:firstLine="560" w:firstLineChars="200"/>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（3）向分包单位提供临时道路、材料堆场、加工场、仓库等场地；</w:t>
      </w:r>
    </w:p>
    <w:p w14:paraId="4FAF2426">
      <w:pPr>
        <w:spacing w:line="360" w:lineRule="auto"/>
        <w:ind w:firstLine="560" w:firstLineChars="200"/>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（4）负责分包单位的安全、文明施工管理，指定垃圾堆放处，由总承包人统一外运；</w:t>
      </w:r>
    </w:p>
    <w:p w14:paraId="0D0A9981">
      <w:pPr>
        <w:spacing w:line="360" w:lineRule="auto"/>
        <w:ind w:firstLine="560" w:firstLineChars="200"/>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（5）负责分包单位的实名制信息及农民工工资分账账户办理及管理；</w:t>
      </w:r>
    </w:p>
    <w:p w14:paraId="6AAF9937">
      <w:pPr>
        <w:spacing w:line="360" w:lineRule="auto"/>
        <w:ind w:firstLine="560" w:firstLineChars="200"/>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（6）和分包单位签署总分包协议及安全管理协议；</w:t>
      </w:r>
    </w:p>
    <w:p w14:paraId="6D95CB63">
      <w:pPr>
        <w:spacing w:line="360" w:lineRule="auto"/>
        <w:ind w:firstLine="560" w:firstLineChars="200"/>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（7）其它总包应承担的配合责任。</w:t>
      </w:r>
    </w:p>
    <w:p w14:paraId="26A89133">
      <w:pPr>
        <w:spacing w:line="360" w:lineRule="auto"/>
        <w:ind w:firstLine="560" w:firstLineChars="200"/>
        <w:rPr>
          <w:rFonts w:ascii="华文仿宋" w:hAnsi="华文仿宋" w:eastAsia="华文仿宋" w:cs="仿宋"/>
          <w:color w:val="auto"/>
          <w:kern w:val="1"/>
          <w:sz w:val="28"/>
          <w:szCs w:val="28"/>
          <w:highlight w:val="none"/>
        </w:rPr>
      </w:pPr>
      <w:r>
        <w:rPr>
          <w:rFonts w:ascii="华文仿宋" w:hAnsi="华文仿宋" w:eastAsia="华文仿宋"/>
          <w:color w:val="auto"/>
          <w:sz w:val="28"/>
          <w:szCs w:val="28"/>
          <w:highlight w:val="none"/>
        </w:rPr>
        <w:t>26.1.6本项目工程</w:t>
      </w:r>
      <w:r>
        <w:rPr>
          <w:rFonts w:hint="eastAsia" w:ascii="华文仿宋" w:hAnsi="华文仿宋" w:eastAsia="华文仿宋"/>
          <w:color w:val="auto"/>
          <w:sz w:val="28"/>
          <w:szCs w:val="28"/>
          <w:highlight w:val="none"/>
        </w:rPr>
        <w:t>整体</w:t>
      </w:r>
      <w:r>
        <w:rPr>
          <w:rFonts w:ascii="华文仿宋" w:hAnsi="华文仿宋" w:eastAsia="华文仿宋"/>
          <w:color w:val="auto"/>
          <w:sz w:val="28"/>
          <w:szCs w:val="28"/>
          <w:highlight w:val="none"/>
        </w:rPr>
        <w:t>竣工验收合格</w:t>
      </w:r>
      <w:bookmarkStart w:id="5" w:name="_Hlk195692333"/>
      <w:r>
        <w:rPr>
          <w:rFonts w:ascii="华文仿宋" w:hAnsi="华文仿宋" w:eastAsia="华文仿宋"/>
          <w:color w:val="auto"/>
          <w:sz w:val="28"/>
          <w:szCs w:val="28"/>
          <w:highlight w:val="none"/>
        </w:rPr>
        <w:t>（</w:t>
      </w:r>
      <w:r>
        <w:rPr>
          <w:rFonts w:ascii="华文仿宋" w:hAnsi="华文仿宋" w:eastAsia="华文仿宋" w:cs="仿宋"/>
          <w:color w:val="auto"/>
          <w:kern w:val="1"/>
          <w:sz w:val="28"/>
          <w:szCs w:val="28"/>
          <w:highlight w:val="none"/>
        </w:rPr>
        <w:t>以通过</w:t>
      </w:r>
      <w:r>
        <w:rPr>
          <w:rFonts w:hint="eastAsia" w:ascii="华文仿宋" w:hAnsi="华文仿宋" w:eastAsia="华文仿宋" w:cs="仿宋"/>
          <w:color w:val="auto"/>
          <w:kern w:val="1"/>
          <w:sz w:val="28"/>
          <w:szCs w:val="28"/>
          <w:highlight w:val="none"/>
        </w:rPr>
        <w:t>各相关单位</w:t>
      </w:r>
      <w:r>
        <w:rPr>
          <w:rFonts w:ascii="华文仿宋" w:hAnsi="华文仿宋" w:eastAsia="华文仿宋" w:cs="仿宋"/>
          <w:color w:val="auto"/>
          <w:kern w:val="1"/>
          <w:sz w:val="28"/>
          <w:szCs w:val="28"/>
          <w:highlight w:val="none"/>
        </w:rPr>
        <w:t>验收</w:t>
      </w:r>
      <w:r>
        <w:rPr>
          <w:rFonts w:hint="eastAsia" w:ascii="华文仿宋" w:hAnsi="华文仿宋" w:eastAsia="华文仿宋"/>
          <w:color w:val="auto"/>
          <w:sz w:val="28"/>
          <w:szCs w:val="28"/>
          <w:highlight w:val="none"/>
        </w:rPr>
        <w:t>并取得</w:t>
      </w:r>
      <w:r>
        <w:rPr>
          <w:rFonts w:hint="eastAsia" w:ascii="华文仿宋" w:hAnsi="华文仿宋" w:eastAsia="华文仿宋" w:cs="仿宋"/>
          <w:color w:val="auto"/>
          <w:sz w:val="28"/>
          <w:szCs w:val="28"/>
          <w:highlight w:val="none"/>
        </w:rPr>
        <w:t>相关证明</w:t>
      </w:r>
      <w:r>
        <w:rPr>
          <w:rFonts w:ascii="华文仿宋" w:hAnsi="华文仿宋" w:eastAsia="华文仿宋"/>
          <w:color w:val="auto"/>
          <w:sz w:val="28"/>
          <w:szCs w:val="28"/>
          <w:highlight w:val="none"/>
        </w:rPr>
        <w:t>）</w:t>
      </w:r>
      <w:bookmarkEnd w:id="5"/>
      <w:r>
        <w:rPr>
          <w:rFonts w:ascii="华文仿宋" w:hAnsi="华文仿宋" w:eastAsia="华文仿宋"/>
          <w:color w:val="auto"/>
          <w:sz w:val="28"/>
          <w:szCs w:val="28"/>
          <w:highlight w:val="none"/>
        </w:rPr>
        <w:t>后30个日历天内，</w:t>
      </w:r>
      <w:r>
        <w:rPr>
          <w:rFonts w:hint="eastAsia" w:ascii="华文仿宋" w:hAnsi="华文仿宋" w:eastAsia="华文仿宋"/>
          <w:color w:val="auto"/>
          <w:sz w:val="28"/>
          <w:szCs w:val="28"/>
          <w:highlight w:val="none"/>
        </w:rPr>
        <w:t>发包人累计支付至</w:t>
      </w:r>
      <w:r>
        <w:rPr>
          <w:rFonts w:hint="eastAsia" w:ascii="华文仿宋" w:hAnsi="华文仿宋" w:eastAsia="华文仿宋" w:cs="仿宋"/>
          <w:color w:val="auto"/>
          <w:kern w:val="1"/>
          <w:sz w:val="28"/>
          <w:szCs w:val="28"/>
          <w:highlight w:val="none"/>
        </w:rPr>
        <w:t>经发包人审核确认的实际已完成合格工程量的</w:t>
      </w:r>
      <w:r>
        <w:rPr>
          <w:rFonts w:ascii="华文仿宋" w:hAnsi="华文仿宋" w:eastAsia="华文仿宋" w:cs="仿宋"/>
          <w:b/>
          <w:color w:val="auto"/>
          <w:kern w:val="1"/>
          <w:sz w:val="28"/>
          <w:szCs w:val="28"/>
          <w:highlight w:val="none"/>
          <w:u w:val="single"/>
        </w:rPr>
        <w:t>85%</w:t>
      </w:r>
      <w:r>
        <w:rPr>
          <w:rFonts w:hint="eastAsia" w:ascii="华文仿宋" w:hAnsi="华文仿宋" w:eastAsia="华文仿宋" w:cs="仿宋"/>
          <w:color w:val="auto"/>
          <w:kern w:val="1"/>
          <w:sz w:val="28"/>
          <w:szCs w:val="28"/>
          <w:highlight w:val="none"/>
        </w:rPr>
        <w:t>。</w:t>
      </w:r>
    </w:p>
    <w:p w14:paraId="2BD70B4C">
      <w:pPr>
        <w:spacing w:line="360" w:lineRule="auto"/>
        <w:ind w:firstLine="560" w:firstLineChars="20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自合同签订之日起，如发包人支付工程进度款累计金额达到经发包人审核确认的实际已完成合格工程量的85%时（原则上不超过本合同总金额与发包人审定的各类工程变更费用的85%），发包人将停止支付进度款。直至完成相应工程结算手续后再行办理后续相关款项支付。</w:t>
      </w:r>
    </w:p>
    <w:p w14:paraId="73D93E2B">
      <w:pPr>
        <w:spacing w:line="360" w:lineRule="auto"/>
        <w:ind w:firstLine="560" w:firstLineChars="200"/>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26.1.7本项目工程整体竣工验收合格（以通过各相关单位验收并取得《广州市房屋建筑工程竣工联合验收意见书》为准）并完成优化提升所有内容后，达到交付标准且交付给发包人后30个日历天内，承包人应将满足发包人要求的完整结算资料报监理单位审核；经监理单位审核后，承包人整理齐全结算资料连同经监理审核的工程结算报告和结算审核资料各一式三份同时上报发包人审核。工程结算经发包人审定确认后15个工作日内，且承包人提供至结算终审价100%的发票后，发包人支付至结算终审价的97%。如承包人以银行保函、担保保函、保证保险等形式向发包人提交工程质量保修金的，发包人应同时支付余下的3%尾款。[备注：结算终审价应为扣减应由承包人支付的各类款项和违约金后的最终结算金额。若由于承包人未及时提请结算审核或结算依据资料不齐备造成结算时间延迟，相应损失及责任由承包人自担。</w:t>
      </w:r>
    </w:p>
    <w:p w14:paraId="7032F679">
      <w:pPr>
        <w:spacing w:line="360" w:lineRule="auto"/>
        <w:ind w:firstLine="560" w:firstLineChars="200"/>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26.1.9结算终审价的3％是本项目的工程质量保修金，如在结算价款中扣留质量保证金的，在施工合同全部履行完成（完成竣工验收、实体移交、资料移交、结算审批、工程缺陷责任期（2年）满且承包人全部履行完成质量保修义务），承包人应将满足支付要求的申请资料报监理单位审核，并经监理单位审核后，发包人在15个工作日内无息结清余款。</w:t>
      </w:r>
      <w:bookmarkStart w:id="6" w:name="_Hlk195692592"/>
    </w:p>
    <w:bookmarkEnd w:id="6"/>
    <w:p w14:paraId="6E266DB9">
      <w:pPr>
        <w:pStyle w:val="85"/>
        <w:ind w:firstLine="576" w:firstLineChars="20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26.1.10</w:t>
      </w:r>
      <w:r>
        <w:rPr>
          <w:rFonts w:hint="eastAsia" w:ascii="华文仿宋" w:hAnsi="华文仿宋" w:eastAsia="华文仿宋"/>
          <w:color w:val="auto"/>
          <w:sz w:val="28"/>
          <w:szCs w:val="28"/>
          <w:highlight w:val="none"/>
        </w:rPr>
        <w:t>本合同不设置</w:t>
      </w:r>
      <w:bookmarkStart w:id="7" w:name="_Hlk78982853"/>
      <w:r>
        <w:rPr>
          <w:rFonts w:hint="eastAsia" w:ascii="华文仿宋" w:hAnsi="华文仿宋" w:eastAsia="华文仿宋"/>
          <w:color w:val="auto"/>
          <w:sz w:val="28"/>
          <w:szCs w:val="28"/>
          <w:highlight w:val="none"/>
        </w:rPr>
        <w:t>履约奖励金</w:t>
      </w:r>
      <w:bookmarkEnd w:id="7"/>
      <w:r>
        <w:rPr>
          <w:rFonts w:hint="eastAsia" w:ascii="华文仿宋" w:hAnsi="华文仿宋" w:eastAsia="华文仿宋"/>
          <w:color w:val="auto"/>
          <w:sz w:val="28"/>
          <w:szCs w:val="28"/>
          <w:highlight w:val="none"/>
        </w:rPr>
        <w:t>。</w:t>
      </w:r>
    </w:p>
    <w:p w14:paraId="534C5674">
      <w:pPr>
        <w:pStyle w:val="85"/>
        <w:ind w:firstLine="576" w:firstLineChars="200"/>
        <w:rPr>
          <w:rFonts w:ascii="华文仿宋" w:hAnsi="华文仿宋" w:eastAsia="华文仿宋" w:cs="仿宋"/>
          <w:color w:val="auto"/>
          <w:spacing w:val="-4"/>
          <w:kern w:val="1"/>
          <w:sz w:val="28"/>
          <w:szCs w:val="28"/>
          <w:highlight w:val="none"/>
        </w:rPr>
      </w:pPr>
      <w:r>
        <w:rPr>
          <w:rFonts w:ascii="华文仿宋" w:hAnsi="华文仿宋" w:eastAsia="华文仿宋" w:cs="仿宋"/>
          <w:color w:val="auto"/>
          <w:sz w:val="28"/>
          <w:szCs w:val="28"/>
          <w:highlight w:val="none"/>
        </w:rPr>
        <w:t>26.1.11承包人每次在领取款项时，须向发包人</w:t>
      </w:r>
      <w:r>
        <w:rPr>
          <w:rFonts w:hint="eastAsia" w:ascii="华文仿宋" w:hAnsi="华文仿宋" w:eastAsia="华文仿宋" w:cs="仿宋"/>
          <w:color w:val="auto"/>
          <w:sz w:val="28"/>
          <w:szCs w:val="28"/>
          <w:highlight w:val="none"/>
        </w:rPr>
        <w:t>开具提供等额</w:t>
      </w:r>
      <w:r>
        <w:rPr>
          <w:rFonts w:ascii="华文仿宋" w:hAnsi="华文仿宋" w:eastAsia="华文仿宋" w:cs="仿宋"/>
          <w:color w:val="auto"/>
          <w:sz w:val="28"/>
          <w:szCs w:val="28"/>
          <w:highlight w:val="none"/>
        </w:rPr>
        <w:t>的合法有效的一般纳税人增值税专用发票</w:t>
      </w:r>
      <w:r>
        <w:rPr>
          <w:rFonts w:hint="eastAsia" w:ascii="华文仿宋" w:hAnsi="华文仿宋" w:eastAsia="华文仿宋" w:cs="仿宋"/>
          <w:color w:val="auto"/>
          <w:sz w:val="28"/>
          <w:szCs w:val="28"/>
          <w:highlight w:val="none"/>
        </w:rPr>
        <w:t>，发包人确认发票符合要求之日起十五个工作日支付相应款项</w:t>
      </w:r>
      <w:r>
        <w:rPr>
          <w:rFonts w:ascii="华文仿宋" w:hAnsi="华文仿宋" w:eastAsia="华文仿宋" w:cs="仿宋"/>
          <w:color w:val="auto"/>
          <w:sz w:val="28"/>
          <w:szCs w:val="28"/>
          <w:highlight w:val="none"/>
        </w:rPr>
        <w:t>。否则发包人有权延缓付款，由此造成的一切延迟支付责任及损失由承包人自行承担。</w:t>
      </w:r>
    </w:p>
    <w:p w14:paraId="329D90E9">
      <w:pPr>
        <w:pStyle w:val="85"/>
        <w:ind w:firstLine="496"/>
        <w:rPr>
          <w:rFonts w:ascii="华文仿宋" w:hAnsi="华文仿宋" w:eastAsia="华文仿宋" w:cs="仿宋"/>
          <w:color w:val="auto"/>
          <w:spacing w:val="-4"/>
          <w:kern w:val="1"/>
          <w:sz w:val="28"/>
          <w:szCs w:val="28"/>
          <w:highlight w:val="none"/>
        </w:rPr>
      </w:pPr>
      <w:r>
        <w:rPr>
          <w:rFonts w:ascii="华文仿宋" w:hAnsi="华文仿宋" w:eastAsia="华文仿宋" w:cs="仿宋"/>
          <w:color w:val="auto"/>
          <w:spacing w:val="-4"/>
          <w:kern w:val="1"/>
          <w:sz w:val="28"/>
          <w:szCs w:val="28"/>
          <w:highlight w:val="none"/>
        </w:rPr>
        <w:t>承包人应就本合同约定之业务向发包人开具等额真实、合法有效的票据，如因承包人自身原因或所开票据（发票）本身之问题造成发包人日后发生税收风险而产生的经济损失，均由承包人全部承担，发包人并保留进一步提起法律诉讼的权利。</w:t>
      </w:r>
    </w:p>
    <w:p w14:paraId="61CCFC48">
      <w:pPr>
        <w:pStyle w:val="85"/>
        <w:ind w:firstLine="496"/>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26.</w:t>
      </w:r>
      <w:r>
        <w:rPr>
          <w:rFonts w:ascii="华文仿宋" w:hAnsi="华文仿宋" w:eastAsia="华文仿宋" w:cs="仿宋"/>
          <w:color w:val="auto"/>
          <w:kern w:val="1"/>
          <w:sz w:val="28"/>
          <w:szCs w:val="28"/>
          <w:highlight w:val="none"/>
        </w:rPr>
        <w:t>4</w:t>
      </w:r>
      <w:r>
        <w:rPr>
          <w:rFonts w:hint="eastAsia" w:ascii="华文仿宋" w:hAnsi="华文仿宋" w:eastAsia="华文仿宋" w:cs="仿宋"/>
          <w:color w:val="auto"/>
          <w:kern w:val="1"/>
          <w:sz w:val="28"/>
          <w:szCs w:val="28"/>
          <w:highlight w:val="none"/>
        </w:rPr>
        <w:t>发包人无故不按合同约定支付工程款（进度款），双方又未达成延期付款协议，导致施工无法进行，发包人按专用条款第</w:t>
      </w:r>
      <w:r>
        <w:rPr>
          <w:rFonts w:ascii="华文仿宋" w:hAnsi="华文仿宋" w:eastAsia="华文仿宋" w:cs="仿宋"/>
          <w:color w:val="auto"/>
          <w:kern w:val="1"/>
          <w:sz w:val="28"/>
          <w:szCs w:val="28"/>
          <w:highlight w:val="none"/>
        </w:rPr>
        <w:t>35.1.1</w:t>
      </w:r>
      <w:r>
        <w:rPr>
          <w:rFonts w:hint="eastAsia" w:ascii="华文仿宋" w:hAnsi="华文仿宋" w:eastAsia="华文仿宋" w:cs="仿宋"/>
          <w:color w:val="auto"/>
          <w:kern w:val="1"/>
          <w:sz w:val="28"/>
          <w:szCs w:val="28"/>
          <w:highlight w:val="none"/>
        </w:rPr>
        <w:t>款承担违约责任，但承包人不得停止施工。</w:t>
      </w:r>
    </w:p>
    <w:p w14:paraId="0FF7347F">
      <w:pPr>
        <w:spacing w:line="360" w:lineRule="auto"/>
        <w:ind w:firstLine="560"/>
        <w:rPr>
          <w:rFonts w:ascii="华文仿宋" w:hAnsi="华文仿宋" w:eastAsia="华文仿宋" w:cs="仿宋"/>
          <w:b/>
          <w:color w:val="auto"/>
          <w:sz w:val="28"/>
          <w:szCs w:val="28"/>
          <w:highlight w:val="none"/>
        </w:rPr>
      </w:pPr>
      <w:r>
        <w:rPr>
          <w:rFonts w:hint="eastAsia" w:ascii="华文仿宋" w:hAnsi="华文仿宋" w:eastAsia="华文仿宋" w:cs="仿宋"/>
          <w:b/>
          <w:color w:val="auto"/>
          <w:sz w:val="28"/>
          <w:szCs w:val="28"/>
          <w:highlight w:val="none"/>
        </w:rPr>
        <w:t>七、材料设备供应</w:t>
      </w:r>
    </w:p>
    <w:p w14:paraId="19A5938D">
      <w:pPr>
        <w:spacing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b/>
          <w:color w:val="auto"/>
          <w:sz w:val="28"/>
          <w:szCs w:val="28"/>
          <w:highlight w:val="none"/>
        </w:rPr>
        <w:t>27</w:t>
      </w:r>
      <w:r>
        <w:rPr>
          <w:rFonts w:hint="eastAsia" w:ascii="华文仿宋" w:hAnsi="华文仿宋" w:eastAsia="华文仿宋" w:cs="仿宋"/>
          <w:b/>
          <w:color w:val="auto"/>
          <w:sz w:val="28"/>
          <w:szCs w:val="28"/>
          <w:highlight w:val="none"/>
        </w:rPr>
        <w:t>、发包人供应材料设备</w:t>
      </w:r>
      <w:r>
        <w:rPr>
          <w:rFonts w:hint="eastAsia" w:ascii="华文仿宋" w:hAnsi="华文仿宋" w:eastAsia="华文仿宋" w:cs="仿宋"/>
          <w:color w:val="auto"/>
          <w:sz w:val="28"/>
          <w:szCs w:val="28"/>
          <w:highlight w:val="none"/>
        </w:rPr>
        <w:t>：</w:t>
      </w:r>
      <w:r>
        <w:rPr>
          <w:rFonts w:hint="eastAsia" w:ascii="华文仿宋" w:hAnsi="华文仿宋" w:eastAsia="华文仿宋" w:cs="仿宋"/>
          <w:color w:val="auto"/>
          <w:sz w:val="28"/>
          <w:szCs w:val="28"/>
          <w:highlight w:val="none"/>
          <w:u w:val="single"/>
        </w:rPr>
        <w:t>按有关规定双方另行协商确定。</w:t>
      </w:r>
    </w:p>
    <w:p w14:paraId="001A5088">
      <w:pPr>
        <w:spacing w:line="360" w:lineRule="auto"/>
        <w:ind w:firstLine="560"/>
        <w:rPr>
          <w:rFonts w:ascii="华文仿宋" w:hAnsi="华文仿宋" w:eastAsia="华文仿宋" w:cs="仿宋"/>
          <w:b/>
          <w:color w:val="auto"/>
          <w:sz w:val="28"/>
          <w:szCs w:val="28"/>
          <w:highlight w:val="none"/>
        </w:rPr>
      </w:pPr>
      <w:r>
        <w:rPr>
          <w:rFonts w:ascii="华文仿宋" w:hAnsi="华文仿宋" w:eastAsia="华文仿宋" w:cs="仿宋"/>
          <w:b/>
          <w:color w:val="auto"/>
          <w:sz w:val="28"/>
          <w:szCs w:val="28"/>
          <w:highlight w:val="none"/>
        </w:rPr>
        <w:t>28</w:t>
      </w:r>
      <w:r>
        <w:rPr>
          <w:rFonts w:hint="eastAsia" w:ascii="华文仿宋" w:hAnsi="华文仿宋" w:eastAsia="华文仿宋" w:cs="仿宋"/>
          <w:b/>
          <w:color w:val="auto"/>
          <w:sz w:val="28"/>
          <w:szCs w:val="28"/>
          <w:highlight w:val="none"/>
        </w:rPr>
        <w:t>、承包人采购材料设备的约定：</w:t>
      </w:r>
    </w:p>
    <w:p w14:paraId="0C902FC0">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kern w:val="1"/>
          <w:sz w:val="28"/>
          <w:szCs w:val="28"/>
          <w:highlight w:val="none"/>
        </w:rPr>
        <w:t>28.1承包人在采购每一种类的主要材料前，须将拟定采购供应的材料</w:t>
      </w:r>
      <w:r>
        <w:rPr>
          <w:rFonts w:hint="eastAsia" w:ascii="华文仿宋" w:hAnsi="华文仿宋" w:eastAsia="华文仿宋" w:cs="仿宋"/>
          <w:color w:val="auto"/>
          <w:kern w:val="1"/>
          <w:sz w:val="28"/>
          <w:szCs w:val="28"/>
          <w:highlight w:val="none"/>
        </w:rPr>
        <w:t>样板、</w:t>
      </w:r>
      <w:r>
        <w:rPr>
          <w:rFonts w:ascii="华文仿宋" w:hAnsi="华文仿宋" w:eastAsia="华文仿宋" w:cs="仿宋"/>
          <w:color w:val="auto"/>
          <w:kern w:val="1"/>
          <w:sz w:val="28"/>
          <w:szCs w:val="28"/>
          <w:highlight w:val="none"/>
        </w:rPr>
        <w:t>生产或供应的厂家的企业概况（包括名称、注册资金、生产许可证、年产量和近三年服务于建筑工程业绩等）、产品质量合格证书以及反映厂家实力的证明材料等报给发包人及监理单位审核，待发包人书面批准后才能采购使用。否则，发包人认为其提供不合格材料，承包人须相应承担违约责任</w:t>
      </w:r>
      <w:r>
        <w:rPr>
          <w:rFonts w:hint="eastAsia" w:ascii="华文仿宋" w:hAnsi="华文仿宋" w:eastAsia="华文仿宋" w:cs="仿宋"/>
          <w:color w:val="auto"/>
          <w:kern w:val="1"/>
          <w:sz w:val="28"/>
          <w:szCs w:val="28"/>
          <w:highlight w:val="none"/>
        </w:rPr>
        <w:t>，并赔偿发包人的所有损失</w:t>
      </w:r>
      <w:r>
        <w:rPr>
          <w:rFonts w:hint="eastAsia" w:ascii="华文仿宋" w:hAnsi="华文仿宋" w:eastAsia="华文仿宋" w:cs="仿宋"/>
          <w:color w:val="auto"/>
          <w:sz w:val="28"/>
          <w:szCs w:val="28"/>
          <w:highlight w:val="none"/>
        </w:rPr>
        <w:t>包括但不限于调查费、公证费、律师费、差旅费、诉讼费、执行费、保全费、鉴定费等费用损失及其他有关经济损失。</w:t>
      </w:r>
    </w:p>
    <w:p w14:paraId="12849107">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28.2承包人负责采购材料设备的，应按照招标文件的约定、设计要求和有关标准采购，要提供产品合格证明、对材料设备质量负责，并必须提供</w:t>
      </w:r>
      <w:r>
        <w:rPr>
          <w:rFonts w:hint="eastAsia" w:ascii="华文仿宋" w:hAnsi="华文仿宋" w:eastAsia="华文仿宋" w:cs="仿宋"/>
          <w:color w:val="auto"/>
          <w:kern w:val="1"/>
          <w:sz w:val="28"/>
          <w:szCs w:val="28"/>
          <w:highlight w:val="none"/>
        </w:rPr>
        <w:t>《承包人提供主要材料和工程设备一览表》</w:t>
      </w:r>
      <w:r>
        <w:rPr>
          <w:rFonts w:ascii="华文仿宋" w:hAnsi="华文仿宋" w:eastAsia="华文仿宋" w:cs="仿宋"/>
          <w:color w:val="auto"/>
          <w:kern w:val="1"/>
          <w:sz w:val="28"/>
          <w:szCs w:val="28"/>
          <w:highlight w:val="none"/>
        </w:rPr>
        <w:t>，列明品牌厂家名称、厂址、产品详细规格型号及单价。承包人须在材料设备到货前24小时通知发包人、监理</w:t>
      </w:r>
      <w:r>
        <w:rPr>
          <w:rFonts w:hint="eastAsia" w:ascii="华文仿宋" w:hAnsi="华文仿宋" w:eastAsia="华文仿宋" w:cs="仿宋"/>
          <w:color w:val="auto"/>
          <w:kern w:val="1"/>
          <w:sz w:val="28"/>
          <w:szCs w:val="28"/>
          <w:highlight w:val="none"/>
        </w:rPr>
        <w:t>单位</w:t>
      </w:r>
      <w:r>
        <w:rPr>
          <w:rFonts w:ascii="华文仿宋" w:hAnsi="华文仿宋" w:eastAsia="华文仿宋" w:cs="仿宋"/>
          <w:color w:val="auto"/>
          <w:kern w:val="1"/>
          <w:sz w:val="28"/>
          <w:szCs w:val="28"/>
          <w:highlight w:val="none"/>
        </w:rPr>
        <w:t>清点。</w:t>
      </w:r>
      <w:r>
        <w:rPr>
          <w:rFonts w:hint="eastAsia" w:ascii="华文仿宋" w:hAnsi="华文仿宋" w:eastAsia="华文仿宋" w:cs="仿宋"/>
          <w:color w:val="auto"/>
          <w:kern w:val="1"/>
          <w:sz w:val="28"/>
          <w:szCs w:val="28"/>
          <w:highlight w:val="none"/>
        </w:rPr>
        <w:t xml:space="preserve"> </w:t>
      </w:r>
    </w:p>
    <w:p w14:paraId="02BC64D9">
      <w:pPr>
        <w:pStyle w:val="14"/>
        <w:spacing w:after="0" w:line="360" w:lineRule="auto"/>
        <w:ind w:firstLine="560"/>
        <w:rPr>
          <w:rFonts w:ascii="华文仿宋" w:hAnsi="华文仿宋" w:eastAsia="华文仿宋" w:cs="仿宋"/>
          <w:color w:val="auto"/>
          <w:sz w:val="28"/>
          <w:szCs w:val="28"/>
          <w:highlight w:val="none"/>
        </w:rPr>
      </w:pPr>
      <w:r>
        <w:rPr>
          <w:rFonts w:hint="eastAsia" w:ascii="华文仿宋" w:hAnsi="华文仿宋" w:eastAsia="华文仿宋" w:cs="仿宋"/>
          <w:color w:val="auto"/>
          <w:kern w:val="1"/>
          <w:sz w:val="28"/>
          <w:szCs w:val="28"/>
          <w:highlight w:val="none"/>
        </w:rPr>
        <w:t>28.3 中标文件中的《承包人提供主要材料和工程设备一览表》中列明的材料设备，实际施工时，承包人投标所报主要材料设备的生产厂家、品牌及规格型号不允许变更（若承包人在投标时未按招标文件中的《主要设备材料推荐品牌表》中的品牌厂家填报的，则材料设备的采购及价格按招标工程量清单计价说明及招标答疑纪要执行）。若确需变更，则其选型定价按专用条款第23.2条、第23.3条执行。未经发包人及监理单位书面确认，承包人擅自采购的材料设备，发包人可要求承包人无条件退货及重新采购，承包人应承担由此发生的全部费用并赔偿发包人损失，</w:t>
      </w:r>
      <w:r>
        <w:rPr>
          <w:rFonts w:hint="eastAsia" w:ascii="华文仿宋" w:hAnsi="华文仿宋" w:eastAsia="华文仿宋" w:cs="仿宋"/>
          <w:color w:val="auto"/>
          <w:sz w:val="28"/>
          <w:szCs w:val="28"/>
          <w:highlight w:val="none"/>
        </w:rPr>
        <w:t>包括但不限于调查费、公证费、律师费、差旅费、诉讼费、执行费、保全费、鉴定费等费用损失及其他有关经济损失，</w:t>
      </w:r>
      <w:r>
        <w:rPr>
          <w:rFonts w:ascii="华文仿宋" w:hAnsi="华文仿宋" w:eastAsia="华文仿宋" w:cs="仿宋"/>
          <w:color w:val="auto"/>
          <w:sz w:val="28"/>
          <w:szCs w:val="28"/>
          <w:highlight w:val="none"/>
        </w:rPr>
        <w:t>且</w:t>
      </w:r>
      <w:r>
        <w:rPr>
          <w:rFonts w:hint="eastAsia" w:ascii="华文仿宋" w:hAnsi="华文仿宋" w:eastAsia="华文仿宋" w:cs="仿宋"/>
          <w:color w:val="auto"/>
          <w:kern w:val="1"/>
          <w:sz w:val="28"/>
          <w:szCs w:val="28"/>
          <w:highlight w:val="none"/>
        </w:rPr>
        <w:t>由此延误的工期不予顺延。</w:t>
      </w:r>
    </w:p>
    <w:p w14:paraId="10757C9D">
      <w:pPr>
        <w:spacing w:line="360" w:lineRule="auto"/>
        <w:ind w:firstLine="48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28.4承包人采购的材料设备与设计或标准要求不符时，承包人须按发包人要求立即运出施工现场，并重新采购符合要求的产品，承担由此发生的全部费用并赔偿发包人损失，</w:t>
      </w:r>
      <w:r>
        <w:rPr>
          <w:rFonts w:hint="eastAsia" w:ascii="华文仿宋" w:hAnsi="华文仿宋" w:eastAsia="华文仿宋" w:cs="仿宋"/>
          <w:color w:val="auto"/>
          <w:sz w:val="28"/>
          <w:szCs w:val="28"/>
          <w:highlight w:val="none"/>
        </w:rPr>
        <w:t>包括但不限于调查费、公证费、律师费、差旅费、诉讼费、执行费、保全费、鉴定费等费用损失及其他有关经济损失，</w:t>
      </w:r>
      <w:r>
        <w:rPr>
          <w:rFonts w:hint="eastAsia" w:ascii="华文仿宋" w:hAnsi="华文仿宋" w:eastAsia="华文仿宋" w:cs="仿宋"/>
          <w:color w:val="auto"/>
          <w:kern w:val="1"/>
          <w:sz w:val="28"/>
          <w:szCs w:val="28"/>
          <w:highlight w:val="none"/>
        </w:rPr>
        <w:t>且工期不予顺延。</w:t>
      </w:r>
    </w:p>
    <w:p w14:paraId="063A4F79">
      <w:pPr>
        <w:spacing w:line="360" w:lineRule="auto"/>
        <w:ind w:firstLine="560" w:firstLineChars="200"/>
        <w:rPr>
          <w:rFonts w:ascii="华文仿宋" w:hAnsi="华文仿宋" w:eastAsia="华文仿宋" w:cs="仿宋"/>
          <w:color w:val="auto"/>
          <w:sz w:val="28"/>
          <w:szCs w:val="28"/>
          <w:highlight w:val="none"/>
        </w:rPr>
      </w:pPr>
      <w:r>
        <w:rPr>
          <w:rFonts w:hint="eastAsia" w:ascii="华文仿宋" w:hAnsi="华文仿宋" w:eastAsia="华文仿宋" w:cs="仿宋"/>
          <w:color w:val="auto"/>
          <w:kern w:val="1"/>
          <w:sz w:val="28"/>
          <w:szCs w:val="28"/>
          <w:highlight w:val="none"/>
        </w:rPr>
        <w:t>中标文件中的《承包人提供主要材料和工程设备一览表》中未列明的材料设备，实际施工时，承包人所采用的材料设备须为国产中等或以上档次品牌产品，其选型由承包人按照图纸及相关技术参数要求提供不少于三家同等档次品牌产品，报监理单位及发包人最终审批确定，具体以招标</w:t>
      </w:r>
      <w:r>
        <w:rPr>
          <w:rFonts w:ascii="华文仿宋" w:hAnsi="华文仿宋" w:eastAsia="华文仿宋" w:cs="仿宋"/>
          <w:color w:val="auto"/>
          <w:kern w:val="1"/>
          <w:sz w:val="28"/>
          <w:szCs w:val="28"/>
          <w:highlight w:val="none"/>
        </w:rPr>
        <w:t>工程量清单计价说明</w:t>
      </w:r>
      <w:r>
        <w:rPr>
          <w:rFonts w:hint="eastAsia" w:ascii="华文仿宋" w:hAnsi="华文仿宋" w:eastAsia="华文仿宋" w:cs="仿宋"/>
          <w:color w:val="auto"/>
          <w:kern w:val="1"/>
          <w:sz w:val="28"/>
          <w:szCs w:val="28"/>
          <w:highlight w:val="none"/>
        </w:rPr>
        <w:t>及招标答疑纪要约定为准。</w:t>
      </w:r>
    </w:p>
    <w:p w14:paraId="060778D0">
      <w:pPr>
        <w:spacing w:line="360" w:lineRule="auto"/>
        <w:ind w:firstLine="48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28.</w:t>
      </w:r>
      <w:r>
        <w:rPr>
          <w:rFonts w:ascii="华文仿宋" w:hAnsi="华文仿宋" w:eastAsia="华文仿宋" w:cs="仿宋"/>
          <w:color w:val="auto"/>
          <w:kern w:val="1"/>
          <w:sz w:val="28"/>
          <w:szCs w:val="28"/>
          <w:highlight w:val="none"/>
        </w:rPr>
        <w:t>5</w:t>
      </w:r>
      <w:r>
        <w:rPr>
          <w:rFonts w:hint="eastAsia" w:ascii="华文仿宋" w:hAnsi="华文仿宋" w:eastAsia="华文仿宋" w:cs="仿宋"/>
          <w:color w:val="auto"/>
          <w:kern w:val="1"/>
          <w:sz w:val="28"/>
          <w:szCs w:val="28"/>
          <w:highlight w:val="none"/>
        </w:rPr>
        <w:t>承包人采购的材料设备在使用前，承包人须按专用条款第16条无偿配合监理及发包人查验，不合格的不得使用，检验或试验费用由承包人承担。</w:t>
      </w:r>
    </w:p>
    <w:p w14:paraId="67B286F5">
      <w:pPr>
        <w:spacing w:line="360" w:lineRule="auto"/>
        <w:ind w:firstLine="48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28.</w:t>
      </w:r>
      <w:r>
        <w:rPr>
          <w:rFonts w:ascii="华文仿宋" w:hAnsi="华文仿宋" w:eastAsia="华文仿宋" w:cs="仿宋"/>
          <w:color w:val="auto"/>
          <w:kern w:val="1"/>
          <w:sz w:val="28"/>
          <w:szCs w:val="28"/>
          <w:highlight w:val="none"/>
        </w:rPr>
        <w:t>6</w:t>
      </w:r>
      <w:r>
        <w:rPr>
          <w:rFonts w:hint="eastAsia" w:ascii="华文仿宋" w:hAnsi="华文仿宋" w:eastAsia="华文仿宋" w:cs="仿宋"/>
          <w:color w:val="auto"/>
          <w:kern w:val="1"/>
          <w:sz w:val="28"/>
          <w:szCs w:val="28"/>
          <w:highlight w:val="none"/>
        </w:rPr>
        <w:t>工程师发现承包人采购并使用不符合设计或标准要求的材料设备时，承包人须立即按发包人要求负责修复、拆除及重新采购，承包人须承担由此发生的费用并赔偿发包人损失，且工期不予顺延。</w:t>
      </w:r>
    </w:p>
    <w:p w14:paraId="46F060D3">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28.7政府质量安全监督部门和发包人、监理单位有权安排抽检，承包人应积极配合。政府质量安全监督部门出具的监督抽检报告书作为工程竣工验收所需要文件的组成部分。</w:t>
      </w:r>
    </w:p>
    <w:p w14:paraId="0EBF4B88">
      <w:pPr>
        <w:pStyle w:val="14"/>
        <w:spacing w:after="0" w:line="360" w:lineRule="auto"/>
        <w:ind w:firstLine="561"/>
        <w:rPr>
          <w:rFonts w:ascii="华文仿宋" w:hAnsi="华文仿宋" w:eastAsia="华文仿宋" w:cs="仿宋"/>
          <w:color w:val="auto"/>
          <w:sz w:val="28"/>
          <w:szCs w:val="28"/>
          <w:highlight w:val="none"/>
        </w:rPr>
      </w:pPr>
      <w:r>
        <w:rPr>
          <w:rFonts w:hint="eastAsia" w:ascii="仿宋" w:hAnsi="仿宋" w:eastAsia="仿宋" w:cs="仿宋"/>
          <w:color w:val="auto"/>
          <w:sz w:val="28"/>
          <w:szCs w:val="28"/>
          <w:highlight w:val="none"/>
        </w:rPr>
        <w:t>28.8</w:t>
      </w:r>
      <w:bookmarkStart w:id="8" w:name="_Hlk195692670"/>
      <w:r>
        <w:rPr>
          <w:rFonts w:hint="eastAsia" w:ascii="华文仿宋" w:hAnsi="华文仿宋" w:eastAsia="华文仿宋" w:cs="仿宋"/>
          <w:color w:val="auto"/>
          <w:sz w:val="28"/>
          <w:szCs w:val="28"/>
          <w:highlight w:val="none"/>
        </w:rPr>
        <w:t>本项目所需</w:t>
      </w:r>
      <w:r>
        <w:rPr>
          <w:rFonts w:hint="eastAsia" w:ascii="华文仿宋" w:hAnsi="华文仿宋" w:eastAsia="华文仿宋" w:cs="仿宋"/>
          <w:color w:val="auto"/>
          <w:sz w:val="28"/>
          <w:szCs w:val="28"/>
          <w:highlight w:val="none"/>
          <w:u w:val="single"/>
        </w:rPr>
        <w:t xml:space="preserve"> /</w:t>
      </w:r>
      <w:r>
        <w:rPr>
          <w:rFonts w:hint="eastAsia" w:ascii="华文仿宋" w:hAnsi="华文仿宋" w:eastAsia="华文仿宋" w:cs="仿宋"/>
          <w:color w:val="auto"/>
          <w:sz w:val="28"/>
          <w:szCs w:val="28"/>
          <w:highlight w:val="none"/>
        </w:rPr>
        <w:t>设</w:t>
      </w:r>
      <w:bookmarkEnd w:id="8"/>
      <w:r>
        <w:rPr>
          <w:rFonts w:hint="eastAsia" w:ascii="华文仿宋" w:hAnsi="华文仿宋" w:eastAsia="华文仿宋" w:cs="仿宋"/>
          <w:color w:val="auto"/>
          <w:sz w:val="28"/>
          <w:szCs w:val="28"/>
          <w:highlight w:val="none"/>
        </w:rPr>
        <w:t>备材料属于承包人采购范畴，承包人须无条件按发包人要求与发包人指定的库内供应商及联系人签订供货合同并接受供货合同主要条款约束，且货到现场前的货款支付比例不低于该设备材料对应战略采购合作协议约定比例。如供货合同超出战略采购合作协议约定的支付比例的，则由承包人与对应供应商具体协商确定，发包人不就此调整工程进度款支付比例。</w:t>
      </w:r>
    </w:p>
    <w:p w14:paraId="5BC161D1">
      <w:pPr>
        <w:pStyle w:val="14"/>
        <w:spacing w:after="0" w:line="360" w:lineRule="auto"/>
        <w:ind w:firstLine="561"/>
        <w:rPr>
          <w:rFonts w:ascii="华文仿宋" w:hAnsi="华文仿宋" w:eastAsia="华文仿宋" w:cs="仿宋"/>
          <w:b/>
          <w:color w:val="auto"/>
          <w:sz w:val="28"/>
          <w:szCs w:val="28"/>
          <w:highlight w:val="none"/>
        </w:rPr>
      </w:pPr>
      <w:r>
        <w:rPr>
          <w:rFonts w:ascii="华文仿宋" w:hAnsi="华文仿宋" w:eastAsia="华文仿宋" w:cs="仿宋"/>
          <w:b/>
          <w:color w:val="auto"/>
          <w:sz w:val="28"/>
          <w:szCs w:val="28"/>
          <w:highlight w:val="none"/>
        </w:rPr>
        <w:t>八、工程变更</w:t>
      </w:r>
    </w:p>
    <w:p w14:paraId="24D27EB9">
      <w:pPr>
        <w:spacing w:line="360" w:lineRule="auto"/>
        <w:ind w:firstLine="562"/>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 xml:space="preserve">所有工程变更均须按发包人制定的《建设工程类工程变更管理办法》完成变更审批后方为有效变更，未按发包人制定的工程变更管理办法完成变更审核的，发包人有权不予确认、不予计量、不予支付，并保留要求承包人无条件返工的权利。 </w:t>
      </w:r>
    </w:p>
    <w:p w14:paraId="3A5432FC">
      <w:pPr>
        <w:spacing w:line="360" w:lineRule="auto"/>
        <w:ind w:firstLine="562"/>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29．工程设计变更</w:t>
      </w:r>
    </w:p>
    <w:p w14:paraId="4B34B4BA">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29.1</w:t>
      </w:r>
      <w:r>
        <w:rPr>
          <w:rFonts w:hint="eastAsia" w:ascii="华文仿宋" w:hAnsi="华文仿宋" w:eastAsia="华文仿宋" w:cs="仿宋"/>
          <w:color w:val="auto"/>
          <w:kern w:val="1"/>
          <w:sz w:val="28"/>
          <w:szCs w:val="28"/>
          <w:highlight w:val="none"/>
        </w:rPr>
        <w:t>未经发包人及设计单位书面同意，承包人不得擅自变更；否则，发包人有权不予确认并要求承包人无条件返工。因承包人擅自变更设计发生的费用、合同价款的增减、返工的费用和由此导致发包人的损失，均由承包人承担，合同价款不予调整，延误的工期不予顺延。</w:t>
      </w:r>
    </w:p>
    <w:p w14:paraId="400632D7">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29.2施工中若发包人确需对原工程设计进行变更，原则上应提前3个日历天以书面形式向承包人发出变更通知，特殊情况除外。变更超过原设计标准或批准的建设规模时，发包人应报规划管理部门和其他有关部门重新审查批准，并由原设计单位提供变更的相应图纸和说明。承包人按照发包人发出的变更通知，进行下列需要的变更：</w:t>
      </w:r>
    </w:p>
    <w:p w14:paraId="48D931D4">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⑴更改工程有关部分的标高、基线、位置和尺寸；</w:t>
      </w:r>
    </w:p>
    <w:p w14:paraId="4F59760B">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⑵增减合同中约定的工程量；</w:t>
      </w:r>
    </w:p>
    <w:p w14:paraId="361270A5">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⑶改变有关工程的施工时间和顺序；</w:t>
      </w:r>
    </w:p>
    <w:p w14:paraId="7C782BF3">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⑷其他有关工程变更需要的附加工作。</w:t>
      </w:r>
    </w:p>
    <w:p w14:paraId="293B0A75">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凡发包人及设计单位书面要求而作出的设计变更导致的合同价款增减，在报监理及发包人书面审核确认后，作为结算计量的依据，由此造成的工期延误的处理按专用条款第13条执行。</w:t>
      </w:r>
    </w:p>
    <w:p w14:paraId="590CE3AC">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29.3非因发包人及设计单位书面要求而作出的设计变更，合同价款不予调整。</w:t>
      </w:r>
      <w:r>
        <w:rPr>
          <w:rFonts w:hint="eastAsia" w:ascii="华文仿宋" w:hAnsi="华文仿宋" w:eastAsia="华文仿宋" w:cs="仿宋"/>
          <w:color w:val="auto"/>
          <w:kern w:val="1"/>
          <w:sz w:val="28"/>
          <w:szCs w:val="28"/>
          <w:highlight w:val="none"/>
        </w:rPr>
        <w:t xml:space="preserve"> </w:t>
      </w:r>
    </w:p>
    <w:p w14:paraId="5E872E06">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29.</w:t>
      </w:r>
      <w:r>
        <w:rPr>
          <w:rFonts w:hint="eastAsia" w:ascii="华文仿宋" w:hAnsi="华文仿宋" w:eastAsia="华文仿宋" w:cs="仿宋"/>
          <w:color w:val="auto"/>
          <w:kern w:val="1"/>
          <w:sz w:val="28"/>
          <w:szCs w:val="28"/>
          <w:highlight w:val="none"/>
        </w:rPr>
        <w:t>4承包人在施工中提出的合理化建议涉及到对设计图纸或施工组织设计的更改及对材料、设备的换用，须经发包人书面同意,且其定价须执行专用条款第23.2条、第23.3条的约定。未经同意擅自更改或换用时，发包人有权要求承包人无条件返工或重新采购，承包人承担由此发生的全部费用，并赔偿发包人的损失，延误的工期不予顺延。</w:t>
      </w:r>
    </w:p>
    <w:p w14:paraId="02FD95A4">
      <w:pPr>
        <w:spacing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发包人书面同意采用承包人合理化建议，所发生的费用和获得的收益，发包人承包人另行约定分担或分享。</w:t>
      </w:r>
    </w:p>
    <w:p w14:paraId="556278E9">
      <w:pPr>
        <w:spacing w:line="360" w:lineRule="auto"/>
        <w:ind w:firstLine="562"/>
        <w:outlineLvl w:val="0"/>
        <w:rPr>
          <w:rFonts w:ascii="华文仿宋" w:hAnsi="华文仿宋" w:eastAsia="华文仿宋" w:cs="仿宋"/>
          <w:b/>
          <w:color w:val="auto"/>
          <w:kern w:val="1"/>
          <w:sz w:val="28"/>
          <w:szCs w:val="28"/>
          <w:highlight w:val="none"/>
        </w:rPr>
      </w:pPr>
      <w:r>
        <w:rPr>
          <w:rFonts w:ascii="华文仿宋" w:hAnsi="华文仿宋" w:eastAsia="华文仿宋" w:cs="仿宋"/>
          <w:b/>
          <w:color w:val="auto"/>
          <w:kern w:val="1"/>
          <w:sz w:val="28"/>
          <w:szCs w:val="28"/>
          <w:highlight w:val="none"/>
        </w:rPr>
        <w:t>31．确定变更价款</w:t>
      </w:r>
    </w:p>
    <w:p w14:paraId="3DC575AA">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31.1若在进度款审批过程中，发包人、承包人对新增计价项目的定价出现分歧，发包人有权暂按发包人批复意见进行进度款拨付，结算时再按造价管理部门书面裁定进行调整。承包人不得以此为由公开或变相拖延施工进度，否则，承包人须按专用条款第35条承担工期延误违约责任。</w:t>
      </w:r>
    </w:p>
    <w:p w14:paraId="5B3FBE44">
      <w:pPr>
        <w:spacing w:line="360" w:lineRule="auto"/>
        <w:ind w:firstLine="562"/>
        <w:rPr>
          <w:rFonts w:ascii="华文仿宋" w:hAnsi="华文仿宋" w:eastAsia="华文仿宋" w:cs="仿宋"/>
          <w:b/>
          <w:color w:val="auto"/>
          <w:kern w:val="1"/>
          <w:sz w:val="28"/>
          <w:szCs w:val="28"/>
          <w:highlight w:val="none"/>
        </w:rPr>
      </w:pPr>
      <w:r>
        <w:rPr>
          <w:rFonts w:ascii="华文仿宋" w:hAnsi="华文仿宋" w:eastAsia="华文仿宋" w:cs="仿宋"/>
          <w:b/>
          <w:color w:val="auto"/>
          <w:kern w:val="1"/>
          <w:sz w:val="28"/>
          <w:szCs w:val="28"/>
          <w:highlight w:val="none"/>
        </w:rPr>
        <w:t>九、竣工验收与结算：按通用条款并执行以下规定</w:t>
      </w:r>
    </w:p>
    <w:p w14:paraId="377329CB">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本工程结算时承包人须按发包人制定的《</w:t>
      </w:r>
      <w:r>
        <w:rPr>
          <w:rFonts w:hint="eastAsia" w:ascii="华文仿宋" w:hAnsi="华文仿宋" w:eastAsia="华文仿宋" w:cs="仿宋"/>
          <w:color w:val="auto"/>
          <w:kern w:val="1"/>
          <w:sz w:val="28"/>
          <w:szCs w:val="28"/>
          <w:highlight w:val="none"/>
        </w:rPr>
        <w:t>建设工程类</w:t>
      </w:r>
      <w:r>
        <w:rPr>
          <w:rFonts w:ascii="华文仿宋" w:hAnsi="华文仿宋" w:eastAsia="华文仿宋" w:cs="仿宋"/>
          <w:color w:val="auto"/>
          <w:kern w:val="1"/>
          <w:sz w:val="28"/>
          <w:szCs w:val="28"/>
          <w:highlight w:val="none"/>
        </w:rPr>
        <w:t>合同结算管理办法》相关规定报审并经发包人最终审定后，再支付工程结算余款，多退少补，详见专用条款合同价款支付相关规定。</w:t>
      </w:r>
    </w:p>
    <w:p w14:paraId="58172A95">
      <w:pPr>
        <w:spacing w:line="360" w:lineRule="auto"/>
        <w:ind w:firstLine="562"/>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十、违约、索赔和争议</w:t>
      </w:r>
      <w:r>
        <w:rPr>
          <w:rFonts w:ascii="华文仿宋" w:hAnsi="华文仿宋" w:eastAsia="华文仿宋" w:cs="仿宋"/>
          <w:b/>
          <w:color w:val="auto"/>
          <w:kern w:val="1"/>
          <w:sz w:val="28"/>
          <w:szCs w:val="28"/>
          <w:highlight w:val="none"/>
        </w:rPr>
        <w:t xml:space="preserve"> </w:t>
      </w:r>
    </w:p>
    <w:p w14:paraId="0BC98E2B">
      <w:pPr>
        <w:pStyle w:val="14"/>
        <w:spacing w:after="0" w:line="360" w:lineRule="auto"/>
        <w:ind w:firstLine="562"/>
        <w:outlineLvl w:val="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 xml:space="preserve">35、违约 </w:t>
      </w:r>
    </w:p>
    <w:p w14:paraId="4E5FBAA6">
      <w:pPr>
        <w:pStyle w:val="14"/>
        <w:spacing w:after="0" w:line="360" w:lineRule="auto"/>
        <w:ind w:firstLine="560"/>
        <w:outlineLvl w:val="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35.1发包人的违约责任：</w:t>
      </w:r>
    </w:p>
    <w:p w14:paraId="49884088">
      <w:pPr>
        <w:pStyle w:val="14"/>
        <w:spacing w:after="0" w:line="360" w:lineRule="auto"/>
        <w:ind w:firstLine="560"/>
        <w:outlineLvl w:val="0"/>
        <w:rPr>
          <w:rFonts w:ascii="华文仿宋" w:hAnsi="华文仿宋" w:eastAsia="华文仿宋" w:cs="仿宋"/>
          <w:color w:val="auto"/>
          <w:sz w:val="28"/>
          <w:szCs w:val="28"/>
          <w:highlight w:val="none"/>
          <w:u w:val="single"/>
        </w:rPr>
      </w:pPr>
      <w:r>
        <w:rPr>
          <w:rFonts w:ascii="华文仿宋" w:hAnsi="华文仿宋" w:eastAsia="华文仿宋" w:cs="仿宋"/>
          <w:color w:val="auto"/>
          <w:sz w:val="28"/>
          <w:szCs w:val="28"/>
          <w:highlight w:val="none"/>
        </w:rPr>
        <w:t>35.1.1本合同专用条款第24.1款及第26.1款约定发包人违约应承担的违约责任:</w:t>
      </w:r>
      <w:r>
        <w:rPr>
          <w:rFonts w:ascii="华文仿宋" w:hAnsi="华文仿宋" w:eastAsia="华文仿宋" w:cs="仿宋"/>
          <w:color w:val="auto"/>
          <w:sz w:val="28"/>
          <w:szCs w:val="28"/>
          <w:highlight w:val="none"/>
          <w:u w:val="single"/>
        </w:rPr>
        <w:t>发包人无故逾期付款的，从逾期次日起，每日</w:t>
      </w:r>
      <w:r>
        <w:rPr>
          <w:rFonts w:hint="eastAsia" w:ascii="华文仿宋" w:hAnsi="华文仿宋" w:eastAsia="华文仿宋" w:cs="仿宋"/>
          <w:color w:val="auto"/>
          <w:sz w:val="28"/>
          <w:szCs w:val="28"/>
          <w:highlight w:val="none"/>
          <w:u w:val="single"/>
        </w:rPr>
        <w:t>应就应付而未付款项按全国银行间同业拆借中心公布的贷款市场报价利率计算违约金，违约金合计最高不超过本合同暂定总价的</w:t>
      </w:r>
      <w:r>
        <w:rPr>
          <w:rFonts w:ascii="华文仿宋" w:hAnsi="华文仿宋" w:eastAsia="华文仿宋" w:cs="仿宋"/>
          <w:color w:val="auto"/>
          <w:sz w:val="28"/>
          <w:szCs w:val="28"/>
          <w:highlight w:val="none"/>
          <w:u w:val="single"/>
        </w:rPr>
        <w:t>5</w:t>
      </w:r>
      <w:r>
        <w:rPr>
          <w:rFonts w:hint="eastAsia" w:ascii="华文仿宋" w:hAnsi="华文仿宋" w:eastAsia="华文仿宋" w:cs="仿宋"/>
          <w:color w:val="auto"/>
          <w:sz w:val="28"/>
          <w:szCs w:val="28"/>
          <w:highlight w:val="none"/>
          <w:u w:val="single"/>
        </w:rPr>
        <w:t>%</w:t>
      </w:r>
      <w:r>
        <w:rPr>
          <w:rFonts w:hint="eastAsia" w:ascii="华文仿宋" w:hAnsi="华文仿宋" w:eastAsia="华文仿宋" w:cs="仿宋"/>
          <w:color w:val="auto"/>
          <w:sz w:val="28"/>
          <w:szCs w:val="28"/>
          <w:highlight w:val="none"/>
          <w:u w:val="single"/>
        </w:rPr>
        <w:t>，</w:t>
      </w:r>
      <w:r>
        <w:rPr>
          <w:rFonts w:ascii="华文仿宋" w:hAnsi="华文仿宋" w:eastAsia="华文仿宋" w:cs="仿宋"/>
          <w:color w:val="auto"/>
          <w:sz w:val="28"/>
          <w:szCs w:val="28"/>
          <w:highlight w:val="none"/>
          <w:u w:val="single"/>
        </w:rPr>
        <w:t>但工期不得顺延。</w:t>
      </w:r>
    </w:p>
    <w:p w14:paraId="0B206D2A">
      <w:pPr>
        <w:pStyle w:val="14"/>
        <w:spacing w:after="0" w:line="360" w:lineRule="auto"/>
        <w:ind w:firstLine="560"/>
        <w:outlineLvl w:val="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35.1.2双方约定的发包人其他违约责任：因发包人责任原因造成承包人的损失由发包人给予赔偿，但工期不得顺延(本合同另有具体约定的除外)。</w:t>
      </w:r>
    </w:p>
    <w:p w14:paraId="760889DE">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35.2承包人的违约责任：</w:t>
      </w:r>
    </w:p>
    <w:p w14:paraId="409E10E5">
      <w:pPr>
        <w:pStyle w:val="14"/>
        <w:spacing w:after="0" w:line="360" w:lineRule="auto"/>
        <w:ind w:firstLine="560"/>
        <w:rPr>
          <w:rFonts w:ascii="华文仿宋" w:hAnsi="华文仿宋" w:eastAsia="华文仿宋" w:cs="仿宋"/>
          <w:color w:val="auto"/>
          <w:sz w:val="28"/>
          <w:szCs w:val="28"/>
          <w:highlight w:val="none"/>
          <w:shd w:val="clear" w:color="auto" w:fill="FFFF00"/>
        </w:rPr>
      </w:pPr>
      <w:r>
        <w:rPr>
          <w:rFonts w:ascii="华文仿宋" w:hAnsi="华文仿宋" w:eastAsia="华文仿宋" w:cs="仿宋"/>
          <w:color w:val="auto"/>
          <w:sz w:val="28"/>
          <w:szCs w:val="28"/>
          <w:highlight w:val="none"/>
        </w:rPr>
        <w:t>35.2.1</w:t>
      </w:r>
      <w:r>
        <w:rPr>
          <w:rFonts w:ascii="华文仿宋" w:hAnsi="华文仿宋" w:eastAsia="华文仿宋" w:cs="仿宋"/>
          <w:bCs/>
          <w:color w:val="auto"/>
          <w:sz w:val="28"/>
          <w:szCs w:val="28"/>
          <w:highlight w:val="none"/>
        </w:rPr>
        <w:t>若承包人违反本合同专用条款第11、12、13条规定，延期开工或单方面暂停施工或消极怠工或未按经发包人书面确认的进度计划完成</w:t>
      </w:r>
      <w:r>
        <w:rPr>
          <w:rFonts w:ascii="华文仿宋" w:hAnsi="华文仿宋" w:eastAsia="华文仿宋" w:cs="仿宋"/>
          <w:color w:val="auto"/>
          <w:sz w:val="28"/>
          <w:szCs w:val="28"/>
          <w:highlight w:val="none"/>
        </w:rPr>
        <w:t>各节点工程施工或延期竣工，则从逾期次日起，每个日历天承包人须向发包人支付人民币</w:t>
      </w:r>
      <w:r>
        <w:rPr>
          <w:rFonts w:hint="eastAsia" w:ascii="华文仿宋" w:hAnsi="华文仿宋" w:eastAsia="华文仿宋" w:cs="仿宋"/>
          <w:color w:val="auto"/>
          <w:sz w:val="28"/>
          <w:szCs w:val="28"/>
          <w:highlight w:val="none"/>
        </w:rPr>
        <w:t>5万</w:t>
      </w:r>
      <w:r>
        <w:rPr>
          <w:rFonts w:ascii="华文仿宋" w:hAnsi="华文仿宋" w:eastAsia="华文仿宋" w:cs="仿宋"/>
          <w:color w:val="auto"/>
          <w:sz w:val="28"/>
          <w:szCs w:val="28"/>
          <w:highlight w:val="none"/>
        </w:rPr>
        <w:t>元的违约金；逾期超过30个日历天，发包人有权单方面解除合同并执行合同专用条款第44.6条约定，承包人除上述已计付的违约金外还须向发包人支付合同总价2%的违约金。</w:t>
      </w:r>
    </w:p>
    <w:p w14:paraId="0AFAF5CA">
      <w:pPr>
        <w:pStyle w:val="14"/>
        <w:spacing w:after="0" w:line="360" w:lineRule="auto"/>
        <w:ind w:firstLine="560"/>
        <w:rPr>
          <w:rFonts w:ascii="华文仿宋" w:hAnsi="华文仿宋" w:eastAsia="华文仿宋" w:cs="仿宋"/>
          <w:color w:val="auto"/>
          <w:spacing w:val="-2"/>
          <w:kern w:val="28"/>
          <w:sz w:val="28"/>
          <w:szCs w:val="28"/>
          <w:highlight w:val="none"/>
        </w:rPr>
      </w:pPr>
      <w:r>
        <w:rPr>
          <w:rFonts w:ascii="华文仿宋" w:hAnsi="华文仿宋" w:eastAsia="华文仿宋" w:cs="仿宋"/>
          <w:iCs/>
          <w:color w:val="auto"/>
          <w:sz w:val="28"/>
          <w:szCs w:val="28"/>
          <w:highlight w:val="none"/>
        </w:rPr>
        <w:t>35.2.2</w:t>
      </w:r>
      <w:r>
        <w:rPr>
          <w:rFonts w:ascii="华文仿宋" w:hAnsi="华文仿宋" w:eastAsia="华文仿宋" w:cs="仿宋"/>
          <w:color w:val="auto"/>
          <w:spacing w:val="-2"/>
          <w:kern w:val="28"/>
          <w:sz w:val="28"/>
          <w:szCs w:val="28"/>
          <w:highlight w:val="none"/>
        </w:rPr>
        <w:t>工程竣工验收不符合国家现行强制性标准及规范要求或未能实现一次竣工验收合格的或未达到合同约定标准建设</w:t>
      </w:r>
      <w:r>
        <w:rPr>
          <w:rFonts w:hint="eastAsia" w:ascii="华文仿宋" w:hAnsi="华文仿宋" w:eastAsia="华文仿宋" w:cs="仿宋"/>
          <w:color w:val="auto"/>
          <w:spacing w:val="-2"/>
          <w:kern w:val="28"/>
          <w:sz w:val="28"/>
          <w:szCs w:val="28"/>
          <w:highlight w:val="none"/>
        </w:rPr>
        <w:t>的，</w:t>
      </w:r>
      <w:r>
        <w:rPr>
          <w:rFonts w:ascii="华文仿宋" w:hAnsi="华文仿宋" w:eastAsia="华文仿宋" w:cs="仿宋"/>
          <w:bCs/>
          <w:color w:val="auto"/>
          <w:spacing w:val="-2"/>
          <w:kern w:val="28"/>
          <w:sz w:val="28"/>
          <w:szCs w:val="28"/>
          <w:highlight w:val="none"/>
        </w:rPr>
        <w:t>则承包人除须</w:t>
      </w:r>
      <w:r>
        <w:rPr>
          <w:rFonts w:ascii="华文仿宋" w:hAnsi="华文仿宋" w:eastAsia="华文仿宋" w:cs="仿宋"/>
          <w:color w:val="auto"/>
          <w:spacing w:val="-2"/>
          <w:kern w:val="28"/>
          <w:sz w:val="28"/>
          <w:szCs w:val="28"/>
          <w:highlight w:val="none"/>
        </w:rPr>
        <w:t>向发包人支付合同总价2%的违约金外，还须</w:t>
      </w:r>
      <w:r>
        <w:rPr>
          <w:rFonts w:hint="eastAsia" w:ascii="华文仿宋" w:hAnsi="华文仿宋" w:eastAsia="华文仿宋" w:cs="仿宋"/>
          <w:color w:val="auto"/>
          <w:spacing w:val="-2"/>
          <w:kern w:val="28"/>
          <w:sz w:val="28"/>
          <w:szCs w:val="28"/>
          <w:highlight w:val="none"/>
        </w:rPr>
        <w:t>无偿采取补救措施</w:t>
      </w:r>
      <w:r>
        <w:rPr>
          <w:rFonts w:ascii="华文仿宋" w:hAnsi="华文仿宋" w:eastAsia="华文仿宋" w:cs="仿宋"/>
          <w:color w:val="auto"/>
          <w:spacing w:val="-2"/>
          <w:kern w:val="28"/>
          <w:sz w:val="28"/>
          <w:szCs w:val="28"/>
          <w:highlight w:val="none"/>
        </w:rPr>
        <w:t>及时完成</w:t>
      </w:r>
      <w:r>
        <w:rPr>
          <w:rFonts w:hint="eastAsia" w:ascii="华文仿宋" w:hAnsi="华文仿宋" w:eastAsia="华文仿宋" w:cs="仿宋"/>
          <w:color w:val="auto"/>
          <w:spacing w:val="-2"/>
          <w:kern w:val="28"/>
          <w:sz w:val="28"/>
          <w:szCs w:val="28"/>
          <w:highlight w:val="none"/>
        </w:rPr>
        <w:t>相应</w:t>
      </w:r>
      <w:r>
        <w:rPr>
          <w:rFonts w:ascii="华文仿宋" w:hAnsi="华文仿宋" w:eastAsia="华文仿宋" w:cs="仿宋"/>
          <w:color w:val="auto"/>
          <w:spacing w:val="-2"/>
          <w:kern w:val="28"/>
          <w:sz w:val="28"/>
          <w:szCs w:val="28"/>
          <w:highlight w:val="none"/>
        </w:rPr>
        <w:t>整改且工期不予顺延；逾期未完成整改并通过质监部门验收的，从逾期次日起，每个日历天承包人须向发包人支付人民币</w:t>
      </w:r>
      <w:r>
        <w:rPr>
          <w:rFonts w:hint="eastAsia" w:ascii="华文仿宋" w:hAnsi="华文仿宋" w:eastAsia="华文仿宋" w:cs="仿宋"/>
          <w:color w:val="auto"/>
          <w:spacing w:val="-2"/>
          <w:kern w:val="28"/>
          <w:sz w:val="28"/>
          <w:szCs w:val="28"/>
          <w:highlight w:val="none"/>
        </w:rPr>
        <w:t>5万</w:t>
      </w:r>
      <w:r>
        <w:rPr>
          <w:rFonts w:ascii="华文仿宋" w:hAnsi="华文仿宋" w:eastAsia="华文仿宋" w:cs="仿宋"/>
          <w:color w:val="auto"/>
          <w:spacing w:val="-2"/>
          <w:kern w:val="28"/>
          <w:sz w:val="28"/>
          <w:szCs w:val="28"/>
          <w:highlight w:val="none"/>
        </w:rPr>
        <w:t>元的违约金；超过发包人要求时间30个日历天承包人仍未按要求完成整改并通过质监部门验收的，发包人有权单方面解除合同并执行合同专用条款第44.6条约定，承包人除</w:t>
      </w:r>
      <w:r>
        <w:rPr>
          <w:rFonts w:hint="eastAsia" w:ascii="华文仿宋" w:hAnsi="华文仿宋" w:eastAsia="华文仿宋" w:cs="仿宋"/>
          <w:color w:val="auto"/>
          <w:spacing w:val="-2"/>
          <w:kern w:val="28"/>
          <w:sz w:val="28"/>
          <w:szCs w:val="28"/>
          <w:highlight w:val="none"/>
        </w:rPr>
        <w:t>支付</w:t>
      </w:r>
      <w:r>
        <w:rPr>
          <w:rFonts w:ascii="华文仿宋" w:hAnsi="华文仿宋" w:eastAsia="华文仿宋" w:cs="仿宋"/>
          <w:color w:val="auto"/>
          <w:spacing w:val="-2"/>
          <w:kern w:val="28"/>
          <w:sz w:val="28"/>
          <w:szCs w:val="28"/>
          <w:highlight w:val="none"/>
        </w:rPr>
        <w:t>上述已计付的违约金外，</w:t>
      </w:r>
      <w:r>
        <w:rPr>
          <w:rFonts w:hint="eastAsia" w:ascii="华文仿宋" w:hAnsi="华文仿宋" w:eastAsia="华文仿宋" w:cs="仿宋"/>
          <w:color w:val="auto"/>
          <w:spacing w:val="-2"/>
          <w:kern w:val="28"/>
          <w:sz w:val="28"/>
          <w:szCs w:val="28"/>
          <w:highlight w:val="none"/>
        </w:rPr>
        <w:t>还</w:t>
      </w:r>
      <w:r>
        <w:rPr>
          <w:rFonts w:ascii="华文仿宋" w:hAnsi="华文仿宋" w:eastAsia="华文仿宋" w:cs="仿宋"/>
          <w:color w:val="auto"/>
          <w:spacing w:val="-2"/>
          <w:kern w:val="28"/>
          <w:sz w:val="28"/>
          <w:szCs w:val="28"/>
          <w:highlight w:val="none"/>
        </w:rPr>
        <w:t>须向发包人支付合同总价5%的违约金。</w:t>
      </w:r>
      <w:r>
        <w:rPr>
          <w:rFonts w:hint="eastAsia" w:ascii="华文仿宋" w:hAnsi="华文仿宋" w:eastAsia="华文仿宋" w:cs="仿宋"/>
          <w:color w:val="auto"/>
          <w:spacing w:val="-2"/>
          <w:kern w:val="28"/>
          <w:sz w:val="28"/>
          <w:szCs w:val="28"/>
          <w:highlight w:val="none"/>
        </w:rPr>
        <w:t xml:space="preserve">   </w:t>
      </w:r>
    </w:p>
    <w:p w14:paraId="58B3FCA1">
      <w:pPr>
        <w:pStyle w:val="14"/>
        <w:spacing w:after="0" w:line="360" w:lineRule="auto"/>
        <w:ind w:firstLine="560"/>
        <w:rPr>
          <w:rFonts w:ascii="华文仿宋" w:hAnsi="华文仿宋" w:eastAsia="华文仿宋" w:cs="仿宋"/>
          <w:iCs/>
          <w:color w:val="auto"/>
          <w:spacing w:val="-2"/>
          <w:kern w:val="28"/>
          <w:sz w:val="28"/>
          <w:szCs w:val="28"/>
          <w:highlight w:val="none"/>
        </w:rPr>
      </w:pPr>
      <w:r>
        <w:rPr>
          <w:rFonts w:hint="eastAsia" w:ascii="华文仿宋" w:hAnsi="华文仿宋" w:eastAsia="华文仿宋" w:cs="仿宋"/>
          <w:color w:val="auto"/>
          <w:spacing w:val="-2"/>
          <w:kern w:val="28"/>
          <w:sz w:val="28"/>
          <w:szCs w:val="28"/>
          <w:highlight w:val="none"/>
        </w:rPr>
        <w:t>承包人未通过发包人委托的第三方质量巡检的</w:t>
      </w:r>
      <w:r>
        <w:rPr>
          <w:rFonts w:ascii="华文仿宋" w:hAnsi="华文仿宋" w:eastAsia="华文仿宋" w:cs="仿宋"/>
          <w:color w:val="auto"/>
          <w:spacing w:val="-2"/>
          <w:kern w:val="28"/>
          <w:sz w:val="28"/>
          <w:szCs w:val="28"/>
          <w:highlight w:val="none"/>
        </w:rPr>
        <w:t>（</w:t>
      </w:r>
      <w:r>
        <w:rPr>
          <w:rFonts w:hint="eastAsia" w:ascii="华文仿宋" w:hAnsi="华文仿宋" w:eastAsia="华文仿宋" w:cs="仿宋"/>
          <w:color w:val="auto"/>
          <w:spacing w:val="-2"/>
          <w:kern w:val="28"/>
          <w:sz w:val="28"/>
          <w:szCs w:val="28"/>
          <w:highlight w:val="none"/>
        </w:rPr>
        <w:t>指违反本合同专用条款15.4款约定</w:t>
      </w:r>
      <w:r>
        <w:rPr>
          <w:rFonts w:ascii="华文仿宋" w:hAnsi="华文仿宋" w:eastAsia="华文仿宋" w:cs="仿宋"/>
          <w:color w:val="auto"/>
          <w:spacing w:val="-2"/>
          <w:kern w:val="28"/>
          <w:sz w:val="28"/>
          <w:szCs w:val="28"/>
          <w:highlight w:val="none"/>
        </w:rPr>
        <w:t>），</w:t>
      </w:r>
      <w:r>
        <w:rPr>
          <w:rFonts w:hint="eastAsia" w:ascii="华文仿宋" w:hAnsi="华文仿宋" w:eastAsia="华文仿宋" w:cs="仿宋"/>
          <w:color w:val="auto"/>
          <w:spacing w:val="-2"/>
          <w:kern w:val="28"/>
          <w:sz w:val="28"/>
          <w:szCs w:val="28"/>
          <w:highlight w:val="none"/>
        </w:rPr>
        <w:t>则将每次单项指标未达标或综合指标未达标（分别计算），或未按质量评估报告及发包人要求进行整改，均视为一次违约，每次违约承包人应向发包人计付违约金人民币5万元，本类违约累计超过10次的，</w:t>
      </w:r>
      <w:r>
        <w:rPr>
          <w:rFonts w:ascii="华文仿宋" w:hAnsi="华文仿宋" w:eastAsia="华文仿宋" w:cs="仿宋"/>
          <w:color w:val="auto"/>
          <w:spacing w:val="-2"/>
          <w:kern w:val="28"/>
          <w:sz w:val="28"/>
          <w:szCs w:val="28"/>
          <w:highlight w:val="none"/>
        </w:rPr>
        <w:t>发包人有权单方面解除合同并执行合同专用条款第44.6条约定，承包人除</w:t>
      </w:r>
      <w:r>
        <w:rPr>
          <w:rFonts w:hint="eastAsia" w:ascii="华文仿宋" w:hAnsi="华文仿宋" w:eastAsia="华文仿宋" w:cs="仿宋"/>
          <w:color w:val="auto"/>
          <w:spacing w:val="-2"/>
          <w:kern w:val="28"/>
          <w:sz w:val="28"/>
          <w:szCs w:val="28"/>
          <w:highlight w:val="none"/>
        </w:rPr>
        <w:t>支付</w:t>
      </w:r>
      <w:r>
        <w:rPr>
          <w:rFonts w:ascii="华文仿宋" w:hAnsi="华文仿宋" w:eastAsia="华文仿宋" w:cs="仿宋"/>
          <w:color w:val="auto"/>
          <w:spacing w:val="-2"/>
          <w:kern w:val="28"/>
          <w:sz w:val="28"/>
          <w:szCs w:val="28"/>
          <w:highlight w:val="none"/>
        </w:rPr>
        <w:t>上述已计付的违约金外，</w:t>
      </w:r>
      <w:r>
        <w:rPr>
          <w:rFonts w:hint="eastAsia" w:ascii="华文仿宋" w:hAnsi="华文仿宋" w:eastAsia="华文仿宋" w:cs="仿宋"/>
          <w:color w:val="auto"/>
          <w:spacing w:val="-2"/>
          <w:kern w:val="28"/>
          <w:sz w:val="28"/>
          <w:szCs w:val="28"/>
          <w:highlight w:val="none"/>
        </w:rPr>
        <w:t>还</w:t>
      </w:r>
      <w:r>
        <w:rPr>
          <w:rFonts w:ascii="华文仿宋" w:hAnsi="华文仿宋" w:eastAsia="华文仿宋" w:cs="仿宋"/>
          <w:color w:val="auto"/>
          <w:spacing w:val="-2"/>
          <w:kern w:val="28"/>
          <w:sz w:val="28"/>
          <w:szCs w:val="28"/>
          <w:highlight w:val="none"/>
        </w:rPr>
        <w:t>须向发包人支付合同总价5%的违约金。</w:t>
      </w:r>
    </w:p>
    <w:p w14:paraId="0BEF99D0">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35.2.3</w:t>
      </w:r>
      <w:r>
        <w:rPr>
          <w:rFonts w:ascii="华文仿宋" w:hAnsi="华文仿宋" w:eastAsia="华文仿宋" w:cs="宋体"/>
          <w:color w:val="auto"/>
          <w:sz w:val="28"/>
          <w:szCs w:val="28"/>
          <w:highlight w:val="none"/>
        </w:rPr>
        <w:t>承包人须保证自有或租赁的主要特种施工机械能完全满足本工程施工的要求，并须按监理工程师书面通知的时间进场、在工地完成组装</w:t>
      </w:r>
      <w:r>
        <w:rPr>
          <w:rFonts w:ascii="华文仿宋" w:hAnsi="华文仿宋" w:eastAsia="华文仿宋" w:cs="仿宋"/>
          <w:color w:val="auto"/>
          <w:sz w:val="28"/>
          <w:szCs w:val="28"/>
          <w:highlight w:val="none"/>
        </w:rPr>
        <w:t>并通过试运行，否则，从逾期次日起，每个日历天承包人须向发包人支付人民币5万元的违约金；超过监理工程师书面通知的时间10个日历天，承包人仍未按要求进场或在工地完成组装并通过试运行，发包人视承包人无能力履行合同，发包人有权单方面解除合同并执行合同专用条款第44.6条约定，承包人除上述已计付的违约金外，</w:t>
      </w:r>
      <w:r>
        <w:rPr>
          <w:rFonts w:hint="eastAsia" w:ascii="华文仿宋" w:hAnsi="华文仿宋" w:eastAsia="华文仿宋" w:cs="仿宋"/>
          <w:color w:val="auto"/>
          <w:sz w:val="28"/>
          <w:szCs w:val="28"/>
          <w:highlight w:val="none"/>
        </w:rPr>
        <w:t>还</w:t>
      </w:r>
      <w:r>
        <w:rPr>
          <w:rFonts w:ascii="华文仿宋" w:hAnsi="华文仿宋" w:eastAsia="华文仿宋" w:cs="仿宋"/>
          <w:color w:val="auto"/>
          <w:sz w:val="28"/>
          <w:szCs w:val="28"/>
          <w:highlight w:val="none"/>
        </w:rPr>
        <w:t>须向发包人支付合同总价</w:t>
      </w:r>
      <w:r>
        <w:rPr>
          <w:rFonts w:hint="eastAsia" w:ascii="华文仿宋" w:hAnsi="华文仿宋" w:eastAsia="华文仿宋" w:cs="仿宋"/>
          <w:color w:val="auto"/>
          <w:sz w:val="28"/>
          <w:szCs w:val="28"/>
          <w:highlight w:val="none"/>
        </w:rPr>
        <w:t>0.</w:t>
      </w:r>
      <w:r>
        <w:rPr>
          <w:rFonts w:ascii="华文仿宋" w:hAnsi="华文仿宋" w:eastAsia="华文仿宋" w:cs="仿宋"/>
          <w:color w:val="auto"/>
          <w:sz w:val="28"/>
          <w:szCs w:val="28"/>
          <w:highlight w:val="none"/>
        </w:rPr>
        <w:t>5%的违约金。</w:t>
      </w:r>
    </w:p>
    <w:p w14:paraId="01EC7491">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35.2.4若承包人违反专用条款第7.1.2条规定,项目经理及相关人员未及时、全部到位的，视为承包人延期开工，从监理工程师书面通知的进场之日起至人员正式全部到位之日止, 承包人除须向发包人支付每人每天人民币1</w:t>
      </w:r>
      <w:r>
        <w:rPr>
          <w:rFonts w:hint="eastAsia" w:ascii="华文仿宋" w:hAnsi="华文仿宋" w:eastAsia="华文仿宋" w:cs="仿宋"/>
          <w:color w:val="auto"/>
          <w:sz w:val="28"/>
          <w:szCs w:val="28"/>
          <w:highlight w:val="none"/>
        </w:rPr>
        <w:t>万</w:t>
      </w:r>
      <w:r>
        <w:rPr>
          <w:rFonts w:ascii="华文仿宋" w:hAnsi="华文仿宋" w:eastAsia="华文仿宋" w:cs="仿宋"/>
          <w:color w:val="auto"/>
          <w:sz w:val="28"/>
          <w:szCs w:val="28"/>
          <w:highlight w:val="none"/>
        </w:rPr>
        <w:t>元的违约金外,承包人还须自行承担由此产生的工期延误责任及相关损失; 从监理工程师书面通知的进场之日起计超过7个日历天，相关人员仍未到位的, 发包人有权单方面解除合同并执行合同专用条款第44.6条约定，承包人除上述已计付的违约金外，承包人须向发包人支付合同总价0.5%的违约金。</w:t>
      </w:r>
    </w:p>
    <w:p w14:paraId="67409466">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35.2.5若承包人违反专用条款第7.1.3条、第7.4条和第7.5条规定,总监理工程师可发出停工令，待人员按要求到位后才批准施工，且工期不予顺延。自停工令下达之日起至相关人员正式到位之日止,承包人除须向发包人支付每人每天人民币1</w:t>
      </w:r>
      <w:r>
        <w:rPr>
          <w:rFonts w:hint="eastAsia" w:ascii="华文仿宋" w:hAnsi="华文仿宋" w:eastAsia="华文仿宋" w:cs="仿宋"/>
          <w:color w:val="auto"/>
          <w:sz w:val="28"/>
          <w:szCs w:val="28"/>
          <w:highlight w:val="none"/>
        </w:rPr>
        <w:t>万</w:t>
      </w:r>
      <w:r>
        <w:rPr>
          <w:rFonts w:ascii="华文仿宋" w:hAnsi="华文仿宋" w:eastAsia="华文仿宋" w:cs="仿宋"/>
          <w:color w:val="auto"/>
          <w:sz w:val="28"/>
          <w:szCs w:val="28"/>
          <w:highlight w:val="none"/>
        </w:rPr>
        <w:t>元的违约金外,承包人还须自行承担由此产生的工期延误责任及相关损失;从停工令下达之日起计超过7个日历天，相关人员仍未到位的, 发包人有权单方面解除合同并执行合同专用条款第44.6条约定，承包人除</w:t>
      </w:r>
      <w:r>
        <w:rPr>
          <w:rFonts w:hint="eastAsia" w:ascii="华文仿宋" w:hAnsi="华文仿宋" w:eastAsia="华文仿宋" w:cs="仿宋"/>
          <w:color w:val="auto"/>
          <w:sz w:val="28"/>
          <w:szCs w:val="28"/>
          <w:highlight w:val="none"/>
        </w:rPr>
        <w:t>支付</w:t>
      </w:r>
      <w:r>
        <w:rPr>
          <w:rFonts w:ascii="华文仿宋" w:hAnsi="华文仿宋" w:eastAsia="华文仿宋" w:cs="仿宋"/>
          <w:color w:val="auto"/>
          <w:sz w:val="28"/>
          <w:szCs w:val="28"/>
          <w:highlight w:val="none"/>
        </w:rPr>
        <w:t>上述已计付的违约金外，</w:t>
      </w:r>
      <w:r>
        <w:rPr>
          <w:rFonts w:hint="eastAsia" w:ascii="华文仿宋" w:hAnsi="华文仿宋" w:eastAsia="华文仿宋" w:cs="仿宋"/>
          <w:color w:val="auto"/>
          <w:sz w:val="28"/>
          <w:szCs w:val="28"/>
          <w:highlight w:val="none"/>
        </w:rPr>
        <w:t>还</w:t>
      </w:r>
      <w:r>
        <w:rPr>
          <w:rFonts w:ascii="华文仿宋" w:hAnsi="华文仿宋" w:eastAsia="华文仿宋" w:cs="仿宋"/>
          <w:color w:val="auto"/>
          <w:sz w:val="28"/>
          <w:szCs w:val="28"/>
          <w:highlight w:val="none"/>
        </w:rPr>
        <w:t>须向发包人支付合同总价0.5%的违约金。</w:t>
      </w:r>
    </w:p>
    <w:p w14:paraId="3389EFF7">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35.2.6实际施工过程中，若承包人不按招标文件及其答疑要求、投标文件的承诺</w:t>
      </w:r>
      <w:r>
        <w:rPr>
          <w:rFonts w:hint="eastAsia" w:ascii="华文仿宋" w:hAnsi="华文仿宋" w:eastAsia="华文仿宋" w:cs="仿宋"/>
          <w:color w:val="auto"/>
          <w:sz w:val="28"/>
          <w:szCs w:val="28"/>
          <w:highlight w:val="none"/>
        </w:rPr>
        <w:t>等</w:t>
      </w:r>
      <w:r>
        <w:rPr>
          <w:rFonts w:ascii="华文仿宋" w:hAnsi="华文仿宋" w:eastAsia="华文仿宋" w:cs="仿宋"/>
          <w:color w:val="auto"/>
          <w:sz w:val="28"/>
          <w:szCs w:val="28"/>
          <w:highlight w:val="none"/>
        </w:rPr>
        <w:t>落实各项施工措施或进行相关施工投入或未按本合同规定履行其责任及义务，则发包人有权发出书面整改意见；承包人有异议的须于3个日历天提出书面意见及依据，经监理及发包人审查后认为依据不成立的，则发包人有权发出书面整改通知且工期不予顺延，每发出一次，承包人除须向发包人支付人民币</w:t>
      </w:r>
      <w:r>
        <w:rPr>
          <w:rFonts w:hint="eastAsia" w:ascii="华文仿宋" w:hAnsi="华文仿宋" w:eastAsia="华文仿宋" w:cs="仿宋"/>
          <w:color w:val="auto"/>
          <w:sz w:val="28"/>
          <w:szCs w:val="28"/>
          <w:highlight w:val="none"/>
        </w:rPr>
        <w:t>5万</w:t>
      </w:r>
      <w:r>
        <w:rPr>
          <w:rFonts w:ascii="华文仿宋" w:hAnsi="华文仿宋" w:eastAsia="华文仿宋" w:cs="仿宋"/>
          <w:color w:val="auto"/>
          <w:sz w:val="28"/>
          <w:szCs w:val="28"/>
          <w:highlight w:val="none"/>
        </w:rPr>
        <w:t>元的违约金外，还须无条件按照整改通知要求时限整改完毕，并承担由此造成的工期延误责任及所有相关费用；超过整改通知要求时限未完成整改的或整改后仍达不到要求的，从逾期次日起，每个日历天承包人除须向发包人支付人民币</w:t>
      </w:r>
      <w:r>
        <w:rPr>
          <w:rFonts w:hint="eastAsia" w:ascii="华文仿宋" w:hAnsi="华文仿宋" w:eastAsia="华文仿宋" w:cs="仿宋"/>
          <w:color w:val="auto"/>
          <w:sz w:val="28"/>
          <w:szCs w:val="28"/>
          <w:highlight w:val="none"/>
        </w:rPr>
        <w:t>5万</w:t>
      </w:r>
      <w:r>
        <w:rPr>
          <w:rFonts w:ascii="华文仿宋" w:hAnsi="华文仿宋" w:eastAsia="华文仿宋" w:cs="仿宋"/>
          <w:color w:val="auto"/>
          <w:sz w:val="28"/>
          <w:szCs w:val="28"/>
          <w:highlight w:val="none"/>
        </w:rPr>
        <w:t>元的违约金外，还须承担由此造成的工期延误责任、所有相关费用及发包人损失；若承包人超过整改通知要求时限7个日历天仍未完成整改或整改后仍达不到要求的，监理工程师有权签发停工令，停工期间每天承包人须向发包人支付人民币</w:t>
      </w:r>
      <w:r>
        <w:rPr>
          <w:rFonts w:hint="eastAsia" w:ascii="华文仿宋" w:hAnsi="华文仿宋" w:eastAsia="华文仿宋" w:cs="仿宋"/>
          <w:color w:val="auto"/>
          <w:sz w:val="28"/>
          <w:szCs w:val="28"/>
          <w:highlight w:val="none"/>
        </w:rPr>
        <w:t>10万</w:t>
      </w:r>
      <w:r>
        <w:rPr>
          <w:rFonts w:ascii="华文仿宋" w:hAnsi="华文仿宋" w:eastAsia="华文仿宋" w:cs="仿宋"/>
          <w:color w:val="auto"/>
          <w:sz w:val="28"/>
          <w:szCs w:val="28"/>
          <w:highlight w:val="none"/>
        </w:rPr>
        <w:t>元的违约金，且工期不予顺延。停工后承包人仍拒不整改的，发包人有权单方面解除合同并执行合同专用条款第44.6条约定。承包人除</w:t>
      </w:r>
      <w:r>
        <w:rPr>
          <w:rFonts w:hint="eastAsia" w:ascii="华文仿宋" w:hAnsi="华文仿宋" w:eastAsia="华文仿宋" w:cs="仿宋"/>
          <w:color w:val="auto"/>
          <w:sz w:val="28"/>
          <w:szCs w:val="28"/>
          <w:highlight w:val="none"/>
        </w:rPr>
        <w:t>支付</w:t>
      </w:r>
      <w:r>
        <w:rPr>
          <w:rFonts w:ascii="华文仿宋" w:hAnsi="华文仿宋" w:eastAsia="华文仿宋" w:cs="仿宋"/>
          <w:color w:val="auto"/>
          <w:sz w:val="28"/>
          <w:szCs w:val="28"/>
          <w:highlight w:val="none"/>
        </w:rPr>
        <w:t>上述已计付的违约金外，</w:t>
      </w:r>
      <w:r>
        <w:rPr>
          <w:rFonts w:hint="eastAsia" w:ascii="华文仿宋" w:hAnsi="华文仿宋" w:eastAsia="华文仿宋" w:cs="仿宋"/>
          <w:color w:val="auto"/>
          <w:sz w:val="28"/>
          <w:szCs w:val="28"/>
          <w:highlight w:val="none"/>
        </w:rPr>
        <w:t>还</w:t>
      </w:r>
      <w:r>
        <w:rPr>
          <w:rFonts w:ascii="华文仿宋" w:hAnsi="华文仿宋" w:eastAsia="华文仿宋" w:cs="仿宋"/>
          <w:color w:val="auto"/>
          <w:sz w:val="28"/>
          <w:szCs w:val="28"/>
          <w:highlight w:val="none"/>
        </w:rPr>
        <w:t>须向发包人支付合同总价</w:t>
      </w:r>
      <w:r>
        <w:rPr>
          <w:rFonts w:hint="eastAsia" w:ascii="华文仿宋" w:hAnsi="华文仿宋" w:eastAsia="华文仿宋" w:cs="仿宋"/>
          <w:color w:val="auto"/>
          <w:sz w:val="28"/>
          <w:szCs w:val="28"/>
          <w:highlight w:val="none"/>
        </w:rPr>
        <w:t>0.</w:t>
      </w:r>
      <w:r>
        <w:rPr>
          <w:rFonts w:ascii="华文仿宋" w:hAnsi="华文仿宋" w:eastAsia="华文仿宋" w:cs="仿宋"/>
          <w:color w:val="auto"/>
          <w:sz w:val="28"/>
          <w:szCs w:val="28"/>
          <w:highlight w:val="none"/>
        </w:rPr>
        <w:t>5%的违约金。</w:t>
      </w:r>
    </w:p>
    <w:p w14:paraId="4DC79838">
      <w:pPr>
        <w:pStyle w:val="14"/>
        <w:spacing w:after="0" w:line="360" w:lineRule="auto"/>
        <w:ind w:firstLine="561"/>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35.2.7若承包人未按合同专用条款规定及时按发包人要求办理并提交</w:t>
      </w:r>
      <w:r>
        <w:rPr>
          <w:rFonts w:hint="eastAsia" w:ascii="华文仿宋" w:hAnsi="华文仿宋" w:eastAsia="华文仿宋" w:cs="仿宋"/>
          <w:color w:val="auto"/>
          <w:sz w:val="28"/>
          <w:szCs w:val="28"/>
          <w:highlight w:val="none"/>
        </w:rPr>
        <w:t>履约</w:t>
      </w:r>
      <w:r>
        <w:rPr>
          <w:rFonts w:ascii="华文仿宋" w:hAnsi="华文仿宋" w:eastAsia="华文仿宋" w:cs="仿宋"/>
          <w:color w:val="auto"/>
          <w:sz w:val="28"/>
          <w:szCs w:val="28"/>
          <w:highlight w:val="none"/>
        </w:rPr>
        <w:t>保函（包括保函延期手续），发包人有权不予支付工程进度款，直至承包人按要求提交为止；且从逾期次日起，每个日历天承包人须支付人民币1</w:t>
      </w:r>
      <w:r>
        <w:rPr>
          <w:rFonts w:hint="eastAsia" w:ascii="华文仿宋" w:hAnsi="华文仿宋" w:eastAsia="华文仿宋" w:cs="仿宋"/>
          <w:color w:val="auto"/>
          <w:sz w:val="28"/>
          <w:szCs w:val="28"/>
          <w:highlight w:val="none"/>
        </w:rPr>
        <w:t>万</w:t>
      </w:r>
      <w:r>
        <w:rPr>
          <w:rFonts w:ascii="华文仿宋" w:hAnsi="华文仿宋" w:eastAsia="华文仿宋" w:cs="仿宋"/>
          <w:color w:val="auto"/>
          <w:sz w:val="28"/>
          <w:szCs w:val="28"/>
          <w:highlight w:val="none"/>
        </w:rPr>
        <w:t>元的违约金，该违约金发包人直接从即期进度款中扣除；逾期超过20个日历天，发包人有权从即期进度款中直接扣除与</w:t>
      </w:r>
      <w:r>
        <w:rPr>
          <w:rFonts w:hint="eastAsia" w:ascii="华文仿宋" w:hAnsi="华文仿宋" w:eastAsia="华文仿宋" w:cs="仿宋"/>
          <w:color w:val="auto"/>
          <w:sz w:val="28"/>
          <w:szCs w:val="28"/>
          <w:highlight w:val="none"/>
        </w:rPr>
        <w:t>履约</w:t>
      </w:r>
      <w:r>
        <w:rPr>
          <w:rFonts w:ascii="华文仿宋" w:hAnsi="华文仿宋" w:eastAsia="华文仿宋" w:cs="仿宋"/>
          <w:color w:val="auto"/>
          <w:sz w:val="28"/>
          <w:szCs w:val="28"/>
          <w:highlight w:val="none"/>
        </w:rPr>
        <w:t>保函等额的相应金额作为违约金。同时，承包人不得以此为由拖延工程进度，否则，造成工期延误的，承包人除须工程延误违约责任外,还须赔偿发包人损失，相应费用发包人有权从即期进度款中直接扣除。</w:t>
      </w:r>
    </w:p>
    <w:p w14:paraId="7D276CBD">
      <w:pPr>
        <w:pStyle w:val="14"/>
        <w:spacing w:after="0" w:line="360" w:lineRule="auto"/>
        <w:ind w:firstLine="561"/>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35.2.8建设领域工人工资支付方面的违约责任</w:t>
      </w:r>
    </w:p>
    <w:p w14:paraId="6C838B0A">
      <w:pPr>
        <w:pStyle w:val="14"/>
        <w:spacing w:after="0" w:line="360" w:lineRule="auto"/>
        <w:ind w:firstLine="561"/>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1）承包人违反专用条款的约定，由于承包人原因被建设领域工人投诉或上访属实的，承包人必须在3天内发放拖欠的款项。若仍然不予整改并发放拖欠的款项，使建设领域工人有组织采取停工、或集聚人员在工地现场及政府办公区域等公共场所闹事，围阻发包人办公地点甚至政府办公部门、或阻塞交通要道、或围堵或破坏、或使工地无法维持正常运作、或引起社会关注造成不良后果及影响、或拆除已移交发包人的工程等过激行动的，承包人须向发包人支付合同总价5%的违约金，且由此造成损失、工期延误责任及所有相关费用全部由承包人承担，相应费用发包人有权从任何一期进度款或结算款或履约担保中直接扣除。在事发后12小时后承包人仍无力制止闹事和解决处理建设领域工人过激行为问题的，发包人有权代表承包人满足建设领域工人一切以平息事件的最低要求为度解决问题，包括并直接支付款项给建设领域工人要求的款项，由此产生的所有费用由承包人承担，发包人有权部分或全部解除合同，并追偿由此给发包人带来的实际损失。</w:t>
      </w:r>
    </w:p>
    <w:p w14:paraId="0D79EC8E">
      <w:pPr>
        <w:pStyle w:val="14"/>
        <w:spacing w:after="0" w:line="360" w:lineRule="auto"/>
        <w:ind w:firstLine="56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2）其他非发包人原因造成的劳资和其他纠纷（包括但不限于拖欠工资、货款、内部人员打架斗殴等等）扰乱工地生产秩序、影响发包人正常办公、扰乱社会秩序等过激行为；承包人必须在在事发后12小时内承包人必须到场解决；解决不了的，发包人自行按上述方法解决，所发生的费用发包人有权从任何一期进度款或结算款或履约担保中直接扣除，并且追偿由此给发包人带来的实际损失。</w:t>
      </w:r>
    </w:p>
    <w:p w14:paraId="1974C90C">
      <w:pPr>
        <w:pStyle w:val="14"/>
        <w:spacing w:after="0" w:line="360" w:lineRule="auto"/>
        <w:ind w:firstLine="56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由于承包人或其管理的分包单位（包括施工专业分包、供货分包及劳务分包单位等）拖欠建设领域工人工资致使发包人被投诉或起诉并被判令先行垫付建设领域工人工资的，承包人应向发包人支付发包人先行垫付的建设领域工人工资金额的两倍作为违约金，如违约金不足以弥补发包人损失的，发包人有权继续追究承包人的违约责任。上述违约金及相应费用发包人有权从任何一期进度款或结算款或履约担保中直接扣除。</w:t>
      </w:r>
    </w:p>
    <w:p w14:paraId="30519373">
      <w:pPr>
        <w:pStyle w:val="14"/>
        <w:spacing w:after="0" w:line="360" w:lineRule="auto"/>
        <w:ind w:firstLine="56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（3）因承包人违约导致发包人暂停支付工程款时，承包人不得以此为理由拖欠建设领域工人工资，在发包人和承包人就暂停支付工程款问题解决之前，承包人有义务先行支付其所属建设领域工人工资。</w:t>
      </w:r>
    </w:p>
    <w:p w14:paraId="44925E32">
      <w:pPr>
        <w:pStyle w:val="14"/>
        <w:spacing w:after="0" w:line="360" w:lineRule="auto"/>
        <w:ind w:firstLine="56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4）承包人不按合同及有关规定按时、足额支付分包单位合同价款及建设领域工人工资致使建设领域工人集体上访、集聚围阻而造成社会不良影响的，发包人有权立即终止与承包人的合同及追究承包人责任，并上报省、市主管部门建议取消其参加广东地区省、市重大项目的投标资格，并由发包人予以公告，并由承包人承担由此产生的一切责任及损失。如属恶意煽动并造成社会不良影响的，发包人将提请司法部门追究其法律责任。</w:t>
      </w:r>
    </w:p>
    <w:p w14:paraId="3E347F94">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35.2.</w:t>
      </w:r>
      <w:r>
        <w:rPr>
          <w:rFonts w:hint="eastAsia" w:ascii="华文仿宋" w:hAnsi="华文仿宋" w:eastAsia="华文仿宋" w:cs="仿宋"/>
          <w:color w:val="auto"/>
          <w:sz w:val="28"/>
          <w:szCs w:val="28"/>
          <w:highlight w:val="none"/>
        </w:rPr>
        <w:t>9</w:t>
      </w:r>
      <w:r>
        <w:rPr>
          <w:rFonts w:ascii="华文仿宋" w:hAnsi="华文仿宋" w:eastAsia="华文仿宋" w:cs="仿宋"/>
          <w:color w:val="auto"/>
          <w:sz w:val="28"/>
          <w:szCs w:val="28"/>
          <w:highlight w:val="none"/>
        </w:rPr>
        <w:t>上述所有违约金发包人有权直接从履约保函（或保证金）或即期进度款中扣除。</w:t>
      </w:r>
      <w:r>
        <w:rPr>
          <w:rFonts w:hint="eastAsia" w:ascii="华文仿宋" w:hAnsi="华文仿宋" w:eastAsia="华文仿宋" w:cs="仿宋"/>
          <w:color w:val="auto"/>
          <w:sz w:val="28"/>
          <w:szCs w:val="28"/>
          <w:highlight w:val="none"/>
        </w:rPr>
        <w:t>进度款或结算价款不足以抵扣的部分，发包人有权向承包人追偿，因追究承包人责任而产生的合理费用，包括但不限于调查费、公证费、律师费、差旅费、诉讼费、执行费、保全费、财产保全担保费（保险费）、鉴定费等费用损失及其他有关经济损失均由承包人承担。</w:t>
      </w:r>
    </w:p>
    <w:p w14:paraId="7F0F1B51">
      <w:pPr>
        <w:pStyle w:val="14"/>
        <w:spacing w:after="0" w:line="360" w:lineRule="auto"/>
        <w:ind w:firstLine="480"/>
        <w:outlineLvl w:val="0"/>
        <w:rPr>
          <w:rFonts w:ascii="华文仿宋" w:hAnsi="华文仿宋" w:eastAsia="华文仿宋" w:cs="仿宋"/>
          <w:b/>
          <w:color w:val="auto"/>
          <w:sz w:val="28"/>
          <w:szCs w:val="28"/>
          <w:highlight w:val="none"/>
        </w:rPr>
      </w:pPr>
      <w:r>
        <w:rPr>
          <w:rFonts w:ascii="华文仿宋" w:hAnsi="华文仿宋" w:eastAsia="华文仿宋" w:cs="仿宋"/>
          <w:b/>
          <w:color w:val="auto"/>
          <w:sz w:val="28"/>
          <w:szCs w:val="28"/>
          <w:highlight w:val="none"/>
        </w:rPr>
        <w:t xml:space="preserve">37、争议 </w:t>
      </w:r>
    </w:p>
    <w:p w14:paraId="0197E85E">
      <w:pPr>
        <w:pStyle w:val="14"/>
        <w:spacing w:after="0" w:line="360" w:lineRule="auto"/>
        <w:ind w:firstLine="480"/>
        <w:outlineLvl w:val="0"/>
        <w:rPr>
          <w:rFonts w:ascii="华文仿宋" w:hAnsi="华文仿宋" w:eastAsia="华文仿宋" w:cs="仿宋"/>
          <w:b/>
          <w:color w:val="auto"/>
          <w:spacing w:val="-4"/>
          <w:kern w:val="28"/>
          <w:sz w:val="28"/>
          <w:szCs w:val="28"/>
          <w:highlight w:val="none"/>
        </w:rPr>
      </w:pPr>
      <w:r>
        <w:rPr>
          <w:rFonts w:ascii="华文仿宋" w:hAnsi="华文仿宋" w:eastAsia="华文仿宋" w:cs="仿宋"/>
          <w:color w:val="auto"/>
          <w:spacing w:val="-4"/>
          <w:kern w:val="28"/>
          <w:sz w:val="28"/>
          <w:szCs w:val="28"/>
          <w:highlight w:val="none"/>
        </w:rPr>
        <w:t>37.1本合同在履行过程中发生争议，由双方协商解决，也可由监理工程师调解，或由有关主管部门调解（监理工程师调解不成时）：协商或调解不成的，按下列第</w:t>
      </w:r>
      <w:r>
        <w:rPr>
          <w:rFonts w:hint="eastAsia" w:ascii="华文仿宋" w:hAnsi="华文仿宋" w:eastAsia="华文仿宋" w:cs="仿宋"/>
          <w:color w:val="auto"/>
          <w:spacing w:val="-4"/>
          <w:kern w:val="28"/>
          <w:sz w:val="28"/>
          <w:szCs w:val="28"/>
          <w:highlight w:val="none"/>
          <w:u w:val="single"/>
        </w:rPr>
        <w:t xml:space="preserve"> 2</w:t>
      </w:r>
      <w:r>
        <w:rPr>
          <w:rFonts w:ascii="华文仿宋" w:hAnsi="华文仿宋" w:eastAsia="华文仿宋" w:cs="仿宋"/>
          <w:color w:val="auto"/>
          <w:spacing w:val="-4"/>
          <w:kern w:val="28"/>
          <w:sz w:val="28"/>
          <w:szCs w:val="28"/>
          <w:highlight w:val="none"/>
        </w:rPr>
        <w:t>种方式解决。</w:t>
      </w:r>
    </w:p>
    <w:p w14:paraId="3BBA0E07">
      <w:pPr>
        <w:pStyle w:val="14"/>
        <w:spacing w:after="0" w:line="360" w:lineRule="auto"/>
        <w:ind w:firstLine="48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（1）提交</w:t>
      </w:r>
      <w:r>
        <w:rPr>
          <w:rFonts w:hint="eastAsia" w:ascii="华文仿宋" w:hAnsi="华文仿宋" w:eastAsia="华文仿宋" w:cs="仿宋"/>
          <w:color w:val="auto"/>
          <w:sz w:val="28"/>
          <w:szCs w:val="28"/>
          <w:highlight w:val="none"/>
          <w:u w:val="single"/>
        </w:rPr>
        <w:t xml:space="preserve">   </w:t>
      </w:r>
      <w:r>
        <w:rPr>
          <w:rFonts w:ascii="华文仿宋" w:hAnsi="华文仿宋" w:eastAsia="华文仿宋" w:cs="仿宋"/>
          <w:color w:val="auto"/>
          <w:sz w:val="28"/>
          <w:szCs w:val="28"/>
          <w:highlight w:val="none"/>
        </w:rPr>
        <w:t xml:space="preserve">仲裁委员会仲裁； </w:t>
      </w:r>
    </w:p>
    <w:p w14:paraId="6BB8FF01">
      <w:pPr>
        <w:pStyle w:val="14"/>
        <w:spacing w:after="0" w:line="360" w:lineRule="auto"/>
        <w:ind w:firstLine="48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（2）依法向</w:t>
      </w:r>
      <w:r>
        <w:rPr>
          <w:rFonts w:hint="eastAsia" w:ascii="华文仿宋" w:hAnsi="华文仿宋" w:eastAsia="华文仿宋" w:cs="仿宋"/>
          <w:color w:val="auto"/>
          <w:sz w:val="28"/>
          <w:szCs w:val="28"/>
          <w:highlight w:val="none"/>
        </w:rPr>
        <w:t>项目</w:t>
      </w:r>
      <w:r>
        <w:rPr>
          <w:rFonts w:ascii="华文仿宋" w:hAnsi="华文仿宋" w:eastAsia="华文仿宋" w:cs="仿宋"/>
          <w:color w:val="auto"/>
          <w:sz w:val="28"/>
          <w:szCs w:val="28"/>
          <w:highlight w:val="none"/>
        </w:rPr>
        <w:t>所在地人民法院提起诉讼。</w:t>
      </w:r>
    </w:p>
    <w:p w14:paraId="331BB436">
      <w:pPr>
        <w:pStyle w:val="14"/>
        <w:spacing w:after="0" w:line="360" w:lineRule="auto"/>
        <w:ind w:firstLine="480"/>
        <w:rPr>
          <w:rFonts w:ascii="华文仿宋" w:hAnsi="华文仿宋" w:eastAsia="华文仿宋" w:cs="仿宋"/>
          <w:b/>
          <w:color w:val="auto"/>
          <w:sz w:val="28"/>
          <w:szCs w:val="28"/>
          <w:highlight w:val="none"/>
        </w:rPr>
      </w:pPr>
      <w:r>
        <w:rPr>
          <w:rFonts w:hint="eastAsia" w:ascii="华文仿宋" w:hAnsi="华文仿宋" w:eastAsia="华文仿宋" w:cs="仿宋"/>
          <w:b/>
          <w:color w:val="auto"/>
          <w:sz w:val="28"/>
          <w:szCs w:val="28"/>
          <w:highlight w:val="none"/>
        </w:rPr>
        <w:t>十一、其他</w:t>
      </w:r>
    </w:p>
    <w:p w14:paraId="48DD565B">
      <w:pPr>
        <w:pStyle w:val="14"/>
        <w:spacing w:after="0" w:line="360" w:lineRule="auto"/>
        <w:ind w:firstLine="562"/>
        <w:rPr>
          <w:rFonts w:ascii="华文仿宋" w:hAnsi="华文仿宋" w:eastAsia="华文仿宋" w:cs="仿宋"/>
          <w:b/>
          <w:color w:val="auto"/>
          <w:sz w:val="28"/>
          <w:szCs w:val="28"/>
          <w:highlight w:val="none"/>
        </w:rPr>
      </w:pPr>
      <w:r>
        <w:rPr>
          <w:rFonts w:ascii="华文仿宋" w:hAnsi="华文仿宋" w:eastAsia="华文仿宋" w:cs="仿宋"/>
          <w:b/>
          <w:color w:val="auto"/>
          <w:sz w:val="28"/>
          <w:szCs w:val="28"/>
          <w:highlight w:val="none"/>
        </w:rPr>
        <w:t>38</w:t>
      </w:r>
      <w:r>
        <w:rPr>
          <w:rFonts w:hint="eastAsia" w:ascii="华文仿宋" w:hAnsi="华文仿宋" w:eastAsia="华文仿宋" w:cs="仿宋"/>
          <w:b/>
          <w:color w:val="auto"/>
          <w:sz w:val="28"/>
          <w:szCs w:val="28"/>
          <w:highlight w:val="none"/>
        </w:rPr>
        <w:t>、工程分包</w:t>
      </w:r>
      <w:r>
        <w:rPr>
          <w:rFonts w:ascii="华文仿宋" w:hAnsi="华文仿宋" w:eastAsia="华文仿宋" w:cs="仿宋"/>
          <w:b/>
          <w:color w:val="auto"/>
          <w:sz w:val="28"/>
          <w:szCs w:val="28"/>
          <w:highlight w:val="none"/>
        </w:rPr>
        <w:t xml:space="preserve"> </w:t>
      </w:r>
    </w:p>
    <w:p w14:paraId="6E46B99F">
      <w:pPr>
        <w:pStyle w:val="14"/>
        <w:spacing w:after="0" w:line="360" w:lineRule="auto"/>
        <w:ind w:firstLine="560" w:firstLineChars="20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38.1</w:t>
      </w:r>
      <w:r>
        <w:rPr>
          <w:rFonts w:hint="eastAsia" w:ascii="华文仿宋" w:hAnsi="华文仿宋" w:eastAsia="华文仿宋" w:cs="仿宋"/>
          <w:color w:val="auto"/>
          <w:sz w:val="28"/>
          <w:szCs w:val="28"/>
          <w:highlight w:val="none"/>
        </w:rPr>
        <w:t>承包人可依法分包或发包招标，但须同时执行下列原则：</w:t>
      </w:r>
    </w:p>
    <w:p w14:paraId="2A4BFD6D">
      <w:pPr>
        <w:pStyle w:val="14"/>
        <w:spacing w:after="0" w:line="360" w:lineRule="auto"/>
        <w:ind w:firstLine="560" w:firstLineChars="20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承包人分包出去的工程，必须分包给可靠的符合工程技术资质的施工单位，并将分包单位的技术力量、装备以及社会信誉等情况报送给发包人备案，发包人不同意的分包单位，承包人不能选用。未报经发包人书面同意的分包单位，一律不能进场。若承包人擅自分包，发包人可直接从工程进度款中扣除该分包合同总价10%作为违约金，并有权与承包人解除合同。</w:t>
      </w:r>
    </w:p>
    <w:p w14:paraId="40461165">
      <w:pPr>
        <w:pStyle w:val="14"/>
        <w:spacing w:after="0" w:line="360" w:lineRule="auto"/>
        <w:ind w:firstLine="57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承包人取得批准分包并不解除承包人在合同规定任何责任和义务，其分包工程费用、分包管理费、利润以及税费，均由承包人在投标报价中充分考虑，不得以任何理由向发包人追加费用。</w:t>
      </w:r>
    </w:p>
    <w:p w14:paraId="5B161E84">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分包工程价款的支付按经发包人审核同意的分包合同的约定执行。</w:t>
      </w:r>
    </w:p>
    <w:p w14:paraId="7A9D8B16">
      <w:pPr>
        <w:pStyle w:val="14"/>
        <w:spacing w:after="0" w:line="360" w:lineRule="auto"/>
        <w:ind w:firstLine="562"/>
        <w:rPr>
          <w:rFonts w:ascii="华文仿宋" w:hAnsi="华文仿宋" w:eastAsia="华文仿宋" w:cs="仿宋"/>
          <w:b/>
          <w:color w:val="auto"/>
          <w:sz w:val="28"/>
          <w:szCs w:val="28"/>
          <w:highlight w:val="none"/>
        </w:rPr>
      </w:pPr>
      <w:r>
        <w:rPr>
          <w:rFonts w:ascii="华文仿宋" w:hAnsi="华文仿宋" w:eastAsia="华文仿宋" w:cs="仿宋"/>
          <w:b/>
          <w:color w:val="auto"/>
          <w:sz w:val="28"/>
          <w:szCs w:val="28"/>
          <w:highlight w:val="none"/>
        </w:rPr>
        <w:t>39、不可抗力</w:t>
      </w:r>
    </w:p>
    <w:p w14:paraId="08EDC2BB">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39.1不可抗力，是指不能预见、不能避免并不能克服、足以对本工程地施工造成重大实质性影响的自然灾害和战争、动乱（不包括承包人内部的任何纠纷和纷争）等社会事件。自然灾害的范围及其认定方式，按下述约定执行如下：</w:t>
      </w:r>
    </w:p>
    <w:p w14:paraId="24543D9A">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1）异常天气：仅指50年一遇以上（含50年）的洪水、10级（含本数）以上台风，直接淹没或袭击工地为确保安全而停工。承包人应于台风、洪水天气结束之日起7日内，向本地气象部门索取广州地区台风、暴雨天气资料或报告（含气象实况对此分析的内容），连同施工日志、施工现场照片办理证据保全公证，方可认为是不可抗力。</w:t>
      </w:r>
    </w:p>
    <w:p w14:paraId="4ECC033A">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（2）里氏5级（含本数）以上地震。</w:t>
      </w:r>
    </w:p>
    <w:p w14:paraId="03A4B073">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39.2因不可抗力事件导致的工期损失及费用承担按专用条款第12.2条执行。</w:t>
      </w:r>
    </w:p>
    <w:p w14:paraId="6011E03A">
      <w:pPr>
        <w:pStyle w:val="14"/>
        <w:spacing w:after="0" w:line="360" w:lineRule="auto"/>
        <w:ind w:firstLine="570"/>
        <w:rPr>
          <w:rFonts w:ascii="华文仿宋" w:hAnsi="华文仿宋" w:eastAsia="华文仿宋" w:cs="仿宋"/>
          <w:b/>
          <w:color w:val="auto"/>
          <w:sz w:val="28"/>
          <w:szCs w:val="28"/>
          <w:highlight w:val="none"/>
        </w:rPr>
      </w:pPr>
      <w:r>
        <w:rPr>
          <w:rFonts w:hint="eastAsia" w:ascii="华文仿宋" w:hAnsi="华文仿宋" w:eastAsia="华文仿宋" w:cs="仿宋"/>
          <w:b/>
          <w:color w:val="auto"/>
          <w:sz w:val="28"/>
          <w:szCs w:val="28"/>
          <w:highlight w:val="none"/>
        </w:rPr>
        <w:t>40、保险</w:t>
      </w:r>
      <w:r>
        <w:rPr>
          <w:rFonts w:ascii="华文仿宋" w:hAnsi="华文仿宋" w:eastAsia="华文仿宋" w:cs="仿宋"/>
          <w:b/>
          <w:color w:val="auto"/>
          <w:sz w:val="28"/>
          <w:szCs w:val="28"/>
          <w:highlight w:val="none"/>
        </w:rPr>
        <w:t xml:space="preserve"> </w:t>
      </w:r>
    </w:p>
    <w:p w14:paraId="28D3F09B">
      <w:pPr>
        <w:pStyle w:val="14"/>
        <w:spacing w:after="0" w:line="360" w:lineRule="auto"/>
        <w:ind w:firstLine="560" w:firstLineChars="20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40</w:t>
      </w:r>
      <w:r>
        <w:rPr>
          <w:rFonts w:ascii="华文仿宋" w:hAnsi="华文仿宋" w:eastAsia="华文仿宋" w:cs="仿宋"/>
          <w:color w:val="auto"/>
          <w:sz w:val="28"/>
          <w:szCs w:val="28"/>
          <w:highlight w:val="none"/>
        </w:rPr>
        <w:t>.</w:t>
      </w:r>
      <w:r>
        <w:rPr>
          <w:rFonts w:hint="eastAsia" w:ascii="华文仿宋" w:hAnsi="华文仿宋" w:eastAsia="华文仿宋" w:cs="仿宋"/>
          <w:color w:val="auto"/>
          <w:sz w:val="28"/>
          <w:szCs w:val="28"/>
          <w:highlight w:val="none"/>
        </w:rPr>
        <w:t>1本工程双方约定投保内容如下：</w:t>
      </w:r>
      <w:r>
        <w:rPr>
          <w:rFonts w:ascii="华文仿宋" w:hAnsi="华文仿宋" w:eastAsia="华文仿宋" w:cs="仿宋"/>
          <w:color w:val="auto"/>
          <w:sz w:val="28"/>
          <w:szCs w:val="28"/>
          <w:highlight w:val="none"/>
        </w:rPr>
        <w:t xml:space="preserve"> </w:t>
      </w:r>
    </w:p>
    <w:p w14:paraId="65C2347C">
      <w:pPr>
        <w:pStyle w:val="14"/>
        <w:spacing w:after="0" w:line="360" w:lineRule="auto"/>
        <w:ind w:firstLine="560" w:firstLineChars="20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w:t>
      </w:r>
      <w:r>
        <w:rPr>
          <w:rFonts w:ascii="华文仿宋" w:hAnsi="华文仿宋" w:eastAsia="华文仿宋" w:cs="仿宋"/>
          <w:color w:val="auto"/>
          <w:sz w:val="28"/>
          <w:szCs w:val="28"/>
          <w:highlight w:val="none"/>
        </w:rPr>
        <w:t>1</w:t>
      </w:r>
      <w:r>
        <w:rPr>
          <w:rFonts w:hint="eastAsia" w:ascii="华文仿宋" w:hAnsi="华文仿宋" w:eastAsia="华文仿宋" w:cs="仿宋"/>
          <w:color w:val="auto"/>
          <w:sz w:val="28"/>
          <w:szCs w:val="28"/>
          <w:highlight w:val="none"/>
        </w:rPr>
        <w:t>）发包人投保内容（如需）：</w:t>
      </w:r>
    </w:p>
    <w:p w14:paraId="66647281">
      <w:pPr>
        <w:pStyle w:val="14"/>
        <w:spacing w:after="0" w:line="360" w:lineRule="auto"/>
        <w:ind w:firstLine="560" w:firstLineChars="200"/>
        <w:rPr>
          <w:rFonts w:ascii="华文仿宋" w:hAnsi="华文仿宋" w:eastAsia="华文仿宋" w:cs="仿宋"/>
          <w:color w:val="auto"/>
          <w:sz w:val="28"/>
          <w:szCs w:val="28"/>
          <w:highlight w:val="none"/>
          <w:u w:val="single"/>
        </w:rPr>
      </w:pPr>
      <w:r>
        <w:rPr>
          <w:rFonts w:hint="eastAsia" w:ascii="华文仿宋" w:hAnsi="华文仿宋" w:eastAsia="华文仿宋" w:cs="仿宋"/>
          <w:color w:val="auto"/>
          <w:sz w:val="28"/>
          <w:szCs w:val="28"/>
          <w:highlight w:val="none"/>
        </w:rPr>
        <w:t>发包人委托承包人办理的保险事项：</w:t>
      </w:r>
      <w:r>
        <w:rPr>
          <w:rFonts w:hint="eastAsia" w:ascii="华文仿宋" w:hAnsi="华文仿宋" w:eastAsia="华文仿宋" w:cs="仿宋"/>
          <w:color w:val="auto"/>
          <w:sz w:val="28"/>
          <w:szCs w:val="28"/>
          <w:highlight w:val="none"/>
          <w:u w:val="single"/>
        </w:rPr>
        <w:t>建筑安装工程一切险和第三方责任保险，由承包人负责以发包人名义进行购买并由承包人承担相应费用。如承包人在合同签订之日起3</w:t>
      </w:r>
      <w:r>
        <w:rPr>
          <w:rFonts w:ascii="华文仿宋" w:hAnsi="华文仿宋" w:eastAsia="华文仿宋" w:cs="仿宋"/>
          <w:color w:val="auto"/>
          <w:sz w:val="28"/>
          <w:szCs w:val="28"/>
          <w:highlight w:val="none"/>
          <w:u w:val="single"/>
        </w:rPr>
        <w:t>0</w:t>
      </w:r>
      <w:r>
        <w:rPr>
          <w:rFonts w:hint="eastAsia" w:ascii="华文仿宋" w:hAnsi="华文仿宋" w:eastAsia="华文仿宋" w:cs="仿宋"/>
          <w:color w:val="auto"/>
          <w:sz w:val="28"/>
          <w:szCs w:val="28"/>
          <w:highlight w:val="none"/>
          <w:u w:val="single"/>
        </w:rPr>
        <w:t>日内未按上述要求购买的，则发包人有权自行购买，相应费用从承包人最近一期工程进度款中扣除。</w:t>
      </w:r>
    </w:p>
    <w:p w14:paraId="3689A990">
      <w:pPr>
        <w:pStyle w:val="14"/>
        <w:spacing w:after="0" w:line="360" w:lineRule="auto"/>
        <w:ind w:firstLine="435"/>
        <w:rPr>
          <w:rFonts w:ascii="华文仿宋" w:hAnsi="华文仿宋" w:eastAsia="华文仿宋" w:cs="仿宋"/>
          <w:color w:val="auto"/>
          <w:sz w:val="28"/>
          <w:szCs w:val="28"/>
          <w:highlight w:val="none"/>
          <w:u w:val="single"/>
        </w:rPr>
      </w:pPr>
      <w:r>
        <w:rPr>
          <w:rFonts w:ascii="华文仿宋" w:hAnsi="华文仿宋" w:eastAsia="华文仿宋" w:cs="仿宋"/>
          <w:color w:val="auto"/>
          <w:sz w:val="28"/>
          <w:szCs w:val="28"/>
          <w:highlight w:val="none"/>
        </w:rPr>
        <w:t>（2）承包人投保内容</w:t>
      </w:r>
      <w:r>
        <w:rPr>
          <w:rFonts w:hint="eastAsia" w:ascii="华文仿宋" w:hAnsi="华文仿宋" w:eastAsia="华文仿宋" w:cs="仿宋"/>
          <w:color w:val="auto"/>
          <w:sz w:val="28"/>
          <w:szCs w:val="28"/>
          <w:highlight w:val="none"/>
        </w:rPr>
        <w:t>（如需）</w:t>
      </w:r>
      <w:r>
        <w:rPr>
          <w:rFonts w:ascii="华文仿宋" w:hAnsi="华文仿宋" w:eastAsia="华文仿宋" w:cs="仿宋"/>
          <w:color w:val="auto"/>
          <w:sz w:val="28"/>
          <w:szCs w:val="28"/>
          <w:highlight w:val="none"/>
        </w:rPr>
        <w:t>：</w:t>
      </w:r>
      <w:r>
        <w:rPr>
          <w:rFonts w:ascii="华文仿宋" w:hAnsi="华文仿宋" w:eastAsia="华文仿宋" w:cs="仿宋"/>
          <w:color w:val="auto"/>
          <w:sz w:val="28"/>
          <w:szCs w:val="28"/>
          <w:highlight w:val="none"/>
          <w:u w:val="single"/>
        </w:rPr>
        <w:t>承包人应按照按通用条款40.4办理保险，以及包括建筑安装工程一切险和第三方责任保险、承包人设备的保险、人身事故保险以及材料和设备运输时的所有保险。所有保险，应向在中国注册的保险公司投保。</w:t>
      </w:r>
    </w:p>
    <w:p w14:paraId="5A3AC5F6">
      <w:pPr>
        <w:pStyle w:val="14"/>
        <w:spacing w:after="0" w:line="360" w:lineRule="auto"/>
        <w:ind w:firstLine="560" w:firstLineChars="20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40</w:t>
      </w:r>
      <w:r>
        <w:rPr>
          <w:rFonts w:ascii="华文仿宋" w:hAnsi="华文仿宋" w:eastAsia="华文仿宋" w:cs="仿宋"/>
          <w:color w:val="auto"/>
          <w:sz w:val="28"/>
          <w:szCs w:val="28"/>
          <w:highlight w:val="none"/>
        </w:rPr>
        <w:t>.5</w:t>
      </w:r>
      <w:r>
        <w:rPr>
          <w:rFonts w:hint="eastAsia" w:ascii="华文仿宋" w:hAnsi="华文仿宋" w:eastAsia="华文仿宋" w:cs="仿宋"/>
          <w:color w:val="auto"/>
          <w:sz w:val="28"/>
          <w:szCs w:val="28"/>
          <w:highlight w:val="none"/>
        </w:rPr>
        <w:t>承包人需积极配合施工现场不可预见的事项（如抢险等），立即组织人员和设备进行紧急抢救和抢修，减少人员伤亡和财产损失，防止事故扩大。</w:t>
      </w:r>
    </w:p>
    <w:p w14:paraId="1BC9679B">
      <w:pPr>
        <w:pStyle w:val="14"/>
        <w:spacing w:after="0" w:line="360" w:lineRule="auto"/>
        <w:ind w:firstLine="551"/>
        <w:rPr>
          <w:rFonts w:ascii="华文仿宋" w:hAnsi="华文仿宋" w:eastAsia="华文仿宋" w:cs="仿宋"/>
          <w:b/>
          <w:color w:val="auto"/>
          <w:sz w:val="28"/>
          <w:szCs w:val="28"/>
          <w:highlight w:val="none"/>
        </w:rPr>
      </w:pPr>
      <w:r>
        <w:rPr>
          <w:rFonts w:ascii="华文仿宋" w:hAnsi="华文仿宋" w:eastAsia="华文仿宋" w:cs="仿宋"/>
          <w:b/>
          <w:color w:val="auto"/>
          <w:sz w:val="28"/>
          <w:szCs w:val="28"/>
          <w:highlight w:val="none"/>
        </w:rPr>
        <w:t xml:space="preserve">41、担保 </w:t>
      </w:r>
    </w:p>
    <w:p w14:paraId="189854BE">
      <w:pPr>
        <w:pStyle w:val="14"/>
        <w:spacing w:after="0" w:line="360" w:lineRule="auto"/>
        <w:ind w:firstLine="551"/>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41.1本工程双方约定担保事项如下：</w:t>
      </w:r>
    </w:p>
    <w:p w14:paraId="26F7AFAD">
      <w:pPr>
        <w:pStyle w:val="14"/>
        <w:spacing w:after="0" w:line="360" w:lineRule="auto"/>
        <w:ind w:firstLine="551"/>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41.1.1支付担保：按法律法规及相关规定执行。</w:t>
      </w:r>
    </w:p>
    <w:p w14:paraId="071B5199">
      <w:pPr>
        <w:pStyle w:val="14"/>
        <w:spacing w:after="0" w:line="360" w:lineRule="auto"/>
        <w:ind w:firstLine="551"/>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41.1.2承包人须在本合同签订后及时向发包人提供合同总价（须扣除绿色施工安全防护措施费）10%的不可撤销银行履约保函（银行保函格式详见附件2）或保证保险或担保保函，且履约保函的有效期原则上应覆盖至本合同内工程结算完毕之日。承包人也可提供等额现金作为履约担保。</w:t>
      </w:r>
    </w:p>
    <w:p w14:paraId="3E161494">
      <w:pPr>
        <w:spacing w:line="360" w:lineRule="auto"/>
        <w:ind w:firstLine="562"/>
        <w:outlineLvl w:val="0"/>
        <w:rPr>
          <w:rFonts w:ascii="华文仿宋" w:hAnsi="华文仿宋" w:eastAsia="华文仿宋" w:cs="仿宋"/>
          <w:b/>
          <w:color w:val="auto"/>
          <w:kern w:val="1"/>
          <w:sz w:val="28"/>
          <w:szCs w:val="28"/>
          <w:highlight w:val="none"/>
        </w:rPr>
      </w:pPr>
      <w:r>
        <w:rPr>
          <w:rFonts w:hint="eastAsia" w:ascii="华文仿宋" w:hAnsi="华文仿宋" w:eastAsia="华文仿宋" w:cs="仿宋"/>
          <w:color w:val="auto"/>
          <w:sz w:val="28"/>
          <w:szCs w:val="28"/>
          <w:highlight w:val="none"/>
        </w:rPr>
        <w:t>41.1.3 上述银行保函或保证保险或担保保函承包人须要求开具银行保函或保证保险或担保保函的单位将原件加密后交由发包人直接开启并确认（如发包人在确认中遇到困难无法进行时，承包人须要求开具银行保函或保证保险或担保保函的单位给予配合）。若由于工期后延或导致银行保函或保证保险或担保保函失效，则承包人须提前于银行保函或保证保险或担保保函失效之日至少30个工作日，按发包人要求办理延长银行保函或保证保险或担保保函有效期的手续或按原格式补充提交新的同等金额的银行保函或保证保险或担保保函，并将相应原件正本提交发包人；否则，发包人有权拒绝支付后续各类款项或有权直接在应付给承包人的工程款中扣除相应款项，并有权单方解除合同。</w:t>
      </w:r>
    </w:p>
    <w:p w14:paraId="70203BDE">
      <w:pPr>
        <w:spacing w:line="360" w:lineRule="auto"/>
        <w:ind w:firstLine="562"/>
        <w:outlineLvl w:val="0"/>
        <w:rPr>
          <w:rFonts w:ascii="华文仿宋" w:hAnsi="华文仿宋" w:eastAsia="华文仿宋"/>
          <w:color w:val="auto"/>
          <w:sz w:val="28"/>
          <w:szCs w:val="28"/>
          <w:highlight w:val="none"/>
        </w:rPr>
      </w:pPr>
      <w:r>
        <w:rPr>
          <w:rFonts w:hint="eastAsia" w:ascii="华文仿宋" w:hAnsi="华文仿宋" w:eastAsia="华文仿宋" w:cs="仿宋"/>
          <w:b/>
          <w:color w:val="auto"/>
          <w:kern w:val="1"/>
          <w:sz w:val="28"/>
          <w:szCs w:val="28"/>
          <w:highlight w:val="none"/>
        </w:rPr>
        <w:t>42、专利技术、特殊工艺及知识产权</w:t>
      </w:r>
    </w:p>
    <w:p w14:paraId="1FA5A624">
      <w:pPr>
        <w:pStyle w:val="15"/>
        <w:spacing w:after="0" w:line="360" w:lineRule="auto"/>
        <w:ind w:left="0"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42.1</w:t>
      </w:r>
      <w:r>
        <w:rPr>
          <w:rFonts w:hint="eastAsia" w:ascii="华文仿宋" w:hAnsi="华文仿宋" w:eastAsia="华文仿宋" w:cs="仿宋"/>
          <w:color w:val="auto"/>
          <w:sz w:val="28"/>
          <w:szCs w:val="28"/>
          <w:highlight w:val="none"/>
        </w:rPr>
        <w:t>发包人要求使用专利技术或特殊工艺，应负责办理相应的申报手续，承担申报、试验、使用等费用；承包人提出使用</w:t>
      </w:r>
      <w:r>
        <w:rPr>
          <w:rFonts w:hint="eastAsia" w:ascii="华文仿宋" w:hAnsi="华文仿宋" w:eastAsia="华文仿宋" w:cs="仿宋"/>
          <w:bCs/>
          <w:color w:val="auto"/>
          <w:sz w:val="28"/>
          <w:szCs w:val="28"/>
          <w:highlight w:val="none"/>
        </w:rPr>
        <w:t>专利、</w:t>
      </w:r>
      <w:r>
        <w:rPr>
          <w:rFonts w:hint="eastAsia" w:ascii="华文仿宋" w:hAnsi="华文仿宋" w:eastAsia="华文仿宋" w:cs="仿宋"/>
          <w:color w:val="auto"/>
          <w:sz w:val="28"/>
          <w:szCs w:val="28"/>
          <w:highlight w:val="none"/>
        </w:rPr>
        <w:t>专利技术</w:t>
      </w:r>
      <w:r>
        <w:rPr>
          <w:rFonts w:hint="eastAsia" w:ascii="华文仿宋" w:hAnsi="华文仿宋" w:eastAsia="华文仿宋" w:cs="仿宋"/>
          <w:bCs/>
          <w:color w:val="auto"/>
          <w:sz w:val="28"/>
          <w:szCs w:val="28"/>
          <w:highlight w:val="none"/>
        </w:rPr>
        <w:t>、专有技术、技术秘密</w:t>
      </w:r>
      <w:r>
        <w:rPr>
          <w:rFonts w:hint="eastAsia" w:ascii="华文仿宋" w:hAnsi="华文仿宋" w:eastAsia="华文仿宋" w:cs="仿宋"/>
          <w:color w:val="auto"/>
          <w:sz w:val="28"/>
          <w:szCs w:val="28"/>
          <w:highlight w:val="none"/>
        </w:rPr>
        <w:t>或特殊工艺等，应取得工程师认可，并由承包人负责办理相关申报手续及费用。</w:t>
      </w:r>
      <w:r>
        <w:rPr>
          <w:rFonts w:ascii="华文仿宋" w:hAnsi="华文仿宋" w:eastAsia="华文仿宋" w:cs="仿宋"/>
          <w:color w:val="auto"/>
          <w:sz w:val="28"/>
          <w:szCs w:val="28"/>
          <w:highlight w:val="none"/>
        </w:rPr>
        <w:t>相关费用已包含在合同总价中，发包人不再就此支付任何费用。</w:t>
      </w:r>
    </w:p>
    <w:p w14:paraId="30E37B89">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42.2</w:t>
      </w:r>
      <w:r>
        <w:rPr>
          <w:rFonts w:hint="eastAsia" w:ascii="华文仿宋" w:hAnsi="华文仿宋" w:eastAsia="华文仿宋" w:cs="仿宋"/>
          <w:color w:val="auto"/>
          <w:kern w:val="1"/>
          <w:sz w:val="28"/>
          <w:szCs w:val="28"/>
          <w:highlight w:val="none"/>
          <w:lang w:val="zh-CN"/>
        </w:rPr>
        <w:t>因承包人非法或</w:t>
      </w:r>
      <w:r>
        <w:rPr>
          <w:rFonts w:hint="eastAsia" w:ascii="华文仿宋" w:hAnsi="华文仿宋" w:eastAsia="华文仿宋" w:cs="仿宋"/>
          <w:color w:val="auto"/>
          <w:kern w:val="1"/>
          <w:sz w:val="28"/>
          <w:szCs w:val="28"/>
          <w:highlight w:val="none"/>
        </w:rPr>
        <w:t>擅自使用</w:t>
      </w:r>
      <w:r>
        <w:rPr>
          <w:rFonts w:hint="eastAsia" w:ascii="华文仿宋" w:hAnsi="华文仿宋" w:eastAsia="华文仿宋" w:cs="仿宋"/>
          <w:color w:val="auto"/>
          <w:kern w:val="1"/>
          <w:sz w:val="28"/>
          <w:szCs w:val="28"/>
          <w:highlight w:val="none"/>
          <w:lang w:val="zh-CN"/>
        </w:rPr>
        <w:t>专利、</w:t>
      </w:r>
      <w:r>
        <w:rPr>
          <w:rFonts w:hint="eastAsia" w:ascii="华文仿宋" w:hAnsi="华文仿宋" w:eastAsia="华文仿宋" w:cs="仿宋"/>
          <w:color w:val="auto"/>
          <w:kern w:val="1"/>
          <w:sz w:val="28"/>
          <w:szCs w:val="28"/>
          <w:highlight w:val="none"/>
        </w:rPr>
        <w:t>专利技术</w:t>
      </w:r>
      <w:r>
        <w:rPr>
          <w:rFonts w:hint="eastAsia" w:ascii="华文仿宋" w:hAnsi="华文仿宋" w:eastAsia="华文仿宋" w:cs="仿宋"/>
          <w:bCs/>
          <w:color w:val="auto"/>
          <w:sz w:val="28"/>
          <w:szCs w:val="28"/>
          <w:highlight w:val="none"/>
        </w:rPr>
        <w:t>、</w:t>
      </w:r>
      <w:r>
        <w:rPr>
          <w:rFonts w:hint="eastAsia" w:ascii="华文仿宋" w:hAnsi="华文仿宋" w:eastAsia="华文仿宋" w:cs="仿宋"/>
          <w:color w:val="auto"/>
          <w:kern w:val="1"/>
          <w:sz w:val="28"/>
          <w:szCs w:val="28"/>
          <w:highlight w:val="none"/>
          <w:lang w:val="zh-CN"/>
        </w:rPr>
        <w:t>专有技术、技术秘密或特殊工艺等导致</w:t>
      </w:r>
      <w:r>
        <w:rPr>
          <w:rFonts w:hint="eastAsia" w:ascii="华文仿宋" w:hAnsi="华文仿宋" w:eastAsia="华文仿宋" w:cs="仿宋"/>
          <w:color w:val="auto"/>
          <w:kern w:val="1"/>
          <w:sz w:val="28"/>
          <w:szCs w:val="28"/>
          <w:highlight w:val="none"/>
        </w:rPr>
        <w:t>侵犯他人</w:t>
      </w:r>
      <w:r>
        <w:rPr>
          <w:rFonts w:hint="eastAsia" w:ascii="华文仿宋" w:hAnsi="华文仿宋" w:eastAsia="华文仿宋" w:cs="仿宋"/>
          <w:color w:val="auto"/>
          <w:kern w:val="1"/>
          <w:sz w:val="28"/>
          <w:szCs w:val="28"/>
          <w:highlight w:val="none"/>
          <w:lang w:val="zh-CN"/>
        </w:rPr>
        <w:t>利权</w:t>
      </w:r>
      <w:r>
        <w:rPr>
          <w:rFonts w:hint="eastAsia" w:ascii="华文仿宋" w:hAnsi="华文仿宋" w:eastAsia="华文仿宋" w:cs="仿宋"/>
          <w:color w:val="auto"/>
          <w:kern w:val="1"/>
          <w:sz w:val="28"/>
          <w:szCs w:val="28"/>
          <w:highlight w:val="none"/>
        </w:rPr>
        <w:t>的，</w:t>
      </w:r>
      <w:r>
        <w:rPr>
          <w:rFonts w:hint="eastAsia" w:ascii="华文仿宋" w:hAnsi="华文仿宋" w:eastAsia="华文仿宋" w:cs="仿宋"/>
          <w:color w:val="auto"/>
          <w:kern w:val="1"/>
          <w:sz w:val="28"/>
          <w:szCs w:val="28"/>
          <w:highlight w:val="none"/>
          <w:lang w:val="zh-CN"/>
        </w:rPr>
        <w:t>由承包人</w:t>
      </w:r>
      <w:r>
        <w:rPr>
          <w:rFonts w:hint="eastAsia" w:ascii="华文仿宋" w:hAnsi="华文仿宋" w:eastAsia="华文仿宋" w:cs="仿宋"/>
          <w:color w:val="auto"/>
          <w:kern w:val="1"/>
          <w:sz w:val="28"/>
          <w:szCs w:val="28"/>
          <w:highlight w:val="none"/>
        </w:rPr>
        <w:t>依法承担相应责任。</w:t>
      </w:r>
    </w:p>
    <w:p w14:paraId="2207030C">
      <w:pPr>
        <w:pStyle w:val="14"/>
        <w:spacing w:after="0" w:line="360" w:lineRule="auto"/>
        <w:ind w:firstLine="551"/>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42.</w:t>
      </w:r>
      <w:r>
        <w:rPr>
          <w:rFonts w:ascii="华文仿宋" w:hAnsi="华文仿宋" w:eastAsia="华文仿宋" w:cs="仿宋"/>
          <w:color w:val="auto"/>
          <w:sz w:val="28"/>
          <w:szCs w:val="28"/>
          <w:highlight w:val="none"/>
        </w:rPr>
        <w:t xml:space="preserve">3 </w:t>
      </w:r>
      <w:r>
        <w:rPr>
          <w:rFonts w:hint="eastAsia" w:ascii="华文仿宋" w:hAnsi="华文仿宋" w:eastAsia="华文仿宋" w:cs="仿宋"/>
          <w:bCs/>
          <w:color w:val="auto"/>
          <w:sz w:val="28"/>
          <w:szCs w:val="28"/>
          <w:highlight w:val="none"/>
        </w:rPr>
        <w:t>承包人完成的编制文件、设计工作成果、定制开发的软件等为履行本合同所产生的成果（如有）及其相关的知识产权、使用权及转让权均归发包人所有。</w:t>
      </w:r>
    </w:p>
    <w:p w14:paraId="020CB9C1">
      <w:pPr>
        <w:pStyle w:val="14"/>
        <w:spacing w:after="0" w:line="360" w:lineRule="auto"/>
        <w:ind w:firstLine="551"/>
        <w:rPr>
          <w:rFonts w:ascii="华文仿宋" w:hAnsi="华文仿宋" w:eastAsia="华文仿宋" w:cs="仿宋"/>
          <w:b/>
          <w:color w:val="auto"/>
          <w:sz w:val="28"/>
          <w:szCs w:val="28"/>
          <w:highlight w:val="none"/>
        </w:rPr>
      </w:pPr>
      <w:r>
        <w:rPr>
          <w:rFonts w:ascii="华文仿宋" w:hAnsi="华文仿宋" w:eastAsia="华文仿宋" w:cs="仿宋"/>
          <w:b/>
          <w:color w:val="auto"/>
          <w:sz w:val="28"/>
          <w:szCs w:val="28"/>
          <w:highlight w:val="none"/>
        </w:rPr>
        <w:t>4</w:t>
      </w:r>
      <w:r>
        <w:rPr>
          <w:rFonts w:hint="eastAsia" w:ascii="华文仿宋" w:hAnsi="华文仿宋" w:eastAsia="华文仿宋" w:cs="仿宋"/>
          <w:b/>
          <w:color w:val="auto"/>
          <w:sz w:val="28"/>
          <w:szCs w:val="28"/>
          <w:highlight w:val="none"/>
        </w:rPr>
        <w:t>3、文物和地下障碍物</w:t>
      </w:r>
    </w:p>
    <w:p w14:paraId="3D3EE526">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43.2</w:t>
      </w:r>
      <w:r>
        <w:rPr>
          <w:rFonts w:hint="eastAsia" w:ascii="华文仿宋" w:hAnsi="华文仿宋" w:eastAsia="华文仿宋" w:cs="仿宋"/>
          <w:color w:val="auto"/>
          <w:kern w:val="1"/>
          <w:sz w:val="28"/>
          <w:szCs w:val="28"/>
          <w:highlight w:val="none"/>
        </w:rPr>
        <w:t>施工中发现影响施工的地下障碍物时，承包人应于</w:t>
      </w:r>
      <w:r>
        <w:rPr>
          <w:rFonts w:ascii="华文仿宋" w:hAnsi="华文仿宋" w:eastAsia="华文仿宋" w:cs="仿宋"/>
          <w:color w:val="auto"/>
          <w:kern w:val="1"/>
          <w:sz w:val="28"/>
          <w:szCs w:val="28"/>
          <w:highlight w:val="none"/>
        </w:rPr>
        <w:t>8</w:t>
      </w:r>
      <w:r>
        <w:rPr>
          <w:rFonts w:hint="eastAsia" w:ascii="华文仿宋" w:hAnsi="华文仿宋" w:eastAsia="华文仿宋" w:cs="仿宋"/>
          <w:color w:val="auto"/>
          <w:kern w:val="1"/>
          <w:sz w:val="28"/>
          <w:szCs w:val="28"/>
          <w:highlight w:val="none"/>
        </w:rPr>
        <w:t>小时内以书面形式通知工程师，同时提出处置方案，工程师收到处置方案后</w:t>
      </w:r>
      <w:r>
        <w:rPr>
          <w:rFonts w:ascii="华文仿宋" w:hAnsi="华文仿宋" w:eastAsia="华文仿宋" w:cs="仿宋"/>
          <w:color w:val="auto"/>
          <w:kern w:val="1"/>
          <w:sz w:val="28"/>
          <w:szCs w:val="28"/>
          <w:highlight w:val="none"/>
        </w:rPr>
        <w:t>24</w:t>
      </w:r>
      <w:r>
        <w:rPr>
          <w:rFonts w:hint="eastAsia" w:ascii="华文仿宋" w:hAnsi="华文仿宋" w:eastAsia="华文仿宋" w:cs="仿宋"/>
          <w:color w:val="auto"/>
          <w:kern w:val="1"/>
          <w:sz w:val="28"/>
          <w:szCs w:val="28"/>
          <w:highlight w:val="none"/>
        </w:rPr>
        <w:t>小时内予以认可或提出修正方案，并承担由此发生的费用，顺延延误的工期。所发现的地下障碍物有归属单位时，发包人应报请有关部门协同处置。</w:t>
      </w:r>
    </w:p>
    <w:p w14:paraId="30E9B9F3">
      <w:pPr>
        <w:spacing w:line="360" w:lineRule="auto"/>
        <w:ind w:firstLine="562"/>
        <w:rPr>
          <w:rFonts w:ascii="华文仿宋" w:hAnsi="华文仿宋" w:eastAsia="华文仿宋" w:cs="仿宋"/>
          <w:b/>
          <w:color w:val="auto"/>
          <w:kern w:val="1"/>
          <w:sz w:val="28"/>
          <w:szCs w:val="28"/>
          <w:highlight w:val="none"/>
        </w:rPr>
      </w:pPr>
      <w:r>
        <w:rPr>
          <w:rFonts w:ascii="华文仿宋" w:hAnsi="华文仿宋" w:eastAsia="华文仿宋" w:cs="仿宋"/>
          <w:b/>
          <w:color w:val="auto"/>
          <w:kern w:val="1"/>
          <w:sz w:val="28"/>
          <w:szCs w:val="28"/>
          <w:highlight w:val="none"/>
        </w:rPr>
        <w:t>44．合同解除</w:t>
      </w:r>
    </w:p>
    <w:p w14:paraId="118F7346">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44.6 通用条款第44.6款仅适用于由于不可抗力或发包人违约或政府原因造成本工程建设项目停建、缓建（非承包人原因）或重大设计变更的情形。</w:t>
      </w:r>
    </w:p>
    <w:p w14:paraId="47460FA8">
      <w:pPr>
        <w:spacing w:line="360" w:lineRule="auto"/>
        <w:ind w:firstLine="560"/>
        <w:rPr>
          <w:rFonts w:ascii="华文仿宋" w:hAnsi="华文仿宋" w:eastAsia="华文仿宋" w:cs="仿宋"/>
          <w:b/>
          <w:color w:val="auto"/>
          <w:kern w:val="1"/>
          <w:sz w:val="28"/>
          <w:szCs w:val="28"/>
          <w:highlight w:val="none"/>
        </w:rPr>
      </w:pPr>
      <w:r>
        <w:rPr>
          <w:rFonts w:ascii="华文仿宋" w:hAnsi="华文仿宋" w:eastAsia="华文仿宋" w:cs="仿宋"/>
          <w:color w:val="auto"/>
          <w:kern w:val="1"/>
          <w:sz w:val="28"/>
          <w:szCs w:val="28"/>
          <w:highlight w:val="none"/>
        </w:rPr>
        <w:t>在承包人违约的情形下，按以下方式处理：发包人有权单方面解除合同，且合同解除后，承包人须无条件按发包人的要求及时限，无偿妥善做好已完工程和已购材料、设备的保护和移交工作，退还已收取的全部预付款，并自费将自有机械设备和人员撤出施工场地。承包人自负全部人员的工资薪金等全部费用，并保证不得有任何人员及单位以欠薪欠费为由侵占场地，否则对造成承包人不能按期收场的全部责任及损失均由承包人承担。发包人应为承包人撤出提供必要条件，并按合同约定支付已完工程价款。已经订货的材料、设备由承包人负责退货或解除订货合同，不能退还的货款和因退货、解除订货合同发生的费用、因未及时退货造成的损失，均由承包人承担。除此之外，承包人还须赔偿因合同解除给发包人造成的损失。承包人提交的履约保函（或保证金）在发包人扣除承包人应承担的全部违约责任及赔偿的金额后，还有余额的，余额</w:t>
      </w:r>
      <w:r>
        <w:rPr>
          <w:rFonts w:hint="eastAsia" w:ascii="华文仿宋" w:hAnsi="华文仿宋" w:eastAsia="华文仿宋" w:cs="仿宋"/>
          <w:color w:val="auto"/>
          <w:kern w:val="1"/>
          <w:sz w:val="28"/>
          <w:szCs w:val="28"/>
          <w:highlight w:val="none"/>
        </w:rPr>
        <w:t>（或履约保函）在</w:t>
      </w:r>
      <w:r>
        <w:rPr>
          <w:rFonts w:ascii="华文仿宋" w:hAnsi="华文仿宋" w:eastAsia="华文仿宋" w:cs="仿宋"/>
          <w:color w:val="auto"/>
          <w:kern w:val="1"/>
          <w:sz w:val="28"/>
          <w:szCs w:val="28"/>
          <w:highlight w:val="none"/>
        </w:rPr>
        <w:t>承包人全部完成退场之日起十日内退还承包人。</w:t>
      </w:r>
    </w:p>
    <w:p w14:paraId="65D387F4">
      <w:pPr>
        <w:pStyle w:val="14"/>
        <w:spacing w:after="0" w:line="360" w:lineRule="auto"/>
        <w:ind w:firstLine="562"/>
        <w:rPr>
          <w:rFonts w:ascii="华文仿宋" w:hAnsi="华文仿宋" w:eastAsia="华文仿宋" w:cs="仿宋"/>
          <w:b/>
          <w:color w:val="auto"/>
          <w:sz w:val="28"/>
          <w:szCs w:val="28"/>
          <w:highlight w:val="none"/>
        </w:rPr>
      </w:pPr>
      <w:r>
        <w:rPr>
          <w:rFonts w:hint="eastAsia" w:ascii="华文仿宋" w:hAnsi="华文仿宋" w:eastAsia="华文仿宋" w:cs="仿宋"/>
          <w:b/>
          <w:color w:val="auto"/>
          <w:sz w:val="28"/>
          <w:szCs w:val="28"/>
          <w:highlight w:val="none"/>
        </w:rPr>
        <w:t>47、补充条款：</w:t>
      </w:r>
    </w:p>
    <w:p w14:paraId="7F13995E">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47.1</w:t>
      </w:r>
      <w:r>
        <w:rPr>
          <w:rFonts w:hint="eastAsia" w:ascii="华文仿宋" w:hAnsi="华文仿宋" w:eastAsia="华文仿宋" w:cs="仿宋"/>
          <w:color w:val="auto"/>
          <w:sz w:val="28"/>
          <w:szCs w:val="28"/>
          <w:highlight w:val="none"/>
        </w:rPr>
        <w:t>本着施工企业对所承包的工程质量负责到底的精神，承包人自工程最终验收备案通过并正式移交发包人且双方在移交书上签字之日起对工程质量保修，保修期详见本合同附件1。</w:t>
      </w:r>
    </w:p>
    <w:p w14:paraId="2DEFA369">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工程</w:t>
      </w:r>
      <w:r>
        <w:rPr>
          <w:rFonts w:hint="eastAsia" w:ascii="华文仿宋" w:hAnsi="华文仿宋" w:eastAsia="华文仿宋" w:cs="仿宋"/>
          <w:color w:val="auto"/>
          <w:sz w:val="28"/>
          <w:szCs w:val="28"/>
          <w:highlight w:val="none"/>
        </w:rPr>
        <w:t>竣工</w:t>
      </w:r>
      <w:r>
        <w:rPr>
          <w:rFonts w:ascii="华文仿宋" w:hAnsi="华文仿宋" w:eastAsia="华文仿宋" w:cs="仿宋"/>
          <w:color w:val="auto"/>
          <w:sz w:val="28"/>
          <w:szCs w:val="28"/>
          <w:highlight w:val="none"/>
        </w:rPr>
        <w:t>验收合格之前，工程的保管责任由承包人负责，工程质量按国务院279号《建</w:t>
      </w:r>
      <w:r>
        <w:rPr>
          <w:rFonts w:hint="eastAsia" w:ascii="华文仿宋" w:hAnsi="华文仿宋" w:eastAsia="华文仿宋" w:cs="仿宋"/>
          <w:color w:val="auto"/>
          <w:sz w:val="28"/>
          <w:szCs w:val="28"/>
          <w:highlight w:val="none"/>
        </w:rPr>
        <w:t>设</w:t>
      </w:r>
      <w:r>
        <w:rPr>
          <w:rFonts w:ascii="华文仿宋" w:hAnsi="华文仿宋" w:eastAsia="华文仿宋" w:cs="仿宋"/>
          <w:color w:val="auto"/>
          <w:sz w:val="28"/>
          <w:szCs w:val="28"/>
          <w:highlight w:val="none"/>
        </w:rPr>
        <w:t>工程质量管理条例》执行。</w:t>
      </w:r>
    </w:p>
    <w:p w14:paraId="5D5CBB26">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47.2行贿和受贿：在合同执行过程中，承包人如果用行贿、送礼或其他不正当手段企图获得或已经获得额外费用，因承包人的上述行为造成的工程损害、发包人的经济损失等，承包人应负一切责任，并予赔偿。情节严重者，发包人有权终止承包人对本合同工程的承包。</w:t>
      </w:r>
    </w:p>
    <w:p w14:paraId="49848FFF">
      <w:pPr>
        <w:pStyle w:val="14"/>
        <w:spacing w:after="0" w:line="360" w:lineRule="auto"/>
        <w:rPr>
          <w:rFonts w:ascii="华文仿宋" w:hAnsi="华文仿宋" w:eastAsia="华文仿宋" w:cs="仿宋"/>
          <w:color w:val="auto"/>
          <w:sz w:val="28"/>
          <w:szCs w:val="28"/>
          <w:highlight w:val="none"/>
        </w:rPr>
      </w:pPr>
    </w:p>
    <w:p w14:paraId="7D9518C0">
      <w:pPr>
        <w:pStyle w:val="14"/>
        <w:spacing w:after="0" w:line="360" w:lineRule="auto"/>
        <w:ind w:firstLine="560" w:firstLineChars="20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合同附件：</w:t>
      </w:r>
      <w:r>
        <w:rPr>
          <w:rFonts w:eastAsia="华文仿宋" w:cs="仿宋" w:asciiTheme="majorHAnsi" w:hAnsiTheme="majorHAnsi"/>
          <w:color w:val="auto"/>
          <w:sz w:val="28"/>
          <w:szCs w:val="28"/>
          <w:highlight w:val="none"/>
        </w:rPr>
        <w:t>1.</w:t>
      </w:r>
      <w:r>
        <w:rPr>
          <w:rFonts w:ascii="华文仿宋" w:hAnsi="华文仿宋" w:eastAsia="华文仿宋" w:cs="仿宋"/>
          <w:color w:val="auto"/>
          <w:sz w:val="28"/>
          <w:szCs w:val="28"/>
          <w:highlight w:val="none"/>
        </w:rPr>
        <w:t>工程质量保修书</w:t>
      </w:r>
    </w:p>
    <w:p w14:paraId="5BE38C43">
      <w:pPr>
        <w:pStyle w:val="14"/>
        <w:spacing w:after="0" w:line="360" w:lineRule="auto"/>
        <w:ind w:firstLine="1960" w:firstLineChars="700"/>
        <w:rPr>
          <w:rFonts w:ascii="华文仿宋" w:hAnsi="华文仿宋" w:eastAsia="华文仿宋" w:cs="仿宋"/>
          <w:color w:val="auto"/>
          <w:sz w:val="28"/>
          <w:szCs w:val="28"/>
          <w:highlight w:val="none"/>
        </w:rPr>
      </w:pPr>
      <w:r>
        <w:rPr>
          <w:rFonts w:eastAsia="华文仿宋" w:cs="仿宋" w:asciiTheme="majorHAnsi" w:hAnsiTheme="majorHAnsi"/>
          <w:color w:val="auto"/>
          <w:sz w:val="28"/>
          <w:szCs w:val="28"/>
          <w:highlight w:val="none"/>
        </w:rPr>
        <w:t>2.</w:t>
      </w:r>
      <w:r>
        <w:rPr>
          <w:rFonts w:ascii="华文仿宋" w:hAnsi="华文仿宋" w:eastAsia="华文仿宋" w:cs="仿宋"/>
          <w:color w:val="auto"/>
          <w:sz w:val="28"/>
          <w:szCs w:val="28"/>
          <w:highlight w:val="none"/>
        </w:rPr>
        <w:t>履约保函（</w:t>
      </w:r>
      <w:r>
        <w:rPr>
          <w:rFonts w:hint="eastAsia" w:ascii="华文仿宋" w:hAnsi="华文仿宋" w:eastAsia="华文仿宋" w:cs="仿宋"/>
          <w:color w:val="auto"/>
          <w:sz w:val="28"/>
          <w:szCs w:val="28"/>
          <w:highlight w:val="none"/>
        </w:rPr>
        <w:t>银行保函参考格式</w:t>
      </w:r>
      <w:r>
        <w:rPr>
          <w:rFonts w:ascii="华文仿宋" w:hAnsi="华文仿宋" w:eastAsia="华文仿宋" w:cs="仿宋"/>
          <w:color w:val="auto"/>
          <w:sz w:val="28"/>
          <w:szCs w:val="28"/>
          <w:highlight w:val="none"/>
        </w:rPr>
        <w:t>）</w:t>
      </w:r>
    </w:p>
    <w:p w14:paraId="4388D2C3">
      <w:pPr>
        <w:pStyle w:val="14"/>
        <w:spacing w:after="0" w:line="360" w:lineRule="auto"/>
        <w:ind w:firstLine="1960" w:firstLineChars="700"/>
        <w:rPr>
          <w:rFonts w:ascii="华文仿宋" w:hAnsi="华文仿宋" w:eastAsia="华文仿宋" w:cs="仿宋"/>
          <w:color w:val="auto"/>
          <w:sz w:val="28"/>
          <w:szCs w:val="28"/>
          <w:highlight w:val="none"/>
        </w:rPr>
      </w:pPr>
      <w:r>
        <w:rPr>
          <w:rFonts w:eastAsia="华文仿宋" w:cs="仿宋" w:asciiTheme="majorHAnsi" w:hAnsiTheme="majorHAnsi"/>
          <w:color w:val="auto"/>
          <w:sz w:val="28"/>
          <w:szCs w:val="28"/>
          <w:highlight w:val="none"/>
        </w:rPr>
        <w:t>3.</w:t>
      </w:r>
      <w:r>
        <w:rPr>
          <w:rFonts w:hint="eastAsia" w:ascii="华文仿宋" w:hAnsi="华文仿宋" w:eastAsia="华文仿宋" w:cs="仿宋"/>
          <w:color w:val="auto"/>
          <w:sz w:val="28"/>
          <w:szCs w:val="28"/>
          <w:highlight w:val="none"/>
        </w:rPr>
        <w:t>《承包人提供主要材料和工程设备一览表》</w:t>
      </w:r>
    </w:p>
    <w:p w14:paraId="730A564F">
      <w:pPr>
        <w:pStyle w:val="14"/>
        <w:spacing w:after="0" w:line="360" w:lineRule="auto"/>
        <w:ind w:firstLine="1960" w:firstLineChars="700"/>
        <w:rPr>
          <w:rFonts w:ascii="华文仿宋" w:hAnsi="华文仿宋" w:eastAsia="华文仿宋" w:cs="仿宋"/>
          <w:color w:val="auto"/>
          <w:sz w:val="28"/>
          <w:szCs w:val="28"/>
          <w:highlight w:val="none"/>
        </w:rPr>
      </w:pPr>
      <w:r>
        <w:rPr>
          <w:rFonts w:eastAsia="华文仿宋" w:cs="仿宋" w:asciiTheme="majorHAnsi" w:hAnsiTheme="majorHAnsi"/>
          <w:color w:val="auto"/>
          <w:sz w:val="28"/>
          <w:szCs w:val="28"/>
          <w:highlight w:val="none"/>
        </w:rPr>
        <w:t>4</w:t>
      </w:r>
      <w:r>
        <w:rPr>
          <w:rFonts w:hint="eastAsia" w:eastAsia="华文仿宋" w:cs="仿宋" w:asciiTheme="majorHAnsi" w:hAnsiTheme="majorHAnsi"/>
          <w:color w:val="auto"/>
          <w:sz w:val="28"/>
          <w:szCs w:val="28"/>
          <w:highlight w:val="none"/>
        </w:rPr>
        <w:t>.</w:t>
      </w:r>
      <w:r>
        <w:rPr>
          <w:rFonts w:hint="eastAsia" w:ascii="华文仿宋" w:hAnsi="华文仿宋" w:eastAsia="华文仿宋" w:cs="仿宋"/>
          <w:color w:val="auto"/>
          <w:sz w:val="28"/>
          <w:szCs w:val="28"/>
          <w:highlight w:val="none"/>
        </w:rPr>
        <w:t>项目管理机构人员配备</w:t>
      </w:r>
    </w:p>
    <w:p w14:paraId="6E9DFBDF">
      <w:pPr>
        <w:pStyle w:val="14"/>
        <w:spacing w:after="0" w:line="360" w:lineRule="auto"/>
        <w:ind w:firstLine="1960" w:firstLineChars="700"/>
        <w:rPr>
          <w:rFonts w:ascii="华文仿宋" w:hAnsi="华文仿宋" w:eastAsia="华文仿宋" w:cs="仿宋"/>
          <w:color w:val="auto"/>
          <w:sz w:val="28"/>
          <w:szCs w:val="28"/>
          <w:highlight w:val="none"/>
        </w:rPr>
      </w:pPr>
      <w:r>
        <w:rPr>
          <w:rFonts w:eastAsia="华文仿宋" w:cs="仿宋" w:asciiTheme="majorHAnsi" w:hAnsiTheme="majorHAnsi"/>
          <w:color w:val="auto"/>
          <w:sz w:val="28"/>
          <w:szCs w:val="28"/>
          <w:highlight w:val="none"/>
        </w:rPr>
        <w:t>5.</w:t>
      </w:r>
      <w:r>
        <w:rPr>
          <w:rFonts w:ascii="华文仿宋" w:hAnsi="华文仿宋" w:eastAsia="华文仿宋" w:cs="仿宋"/>
          <w:color w:val="auto"/>
          <w:sz w:val="28"/>
          <w:szCs w:val="28"/>
          <w:highlight w:val="none"/>
        </w:rPr>
        <w:t>安全生产合同</w:t>
      </w:r>
    </w:p>
    <w:p w14:paraId="3DD49EDC">
      <w:pPr>
        <w:pStyle w:val="14"/>
        <w:spacing w:after="0" w:line="360" w:lineRule="auto"/>
        <w:ind w:firstLine="1960" w:firstLineChars="700"/>
        <w:rPr>
          <w:rFonts w:ascii="华文仿宋" w:hAnsi="华文仿宋" w:eastAsia="华文仿宋" w:cs="仿宋"/>
          <w:color w:val="auto"/>
          <w:sz w:val="28"/>
          <w:szCs w:val="28"/>
          <w:highlight w:val="none"/>
        </w:rPr>
      </w:pPr>
      <w:r>
        <w:rPr>
          <w:rFonts w:eastAsia="华文仿宋" w:cs="仿宋" w:asciiTheme="majorHAnsi" w:hAnsiTheme="majorHAnsi"/>
          <w:color w:val="auto"/>
          <w:sz w:val="28"/>
          <w:szCs w:val="28"/>
          <w:highlight w:val="none"/>
        </w:rPr>
        <w:t>6.</w:t>
      </w:r>
      <w:r>
        <w:rPr>
          <w:rFonts w:hint="eastAsia" w:ascii="华文仿宋" w:hAnsi="华文仿宋" w:eastAsia="华文仿宋" w:cs="仿宋"/>
          <w:color w:val="auto"/>
          <w:sz w:val="28"/>
          <w:szCs w:val="28"/>
          <w:highlight w:val="none"/>
        </w:rPr>
        <w:t>工程建设项目廉政责任书</w:t>
      </w:r>
    </w:p>
    <w:p w14:paraId="20DF39B6">
      <w:pPr>
        <w:pStyle w:val="14"/>
        <w:spacing w:after="0" w:line="360" w:lineRule="auto"/>
        <w:ind w:firstLine="1960" w:firstLineChars="700"/>
        <w:rPr>
          <w:rFonts w:ascii="华文仿宋" w:hAnsi="华文仿宋" w:eastAsia="华文仿宋" w:cs="仿宋"/>
          <w:color w:val="auto"/>
          <w:sz w:val="28"/>
          <w:szCs w:val="28"/>
          <w:highlight w:val="none"/>
        </w:rPr>
      </w:pPr>
      <w:r>
        <w:rPr>
          <w:rFonts w:eastAsia="华文仿宋" w:cs="仿宋" w:asciiTheme="majorHAnsi" w:hAnsiTheme="majorHAnsi"/>
          <w:color w:val="auto"/>
          <w:sz w:val="28"/>
          <w:szCs w:val="28"/>
          <w:highlight w:val="none"/>
        </w:rPr>
        <w:t>7.</w:t>
      </w:r>
      <w:r>
        <w:rPr>
          <w:rFonts w:hint="eastAsia" w:eastAsia="华文仿宋" w:cs="仿宋" w:asciiTheme="majorHAnsi" w:hAnsiTheme="majorHAnsi"/>
          <w:color w:val="auto"/>
          <w:sz w:val="28"/>
          <w:szCs w:val="28"/>
          <w:highlight w:val="none"/>
        </w:rPr>
        <w:t xml:space="preserve"> </w:t>
      </w:r>
      <w:r>
        <w:rPr>
          <w:rFonts w:hint="eastAsia" w:ascii="华文仿宋" w:hAnsi="华文仿宋" w:eastAsia="华文仿宋" w:cs="仿宋"/>
          <w:color w:val="auto"/>
          <w:sz w:val="28"/>
          <w:szCs w:val="28"/>
          <w:highlight w:val="none"/>
        </w:rPr>
        <w:t>工程量清单计价说明</w:t>
      </w:r>
    </w:p>
    <w:p w14:paraId="2EB5C227">
      <w:pPr>
        <w:pStyle w:val="14"/>
        <w:spacing w:after="0" w:line="360" w:lineRule="auto"/>
        <w:ind w:firstLine="1960" w:firstLineChars="70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8</w:t>
      </w:r>
      <w:r>
        <w:rPr>
          <w:rFonts w:ascii="华文仿宋" w:hAnsi="华文仿宋" w:eastAsia="华文仿宋" w:cs="仿宋"/>
          <w:color w:val="auto"/>
          <w:sz w:val="28"/>
          <w:szCs w:val="28"/>
          <w:highlight w:val="none"/>
        </w:rPr>
        <w:t>.</w:t>
      </w:r>
      <w:r>
        <w:rPr>
          <w:rFonts w:hint="eastAsia" w:ascii="华文仿宋" w:hAnsi="华文仿宋" w:eastAsia="华文仿宋" w:cs="仿宋"/>
          <w:color w:val="auto"/>
          <w:sz w:val="28"/>
          <w:szCs w:val="28"/>
          <w:highlight w:val="none"/>
        </w:rPr>
        <w:t>承包人配合工作</w:t>
      </w:r>
    </w:p>
    <w:p w14:paraId="0DE60D24">
      <w:pPr>
        <w:pStyle w:val="14"/>
        <w:spacing w:after="0" w:line="360" w:lineRule="auto"/>
        <w:ind w:firstLine="1960" w:firstLineChars="70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9</w:t>
      </w:r>
      <w:r>
        <w:rPr>
          <w:rFonts w:ascii="华文仿宋" w:hAnsi="华文仿宋" w:eastAsia="华文仿宋" w:cs="仿宋"/>
          <w:color w:val="auto"/>
          <w:sz w:val="28"/>
          <w:szCs w:val="28"/>
          <w:highlight w:val="none"/>
        </w:rPr>
        <w:t>.</w:t>
      </w:r>
      <w:r>
        <w:rPr>
          <w:rFonts w:hint="eastAsia" w:ascii="华文仿宋" w:hAnsi="华文仿宋" w:eastAsia="华文仿宋" w:cs="仿宋"/>
          <w:color w:val="auto"/>
          <w:sz w:val="28"/>
          <w:szCs w:val="28"/>
          <w:highlight w:val="none"/>
        </w:rPr>
        <w:t xml:space="preserve"> 工人工资支付分账管理协议书</w:t>
      </w:r>
    </w:p>
    <w:p w14:paraId="4D92CFAE">
      <w:pPr>
        <w:pStyle w:val="14"/>
        <w:spacing w:after="0" w:line="360" w:lineRule="auto"/>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（以下空白）</w:t>
      </w:r>
    </w:p>
    <w:p w14:paraId="1436297E">
      <w:pPr>
        <w:pStyle w:val="14"/>
        <w:spacing w:after="0" w:line="360" w:lineRule="auto"/>
        <w:rPr>
          <w:rFonts w:ascii="华文仿宋" w:hAnsi="华文仿宋" w:eastAsia="华文仿宋" w:cs="仿宋"/>
          <w:color w:val="auto"/>
          <w:sz w:val="28"/>
          <w:szCs w:val="28"/>
          <w:highlight w:val="none"/>
        </w:rPr>
      </w:pPr>
    </w:p>
    <w:p w14:paraId="7CE29419">
      <w:pPr>
        <w:pStyle w:val="14"/>
        <w:spacing w:after="0" w:line="360" w:lineRule="auto"/>
        <w:rPr>
          <w:rFonts w:ascii="华文仿宋" w:hAnsi="华文仿宋" w:eastAsia="华文仿宋" w:cs="仿宋"/>
          <w:color w:val="auto"/>
          <w:sz w:val="28"/>
          <w:szCs w:val="28"/>
          <w:highlight w:val="none"/>
        </w:rPr>
      </w:pPr>
    </w:p>
    <w:p w14:paraId="1B586E4F">
      <w:pPr>
        <w:pStyle w:val="14"/>
        <w:spacing w:after="0" w:line="360" w:lineRule="auto"/>
        <w:rPr>
          <w:rFonts w:ascii="华文仿宋" w:hAnsi="华文仿宋" w:eastAsia="华文仿宋" w:cs="仿宋"/>
          <w:color w:val="auto"/>
          <w:sz w:val="28"/>
          <w:szCs w:val="28"/>
          <w:highlight w:val="none"/>
        </w:rPr>
      </w:pPr>
    </w:p>
    <w:p w14:paraId="2A8C7D7B">
      <w:pPr>
        <w:pStyle w:val="14"/>
        <w:spacing w:after="0" w:line="360" w:lineRule="auto"/>
        <w:rPr>
          <w:rFonts w:ascii="华文仿宋" w:hAnsi="华文仿宋" w:eastAsia="华文仿宋" w:cs="仿宋"/>
          <w:color w:val="auto"/>
          <w:sz w:val="28"/>
          <w:szCs w:val="28"/>
          <w:highlight w:val="none"/>
        </w:rPr>
      </w:pPr>
    </w:p>
    <w:p w14:paraId="6AB694AC">
      <w:pPr>
        <w:pStyle w:val="14"/>
        <w:spacing w:after="0" w:line="360" w:lineRule="auto"/>
        <w:rPr>
          <w:rFonts w:ascii="华文仿宋" w:hAnsi="华文仿宋" w:eastAsia="华文仿宋" w:cs="仿宋"/>
          <w:color w:val="auto"/>
          <w:sz w:val="28"/>
          <w:szCs w:val="28"/>
          <w:highlight w:val="none"/>
        </w:rPr>
      </w:pPr>
    </w:p>
    <w:p w14:paraId="79728524">
      <w:pPr>
        <w:pStyle w:val="14"/>
        <w:spacing w:after="0" w:line="360" w:lineRule="auto"/>
        <w:rPr>
          <w:rFonts w:ascii="华文仿宋" w:hAnsi="华文仿宋" w:eastAsia="华文仿宋" w:cs="仿宋"/>
          <w:color w:val="auto"/>
          <w:sz w:val="28"/>
          <w:szCs w:val="28"/>
          <w:highlight w:val="none"/>
        </w:rPr>
      </w:pPr>
    </w:p>
    <w:p w14:paraId="69F4E6BF">
      <w:pPr>
        <w:pStyle w:val="14"/>
        <w:spacing w:after="0" w:line="360" w:lineRule="auto"/>
        <w:rPr>
          <w:rFonts w:ascii="华文仿宋" w:hAnsi="华文仿宋" w:eastAsia="华文仿宋" w:cs="仿宋"/>
          <w:color w:val="auto"/>
          <w:sz w:val="28"/>
          <w:szCs w:val="28"/>
          <w:highlight w:val="none"/>
        </w:rPr>
      </w:pPr>
    </w:p>
    <w:tbl>
      <w:tblPr>
        <w:tblStyle w:val="37"/>
        <w:tblpPr w:leftFromText="180" w:rightFromText="180" w:vertAnchor="text" w:horzAnchor="margin" w:tblpY="103"/>
        <w:tblW w:w="9304" w:type="dxa"/>
        <w:tblInd w:w="0" w:type="dxa"/>
        <w:tblLayout w:type="fixed"/>
        <w:tblCellMar>
          <w:top w:w="0" w:type="dxa"/>
          <w:left w:w="108" w:type="dxa"/>
          <w:bottom w:w="0" w:type="dxa"/>
          <w:right w:w="108" w:type="dxa"/>
        </w:tblCellMar>
      </w:tblPr>
      <w:tblGrid>
        <w:gridCol w:w="5902"/>
        <w:gridCol w:w="3402"/>
      </w:tblGrid>
      <w:tr w14:paraId="3BBCDC06">
        <w:tblPrEx>
          <w:tblCellMar>
            <w:top w:w="0" w:type="dxa"/>
            <w:left w:w="108" w:type="dxa"/>
            <w:bottom w:w="0" w:type="dxa"/>
            <w:right w:w="108" w:type="dxa"/>
          </w:tblCellMar>
        </w:tblPrEx>
        <w:trPr>
          <w:trHeight w:val="499" w:hRule="atLeast"/>
        </w:trPr>
        <w:tc>
          <w:tcPr>
            <w:tcW w:w="9304" w:type="dxa"/>
            <w:gridSpan w:val="2"/>
            <w:tcBorders>
              <w:top w:val="single" w:color="auto" w:sz="4" w:space="0"/>
              <w:left w:val="single" w:color="auto" w:sz="4" w:space="0"/>
              <w:bottom w:val="single" w:color="auto" w:sz="4" w:space="0"/>
              <w:right w:val="single" w:color="000000" w:sz="4" w:space="0"/>
            </w:tcBorders>
            <w:vAlign w:val="center"/>
          </w:tcPr>
          <w:p w14:paraId="7345117D">
            <w:pPr>
              <w:widowControl/>
              <w:jc w:val="left"/>
              <w:rPr>
                <w:rFonts w:ascii="华文仿宋" w:hAnsi="华文仿宋" w:eastAsia="华文仿宋" w:cs="宋体"/>
                <w:b/>
                <w:bCs/>
                <w:color w:val="auto"/>
                <w:sz w:val="24"/>
                <w:highlight w:val="none"/>
              </w:rPr>
            </w:pPr>
            <w:r>
              <w:rPr>
                <w:rFonts w:hint="eastAsia" w:ascii="华文仿宋" w:hAnsi="华文仿宋" w:eastAsia="华文仿宋" w:cs="宋体"/>
                <w:b/>
                <w:bCs/>
                <w:color w:val="auto"/>
                <w:sz w:val="24"/>
                <w:highlight w:val="none"/>
              </w:rPr>
              <w:t>发包人:</w:t>
            </w:r>
          </w:p>
        </w:tc>
      </w:tr>
      <w:tr w14:paraId="7031367D">
        <w:tblPrEx>
          <w:tblCellMar>
            <w:top w:w="0" w:type="dxa"/>
            <w:left w:w="108" w:type="dxa"/>
            <w:bottom w:w="0" w:type="dxa"/>
            <w:right w:w="108" w:type="dxa"/>
          </w:tblCellMar>
        </w:tblPrEx>
        <w:trPr>
          <w:trHeight w:val="1602" w:hRule="atLeast"/>
        </w:trPr>
        <w:tc>
          <w:tcPr>
            <w:tcW w:w="5902" w:type="dxa"/>
            <w:tcBorders>
              <w:top w:val="nil"/>
              <w:left w:val="single" w:color="auto" w:sz="4" w:space="0"/>
              <w:bottom w:val="nil"/>
              <w:right w:val="nil"/>
            </w:tcBorders>
            <w:vAlign w:val="center"/>
          </w:tcPr>
          <w:p w14:paraId="5751B682">
            <w:pPr>
              <w:widowControl/>
              <w:jc w:val="left"/>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名称：</w:t>
            </w:r>
            <w:r>
              <w:rPr>
                <w:rFonts w:ascii="华文仿宋" w:hAnsi="华文仿宋" w:eastAsia="华文仿宋" w:cs="宋体"/>
                <w:color w:val="auto"/>
                <w:sz w:val="24"/>
                <w:highlight w:val="none"/>
              </w:rPr>
              <w:t xml:space="preserve"> </w:t>
            </w:r>
          </w:p>
        </w:tc>
        <w:tc>
          <w:tcPr>
            <w:tcW w:w="3402" w:type="dxa"/>
            <w:tcBorders>
              <w:top w:val="nil"/>
              <w:left w:val="nil"/>
              <w:bottom w:val="nil"/>
              <w:right w:val="single" w:color="auto" w:sz="4" w:space="0"/>
            </w:tcBorders>
            <w:vAlign w:val="center"/>
          </w:tcPr>
          <w:p w14:paraId="74D37B61">
            <w:pPr>
              <w:widowControl/>
              <w:jc w:val="left"/>
              <w:rPr>
                <w:rFonts w:ascii="华文仿宋" w:hAnsi="华文仿宋" w:eastAsia="华文仿宋" w:cs="宋体"/>
                <w:color w:val="auto"/>
                <w:sz w:val="24"/>
                <w:highlight w:val="none"/>
              </w:rPr>
            </w:pPr>
          </w:p>
        </w:tc>
      </w:tr>
      <w:tr w14:paraId="64E7C24B">
        <w:tblPrEx>
          <w:tblCellMar>
            <w:top w:w="0" w:type="dxa"/>
            <w:left w:w="108" w:type="dxa"/>
            <w:bottom w:w="0" w:type="dxa"/>
            <w:right w:w="108" w:type="dxa"/>
          </w:tblCellMar>
        </w:tblPrEx>
        <w:trPr>
          <w:trHeight w:val="1002" w:hRule="atLeast"/>
        </w:trPr>
        <w:tc>
          <w:tcPr>
            <w:tcW w:w="5902" w:type="dxa"/>
            <w:tcBorders>
              <w:top w:val="nil"/>
              <w:left w:val="single" w:color="auto" w:sz="4" w:space="0"/>
              <w:bottom w:val="nil"/>
              <w:right w:val="nil"/>
            </w:tcBorders>
            <w:vAlign w:val="center"/>
          </w:tcPr>
          <w:p w14:paraId="2B045C29">
            <w:pPr>
              <w:widowControl/>
              <w:jc w:val="left"/>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法定代表人或授权代理人：</w:t>
            </w:r>
          </w:p>
        </w:tc>
        <w:tc>
          <w:tcPr>
            <w:tcW w:w="3402" w:type="dxa"/>
            <w:tcBorders>
              <w:top w:val="nil"/>
              <w:left w:val="nil"/>
              <w:bottom w:val="nil"/>
              <w:right w:val="single" w:color="auto" w:sz="4" w:space="0"/>
            </w:tcBorders>
            <w:vAlign w:val="center"/>
          </w:tcPr>
          <w:p w14:paraId="61506962">
            <w:pPr>
              <w:widowControl/>
              <w:jc w:val="left"/>
              <w:rPr>
                <w:rFonts w:ascii="华文仿宋" w:hAnsi="华文仿宋" w:eastAsia="华文仿宋" w:cs="宋体"/>
                <w:color w:val="auto"/>
                <w:sz w:val="24"/>
                <w:highlight w:val="none"/>
              </w:rPr>
            </w:pPr>
          </w:p>
        </w:tc>
      </w:tr>
      <w:tr w14:paraId="4C1DF18A">
        <w:tblPrEx>
          <w:tblCellMar>
            <w:top w:w="0" w:type="dxa"/>
            <w:left w:w="108" w:type="dxa"/>
            <w:bottom w:w="0" w:type="dxa"/>
            <w:right w:w="108" w:type="dxa"/>
          </w:tblCellMar>
        </w:tblPrEx>
        <w:trPr>
          <w:trHeight w:val="499" w:hRule="atLeast"/>
        </w:trPr>
        <w:tc>
          <w:tcPr>
            <w:tcW w:w="5902" w:type="dxa"/>
            <w:tcBorders>
              <w:top w:val="nil"/>
              <w:left w:val="single" w:color="auto" w:sz="4" w:space="0"/>
              <w:bottom w:val="nil"/>
              <w:right w:val="nil"/>
            </w:tcBorders>
            <w:vAlign w:val="center"/>
          </w:tcPr>
          <w:p w14:paraId="2A15B474">
            <w:pPr>
              <w:widowControl/>
              <w:jc w:val="left"/>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地    址：</w:t>
            </w:r>
            <w:r>
              <w:rPr>
                <w:rFonts w:hint="eastAsia" w:ascii="华文仿宋" w:hAnsi="华文仿宋" w:eastAsia="华文仿宋" w:cs="宋体"/>
                <w:color w:val="auto"/>
                <w:spacing w:val="-20"/>
                <w:szCs w:val="21"/>
                <w:highlight w:val="none"/>
              </w:rPr>
              <w:t xml:space="preserve"> </w:t>
            </w:r>
          </w:p>
        </w:tc>
        <w:tc>
          <w:tcPr>
            <w:tcW w:w="3402" w:type="dxa"/>
            <w:tcBorders>
              <w:top w:val="nil"/>
              <w:left w:val="nil"/>
              <w:bottom w:val="nil"/>
              <w:right w:val="single" w:color="auto" w:sz="4" w:space="0"/>
            </w:tcBorders>
            <w:vAlign w:val="center"/>
          </w:tcPr>
          <w:p w14:paraId="1DB88DA0">
            <w:pPr>
              <w:widowControl/>
              <w:jc w:val="left"/>
              <w:rPr>
                <w:rFonts w:ascii="华文仿宋" w:hAnsi="华文仿宋" w:eastAsia="华文仿宋" w:cs="宋体"/>
                <w:color w:val="auto"/>
                <w:sz w:val="24"/>
                <w:highlight w:val="none"/>
              </w:rPr>
            </w:pPr>
          </w:p>
        </w:tc>
      </w:tr>
      <w:tr w14:paraId="595ECA36">
        <w:tblPrEx>
          <w:tblCellMar>
            <w:top w:w="0" w:type="dxa"/>
            <w:left w:w="108" w:type="dxa"/>
            <w:bottom w:w="0" w:type="dxa"/>
            <w:right w:w="108" w:type="dxa"/>
          </w:tblCellMar>
        </w:tblPrEx>
        <w:trPr>
          <w:trHeight w:val="499" w:hRule="atLeast"/>
        </w:trPr>
        <w:tc>
          <w:tcPr>
            <w:tcW w:w="5902" w:type="dxa"/>
            <w:tcBorders>
              <w:top w:val="nil"/>
              <w:left w:val="single" w:color="auto" w:sz="4" w:space="0"/>
              <w:bottom w:val="nil"/>
              <w:right w:val="nil"/>
            </w:tcBorders>
            <w:vAlign w:val="center"/>
          </w:tcPr>
          <w:p w14:paraId="33C820BD">
            <w:pPr>
              <w:widowControl/>
              <w:jc w:val="left"/>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邮政编码：</w:t>
            </w:r>
          </w:p>
        </w:tc>
        <w:tc>
          <w:tcPr>
            <w:tcW w:w="3402" w:type="dxa"/>
            <w:tcBorders>
              <w:top w:val="nil"/>
              <w:left w:val="nil"/>
              <w:bottom w:val="nil"/>
              <w:right w:val="single" w:color="auto" w:sz="4" w:space="0"/>
            </w:tcBorders>
            <w:vAlign w:val="center"/>
          </w:tcPr>
          <w:p w14:paraId="1F9CB1D4">
            <w:pPr>
              <w:widowControl/>
              <w:jc w:val="left"/>
              <w:rPr>
                <w:rFonts w:ascii="华文仿宋" w:hAnsi="华文仿宋" w:eastAsia="华文仿宋" w:cs="宋体"/>
                <w:color w:val="auto"/>
                <w:sz w:val="24"/>
                <w:highlight w:val="none"/>
              </w:rPr>
            </w:pPr>
          </w:p>
        </w:tc>
      </w:tr>
      <w:tr w14:paraId="1DF343D6">
        <w:tblPrEx>
          <w:tblCellMar>
            <w:top w:w="0" w:type="dxa"/>
            <w:left w:w="108" w:type="dxa"/>
            <w:bottom w:w="0" w:type="dxa"/>
            <w:right w:w="108" w:type="dxa"/>
          </w:tblCellMar>
        </w:tblPrEx>
        <w:trPr>
          <w:trHeight w:val="499" w:hRule="atLeast"/>
        </w:trPr>
        <w:tc>
          <w:tcPr>
            <w:tcW w:w="5902" w:type="dxa"/>
            <w:tcBorders>
              <w:top w:val="nil"/>
              <w:left w:val="single" w:color="auto" w:sz="4" w:space="0"/>
              <w:bottom w:val="nil"/>
              <w:right w:val="nil"/>
            </w:tcBorders>
            <w:vAlign w:val="center"/>
          </w:tcPr>
          <w:p w14:paraId="24805C4D">
            <w:pPr>
              <w:widowControl/>
              <w:jc w:val="left"/>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 xml:space="preserve">电    话： </w:t>
            </w:r>
          </w:p>
        </w:tc>
        <w:tc>
          <w:tcPr>
            <w:tcW w:w="3402" w:type="dxa"/>
            <w:tcBorders>
              <w:top w:val="nil"/>
              <w:left w:val="nil"/>
              <w:bottom w:val="nil"/>
              <w:right w:val="single" w:color="auto" w:sz="4" w:space="0"/>
            </w:tcBorders>
            <w:vAlign w:val="center"/>
          </w:tcPr>
          <w:p w14:paraId="6B61B1EA">
            <w:pPr>
              <w:widowControl/>
              <w:jc w:val="left"/>
              <w:rPr>
                <w:rFonts w:ascii="华文仿宋" w:hAnsi="华文仿宋" w:eastAsia="华文仿宋" w:cs="宋体"/>
                <w:color w:val="auto"/>
                <w:sz w:val="24"/>
                <w:highlight w:val="none"/>
              </w:rPr>
            </w:pPr>
          </w:p>
        </w:tc>
      </w:tr>
      <w:tr w14:paraId="2162652D">
        <w:tblPrEx>
          <w:tblCellMar>
            <w:top w:w="0" w:type="dxa"/>
            <w:left w:w="108" w:type="dxa"/>
            <w:bottom w:w="0" w:type="dxa"/>
            <w:right w:w="108" w:type="dxa"/>
          </w:tblCellMar>
        </w:tblPrEx>
        <w:trPr>
          <w:trHeight w:val="499" w:hRule="atLeast"/>
        </w:trPr>
        <w:tc>
          <w:tcPr>
            <w:tcW w:w="5902" w:type="dxa"/>
            <w:tcBorders>
              <w:top w:val="nil"/>
              <w:left w:val="single" w:color="auto" w:sz="4" w:space="0"/>
              <w:bottom w:val="nil"/>
              <w:right w:val="nil"/>
            </w:tcBorders>
            <w:vAlign w:val="center"/>
          </w:tcPr>
          <w:p w14:paraId="187E3CE4">
            <w:pPr>
              <w:widowControl/>
              <w:jc w:val="left"/>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 xml:space="preserve">传    真： </w:t>
            </w:r>
          </w:p>
        </w:tc>
        <w:tc>
          <w:tcPr>
            <w:tcW w:w="3402" w:type="dxa"/>
            <w:tcBorders>
              <w:top w:val="nil"/>
              <w:left w:val="nil"/>
              <w:bottom w:val="nil"/>
              <w:right w:val="single" w:color="auto" w:sz="4" w:space="0"/>
            </w:tcBorders>
            <w:vAlign w:val="center"/>
          </w:tcPr>
          <w:p w14:paraId="3DF2A9A1">
            <w:pPr>
              <w:widowControl/>
              <w:jc w:val="left"/>
              <w:rPr>
                <w:rFonts w:ascii="华文仿宋" w:hAnsi="华文仿宋" w:eastAsia="华文仿宋" w:cs="宋体"/>
                <w:color w:val="auto"/>
                <w:sz w:val="24"/>
                <w:highlight w:val="none"/>
              </w:rPr>
            </w:pPr>
          </w:p>
        </w:tc>
      </w:tr>
      <w:tr w14:paraId="5B0F280E">
        <w:tblPrEx>
          <w:tblCellMar>
            <w:top w:w="0" w:type="dxa"/>
            <w:left w:w="108" w:type="dxa"/>
            <w:bottom w:w="0" w:type="dxa"/>
            <w:right w:w="108" w:type="dxa"/>
          </w:tblCellMar>
        </w:tblPrEx>
        <w:trPr>
          <w:trHeight w:val="499" w:hRule="atLeast"/>
        </w:trPr>
        <w:tc>
          <w:tcPr>
            <w:tcW w:w="5902" w:type="dxa"/>
            <w:tcBorders>
              <w:top w:val="nil"/>
              <w:left w:val="single" w:color="auto" w:sz="4" w:space="0"/>
              <w:bottom w:val="nil"/>
              <w:right w:val="nil"/>
            </w:tcBorders>
            <w:vAlign w:val="center"/>
          </w:tcPr>
          <w:p w14:paraId="56D02119">
            <w:pPr>
              <w:widowControl/>
              <w:jc w:val="left"/>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 xml:space="preserve">开户银行： </w:t>
            </w:r>
          </w:p>
        </w:tc>
        <w:tc>
          <w:tcPr>
            <w:tcW w:w="3402" w:type="dxa"/>
            <w:tcBorders>
              <w:top w:val="nil"/>
              <w:left w:val="nil"/>
              <w:bottom w:val="nil"/>
              <w:right w:val="single" w:color="auto" w:sz="4" w:space="0"/>
            </w:tcBorders>
            <w:vAlign w:val="center"/>
          </w:tcPr>
          <w:p w14:paraId="0992AD4D">
            <w:pPr>
              <w:widowControl/>
              <w:jc w:val="left"/>
              <w:rPr>
                <w:rFonts w:ascii="华文仿宋" w:hAnsi="华文仿宋" w:eastAsia="华文仿宋" w:cs="宋体"/>
                <w:color w:val="auto"/>
                <w:sz w:val="24"/>
                <w:highlight w:val="none"/>
              </w:rPr>
            </w:pPr>
          </w:p>
        </w:tc>
      </w:tr>
      <w:tr w14:paraId="52D9237F">
        <w:tblPrEx>
          <w:tblCellMar>
            <w:top w:w="0" w:type="dxa"/>
            <w:left w:w="108" w:type="dxa"/>
            <w:bottom w:w="0" w:type="dxa"/>
            <w:right w:w="108" w:type="dxa"/>
          </w:tblCellMar>
        </w:tblPrEx>
        <w:trPr>
          <w:trHeight w:val="499" w:hRule="atLeast"/>
        </w:trPr>
        <w:tc>
          <w:tcPr>
            <w:tcW w:w="5902" w:type="dxa"/>
            <w:tcBorders>
              <w:top w:val="nil"/>
              <w:left w:val="single" w:color="auto" w:sz="4" w:space="0"/>
              <w:bottom w:val="nil"/>
              <w:right w:val="nil"/>
            </w:tcBorders>
            <w:vAlign w:val="center"/>
          </w:tcPr>
          <w:p w14:paraId="6F808D0E">
            <w:pPr>
              <w:widowControl/>
              <w:jc w:val="left"/>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 xml:space="preserve">银行帐号： </w:t>
            </w:r>
          </w:p>
        </w:tc>
        <w:tc>
          <w:tcPr>
            <w:tcW w:w="3402" w:type="dxa"/>
            <w:tcBorders>
              <w:top w:val="nil"/>
              <w:left w:val="nil"/>
              <w:bottom w:val="nil"/>
              <w:right w:val="single" w:color="auto" w:sz="4" w:space="0"/>
            </w:tcBorders>
            <w:vAlign w:val="center"/>
          </w:tcPr>
          <w:p w14:paraId="31B04879">
            <w:pPr>
              <w:widowControl/>
              <w:jc w:val="left"/>
              <w:rPr>
                <w:rFonts w:ascii="华文仿宋" w:hAnsi="华文仿宋" w:eastAsia="华文仿宋" w:cs="宋体"/>
                <w:color w:val="auto"/>
                <w:sz w:val="24"/>
                <w:highlight w:val="none"/>
              </w:rPr>
            </w:pPr>
          </w:p>
        </w:tc>
      </w:tr>
      <w:tr w14:paraId="1C550DDA">
        <w:tblPrEx>
          <w:tblCellMar>
            <w:top w:w="0" w:type="dxa"/>
            <w:left w:w="108" w:type="dxa"/>
            <w:bottom w:w="0" w:type="dxa"/>
            <w:right w:w="108" w:type="dxa"/>
          </w:tblCellMar>
        </w:tblPrEx>
        <w:trPr>
          <w:trHeight w:val="499" w:hRule="atLeast"/>
        </w:trPr>
        <w:tc>
          <w:tcPr>
            <w:tcW w:w="5902" w:type="dxa"/>
            <w:tcBorders>
              <w:top w:val="nil"/>
              <w:left w:val="single" w:color="auto" w:sz="4" w:space="0"/>
              <w:bottom w:val="single" w:color="auto" w:sz="4" w:space="0"/>
              <w:right w:val="nil"/>
            </w:tcBorders>
            <w:vAlign w:val="center"/>
          </w:tcPr>
          <w:p w14:paraId="6F339B4C">
            <w:pPr>
              <w:widowControl/>
              <w:jc w:val="left"/>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签订日期：202</w:t>
            </w:r>
            <w:r>
              <w:rPr>
                <w:rFonts w:ascii="华文仿宋" w:hAnsi="华文仿宋" w:eastAsia="华文仿宋" w:cs="宋体"/>
                <w:color w:val="auto"/>
                <w:sz w:val="24"/>
                <w:highlight w:val="none"/>
              </w:rPr>
              <w:t>5</w:t>
            </w:r>
            <w:r>
              <w:rPr>
                <w:rFonts w:hint="eastAsia" w:ascii="华文仿宋" w:hAnsi="华文仿宋" w:eastAsia="华文仿宋" w:cs="宋体"/>
                <w:color w:val="auto"/>
                <w:sz w:val="24"/>
                <w:highlight w:val="none"/>
              </w:rPr>
              <w:t xml:space="preserve">年  月  日 </w:t>
            </w:r>
          </w:p>
        </w:tc>
        <w:tc>
          <w:tcPr>
            <w:tcW w:w="3402" w:type="dxa"/>
            <w:tcBorders>
              <w:top w:val="nil"/>
              <w:left w:val="nil"/>
              <w:bottom w:val="single" w:color="auto" w:sz="4" w:space="0"/>
              <w:right w:val="single" w:color="auto" w:sz="4" w:space="0"/>
            </w:tcBorders>
            <w:vAlign w:val="center"/>
          </w:tcPr>
          <w:p w14:paraId="29D99C7C">
            <w:pPr>
              <w:widowControl/>
              <w:jc w:val="left"/>
              <w:rPr>
                <w:rFonts w:ascii="华文仿宋" w:hAnsi="华文仿宋" w:eastAsia="华文仿宋" w:cs="宋体"/>
                <w:color w:val="auto"/>
                <w:sz w:val="24"/>
                <w:highlight w:val="none"/>
              </w:rPr>
            </w:pPr>
          </w:p>
        </w:tc>
      </w:tr>
      <w:tr w14:paraId="701296C0">
        <w:tblPrEx>
          <w:tblCellMar>
            <w:top w:w="0" w:type="dxa"/>
            <w:left w:w="108" w:type="dxa"/>
            <w:bottom w:w="0" w:type="dxa"/>
            <w:right w:w="108" w:type="dxa"/>
          </w:tblCellMar>
        </w:tblPrEx>
        <w:trPr>
          <w:trHeight w:val="499" w:hRule="atLeast"/>
        </w:trPr>
        <w:tc>
          <w:tcPr>
            <w:tcW w:w="5902" w:type="dxa"/>
            <w:tcBorders>
              <w:top w:val="nil"/>
              <w:left w:val="nil"/>
              <w:bottom w:val="nil"/>
              <w:right w:val="nil"/>
            </w:tcBorders>
            <w:vAlign w:val="center"/>
          </w:tcPr>
          <w:p w14:paraId="06011EA5">
            <w:pPr>
              <w:widowControl/>
              <w:jc w:val="left"/>
              <w:rPr>
                <w:rFonts w:ascii="华文仿宋" w:hAnsi="华文仿宋" w:eastAsia="华文仿宋" w:cs="宋体"/>
                <w:color w:val="auto"/>
                <w:sz w:val="24"/>
                <w:highlight w:val="none"/>
              </w:rPr>
            </w:pPr>
          </w:p>
        </w:tc>
        <w:tc>
          <w:tcPr>
            <w:tcW w:w="3402" w:type="dxa"/>
            <w:tcBorders>
              <w:top w:val="nil"/>
              <w:left w:val="nil"/>
              <w:bottom w:val="nil"/>
              <w:right w:val="nil"/>
            </w:tcBorders>
            <w:vAlign w:val="center"/>
          </w:tcPr>
          <w:p w14:paraId="74014720">
            <w:pPr>
              <w:widowControl/>
              <w:jc w:val="left"/>
              <w:rPr>
                <w:rFonts w:ascii="华文仿宋" w:hAnsi="华文仿宋" w:eastAsia="华文仿宋" w:cs="宋体"/>
                <w:color w:val="auto"/>
                <w:sz w:val="24"/>
                <w:highlight w:val="none"/>
              </w:rPr>
            </w:pPr>
          </w:p>
        </w:tc>
      </w:tr>
      <w:tr w14:paraId="4BB2D341">
        <w:tblPrEx>
          <w:tblCellMar>
            <w:top w:w="0" w:type="dxa"/>
            <w:left w:w="108" w:type="dxa"/>
            <w:bottom w:w="0" w:type="dxa"/>
            <w:right w:w="108" w:type="dxa"/>
          </w:tblCellMar>
        </w:tblPrEx>
        <w:trPr>
          <w:trHeight w:val="499" w:hRule="atLeast"/>
        </w:trPr>
        <w:tc>
          <w:tcPr>
            <w:tcW w:w="9304" w:type="dxa"/>
            <w:gridSpan w:val="2"/>
            <w:tcBorders>
              <w:top w:val="single" w:color="auto" w:sz="4" w:space="0"/>
              <w:left w:val="single" w:color="auto" w:sz="4" w:space="0"/>
              <w:bottom w:val="single" w:color="auto" w:sz="4" w:space="0"/>
              <w:right w:val="single" w:color="auto" w:sz="4" w:space="0"/>
            </w:tcBorders>
            <w:vAlign w:val="center"/>
          </w:tcPr>
          <w:p w14:paraId="142E34F8">
            <w:pPr>
              <w:widowControl/>
              <w:jc w:val="left"/>
              <w:rPr>
                <w:rFonts w:ascii="华文仿宋" w:hAnsi="华文仿宋" w:eastAsia="华文仿宋" w:cs="宋体"/>
                <w:b/>
                <w:bCs/>
                <w:color w:val="auto"/>
                <w:sz w:val="24"/>
                <w:highlight w:val="none"/>
              </w:rPr>
            </w:pPr>
            <w:r>
              <w:rPr>
                <w:rFonts w:hint="eastAsia" w:ascii="华文仿宋" w:hAnsi="华文仿宋" w:eastAsia="华文仿宋" w:cs="宋体"/>
                <w:b/>
                <w:bCs/>
                <w:color w:val="auto"/>
                <w:sz w:val="24"/>
                <w:highlight w:val="none"/>
              </w:rPr>
              <w:t>承包人:</w:t>
            </w:r>
          </w:p>
        </w:tc>
      </w:tr>
      <w:tr w14:paraId="6595034D">
        <w:tblPrEx>
          <w:tblCellMar>
            <w:top w:w="0" w:type="dxa"/>
            <w:left w:w="108" w:type="dxa"/>
            <w:bottom w:w="0" w:type="dxa"/>
            <w:right w:w="108" w:type="dxa"/>
          </w:tblCellMar>
        </w:tblPrEx>
        <w:trPr>
          <w:trHeight w:val="1602" w:hRule="atLeast"/>
        </w:trPr>
        <w:tc>
          <w:tcPr>
            <w:tcW w:w="5902" w:type="dxa"/>
            <w:tcBorders>
              <w:top w:val="nil"/>
              <w:left w:val="single" w:color="auto" w:sz="4" w:space="0"/>
              <w:bottom w:val="nil"/>
              <w:right w:val="nil"/>
            </w:tcBorders>
            <w:vAlign w:val="center"/>
          </w:tcPr>
          <w:p w14:paraId="265F3131">
            <w:pPr>
              <w:widowControl/>
              <w:jc w:val="left"/>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名称：</w:t>
            </w:r>
            <w:r>
              <w:rPr>
                <w:rFonts w:ascii="华文仿宋" w:hAnsi="华文仿宋" w:eastAsia="华文仿宋" w:cs="宋体"/>
                <w:color w:val="auto"/>
                <w:sz w:val="24"/>
                <w:highlight w:val="none"/>
              </w:rPr>
              <w:t xml:space="preserve"> </w:t>
            </w:r>
          </w:p>
        </w:tc>
        <w:tc>
          <w:tcPr>
            <w:tcW w:w="3402" w:type="dxa"/>
            <w:tcBorders>
              <w:top w:val="nil"/>
              <w:left w:val="nil"/>
              <w:bottom w:val="nil"/>
              <w:right w:val="single" w:color="auto" w:sz="4" w:space="0"/>
            </w:tcBorders>
            <w:vAlign w:val="center"/>
          </w:tcPr>
          <w:p w14:paraId="2CEEF0B4">
            <w:pPr>
              <w:widowControl/>
              <w:jc w:val="left"/>
              <w:rPr>
                <w:rFonts w:ascii="华文仿宋" w:hAnsi="华文仿宋" w:eastAsia="华文仿宋" w:cs="宋体"/>
                <w:color w:val="auto"/>
                <w:sz w:val="24"/>
                <w:highlight w:val="none"/>
              </w:rPr>
            </w:pPr>
          </w:p>
        </w:tc>
      </w:tr>
      <w:tr w14:paraId="2D89B3F5">
        <w:tblPrEx>
          <w:tblCellMar>
            <w:top w:w="0" w:type="dxa"/>
            <w:left w:w="108" w:type="dxa"/>
            <w:bottom w:w="0" w:type="dxa"/>
            <w:right w:w="108" w:type="dxa"/>
          </w:tblCellMar>
        </w:tblPrEx>
        <w:trPr>
          <w:trHeight w:val="1002" w:hRule="atLeast"/>
        </w:trPr>
        <w:tc>
          <w:tcPr>
            <w:tcW w:w="5902" w:type="dxa"/>
            <w:tcBorders>
              <w:top w:val="nil"/>
              <w:left w:val="single" w:color="auto" w:sz="4" w:space="0"/>
              <w:bottom w:val="nil"/>
              <w:right w:val="nil"/>
            </w:tcBorders>
            <w:vAlign w:val="center"/>
          </w:tcPr>
          <w:p w14:paraId="20AC9FFA">
            <w:pPr>
              <w:widowControl/>
              <w:jc w:val="left"/>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法定代表人或授权代理人：</w:t>
            </w:r>
          </w:p>
        </w:tc>
        <w:tc>
          <w:tcPr>
            <w:tcW w:w="3402" w:type="dxa"/>
            <w:tcBorders>
              <w:top w:val="nil"/>
              <w:left w:val="nil"/>
              <w:bottom w:val="nil"/>
              <w:right w:val="single" w:color="auto" w:sz="4" w:space="0"/>
            </w:tcBorders>
            <w:vAlign w:val="center"/>
          </w:tcPr>
          <w:p w14:paraId="19820F17">
            <w:pPr>
              <w:widowControl/>
              <w:jc w:val="left"/>
              <w:rPr>
                <w:rFonts w:ascii="华文仿宋" w:hAnsi="华文仿宋" w:eastAsia="华文仿宋" w:cs="宋体"/>
                <w:color w:val="auto"/>
                <w:sz w:val="24"/>
                <w:highlight w:val="none"/>
              </w:rPr>
            </w:pPr>
          </w:p>
        </w:tc>
      </w:tr>
      <w:tr w14:paraId="56BC0929">
        <w:tblPrEx>
          <w:tblCellMar>
            <w:top w:w="0" w:type="dxa"/>
            <w:left w:w="108" w:type="dxa"/>
            <w:bottom w:w="0" w:type="dxa"/>
            <w:right w:w="108" w:type="dxa"/>
          </w:tblCellMar>
        </w:tblPrEx>
        <w:trPr>
          <w:trHeight w:val="499" w:hRule="atLeast"/>
        </w:trPr>
        <w:tc>
          <w:tcPr>
            <w:tcW w:w="5902" w:type="dxa"/>
            <w:tcBorders>
              <w:top w:val="nil"/>
              <w:left w:val="single" w:color="auto" w:sz="4" w:space="0"/>
              <w:bottom w:val="nil"/>
              <w:right w:val="nil"/>
            </w:tcBorders>
            <w:vAlign w:val="center"/>
          </w:tcPr>
          <w:p w14:paraId="16C9863D">
            <w:pPr>
              <w:widowControl/>
              <w:ind w:left="1200" w:right="-120" w:rightChars="-57" w:hanging="1200" w:hangingChars="500"/>
              <w:jc w:val="left"/>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地    址：</w:t>
            </w:r>
            <w:r>
              <w:rPr>
                <w:rFonts w:ascii="华文仿宋" w:hAnsi="华文仿宋" w:eastAsia="华文仿宋" w:cs="宋体"/>
                <w:color w:val="auto"/>
                <w:sz w:val="24"/>
                <w:highlight w:val="none"/>
              </w:rPr>
              <w:t xml:space="preserve"> </w:t>
            </w:r>
          </w:p>
        </w:tc>
        <w:tc>
          <w:tcPr>
            <w:tcW w:w="3402" w:type="dxa"/>
            <w:tcBorders>
              <w:top w:val="nil"/>
              <w:left w:val="nil"/>
              <w:bottom w:val="nil"/>
              <w:right w:val="single" w:color="auto" w:sz="4" w:space="0"/>
            </w:tcBorders>
            <w:vAlign w:val="center"/>
          </w:tcPr>
          <w:p w14:paraId="4C2F8988">
            <w:pPr>
              <w:widowControl/>
              <w:jc w:val="left"/>
              <w:rPr>
                <w:rFonts w:ascii="华文仿宋" w:hAnsi="华文仿宋" w:eastAsia="华文仿宋" w:cs="宋体"/>
                <w:color w:val="auto"/>
                <w:sz w:val="24"/>
                <w:highlight w:val="none"/>
              </w:rPr>
            </w:pPr>
          </w:p>
        </w:tc>
      </w:tr>
      <w:tr w14:paraId="1870BCF6">
        <w:tblPrEx>
          <w:tblCellMar>
            <w:top w:w="0" w:type="dxa"/>
            <w:left w:w="108" w:type="dxa"/>
            <w:bottom w:w="0" w:type="dxa"/>
            <w:right w:w="108" w:type="dxa"/>
          </w:tblCellMar>
        </w:tblPrEx>
        <w:trPr>
          <w:trHeight w:val="499" w:hRule="atLeast"/>
        </w:trPr>
        <w:tc>
          <w:tcPr>
            <w:tcW w:w="5902" w:type="dxa"/>
            <w:tcBorders>
              <w:top w:val="nil"/>
              <w:left w:val="single" w:color="auto" w:sz="4" w:space="0"/>
              <w:bottom w:val="nil"/>
              <w:right w:val="nil"/>
            </w:tcBorders>
            <w:vAlign w:val="center"/>
          </w:tcPr>
          <w:p w14:paraId="06B8532C">
            <w:pPr>
              <w:widowControl/>
              <w:jc w:val="left"/>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邮政编码：</w:t>
            </w:r>
          </w:p>
        </w:tc>
        <w:tc>
          <w:tcPr>
            <w:tcW w:w="3402" w:type="dxa"/>
            <w:tcBorders>
              <w:top w:val="nil"/>
              <w:left w:val="nil"/>
              <w:bottom w:val="nil"/>
              <w:right w:val="single" w:color="auto" w:sz="4" w:space="0"/>
            </w:tcBorders>
            <w:vAlign w:val="center"/>
          </w:tcPr>
          <w:p w14:paraId="685B7A53">
            <w:pPr>
              <w:widowControl/>
              <w:jc w:val="left"/>
              <w:rPr>
                <w:rFonts w:ascii="华文仿宋" w:hAnsi="华文仿宋" w:eastAsia="华文仿宋" w:cs="宋体"/>
                <w:color w:val="auto"/>
                <w:sz w:val="24"/>
                <w:highlight w:val="none"/>
              </w:rPr>
            </w:pPr>
          </w:p>
        </w:tc>
      </w:tr>
      <w:tr w14:paraId="6FC290C7">
        <w:tblPrEx>
          <w:tblCellMar>
            <w:top w:w="0" w:type="dxa"/>
            <w:left w:w="108" w:type="dxa"/>
            <w:bottom w:w="0" w:type="dxa"/>
            <w:right w:w="108" w:type="dxa"/>
          </w:tblCellMar>
        </w:tblPrEx>
        <w:trPr>
          <w:trHeight w:val="499" w:hRule="atLeast"/>
        </w:trPr>
        <w:tc>
          <w:tcPr>
            <w:tcW w:w="5902" w:type="dxa"/>
            <w:tcBorders>
              <w:top w:val="nil"/>
              <w:left w:val="single" w:color="auto" w:sz="4" w:space="0"/>
              <w:bottom w:val="nil"/>
              <w:right w:val="nil"/>
            </w:tcBorders>
            <w:vAlign w:val="center"/>
          </w:tcPr>
          <w:p w14:paraId="380DF80B">
            <w:pPr>
              <w:widowControl/>
              <w:jc w:val="left"/>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电    话：</w:t>
            </w:r>
          </w:p>
        </w:tc>
        <w:tc>
          <w:tcPr>
            <w:tcW w:w="3402" w:type="dxa"/>
            <w:tcBorders>
              <w:top w:val="nil"/>
              <w:left w:val="nil"/>
              <w:bottom w:val="nil"/>
              <w:right w:val="single" w:color="auto" w:sz="4" w:space="0"/>
            </w:tcBorders>
            <w:vAlign w:val="center"/>
          </w:tcPr>
          <w:p w14:paraId="0AF18D33">
            <w:pPr>
              <w:widowControl/>
              <w:jc w:val="left"/>
              <w:rPr>
                <w:rFonts w:ascii="华文仿宋" w:hAnsi="华文仿宋" w:eastAsia="华文仿宋" w:cs="宋体"/>
                <w:color w:val="auto"/>
                <w:sz w:val="24"/>
                <w:highlight w:val="none"/>
              </w:rPr>
            </w:pPr>
          </w:p>
        </w:tc>
      </w:tr>
      <w:tr w14:paraId="0C33C7E3">
        <w:tblPrEx>
          <w:tblCellMar>
            <w:top w:w="0" w:type="dxa"/>
            <w:left w:w="108" w:type="dxa"/>
            <w:bottom w:w="0" w:type="dxa"/>
            <w:right w:w="108" w:type="dxa"/>
          </w:tblCellMar>
        </w:tblPrEx>
        <w:trPr>
          <w:trHeight w:val="499" w:hRule="atLeast"/>
        </w:trPr>
        <w:tc>
          <w:tcPr>
            <w:tcW w:w="5902" w:type="dxa"/>
            <w:tcBorders>
              <w:top w:val="nil"/>
              <w:left w:val="single" w:color="auto" w:sz="4" w:space="0"/>
              <w:bottom w:val="nil"/>
              <w:right w:val="nil"/>
            </w:tcBorders>
            <w:vAlign w:val="center"/>
          </w:tcPr>
          <w:p w14:paraId="1639056D">
            <w:pPr>
              <w:widowControl/>
              <w:jc w:val="left"/>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传    真：</w:t>
            </w:r>
          </w:p>
        </w:tc>
        <w:tc>
          <w:tcPr>
            <w:tcW w:w="3402" w:type="dxa"/>
            <w:tcBorders>
              <w:top w:val="nil"/>
              <w:left w:val="nil"/>
              <w:bottom w:val="nil"/>
              <w:right w:val="single" w:color="auto" w:sz="4" w:space="0"/>
            </w:tcBorders>
            <w:vAlign w:val="center"/>
          </w:tcPr>
          <w:p w14:paraId="2491E610">
            <w:pPr>
              <w:widowControl/>
              <w:jc w:val="left"/>
              <w:rPr>
                <w:rFonts w:ascii="华文仿宋" w:hAnsi="华文仿宋" w:eastAsia="华文仿宋" w:cs="宋体"/>
                <w:color w:val="auto"/>
                <w:sz w:val="24"/>
                <w:highlight w:val="none"/>
              </w:rPr>
            </w:pPr>
          </w:p>
        </w:tc>
      </w:tr>
      <w:tr w14:paraId="628B983F">
        <w:tblPrEx>
          <w:tblCellMar>
            <w:top w:w="0" w:type="dxa"/>
            <w:left w:w="108" w:type="dxa"/>
            <w:bottom w:w="0" w:type="dxa"/>
            <w:right w:w="108" w:type="dxa"/>
          </w:tblCellMar>
        </w:tblPrEx>
        <w:trPr>
          <w:trHeight w:val="499" w:hRule="atLeast"/>
        </w:trPr>
        <w:tc>
          <w:tcPr>
            <w:tcW w:w="5902" w:type="dxa"/>
            <w:tcBorders>
              <w:top w:val="nil"/>
              <w:left w:val="single" w:color="auto" w:sz="4" w:space="0"/>
              <w:bottom w:val="nil"/>
              <w:right w:val="nil"/>
            </w:tcBorders>
            <w:vAlign w:val="center"/>
          </w:tcPr>
          <w:p w14:paraId="3987FB4C">
            <w:pPr>
              <w:widowControl/>
              <w:jc w:val="left"/>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开户银行：</w:t>
            </w:r>
            <w:r>
              <w:rPr>
                <w:rFonts w:ascii="华文仿宋" w:hAnsi="华文仿宋" w:eastAsia="华文仿宋" w:cs="宋体"/>
                <w:color w:val="auto"/>
                <w:sz w:val="24"/>
                <w:highlight w:val="none"/>
              </w:rPr>
              <w:t xml:space="preserve"> </w:t>
            </w:r>
          </w:p>
        </w:tc>
        <w:tc>
          <w:tcPr>
            <w:tcW w:w="3402" w:type="dxa"/>
            <w:tcBorders>
              <w:top w:val="nil"/>
              <w:left w:val="nil"/>
              <w:bottom w:val="nil"/>
              <w:right w:val="single" w:color="auto" w:sz="4" w:space="0"/>
            </w:tcBorders>
            <w:vAlign w:val="center"/>
          </w:tcPr>
          <w:p w14:paraId="30C0766A">
            <w:pPr>
              <w:widowControl/>
              <w:jc w:val="left"/>
              <w:rPr>
                <w:rFonts w:ascii="华文仿宋" w:hAnsi="华文仿宋" w:eastAsia="华文仿宋" w:cs="宋体"/>
                <w:color w:val="auto"/>
                <w:sz w:val="24"/>
                <w:highlight w:val="none"/>
              </w:rPr>
            </w:pPr>
          </w:p>
        </w:tc>
      </w:tr>
      <w:tr w14:paraId="5A7F01A9">
        <w:tblPrEx>
          <w:tblCellMar>
            <w:top w:w="0" w:type="dxa"/>
            <w:left w:w="108" w:type="dxa"/>
            <w:bottom w:w="0" w:type="dxa"/>
            <w:right w:w="108" w:type="dxa"/>
          </w:tblCellMar>
        </w:tblPrEx>
        <w:trPr>
          <w:trHeight w:val="499" w:hRule="atLeast"/>
        </w:trPr>
        <w:tc>
          <w:tcPr>
            <w:tcW w:w="5902" w:type="dxa"/>
            <w:tcBorders>
              <w:top w:val="nil"/>
              <w:left w:val="single" w:color="auto" w:sz="4" w:space="0"/>
              <w:bottom w:val="nil"/>
              <w:right w:val="nil"/>
            </w:tcBorders>
            <w:vAlign w:val="center"/>
          </w:tcPr>
          <w:p w14:paraId="205C9DA1">
            <w:pPr>
              <w:widowControl/>
              <w:jc w:val="left"/>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银行帐号：</w:t>
            </w:r>
          </w:p>
        </w:tc>
        <w:tc>
          <w:tcPr>
            <w:tcW w:w="3402" w:type="dxa"/>
            <w:tcBorders>
              <w:top w:val="nil"/>
              <w:left w:val="nil"/>
              <w:bottom w:val="nil"/>
              <w:right w:val="single" w:color="auto" w:sz="4" w:space="0"/>
            </w:tcBorders>
            <w:vAlign w:val="center"/>
          </w:tcPr>
          <w:p w14:paraId="1C17DCD1">
            <w:pPr>
              <w:widowControl/>
              <w:jc w:val="left"/>
              <w:rPr>
                <w:rFonts w:ascii="华文仿宋" w:hAnsi="华文仿宋" w:eastAsia="华文仿宋" w:cs="宋体"/>
                <w:color w:val="auto"/>
                <w:sz w:val="24"/>
                <w:highlight w:val="none"/>
              </w:rPr>
            </w:pPr>
          </w:p>
        </w:tc>
      </w:tr>
      <w:tr w14:paraId="5ED5669C">
        <w:tblPrEx>
          <w:tblCellMar>
            <w:top w:w="0" w:type="dxa"/>
            <w:left w:w="108" w:type="dxa"/>
            <w:bottom w:w="0" w:type="dxa"/>
            <w:right w:w="108" w:type="dxa"/>
          </w:tblCellMar>
        </w:tblPrEx>
        <w:trPr>
          <w:trHeight w:val="499" w:hRule="atLeast"/>
        </w:trPr>
        <w:tc>
          <w:tcPr>
            <w:tcW w:w="5902" w:type="dxa"/>
            <w:tcBorders>
              <w:top w:val="nil"/>
              <w:left w:val="single" w:color="auto" w:sz="4" w:space="0"/>
              <w:bottom w:val="single" w:color="auto" w:sz="4" w:space="0"/>
              <w:right w:val="nil"/>
            </w:tcBorders>
            <w:vAlign w:val="center"/>
          </w:tcPr>
          <w:p w14:paraId="556F9206">
            <w:pPr>
              <w:widowControl/>
              <w:jc w:val="left"/>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签订日期：202</w:t>
            </w:r>
            <w:r>
              <w:rPr>
                <w:rFonts w:ascii="华文仿宋" w:hAnsi="华文仿宋" w:eastAsia="华文仿宋" w:cs="宋体"/>
                <w:color w:val="auto"/>
                <w:sz w:val="24"/>
                <w:highlight w:val="none"/>
              </w:rPr>
              <w:t>5</w:t>
            </w:r>
            <w:r>
              <w:rPr>
                <w:rFonts w:hint="eastAsia" w:ascii="华文仿宋" w:hAnsi="华文仿宋" w:eastAsia="华文仿宋" w:cs="宋体"/>
                <w:color w:val="auto"/>
                <w:sz w:val="24"/>
                <w:highlight w:val="none"/>
              </w:rPr>
              <w:t xml:space="preserve">年  月  日 </w:t>
            </w:r>
          </w:p>
        </w:tc>
        <w:tc>
          <w:tcPr>
            <w:tcW w:w="3402" w:type="dxa"/>
            <w:tcBorders>
              <w:top w:val="nil"/>
              <w:left w:val="nil"/>
              <w:bottom w:val="single" w:color="auto" w:sz="4" w:space="0"/>
              <w:right w:val="single" w:color="auto" w:sz="4" w:space="0"/>
            </w:tcBorders>
            <w:vAlign w:val="center"/>
          </w:tcPr>
          <w:p w14:paraId="3441E405">
            <w:pPr>
              <w:widowControl/>
              <w:jc w:val="left"/>
              <w:rPr>
                <w:rFonts w:ascii="华文仿宋" w:hAnsi="华文仿宋" w:eastAsia="华文仿宋" w:cs="宋体"/>
                <w:color w:val="auto"/>
                <w:sz w:val="24"/>
                <w:highlight w:val="none"/>
              </w:rPr>
            </w:pPr>
          </w:p>
        </w:tc>
      </w:tr>
    </w:tbl>
    <w:p w14:paraId="3BCE63DC">
      <w:pPr>
        <w:widowControl/>
        <w:jc w:val="left"/>
        <w:rPr>
          <w:rFonts w:ascii="华文仿宋" w:hAnsi="华文仿宋" w:eastAsia="华文仿宋" w:cs="仿宋"/>
          <w:b/>
          <w:color w:val="auto"/>
          <w:sz w:val="28"/>
          <w:szCs w:val="28"/>
          <w:highlight w:val="none"/>
        </w:rPr>
      </w:pPr>
    </w:p>
    <w:p w14:paraId="77D9CC0E">
      <w:pPr>
        <w:pStyle w:val="14"/>
        <w:spacing w:after="0" w:line="360" w:lineRule="auto"/>
        <w:jc w:val="left"/>
        <w:rPr>
          <w:rFonts w:ascii="华文仿宋" w:hAnsi="华文仿宋" w:eastAsia="华文仿宋" w:cs="仿宋"/>
          <w:b/>
          <w:color w:val="auto"/>
          <w:sz w:val="28"/>
          <w:szCs w:val="28"/>
          <w:highlight w:val="none"/>
        </w:rPr>
      </w:pPr>
      <w:r>
        <w:rPr>
          <w:rFonts w:ascii="华文仿宋" w:hAnsi="华文仿宋" w:eastAsia="华文仿宋" w:cs="仿宋"/>
          <w:b/>
          <w:color w:val="auto"/>
          <w:sz w:val="28"/>
          <w:szCs w:val="28"/>
          <w:highlight w:val="none"/>
        </w:rPr>
        <w:t>附件1</w:t>
      </w:r>
    </w:p>
    <w:p w14:paraId="79762CD1">
      <w:pPr>
        <w:spacing w:line="360" w:lineRule="auto"/>
        <w:jc w:val="center"/>
        <w:rPr>
          <w:rFonts w:ascii="华文仿宋" w:hAnsi="华文仿宋" w:eastAsia="华文仿宋" w:cs="仿宋"/>
          <w:color w:val="auto"/>
          <w:sz w:val="28"/>
          <w:szCs w:val="28"/>
          <w:highlight w:val="none"/>
        </w:rPr>
      </w:pPr>
      <w:r>
        <w:rPr>
          <w:rFonts w:hint="eastAsia" w:ascii="华文仿宋" w:hAnsi="华文仿宋" w:eastAsia="华文仿宋" w:cs="仿宋"/>
          <w:b/>
          <w:color w:val="auto"/>
          <w:sz w:val="28"/>
          <w:szCs w:val="28"/>
          <w:highlight w:val="none"/>
        </w:rPr>
        <w:t>工程质量保修书</w:t>
      </w:r>
    </w:p>
    <w:p w14:paraId="45A25851">
      <w:pPr>
        <w:spacing w:line="360" w:lineRule="auto"/>
        <w:rPr>
          <w:rFonts w:ascii="华文仿宋" w:hAnsi="华文仿宋" w:eastAsia="华文仿宋" w:cs="仿宋"/>
          <w:color w:val="auto"/>
          <w:kern w:val="1"/>
          <w:sz w:val="28"/>
          <w:szCs w:val="28"/>
          <w:highlight w:val="none"/>
          <w:u w:val="single"/>
        </w:rPr>
      </w:pPr>
      <w:r>
        <w:rPr>
          <w:rFonts w:ascii="华文仿宋" w:hAnsi="华文仿宋" w:eastAsia="华文仿宋" w:cs="仿宋"/>
          <w:color w:val="auto"/>
          <w:kern w:val="1"/>
          <w:sz w:val="28"/>
          <w:szCs w:val="28"/>
          <w:highlight w:val="none"/>
        </w:rPr>
        <w:t>发包人（全称）：</w:t>
      </w:r>
      <w:r>
        <w:rPr>
          <w:rFonts w:hint="eastAsia" w:ascii="华文仿宋" w:hAnsi="华文仿宋" w:eastAsia="华文仿宋" w:cs="仿宋"/>
          <w:color w:val="auto"/>
          <w:kern w:val="1"/>
          <w:sz w:val="28"/>
          <w:szCs w:val="28"/>
          <w:highlight w:val="none"/>
          <w:u w:val="single"/>
        </w:rPr>
        <w:t xml:space="preserve">        </w:t>
      </w:r>
      <w:r>
        <w:rPr>
          <w:rFonts w:ascii="华文仿宋" w:hAnsi="华文仿宋" w:eastAsia="华文仿宋" w:cs="仿宋"/>
          <w:color w:val="auto"/>
          <w:kern w:val="1"/>
          <w:sz w:val="28"/>
          <w:szCs w:val="28"/>
          <w:highlight w:val="none"/>
          <w:u w:val="single"/>
        </w:rPr>
        <w:t xml:space="preserve">    </w:t>
      </w:r>
      <w:r>
        <w:rPr>
          <w:rFonts w:hint="eastAsia" w:ascii="华文仿宋" w:hAnsi="华文仿宋" w:eastAsia="华文仿宋" w:cs="仿宋"/>
          <w:color w:val="auto"/>
          <w:kern w:val="1"/>
          <w:sz w:val="28"/>
          <w:szCs w:val="28"/>
          <w:highlight w:val="none"/>
          <w:u w:val="single"/>
        </w:rPr>
        <w:t xml:space="preserve">  </w:t>
      </w:r>
    </w:p>
    <w:p w14:paraId="00230827">
      <w:pPr>
        <w:spacing w:line="360" w:lineRule="auto"/>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承包人（全称）：</w:t>
      </w:r>
      <w:r>
        <w:rPr>
          <w:rFonts w:hint="eastAsia" w:ascii="华文仿宋" w:hAnsi="华文仿宋" w:eastAsia="华文仿宋" w:cs="仿宋"/>
          <w:color w:val="auto"/>
          <w:kern w:val="1"/>
          <w:sz w:val="28"/>
          <w:szCs w:val="28"/>
          <w:highlight w:val="none"/>
          <w:u w:val="single"/>
        </w:rPr>
        <w:t xml:space="preserve">         </w:t>
      </w:r>
      <w:r>
        <w:rPr>
          <w:rFonts w:ascii="华文仿宋" w:hAnsi="华文仿宋" w:eastAsia="华文仿宋" w:cs="仿宋"/>
          <w:color w:val="auto"/>
          <w:kern w:val="1"/>
          <w:sz w:val="28"/>
          <w:szCs w:val="28"/>
          <w:highlight w:val="none"/>
          <w:u w:val="single"/>
        </w:rPr>
        <w:t xml:space="preserve">    </w:t>
      </w:r>
      <w:r>
        <w:rPr>
          <w:rFonts w:hint="eastAsia" w:ascii="华文仿宋" w:hAnsi="华文仿宋" w:eastAsia="华文仿宋" w:cs="仿宋"/>
          <w:color w:val="auto"/>
          <w:kern w:val="1"/>
          <w:sz w:val="28"/>
          <w:szCs w:val="28"/>
          <w:highlight w:val="none"/>
          <w:u w:val="single"/>
        </w:rPr>
        <w:t xml:space="preserve"> </w:t>
      </w:r>
    </w:p>
    <w:p w14:paraId="5AFC62C9">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为保证</w:t>
      </w:r>
      <w:r>
        <w:rPr>
          <w:rFonts w:hint="eastAsia" w:ascii="华文仿宋" w:hAnsi="华文仿宋" w:eastAsia="华文仿宋" w:cs="仿宋"/>
          <w:color w:val="auto"/>
          <w:kern w:val="1"/>
          <w:sz w:val="28"/>
          <w:szCs w:val="28"/>
          <w:highlight w:val="none"/>
          <w:u w:val="single"/>
        </w:rPr>
        <w:t xml:space="preserve"> </w:t>
      </w:r>
      <w:r>
        <w:rPr>
          <w:rFonts w:ascii="华文仿宋" w:hAnsi="华文仿宋" w:eastAsia="华文仿宋" w:cs="仿宋"/>
          <w:color w:val="auto"/>
          <w:kern w:val="1"/>
          <w:sz w:val="28"/>
          <w:szCs w:val="28"/>
          <w:highlight w:val="none"/>
          <w:u w:val="single"/>
        </w:rPr>
        <w:t xml:space="preserve">               </w:t>
      </w:r>
      <w:r>
        <w:rPr>
          <w:rFonts w:hint="eastAsia" w:ascii="华文仿宋" w:hAnsi="华文仿宋" w:eastAsia="华文仿宋" w:cs="仿宋"/>
          <w:color w:val="auto"/>
          <w:kern w:val="1"/>
          <w:sz w:val="28"/>
          <w:szCs w:val="28"/>
          <w:highlight w:val="none"/>
        </w:rPr>
        <w:t>工程在合理使用期限内正常使用，发包人、承包人协商一致签订工程质量保修书。承包人在质量保修期内按照有关管理规定及双方约定承担工程质量保修责任。</w:t>
      </w:r>
    </w:p>
    <w:p w14:paraId="1F668FB7">
      <w:pPr>
        <w:spacing w:line="360" w:lineRule="auto"/>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一、工程质量保修范围和内容</w:t>
      </w:r>
    </w:p>
    <w:p w14:paraId="3CA4276A">
      <w:pPr>
        <w:spacing w:line="360" w:lineRule="auto"/>
        <w:ind w:firstLine="544"/>
        <w:rPr>
          <w:rFonts w:ascii="华文仿宋" w:hAnsi="华文仿宋" w:eastAsia="华文仿宋" w:cs="仿宋"/>
          <w:color w:val="auto"/>
          <w:kern w:val="28"/>
          <w:sz w:val="28"/>
          <w:szCs w:val="28"/>
          <w:highlight w:val="none"/>
        </w:rPr>
      </w:pPr>
      <w:r>
        <w:rPr>
          <w:rFonts w:hint="eastAsia" w:ascii="华文仿宋" w:hAnsi="华文仿宋" w:eastAsia="华文仿宋" w:cs="仿宋"/>
          <w:color w:val="auto"/>
          <w:kern w:val="28"/>
          <w:sz w:val="28"/>
          <w:szCs w:val="28"/>
          <w:highlight w:val="none"/>
        </w:rPr>
        <w:t>承包人在质量保修期内，按照《建设工程质量管理条例》和双方约定，承包人承担本施工合同约定的所有承包范围内的工程质量保修责任。具体保修的内容按工程竣工图执行。</w:t>
      </w:r>
    </w:p>
    <w:p w14:paraId="0088CF60">
      <w:pPr>
        <w:spacing w:line="360" w:lineRule="auto"/>
        <w:ind w:firstLine="544"/>
        <w:rPr>
          <w:rFonts w:ascii="华文仿宋" w:hAnsi="华文仿宋" w:eastAsia="华文仿宋" w:cs="仿宋"/>
          <w:color w:val="auto"/>
          <w:kern w:val="28"/>
          <w:sz w:val="28"/>
          <w:szCs w:val="28"/>
          <w:highlight w:val="none"/>
        </w:rPr>
      </w:pPr>
      <w:r>
        <w:rPr>
          <w:rFonts w:hint="eastAsia" w:ascii="华文仿宋" w:hAnsi="华文仿宋" w:eastAsia="华文仿宋" w:cs="仿宋"/>
          <w:color w:val="auto"/>
          <w:kern w:val="28"/>
          <w:sz w:val="28"/>
          <w:szCs w:val="28"/>
          <w:highlight w:val="none"/>
        </w:rPr>
        <w:t>凡属于承包人原因造成的各部位的质量问题或缺陷，以及由于承包人维修造成业主的相关损失，均属保修责任范围。不属于承包人责任的，承包人应配合维修，费用由责任方承担。非承包人原因造成的原已建完部分的结构工程的质量保修工作由发包人、承包人双方协商解决。</w:t>
      </w:r>
    </w:p>
    <w:p w14:paraId="1B883C64">
      <w:pPr>
        <w:spacing w:line="360" w:lineRule="auto"/>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二、质量保修期</w:t>
      </w:r>
    </w:p>
    <w:p w14:paraId="548189BE">
      <w:pPr>
        <w:spacing w:line="360" w:lineRule="auto"/>
        <w:ind w:firstLine="560" w:firstLineChars="20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质量保修期以工程最终验收备案通过并正式移交发包人且双方在移交书上签字之日起开始计算保修期。各专业工程保修期限如下，且不低于政府相关保修法规的要求，以两者较长的保修期为准：</w:t>
      </w:r>
    </w:p>
    <w:p w14:paraId="088E12F5">
      <w:pPr>
        <w:spacing w:line="360" w:lineRule="auto"/>
        <w:ind w:firstLine="560" w:firstLineChars="20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（1）基础设施工程、房屋建筑工程的地基基础和主体结构工程，为国家规定的合理使用年限。</w:t>
      </w:r>
    </w:p>
    <w:p w14:paraId="4D7A0364">
      <w:pPr>
        <w:spacing w:line="360" w:lineRule="auto"/>
        <w:ind w:firstLine="560" w:firstLineChars="20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（2）屋面防水工程、地下室防水工程、卫生间、厨房、阳台和外墙面（含墙体及门窗）的防渗漏（包括台风、暴雨等自然条件下的影响）、有防水要求的管道封堵防渗漏工程，为5年。</w:t>
      </w:r>
    </w:p>
    <w:p w14:paraId="5CE0EA9E">
      <w:pPr>
        <w:spacing w:line="360" w:lineRule="auto"/>
        <w:ind w:firstLine="560" w:firstLineChars="20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（3）外墙保温、涂料、面砖等，为2年。</w:t>
      </w:r>
    </w:p>
    <w:p w14:paraId="3B95A0B1">
      <w:pPr>
        <w:spacing w:line="360" w:lineRule="auto"/>
        <w:ind w:firstLine="560" w:firstLineChars="20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（4）电气管线、给排水管道、智能化系统、设备安装和装修工程，为2年。</w:t>
      </w:r>
    </w:p>
    <w:p w14:paraId="7642725A">
      <w:pPr>
        <w:spacing w:line="360" w:lineRule="auto"/>
        <w:ind w:firstLine="560" w:firstLineChars="20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（5）住宅小区内的给排水设施、道路等配套工程，为2年。</w:t>
      </w:r>
    </w:p>
    <w:p w14:paraId="6E29CE8B">
      <w:pPr>
        <w:spacing w:line="360" w:lineRule="auto"/>
        <w:ind w:firstLine="560" w:firstLineChars="20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（6）制供冷及供热系统为2个供冷期、采暖期，以实际供冷、供热年份开始计算。</w:t>
      </w:r>
    </w:p>
    <w:p w14:paraId="54E5A168">
      <w:pPr>
        <w:spacing w:line="360" w:lineRule="auto"/>
        <w:ind w:firstLine="560" w:firstLineChars="20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w:t>
      </w:r>
      <w:r>
        <w:rPr>
          <w:rFonts w:ascii="华文仿宋" w:hAnsi="华文仿宋" w:eastAsia="华文仿宋" w:cs="仿宋"/>
          <w:color w:val="auto"/>
          <w:kern w:val="1"/>
          <w:sz w:val="28"/>
          <w:szCs w:val="28"/>
          <w:highlight w:val="none"/>
        </w:rPr>
        <w:t>7</w:t>
      </w:r>
      <w:r>
        <w:rPr>
          <w:rFonts w:hint="eastAsia" w:ascii="华文仿宋" w:hAnsi="华文仿宋" w:eastAsia="华文仿宋" w:cs="仿宋"/>
          <w:color w:val="auto"/>
          <w:kern w:val="1"/>
          <w:sz w:val="28"/>
          <w:szCs w:val="28"/>
          <w:highlight w:val="none"/>
        </w:rPr>
        <w:t>）门窗保修期为2年。</w:t>
      </w:r>
      <w:r>
        <w:rPr>
          <w:rFonts w:ascii="华文仿宋" w:hAnsi="华文仿宋" w:eastAsia="华文仿宋" w:cs="仿宋"/>
          <w:color w:val="auto"/>
          <w:kern w:val="1"/>
          <w:sz w:val="28"/>
          <w:szCs w:val="28"/>
          <w:highlight w:val="none"/>
        </w:rPr>
        <w:t xml:space="preserve"> </w:t>
      </w:r>
    </w:p>
    <w:p w14:paraId="086DF6D0">
      <w:pPr>
        <w:spacing w:line="360" w:lineRule="auto"/>
        <w:ind w:firstLine="560" w:firstLineChars="20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w:t>
      </w:r>
      <w:r>
        <w:rPr>
          <w:rFonts w:ascii="华文仿宋" w:hAnsi="华文仿宋" w:eastAsia="华文仿宋" w:cs="仿宋"/>
          <w:color w:val="auto"/>
          <w:kern w:val="1"/>
          <w:sz w:val="28"/>
          <w:szCs w:val="28"/>
          <w:highlight w:val="none"/>
        </w:rPr>
        <w:t>8</w:t>
      </w:r>
      <w:r>
        <w:rPr>
          <w:rFonts w:hint="eastAsia" w:ascii="华文仿宋" w:hAnsi="华文仿宋" w:eastAsia="华文仿宋" w:cs="仿宋"/>
          <w:color w:val="auto"/>
          <w:kern w:val="1"/>
          <w:sz w:val="28"/>
          <w:szCs w:val="28"/>
          <w:highlight w:val="none"/>
        </w:rPr>
        <w:t>）智能化保修期为2年。</w:t>
      </w:r>
    </w:p>
    <w:p w14:paraId="7DA24FD8">
      <w:pPr>
        <w:spacing w:line="360" w:lineRule="auto"/>
        <w:ind w:firstLine="560" w:firstLineChars="20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w:t>
      </w:r>
      <w:r>
        <w:rPr>
          <w:rFonts w:ascii="华文仿宋" w:hAnsi="华文仿宋" w:eastAsia="华文仿宋" w:cs="仿宋"/>
          <w:color w:val="auto"/>
          <w:kern w:val="1"/>
          <w:sz w:val="28"/>
          <w:szCs w:val="28"/>
          <w:highlight w:val="none"/>
        </w:rPr>
        <w:t>9</w:t>
      </w:r>
      <w:r>
        <w:rPr>
          <w:rFonts w:hint="eastAsia" w:ascii="华文仿宋" w:hAnsi="华文仿宋" w:eastAsia="华文仿宋" w:cs="仿宋"/>
          <w:color w:val="auto"/>
          <w:kern w:val="1"/>
          <w:sz w:val="28"/>
          <w:szCs w:val="28"/>
          <w:highlight w:val="none"/>
        </w:rPr>
        <w:t>）其他项目的免费保修期均为2年。</w:t>
      </w:r>
    </w:p>
    <w:p w14:paraId="56DDF9D8">
      <w:pPr>
        <w:spacing w:line="360" w:lineRule="auto"/>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三、质量保修责任</w:t>
      </w:r>
    </w:p>
    <w:p w14:paraId="1CC6AE5C">
      <w:pPr>
        <w:spacing w:line="360" w:lineRule="auto"/>
        <w:ind w:firstLine="560" w:firstLineChars="20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（1）保修期起始</w:t>
      </w:r>
      <w:r>
        <w:rPr>
          <w:rFonts w:ascii="华文仿宋" w:hAnsi="华文仿宋" w:eastAsia="华文仿宋" w:cs="仿宋"/>
          <w:color w:val="auto"/>
          <w:kern w:val="1"/>
          <w:sz w:val="28"/>
          <w:szCs w:val="28"/>
          <w:highlight w:val="none"/>
        </w:rPr>
        <w:t>3</w:t>
      </w:r>
      <w:r>
        <w:rPr>
          <w:rFonts w:hint="eastAsia" w:ascii="华文仿宋" w:hAnsi="华文仿宋" w:eastAsia="华文仿宋" w:cs="仿宋"/>
          <w:color w:val="auto"/>
          <w:kern w:val="1"/>
          <w:sz w:val="28"/>
          <w:szCs w:val="28"/>
          <w:highlight w:val="none"/>
        </w:rPr>
        <w:t>个月内，承包人保证安排足够的维修人员和管理人员（以符合现场需要和发包人要求为准）常驻现场，负责维修工作，并在接到发包人通知后</w:t>
      </w:r>
      <w:r>
        <w:rPr>
          <w:rFonts w:ascii="华文仿宋" w:hAnsi="华文仿宋" w:eastAsia="华文仿宋" w:cs="仿宋"/>
          <w:color w:val="auto"/>
          <w:kern w:val="1"/>
          <w:sz w:val="28"/>
          <w:szCs w:val="28"/>
          <w:highlight w:val="none"/>
        </w:rPr>
        <w:t>1</w:t>
      </w:r>
      <w:r>
        <w:rPr>
          <w:rFonts w:hint="eastAsia" w:ascii="华文仿宋" w:hAnsi="华文仿宋" w:eastAsia="华文仿宋" w:cs="仿宋"/>
          <w:color w:val="auto"/>
          <w:kern w:val="1"/>
          <w:sz w:val="28"/>
          <w:szCs w:val="28"/>
          <w:highlight w:val="none"/>
        </w:rPr>
        <w:t>小时内赶赴现场。</w:t>
      </w:r>
    </w:p>
    <w:p w14:paraId="0D1BBF90">
      <w:pPr>
        <w:spacing w:line="360" w:lineRule="auto"/>
        <w:ind w:firstLine="560" w:firstLineChars="20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（2）保修期起始</w:t>
      </w:r>
      <w:r>
        <w:rPr>
          <w:rFonts w:ascii="华文仿宋" w:hAnsi="华文仿宋" w:eastAsia="华文仿宋" w:cs="仿宋"/>
          <w:color w:val="auto"/>
          <w:kern w:val="1"/>
          <w:sz w:val="28"/>
          <w:szCs w:val="28"/>
          <w:highlight w:val="none"/>
        </w:rPr>
        <w:t>3</w:t>
      </w:r>
      <w:r>
        <w:rPr>
          <w:rFonts w:hint="eastAsia" w:ascii="华文仿宋" w:hAnsi="华文仿宋" w:eastAsia="华文仿宋" w:cs="仿宋"/>
          <w:color w:val="auto"/>
          <w:kern w:val="1"/>
          <w:sz w:val="28"/>
          <w:szCs w:val="28"/>
          <w:highlight w:val="none"/>
        </w:rPr>
        <w:t>个月后，如承包人认为工程遗留质量问题不多，可向发包人提出书面申请并征得发包人同意后撤出驻现场维修队伍，但承包人须保证在接到发包人通知</w:t>
      </w:r>
      <w:r>
        <w:rPr>
          <w:rFonts w:ascii="华文仿宋" w:hAnsi="华文仿宋" w:eastAsia="华文仿宋" w:cs="仿宋"/>
          <w:color w:val="auto"/>
          <w:kern w:val="1"/>
          <w:sz w:val="28"/>
          <w:szCs w:val="28"/>
          <w:highlight w:val="none"/>
        </w:rPr>
        <w:t>24</w:t>
      </w:r>
      <w:r>
        <w:rPr>
          <w:rFonts w:hint="eastAsia" w:ascii="华文仿宋" w:hAnsi="华文仿宋" w:eastAsia="华文仿宋" w:cs="仿宋"/>
          <w:color w:val="auto"/>
          <w:kern w:val="1"/>
          <w:sz w:val="28"/>
          <w:szCs w:val="28"/>
          <w:highlight w:val="none"/>
        </w:rPr>
        <w:t>小时内赶到现场进行维修。</w:t>
      </w:r>
    </w:p>
    <w:p w14:paraId="7C90BD5E">
      <w:pPr>
        <w:spacing w:line="360" w:lineRule="auto"/>
        <w:ind w:firstLine="560" w:firstLineChars="20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（3）发生紧急抢修事故的，承包人在接到事故通知后，应当立即到达事故现场抢修。非承包人施工质量引起的事故，抢修费用由发包人承担。</w:t>
      </w:r>
    </w:p>
    <w:p w14:paraId="57BDB8FB">
      <w:pPr>
        <w:spacing w:line="360" w:lineRule="auto"/>
        <w:ind w:firstLine="560" w:firstLineChars="20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w:t>
      </w:r>
      <w:r>
        <w:rPr>
          <w:rFonts w:ascii="华文仿宋" w:hAnsi="华文仿宋" w:eastAsia="华文仿宋" w:cs="仿宋"/>
          <w:color w:val="auto"/>
          <w:kern w:val="1"/>
          <w:sz w:val="28"/>
          <w:szCs w:val="28"/>
          <w:highlight w:val="none"/>
        </w:rPr>
        <w:t>4</w:t>
      </w:r>
      <w:r>
        <w:rPr>
          <w:rFonts w:hint="eastAsia" w:ascii="华文仿宋" w:hAnsi="华文仿宋" w:eastAsia="华文仿宋" w:cs="仿宋"/>
          <w:color w:val="auto"/>
          <w:kern w:val="1"/>
          <w:sz w:val="28"/>
          <w:szCs w:val="28"/>
          <w:highlight w:val="none"/>
        </w:rPr>
        <w:t>）如承包人出现下述任何情况之一的，发包人可另行委托维修单位进行维修，保修费用从质量保修金内扣除。承包人承诺不对发包人核算的维修单价或维修工程量提出异议。</w:t>
      </w:r>
    </w:p>
    <w:p w14:paraId="246E5C83">
      <w:pPr>
        <w:spacing w:line="360" w:lineRule="auto"/>
        <w:ind w:firstLine="560" w:firstLineChars="20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a</w:t>
      </w:r>
      <w:r>
        <w:rPr>
          <w:rFonts w:hint="eastAsia" w:ascii="华文仿宋" w:hAnsi="华文仿宋" w:eastAsia="华文仿宋" w:cs="仿宋"/>
          <w:color w:val="auto"/>
          <w:kern w:val="1"/>
          <w:sz w:val="28"/>
          <w:szCs w:val="28"/>
          <w:highlight w:val="none"/>
        </w:rPr>
        <w:t>、承包人提供的联系方式，不能联系到保修负责人的；</w:t>
      </w:r>
    </w:p>
    <w:p w14:paraId="38DFD393">
      <w:pPr>
        <w:spacing w:line="360" w:lineRule="auto"/>
        <w:ind w:firstLine="560" w:firstLineChars="20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b、接到维修通知后承包人未在规定时间到场维修的；</w:t>
      </w:r>
    </w:p>
    <w:p w14:paraId="7DC47AE7">
      <w:pPr>
        <w:spacing w:line="360" w:lineRule="auto"/>
        <w:ind w:firstLine="560" w:firstLineChars="20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c、承包人拒不到现场处理的；</w:t>
      </w:r>
    </w:p>
    <w:p w14:paraId="75ABDB36">
      <w:pPr>
        <w:spacing w:line="360" w:lineRule="auto"/>
        <w:ind w:firstLine="560" w:firstLineChars="20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d</w:t>
      </w:r>
      <w:r>
        <w:rPr>
          <w:rFonts w:hint="eastAsia" w:ascii="华文仿宋" w:hAnsi="华文仿宋" w:eastAsia="华文仿宋" w:cs="仿宋"/>
          <w:color w:val="auto"/>
          <w:kern w:val="1"/>
          <w:sz w:val="28"/>
          <w:szCs w:val="28"/>
          <w:highlight w:val="none"/>
        </w:rPr>
        <w:t>、施工工艺达不到规范要求的；</w:t>
      </w:r>
    </w:p>
    <w:p w14:paraId="5D05AB04">
      <w:pPr>
        <w:spacing w:line="360" w:lineRule="auto"/>
        <w:ind w:firstLine="560" w:firstLineChars="20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e</w:t>
      </w:r>
      <w:r>
        <w:rPr>
          <w:rFonts w:hint="eastAsia" w:ascii="华文仿宋" w:hAnsi="华文仿宋" w:eastAsia="华文仿宋" w:cs="仿宋"/>
          <w:color w:val="auto"/>
          <w:kern w:val="1"/>
          <w:sz w:val="28"/>
          <w:szCs w:val="28"/>
          <w:highlight w:val="none"/>
        </w:rPr>
        <w:t>、承包人拒不执行发包人要求的维修方案的；</w:t>
      </w:r>
    </w:p>
    <w:p w14:paraId="3D7E90CB">
      <w:pPr>
        <w:spacing w:line="360" w:lineRule="auto"/>
        <w:ind w:firstLine="560" w:firstLineChars="20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f</w:t>
      </w:r>
      <w:r>
        <w:rPr>
          <w:rFonts w:hint="eastAsia" w:ascii="华文仿宋" w:hAnsi="华文仿宋" w:eastAsia="华文仿宋" w:cs="仿宋"/>
          <w:color w:val="auto"/>
          <w:kern w:val="1"/>
          <w:sz w:val="28"/>
          <w:szCs w:val="28"/>
          <w:highlight w:val="none"/>
        </w:rPr>
        <w:t>、同一位置经过一次维修仍未彻底解决问题的；</w:t>
      </w:r>
    </w:p>
    <w:p w14:paraId="3B859B81">
      <w:pPr>
        <w:spacing w:line="360" w:lineRule="auto"/>
        <w:ind w:firstLine="560" w:firstLineChars="20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g</w:t>
      </w:r>
      <w:r>
        <w:rPr>
          <w:rFonts w:hint="eastAsia" w:ascii="华文仿宋" w:hAnsi="华文仿宋" w:eastAsia="华文仿宋" w:cs="仿宋"/>
          <w:color w:val="auto"/>
          <w:kern w:val="1"/>
          <w:sz w:val="28"/>
          <w:szCs w:val="28"/>
          <w:highlight w:val="none"/>
        </w:rPr>
        <w:t>、因维修人员服务不当行为造成客户强烈投诉；</w:t>
      </w:r>
    </w:p>
    <w:p w14:paraId="0FAB82F3">
      <w:pPr>
        <w:spacing w:line="360" w:lineRule="auto"/>
        <w:ind w:firstLine="560" w:firstLineChars="20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h</w:t>
      </w:r>
      <w:r>
        <w:rPr>
          <w:rFonts w:hint="eastAsia" w:ascii="华文仿宋" w:hAnsi="华文仿宋" w:eastAsia="华文仿宋" w:cs="仿宋"/>
          <w:color w:val="auto"/>
          <w:kern w:val="1"/>
          <w:sz w:val="28"/>
          <w:szCs w:val="28"/>
          <w:highlight w:val="none"/>
        </w:rPr>
        <w:t>、严重违反发包人管理要求的；</w:t>
      </w:r>
    </w:p>
    <w:p w14:paraId="41CB6B03">
      <w:pPr>
        <w:spacing w:line="360" w:lineRule="auto"/>
        <w:ind w:firstLine="560" w:firstLineChars="20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i</w:t>
      </w:r>
      <w:r>
        <w:rPr>
          <w:rFonts w:hint="eastAsia" w:ascii="华文仿宋" w:hAnsi="华文仿宋" w:eastAsia="华文仿宋" w:cs="仿宋"/>
          <w:color w:val="auto"/>
          <w:kern w:val="1"/>
          <w:sz w:val="28"/>
          <w:szCs w:val="28"/>
          <w:highlight w:val="none"/>
        </w:rPr>
        <w:t>、特殊紧急情况（因承包人施工质量问题导致爆水管、煤气泄漏等可能危及业主生活安全的）。</w:t>
      </w:r>
    </w:p>
    <w:p w14:paraId="33D5178D">
      <w:pPr>
        <w:spacing w:line="360" w:lineRule="auto"/>
        <w:ind w:firstLine="560" w:firstLineChars="20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w:t>
      </w:r>
      <w:r>
        <w:rPr>
          <w:rFonts w:ascii="华文仿宋" w:hAnsi="华文仿宋" w:eastAsia="华文仿宋" w:cs="仿宋"/>
          <w:color w:val="auto"/>
          <w:kern w:val="1"/>
          <w:sz w:val="28"/>
          <w:szCs w:val="28"/>
          <w:highlight w:val="none"/>
        </w:rPr>
        <w:t>5</w:t>
      </w:r>
      <w:r>
        <w:rPr>
          <w:rFonts w:hint="eastAsia" w:ascii="华文仿宋" w:hAnsi="华文仿宋" w:eastAsia="华文仿宋" w:cs="仿宋"/>
          <w:color w:val="auto"/>
          <w:kern w:val="1"/>
          <w:sz w:val="28"/>
          <w:szCs w:val="28"/>
          <w:highlight w:val="none"/>
        </w:rPr>
        <w:t>）在本合同保修书约定的工程合理使用期限内，因承包人原因致使工程在合理使用期限内造成人身和财产损害的，承包人应承担损害赔偿责任。</w:t>
      </w:r>
    </w:p>
    <w:p w14:paraId="10F53E50">
      <w:pPr>
        <w:spacing w:line="360" w:lineRule="auto"/>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四、质量保修金的支付</w:t>
      </w:r>
    </w:p>
    <w:p w14:paraId="2B643E7B">
      <w:pPr>
        <w:spacing w:line="360" w:lineRule="auto"/>
        <w:ind w:firstLine="560" w:firstLineChars="200"/>
        <w:rPr>
          <w:rFonts w:ascii="华文仿宋" w:hAnsi="华文仿宋" w:eastAsia="华文仿宋" w:cs="仿宋"/>
          <w:color w:val="auto"/>
          <w:kern w:val="1"/>
          <w:sz w:val="28"/>
          <w:szCs w:val="28"/>
          <w:highlight w:val="none"/>
        </w:rPr>
      </w:pPr>
      <w:bookmarkStart w:id="9" w:name="_Hlk195692986"/>
      <w:r>
        <w:rPr>
          <w:rFonts w:hint="eastAsia" w:ascii="华文仿宋" w:hAnsi="华文仿宋" w:eastAsia="华文仿宋" w:cs="仿宋"/>
          <w:color w:val="auto"/>
          <w:kern w:val="1"/>
          <w:sz w:val="28"/>
          <w:szCs w:val="28"/>
          <w:highlight w:val="none"/>
        </w:rPr>
        <w:t>本工程约定的工程质量保修金为</w:t>
      </w:r>
      <w:r>
        <w:rPr>
          <w:rFonts w:ascii="华文仿宋" w:hAnsi="华文仿宋" w:eastAsia="华文仿宋"/>
          <w:color w:val="auto"/>
          <w:sz w:val="28"/>
          <w:szCs w:val="28"/>
          <w:highlight w:val="none"/>
        </w:rPr>
        <w:t>结算终审价</w:t>
      </w:r>
      <w:r>
        <w:rPr>
          <w:rFonts w:hint="eastAsia" w:ascii="华文仿宋" w:hAnsi="华文仿宋" w:eastAsia="华文仿宋"/>
          <w:color w:val="auto"/>
          <w:sz w:val="28"/>
          <w:szCs w:val="28"/>
          <w:highlight w:val="none"/>
        </w:rPr>
        <w:t>的</w:t>
      </w:r>
      <w:r>
        <w:rPr>
          <w:rFonts w:ascii="华文仿宋" w:hAnsi="华文仿宋" w:eastAsia="华文仿宋"/>
          <w:color w:val="auto"/>
          <w:sz w:val="28"/>
          <w:szCs w:val="28"/>
          <w:highlight w:val="none"/>
        </w:rPr>
        <w:t>3％</w:t>
      </w:r>
      <w:r>
        <w:rPr>
          <w:rFonts w:hint="eastAsia" w:ascii="华文仿宋" w:hAnsi="华文仿宋" w:eastAsia="华文仿宋" w:cs="仿宋"/>
          <w:color w:val="auto"/>
          <w:kern w:val="1"/>
          <w:sz w:val="28"/>
          <w:szCs w:val="28"/>
          <w:highlight w:val="none"/>
        </w:rPr>
        <w:t xml:space="preserve"> 。本工程双方约定承包人向发包人支付工程质量保修金金额为</w:t>
      </w:r>
      <w:r>
        <w:rPr>
          <w:rFonts w:hint="eastAsia" w:ascii="华文仿宋" w:hAnsi="华文仿宋" w:eastAsia="华文仿宋" w:cs="仿宋"/>
          <w:color w:val="auto"/>
          <w:kern w:val="1"/>
          <w:sz w:val="28"/>
          <w:szCs w:val="28"/>
          <w:highlight w:val="none"/>
          <w:u w:val="single"/>
        </w:rPr>
        <w:t xml:space="preserve">      </w:t>
      </w:r>
      <w:r>
        <w:rPr>
          <w:rFonts w:hint="eastAsia" w:ascii="华文仿宋" w:hAnsi="华文仿宋" w:eastAsia="华文仿宋" w:cs="仿宋"/>
          <w:color w:val="auto"/>
          <w:kern w:val="1"/>
          <w:sz w:val="28"/>
          <w:szCs w:val="28"/>
          <w:highlight w:val="none"/>
        </w:rPr>
        <w:t>（大写）</w:t>
      </w:r>
      <w:r>
        <w:rPr>
          <w:rFonts w:hint="eastAsia" w:ascii="华文仿宋" w:hAnsi="华文仿宋" w:eastAsia="华文仿宋" w:cs="仿宋"/>
          <w:color w:val="auto"/>
          <w:kern w:val="1"/>
          <w:sz w:val="28"/>
          <w:szCs w:val="28"/>
          <w:highlight w:val="none"/>
          <w:u w:val="single"/>
        </w:rPr>
        <w:t xml:space="preserve">       </w:t>
      </w:r>
      <w:r>
        <w:rPr>
          <w:rFonts w:hint="eastAsia" w:ascii="华文仿宋" w:hAnsi="华文仿宋" w:eastAsia="华文仿宋" w:cs="仿宋"/>
          <w:color w:val="auto"/>
          <w:kern w:val="1"/>
          <w:sz w:val="28"/>
          <w:szCs w:val="28"/>
          <w:highlight w:val="none"/>
        </w:rPr>
        <w:t>。质量保修金银行利率为</w:t>
      </w:r>
      <w:r>
        <w:rPr>
          <w:rFonts w:ascii="华文仿宋" w:hAnsi="华文仿宋" w:eastAsia="华文仿宋" w:cs="仿宋"/>
          <w:color w:val="auto"/>
          <w:kern w:val="1"/>
          <w:sz w:val="28"/>
          <w:szCs w:val="28"/>
          <w:highlight w:val="none"/>
          <w:u w:val="single"/>
        </w:rPr>
        <w:t xml:space="preserve"> </w:t>
      </w:r>
      <w:r>
        <w:rPr>
          <w:rFonts w:hint="eastAsia" w:ascii="华文仿宋" w:hAnsi="华文仿宋" w:eastAsia="华文仿宋" w:cs="仿宋"/>
          <w:color w:val="auto"/>
          <w:kern w:val="1"/>
          <w:sz w:val="28"/>
          <w:szCs w:val="28"/>
          <w:highlight w:val="none"/>
          <w:u w:val="single"/>
        </w:rPr>
        <w:t>零</w:t>
      </w:r>
      <w:r>
        <w:rPr>
          <w:rFonts w:ascii="华文仿宋" w:hAnsi="华文仿宋" w:eastAsia="华文仿宋" w:cs="仿宋"/>
          <w:color w:val="auto"/>
          <w:kern w:val="1"/>
          <w:sz w:val="28"/>
          <w:szCs w:val="28"/>
          <w:highlight w:val="none"/>
          <w:u w:val="single"/>
        </w:rPr>
        <w:t xml:space="preserve"> </w:t>
      </w:r>
      <w:r>
        <w:rPr>
          <w:rFonts w:hint="eastAsia" w:ascii="华文仿宋" w:hAnsi="华文仿宋" w:eastAsia="华文仿宋" w:cs="仿宋"/>
          <w:color w:val="auto"/>
          <w:kern w:val="1"/>
          <w:sz w:val="28"/>
          <w:szCs w:val="28"/>
          <w:highlight w:val="none"/>
        </w:rPr>
        <w:t>。</w:t>
      </w:r>
    </w:p>
    <w:bookmarkEnd w:id="9"/>
    <w:p w14:paraId="3FBDD019">
      <w:pPr>
        <w:spacing w:line="360" w:lineRule="auto"/>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五、质量保证金的返还</w:t>
      </w:r>
    </w:p>
    <w:p w14:paraId="6FE519A2">
      <w:pPr>
        <w:spacing w:line="360" w:lineRule="auto"/>
        <w:ind w:firstLine="544" w:firstLineChars="200"/>
        <w:rPr>
          <w:rFonts w:ascii="华文仿宋" w:hAnsi="华文仿宋" w:eastAsia="华文仿宋" w:cs="仿宋"/>
          <w:color w:val="auto"/>
          <w:spacing w:val="-4"/>
          <w:kern w:val="1"/>
          <w:sz w:val="28"/>
          <w:szCs w:val="28"/>
          <w:highlight w:val="none"/>
        </w:rPr>
      </w:pPr>
      <w:r>
        <w:rPr>
          <w:rFonts w:hint="eastAsia" w:ascii="华文仿宋" w:hAnsi="华文仿宋" w:eastAsia="华文仿宋" w:cs="仿宋"/>
          <w:color w:val="auto"/>
          <w:spacing w:val="-4"/>
          <w:kern w:val="1"/>
          <w:sz w:val="28"/>
          <w:szCs w:val="28"/>
          <w:highlight w:val="none"/>
        </w:rPr>
        <w:t>如在结算价款中扣留质量保证金的，发包人在缺陷责任期（2年）满后15天内，将剩余保证金无息返还承包人。</w:t>
      </w:r>
    </w:p>
    <w:p w14:paraId="431551CA">
      <w:pPr>
        <w:spacing w:line="380" w:lineRule="exact"/>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六、其他</w:t>
      </w:r>
    </w:p>
    <w:p w14:paraId="23EF88A1">
      <w:pPr>
        <w:spacing w:line="380" w:lineRule="exact"/>
        <w:ind w:firstLine="560" w:firstLineChars="200"/>
        <w:rPr>
          <w:rFonts w:ascii="华文仿宋" w:hAnsi="华文仿宋" w:eastAsia="华文仿宋" w:cs="仿宋"/>
          <w:color w:val="auto"/>
          <w:kern w:val="1"/>
          <w:sz w:val="28"/>
          <w:szCs w:val="28"/>
          <w:highlight w:val="none"/>
          <w:u w:val="single"/>
        </w:rPr>
      </w:pPr>
      <w:r>
        <w:rPr>
          <w:rFonts w:hint="eastAsia" w:ascii="华文仿宋" w:hAnsi="华文仿宋" w:eastAsia="华文仿宋" w:cs="仿宋"/>
          <w:color w:val="auto"/>
          <w:kern w:val="1"/>
          <w:sz w:val="28"/>
          <w:szCs w:val="28"/>
          <w:highlight w:val="none"/>
        </w:rPr>
        <w:t>双方约定的其他质量保修事项：</w:t>
      </w:r>
      <w:r>
        <w:rPr>
          <w:rFonts w:hint="eastAsia" w:ascii="华文仿宋" w:hAnsi="华文仿宋" w:eastAsia="华文仿宋" w:cs="仿宋"/>
          <w:color w:val="auto"/>
          <w:kern w:val="1"/>
          <w:sz w:val="28"/>
          <w:szCs w:val="28"/>
          <w:highlight w:val="none"/>
          <w:u w:val="single"/>
        </w:rPr>
        <w:t xml:space="preserve">   无   </w:t>
      </w:r>
    </w:p>
    <w:p w14:paraId="37593E96">
      <w:pPr>
        <w:spacing w:line="380" w:lineRule="exact"/>
        <w:ind w:firstLine="544" w:firstLineChars="200"/>
        <w:rPr>
          <w:rFonts w:ascii="华文仿宋" w:hAnsi="华文仿宋" w:eastAsia="华文仿宋" w:cs="仿宋"/>
          <w:color w:val="auto"/>
          <w:spacing w:val="-4"/>
          <w:kern w:val="1"/>
          <w:sz w:val="28"/>
          <w:szCs w:val="28"/>
          <w:highlight w:val="none"/>
        </w:rPr>
      </w:pPr>
      <w:r>
        <w:rPr>
          <w:rFonts w:hint="eastAsia" w:ascii="华文仿宋" w:hAnsi="华文仿宋" w:eastAsia="华文仿宋" w:cs="仿宋"/>
          <w:color w:val="auto"/>
          <w:spacing w:val="-4"/>
          <w:kern w:val="1"/>
          <w:sz w:val="28"/>
          <w:szCs w:val="28"/>
          <w:highlight w:val="none"/>
        </w:rPr>
        <w:t>本工程质量保修书作为合同附件，由发包人、承包人双方共同签署。</w:t>
      </w:r>
    </w:p>
    <w:p w14:paraId="75C2DFDF">
      <w:pPr>
        <w:pStyle w:val="2"/>
        <w:numPr>
          <w:ilvl w:val="0"/>
          <w:numId w:val="0"/>
        </w:numPr>
        <w:rPr>
          <w:color w:val="auto"/>
          <w:highlight w:val="none"/>
        </w:rPr>
      </w:pPr>
    </w:p>
    <w:tbl>
      <w:tblPr>
        <w:tblStyle w:val="37"/>
        <w:tblW w:w="1111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059"/>
        <w:gridCol w:w="3529"/>
        <w:gridCol w:w="3529"/>
      </w:tblGrid>
      <w:tr w14:paraId="15C856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1117" w:type="dxa"/>
            <w:gridSpan w:val="3"/>
          </w:tcPr>
          <w:p w14:paraId="501376FB">
            <w:pPr>
              <w:widowControl/>
              <w:rPr>
                <w:rFonts w:ascii="华文仿宋" w:hAnsi="华文仿宋" w:eastAsia="华文仿宋" w:cs="宋体"/>
                <w:b/>
                <w:bCs/>
                <w:color w:val="auto"/>
                <w:sz w:val="24"/>
                <w:highlight w:val="none"/>
              </w:rPr>
            </w:pPr>
            <w:r>
              <w:rPr>
                <w:rFonts w:hint="eastAsia" w:ascii="华文仿宋" w:hAnsi="华文仿宋" w:eastAsia="华文仿宋" w:cs="宋体"/>
                <w:b/>
                <w:bCs/>
                <w:color w:val="auto"/>
                <w:sz w:val="24"/>
                <w:highlight w:val="none"/>
              </w:rPr>
              <w:t>发包人:</w:t>
            </w:r>
          </w:p>
        </w:tc>
      </w:tr>
      <w:tr w14:paraId="3B67F5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4059" w:type="dxa"/>
          </w:tcPr>
          <w:p w14:paraId="41AC1644">
            <w:pPr>
              <w:widowControl/>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名称：</w:t>
            </w:r>
          </w:p>
        </w:tc>
        <w:tc>
          <w:tcPr>
            <w:tcW w:w="3529" w:type="dxa"/>
          </w:tcPr>
          <w:p w14:paraId="01DF0267">
            <w:pPr>
              <w:widowControl/>
              <w:rPr>
                <w:rFonts w:ascii="华文仿宋" w:hAnsi="华文仿宋" w:eastAsia="华文仿宋" w:cs="宋体"/>
                <w:color w:val="auto"/>
                <w:sz w:val="24"/>
                <w:highlight w:val="none"/>
              </w:rPr>
            </w:pPr>
          </w:p>
        </w:tc>
        <w:tc>
          <w:tcPr>
            <w:tcW w:w="3529" w:type="dxa"/>
          </w:tcPr>
          <w:p w14:paraId="636BD8C5">
            <w:pPr>
              <w:widowControl/>
              <w:rPr>
                <w:rFonts w:ascii="华文仿宋" w:hAnsi="华文仿宋" w:eastAsia="华文仿宋" w:cs="宋体"/>
                <w:color w:val="auto"/>
                <w:sz w:val="24"/>
                <w:highlight w:val="none"/>
              </w:rPr>
            </w:pPr>
          </w:p>
        </w:tc>
      </w:tr>
      <w:tr w14:paraId="4DA16F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4059" w:type="dxa"/>
          </w:tcPr>
          <w:p w14:paraId="1E5464B2">
            <w:pPr>
              <w:widowControl/>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法定代表人或授权代理人：</w:t>
            </w:r>
          </w:p>
        </w:tc>
        <w:tc>
          <w:tcPr>
            <w:tcW w:w="3529" w:type="dxa"/>
          </w:tcPr>
          <w:p w14:paraId="26A7B138">
            <w:pPr>
              <w:widowControl/>
              <w:rPr>
                <w:rFonts w:ascii="华文仿宋" w:hAnsi="华文仿宋" w:eastAsia="华文仿宋" w:cs="宋体"/>
                <w:color w:val="auto"/>
                <w:sz w:val="24"/>
                <w:highlight w:val="none"/>
              </w:rPr>
            </w:pPr>
          </w:p>
        </w:tc>
        <w:tc>
          <w:tcPr>
            <w:tcW w:w="3529" w:type="dxa"/>
          </w:tcPr>
          <w:p w14:paraId="0A467FCC">
            <w:pPr>
              <w:widowControl/>
              <w:rPr>
                <w:rFonts w:ascii="华文仿宋" w:hAnsi="华文仿宋" w:eastAsia="华文仿宋" w:cs="宋体"/>
                <w:color w:val="auto"/>
                <w:sz w:val="24"/>
                <w:highlight w:val="none"/>
              </w:rPr>
            </w:pPr>
          </w:p>
        </w:tc>
      </w:tr>
      <w:tr w14:paraId="3B1B99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4059" w:type="dxa"/>
          </w:tcPr>
          <w:p w14:paraId="453BA865">
            <w:pPr>
              <w:widowControl/>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地    址：</w:t>
            </w:r>
            <w:r>
              <w:rPr>
                <w:rFonts w:hint="eastAsia" w:ascii="华文仿宋" w:hAnsi="华文仿宋" w:eastAsia="华文仿宋" w:cs="宋体"/>
                <w:color w:val="auto"/>
                <w:spacing w:val="-20"/>
                <w:szCs w:val="21"/>
                <w:highlight w:val="none"/>
              </w:rPr>
              <w:t xml:space="preserve"> </w:t>
            </w:r>
          </w:p>
        </w:tc>
        <w:tc>
          <w:tcPr>
            <w:tcW w:w="3529" w:type="dxa"/>
          </w:tcPr>
          <w:p w14:paraId="1CB80CB3">
            <w:pPr>
              <w:widowControl/>
              <w:rPr>
                <w:rFonts w:ascii="华文仿宋" w:hAnsi="华文仿宋" w:eastAsia="华文仿宋" w:cs="宋体"/>
                <w:color w:val="auto"/>
                <w:sz w:val="24"/>
                <w:highlight w:val="none"/>
              </w:rPr>
            </w:pPr>
          </w:p>
        </w:tc>
        <w:tc>
          <w:tcPr>
            <w:tcW w:w="3529" w:type="dxa"/>
          </w:tcPr>
          <w:p w14:paraId="5BCBF8FB">
            <w:pPr>
              <w:widowControl/>
              <w:rPr>
                <w:rFonts w:ascii="华文仿宋" w:hAnsi="华文仿宋" w:eastAsia="华文仿宋" w:cs="宋体"/>
                <w:color w:val="auto"/>
                <w:sz w:val="24"/>
                <w:highlight w:val="none"/>
              </w:rPr>
            </w:pPr>
          </w:p>
        </w:tc>
      </w:tr>
      <w:tr w14:paraId="1FF7CA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4059" w:type="dxa"/>
          </w:tcPr>
          <w:p w14:paraId="2CE5B85C">
            <w:pPr>
              <w:widowControl/>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邮政编码：</w:t>
            </w:r>
          </w:p>
        </w:tc>
        <w:tc>
          <w:tcPr>
            <w:tcW w:w="3529" w:type="dxa"/>
          </w:tcPr>
          <w:p w14:paraId="03DE6CF4">
            <w:pPr>
              <w:widowControl/>
              <w:rPr>
                <w:rFonts w:ascii="华文仿宋" w:hAnsi="华文仿宋" w:eastAsia="华文仿宋" w:cs="宋体"/>
                <w:color w:val="auto"/>
                <w:sz w:val="24"/>
                <w:highlight w:val="none"/>
              </w:rPr>
            </w:pPr>
          </w:p>
        </w:tc>
        <w:tc>
          <w:tcPr>
            <w:tcW w:w="3529" w:type="dxa"/>
          </w:tcPr>
          <w:p w14:paraId="070683B7">
            <w:pPr>
              <w:widowControl/>
              <w:rPr>
                <w:rFonts w:ascii="华文仿宋" w:hAnsi="华文仿宋" w:eastAsia="华文仿宋" w:cs="宋体"/>
                <w:color w:val="auto"/>
                <w:sz w:val="24"/>
                <w:highlight w:val="none"/>
              </w:rPr>
            </w:pPr>
          </w:p>
        </w:tc>
      </w:tr>
      <w:tr w14:paraId="6A0732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4059" w:type="dxa"/>
          </w:tcPr>
          <w:p w14:paraId="001B252F">
            <w:pPr>
              <w:widowControl/>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 xml:space="preserve">电    话： </w:t>
            </w:r>
          </w:p>
        </w:tc>
        <w:tc>
          <w:tcPr>
            <w:tcW w:w="3529" w:type="dxa"/>
          </w:tcPr>
          <w:p w14:paraId="2C6E35EC">
            <w:pPr>
              <w:widowControl/>
              <w:rPr>
                <w:rFonts w:ascii="华文仿宋" w:hAnsi="华文仿宋" w:eastAsia="华文仿宋" w:cs="宋体"/>
                <w:color w:val="auto"/>
                <w:sz w:val="24"/>
                <w:highlight w:val="none"/>
              </w:rPr>
            </w:pPr>
          </w:p>
        </w:tc>
        <w:tc>
          <w:tcPr>
            <w:tcW w:w="3529" w:type="dxa"/>
          </w:tcPr>
          <w:p w14:paraId="1B175AE8">
            <w:pPr>
              <w:widowControl/>
              <w:rPr>
                <w:rFonts w:ascii="华文仿宋" w:hAnsi="华文仿宋" w:eastAsia="华文仿宋" w:cs="宋体"/>
                <w:color w:val="auto"/>
                <w:sz w:val="24"/>
                <w:highlight w:val="none"/>
              </w:rPr>
            </w:pPr>
          </w:p>
        </w:tc>
      </w:tr>
      <w:tr w14:paraId="6FFE90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4059" w:type="dxa"/>
          </w:tcPr>
          <w:p w14:paraId="312FD9C3">
            <w:pPr>
              <w:widowControl/>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 xml:space="preserve">传    真： </w:t>
            </w:r>
          </w:p>
        </w:tc>
        <w:tc>
          <w:tcPr>
            <w:tcW w:w="3529" w:type="dxa"/>
          </w:tcPr>
          <w:p w14:paraId="13C1C930">
            <w:pPr>
              <w:widowControl/>
              <w:rPr>
                <w:rFonts w:ascii="华文仿宋" w:hAnsi="华文仿宋" w:eastAsia="华文仿宋" w:cs="宋体"/>
                <w:color w:val="auto"/>
                <w:sz w:val="24"/>
                <w:highlight w:val="none"/>
              </w:rPr>
            </w:pPr>
          </w:p>
        </w:tc>
        <w:tc>
          <w:tcPr>
            <w:tcW w:w="3529" w:type="dxa"/>
          </w:tcPr>
          <w:p w14:paraId="0C4FE486">
            <w:pPr>
              <w:widowControl/>
              <w:rPr>
                <w:rFonts w:ascii="华文仿宋" w:hAnsi="华文仿宋" w:eastAsia="华文仿宋" w:cs="宋体"/>
                <w:color w:val="auto"/>
                <w:sz w:val="24"/>
                <w:highlight w:val="none"/>
              </w:rPr>
            </w:pPr>
          </w:p>
        </w:tc>
      </w:tr>
      <w:tr w14:paraId="6BAEF3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4059" w:type="dxa"/>
          </w:tcPr>
          <w:p w14:paraId="140D2F7A">
            <w:pPr>
              <w:widowControl/>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 xml:space="preserve">开户银行： </w:t>
            </w:r>
          </w:p>
        </w:tc>
        <w:tc>
          <w:tcPr>
            <w:tcW w:w="3529" w:type="dxa"/>
          </w:tcPr>
          <w:p w14:paraId="58E30EA5">
            <w:pPr>
              <w:widowControl/>
              <w:rPr>
                <w:rFonts w:ascii="华文仿宋" w:hAnsi="华文仿宋" w:eastAsia="华文仿宋" w:cs="宋体"/>
                <w:color w:val="auto"/>
                <w:sz w:val="24"/>
                <w:highlight w:val="none"/>
              </w:rPr>
            </w:pPr>
          </w:p>
        </w:tc>
        <w:tc>
          <w:tcPr>
            <w:tcW w:w="3529" w:type="dxa"/>
          </w:tcPr>
          <w:p w14:paraId="19B5BA0B">
            <w:pPr>
              <w:widowControl/>
              <w:rPr>
                <w:rFonts w:ascii="华文仿宋" w:hAnsi="华文仿宋" w:eastAsia="华文仿宋" w:cs="宋体"/>
                <w:color w:val="auto"/>
                <w:sz w:val="24"/>
                <w:highlight w:val="none"/>
              </w:rPr>
            </w:pPr>
          </w:p>
        </w:tc>
      </w:tr>
      <w:tr w14:paraId="7C648D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4059" w:type="dxa"/>
          </w:tcPr>
          <w:p w14:paraId="31B7452E">
            <w:pPr>
              <w:widowControl/>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 xml:space="preserve">银行帐号： </w:t>
            </w:r>
          </w:p>
        </w:tc>
        <w:tc>
          <w:tcPr>
            <w:tcW w:w="3529" w:type="dxa"/>
          </w:tcPr>
          <w:p w14:paraId="5EE5C8A8">
            <w:pPr>
              <w:widowControl/>
              <w:rPr>
                <w:rFonts w:ascii="华文仿宋" w:hAnsi="华文仿宋" w:eastAsia="华文仿宋" w:cs="宋体"/>
                <w:color w:val="auto"/>
                <w:sz w:val="24"/>
                <w:highlight w:val="none"/>
              </w:rPr>
            </w:pPr>
          </w:p>
        </w:tc>
        <w:tc>
          <w:tcPr>
            <w:tcW w:w="3529" w:type="dxa"/>
          </w:tcPr>
          <w:p w14:paraId="304FB1CB">
            <w:pPr>
              <w:widowControl/>
              <w:rPr>
                <w:rFonts w:ascii="华文仿宋" w:hAnsi="华文仿宋" w:eastAsia="华文仿宋" w:cs="宋体"/>
                <w:color w:val="auto"/>
                <w:sz w:val="24"/>
                <w:highlight w:val="none"/>
              </w:rPr>
            </w:pPr>
          </w:p>
        </w:tc>
      </w:tr>
      <w:tr w14:paraId="1DB2CE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6" w:hRule="atLeast"/>
          <w:jc w:val="center"/>
        </w:trPr>
        <w:tc>
          <w:tcPr>
            <w:tcW w:w="4059" w:type="dxa"/>
          </w:tcPr>
          <w:p w14:paraId="389A9EB3">
            <w:pPr>
              <w:widowControl/>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签订日期：202</w:t>
            </w:r>
            <w:r>
              <w:rPr>
                <w:rFonts w:ascii="华文仿宋" w:hAnsi="华文仿宋" w:eastAsia="华文仿宋" w:cs="宋体"/>
                <w:color w:val="auto"/>
                <w:sz w:val="24"/>
                <w:highlight w:val="none"/>
              </w:rPr>
              <w:t>5</w:t>
            </w:r>
            <w:r>
              <w:rPr>
                <w:rFonts w:hint="eastAsia" w:ascii="华文仿宋" w:hAnsi="华文仿宋" w:eastAsia="华文仿宋" w:cs="宋体"/>
                <w:color w:val="auto"/>
                <w:sz w:val="24"/>
                <w:highlight w:val="none"/>
              </w:rPr>
              <w:t xml:space="preserve">年  月  日 </w:t>
            </w:r>
          </w:p>
        </w:tc>
        <w:tc>
          <w:tcPr>
            <w:tcW w:w="3529" w:type="dxa"/>
          </w:tcPr>
          <w:p w14:paraId="1EC715DE">
            <w:pPr>
              <w:widowControl/>
              <w:rPr>
                <w:rFonts w:ascii="华文仿宋" w:hAnsi="华文仿宋" w:eastAsia="华文仿宋" w:cs="宋体"/>
                <w:color w:val="auto"/>
                <w:sz w:val="24"/>
                <w:highlight w:val="none"/>
              </w:rPr>
            </w:pPr>
          </w:p>
        </w:tc>
        <w:tc>
          <w:tcPr>
            <w:tcW w:w="3529" w:type="dxa"/>
          </w:tcPr>
          <w:p w14:paraId="569E9B25">
            <w:pPr>
              <w:widowControl/>
              <w:rPr>
                <w:rFonts w:ascii="华文仿宋" w:hAnsi="华文仿宋" w:eastAsia="华文仿宋" w:cs="宋体"/>
                <w:color w:val="auto"/>
                <w:sz w:val="24"/>
                <w:highlight w:val="none"/>
              </w:rPr>
            </w:pPr>
          </w:p>
        </w:tc>
      </w:tr>
    </w:tbl>
    <w:tbl>
      <w:tblPr>
        <w:tblStyle w:val="37"/>
        <w:tblpPr w:leftFromText="180" w:rightFromText="180" w:vertAnchor="text" w:horzAnchor="page" w:tblpX="416" w:tblpY="544"/>
        <w:tblW w:w="1111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059"/>
        <w:gridCol w:w="3529"/>
        <w:gridCol w:w="3529"/>
      </w:tblGrid>
      <w:tr w14:paraId="7D53AE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1117" w:type="dxa"/>
            <w:gridSpan w:val="3"/>
          </w:tcPr>
          <w:p w14:paraId="6FB4920B">
            <w:pPr>
              <w:widowControl/>
              <w:rPr>
                <w:rFonts w:ascii="华文仿宋" w:hAnsi="华文仿宋" w:eastAsia="华文仿宋" w:cs="宋体"/>
                <w:b/>
                <w:bCs/>
                <w:color w:val="auto"/>
                <w:sz w:val="24"/>
                <w:highlight w:val="none"/>
              </w:rPr>
            </w:pPr>
            <w:r>
              <w:rPr>
                <w:rFonts w:hint="eastAsia" w:ascii="华文仿宋" w:hAnsi="华文仿宋" w:eastAsia="华文仿宋" w:cs="宋体"/>
                <w:b/>
                <w:bCs/>
                <w:color w:val="auto"/>
                <w:sz w:val="24"/>
                <w:highlight w:val="none"/>
              </w:rPr>
              <w:t>承包人:</w:t>
            </w:r>
          </w:p>
        </w:tc>
      </w:tr>
      <w:tr w14:paraId="726D94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4059" w:type="dxa"/>
          </w:tcPr>
          <w:p w14:paraId="0E61E8DD">
            <w:pPr>
              <w:widowControl/>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名称：</w:t>
            </w:r>
          </w:p>
        </w:tc>
        <w:tc>
          <w:tcPr>
            <w:tcW w:w="3529" w:type="dxa"/>
          </w:tcPr>
          <w:p w14:paraId="5D2F260C">
            <w:pPr>
              <w:widowControl/>
              <w:rPr>
                <w:rFonts w:ascii="华文仿宋" w:hAnsi="华文仿宋" w:eastAsia="华文仿宋" w:cs="宋体"/>
                <w:color w:val="auto"/>
                <w:sz w:val="24"/>
                <w:highlight w:val="none"/>
              </w:rPr>
            </w:pPr>
          </w:p>
        </w:tc>
        <w:tc>
          <w:tcPr>
            <w:tcW w:w="3529" w:type="dxa"/>
          </w:tcPr>
          <w:p w14:paraId="74D38A4D">
            <w:pPr>
              <w:widowControl/>
              <w:rPr>
                <w:rFonts w:ascii="华文仿宋" w:hAnsi="华文仿宋" w:eastAsia="华文仿宋" w:cs="宋体"/>
                <w:color w:val="auto"/>
                <w:sz w:val="24"/>
                <w:highlight w:val="none"/>
              </w:rPr>
            </w:pPr>
          </w:p>
        </w:tc>
      </w:tr>
      <w:tr w14:paraId="1B8AAF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2" w:hRule="atLeast"/>
        </w:trPr>
        <w:tc>
          <w:tcPr>
            <w:tcW w:w="4059" w:type="dxa"/>
          </w:tcPr>
          <w:p w14:paraId="70D575BC">
            <w:pPr>
              <w:widowControl/>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法定代表人或授权代理人：</w:t>
            </w:r>
          </w:p>
        </w:tc>
        <w:tc>
          <w:tcPr>
            <w:tcW w:w="3529" w:type="dxa"/>
          </w:tcPr>
          <w:p w14:paraId="4812A45C">
            <w:pPr>
              <w:widowControl/>
              <w:rPr>
                <w:rFonts w:ascii="华文仿宋" w:hAnsi="华文仿宋" w:eastAsia="华文仿宋" w:cs="宋体"/>
                <w:color w:val="auto"/>
                <w:sz w:val="24"/>
                <w:highlight w:val="none"/>
              </w:rPr>
            </w:pPr>
          </w:p>
        </w:tc>
        <w:tc>
          <w:tcPr>
            <w:tcW w:w="3529" w:type="dxa"/>
          </w:tcPr>
          <w:p w14:paraId="0E382907">
            <w:pPr>
              <w:widowControl/>
              <w:rPr>
                <w:rFonts w:ascii="华文仿宋" w:hAnsi="华文仿宋" w:eastAsia="华文仿宋" w:cs="宋体"/>
                <w:color w:val="auto"/>
                <w:sz w:val="24"/>
                <w:highlight w:val="none"/>
              </w:rPr>
            </w:pPr>
          </w:p>
        </w:tc>
      </w:tr>
      <w:tr w14:paraId="26A0A9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4059" w:type="dxa"/>
          </w:tcPr>
          <w:p w14:paraId="327ED041">
            <w:pPr>
              <w:widowControl/>
              <w:ind w:left="1200" w:right="-120" w:rightChars="-57" w:hanging="1200" w:hangingChars="500"/>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地    址：</w:t>
            </w:r>
            <w:r>
              <w:rPr>
                <w:rFonts w:hint="eastAsia" w:ascii="华文仿宋" w:hAnsi="华文仿宋" w:eastAsia="华文仿宋" w:cs="宋体"/>
                <w:color w:val="auto"/>
                <w:w w:val="80"/>
                <w:sz w:val="24"/>
                <w:highlight w:val="none"/>
              </w:rPr>
              <w:t xml:space="preserve"> </w:t>
            </w:r>
          </w:p>
        </w:tc>
        <w:tc>
          <w:tcPr>
            <w:tcW w:w="3529" w:type="dxa"/>
          </w:tcPr>
          <w:p w14:paraId="46082162">
            <w:pPr>
              <w:widowControl/>
              <w:rPr>
                <w:rFonts w:ascii="华文仿宋" w:hAnsi="华文仿宋" w:eastAsia="华文仿宋" w:cs="宋体"/>
                <w:color w:val="auto"/>
                <w:sz w:val="24"/>
                <w:highlight w:val="none"/>
              </w:rPr>
            </w:pPr>
          </w:p>
        </w:tc>
        <w:tc>
          <w:tcPr>
            <w:tcW w:w="3529" w:type="dxa"/>
          </w:tcPr>
          <w:p w14:paraId="40F5894A">
            <w:pPr>
              <w:widowControl/>
              <w:rPr>
                <w:rFonts w:ascii="华文仿宋" w:hAnsi="华文仿宋" w:eastAsia="华文仿宋" w:cs="宋体"/>
                <w:color w:val="auto"/>
                <w:sz w:val="24"/>
                <w:highlight w:val="none"/>
              </w:rPr>
            </w:pPr>
          </w:p>
        </w:tc>
      </w:tr>
      <w:tr w14:paraId="206615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4059" w:type="dxa"/>
          </w:tcPr>
          <w:p w14:paraId="7C9F4070">
            <w:pPr>
              <w:widowControl/>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 xml:space="preserve">邮政编码： </w:t>
            </w:r>
          </w:p>
        </w:tc>
        <w:tc>
          <w:tcPr>
            <w:tcW w:w="3529" w:type="dxa"/>
          </w:tcPr>
          <w:p w14:paraId="04780B84">
            <w:pPr>
              <w:widowControl/>
              <w:rPr>
                <w:rFonts w:ascii="华文仿宋" w:hAnsi="华文仿宋" w:eastAsia="华文仿宋" w:cs="宋体"/>
                <w:color w:val="auto"/>
                <w:sz w:val="24"/>
                <w:highlight w:val="none"/>
              </w:rPr>
            </w:pPr>
          </w:p>
        </w:tc>
        <w:tc>
          <w:tcPr>
            <w:tcW w:w="3529" w:type="dxa"/>
          </w:tcPr>
          <w:p w14:paraId="0C5E8020">
            <w:pPr>
              <w:widowControl/>
              <w:rPr>
                <w:rFonts w:ascii="华文仿宋" w:hAnsi="华文仿宋" w:eastAsia="华文仿宋" w:cs="宋体"/>
                <w:color w:val="auto"/>
                <w:sz w:val="24"/>
                <w:highlight w:val="none"/>
              </w:rPr>
            </w:pPr>
          </w:p>
        </w:tc>
      </w:tr>
      <w:tr w14:paraId="55DBF1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4059" w:type="dxa"/>
          </w:tcPr>
          <w:p w14:paraId="075F52EF">
            <w:pPr>
              <w:widowControl/>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 xml:space="preserve">电    话： </w:t>
            </w:r>
          </w:p>
        </w:tc>
        <w:tc>
          <w:tcPr>
            <w:tcW w:w="3529" w:type="dxa"/>
          </w:tcPr>
          <w:p w14:paraId="6EFD5F28">
            <w:pPr>
              <w:widowControl/>
              <w:rPr>
                <w:rFonts w:ascii="华文仿宋" w:hAnsi="华文仿宋" w:eastAsia="华文仿宋" w:cs="宋体"/>
                <w:color w:val="auto"/>
                <w:sz w:val="24"/>
                <w:highlight w:val="none"/>
              </w:rPr>
            </w:pPr>
          </w:p>
        </w:tc>
        <w:tc>
          <w:tcPr>
            <w:tcW w:w="3529" w:type="dxa"/>
          </w:tcPr>
          <w:p w14:paraId="0938748D">
            <w:pPr>
              <w:widowControl/>
              <w:rPr>
                <w:rFonts w:ascii="华文仿宋" w:hAnsi="华文仿宋" w:eastAsia="华文仿宋" w:cs="宋体"/>
                <w:color w:val="auto"/>
                <w:sz w:val="24"/>
                <w:highlight w:val="none"/>
              </w:rPr>
            </w:pPr>
          </w:p>
        </w:tc>
      </w:tr>
      <w:tr w14:paraId="100FD7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4059" w:type="dxa"/>
          </w:tcPr>
          <w:p w14:paraId="71D84898">
            <w:pPr>
              <w:widowControl/>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 xml:space="preserve">传    真： </w:t>
            </w:r>
          </w:p>
        </w:tc>
        <w:tc>
          <w:tcPr>
            <w:tcW w:w="3529" w:type="dxa"/>
          </w:tcPr>
          <w:p w14:paraId="1165EA7B">
            <w:pPr>
              <w:widowControl/>
              <w:rPr>
                <w:rFonts w:ascii="华文仿宋" w:hAnsi="华文仿宋" w:eastAsia="华文仿宋" w:cs="宋体"/>
                <w:color w:val="auto"/>
                <w:sz w:val="24"/>
                <w:highlight w:val="none"/>
              </w:rPr>
            </w:pPr>
          </w:p>
        </w:tc>
        <w:tc>
          <w:tcPr>
            <w:tcW w:w="3529" w:type="dxa"/>
          </w:tcPr>
          <w:p w14:paraId="0DE11C85">
            <w:pPr>
              <w:widowControl/>
              <w:rPr>
                <w:rFonts w:ascii="华文仿宋" w:hAnsi="华文仿宋" w:eastAsia="华文仿宋" w:cs="宋体"/>
                <w:color w:val="auto"/>
                <w:sz w:val="24"/>
                <w:highlight w:val="none"/>
              </w:rPr>
            </w:pPr>
          </w:p>
        </w:tc>
      </w:tr>
      <w:tr w14:paraId="3177E2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4059" w:type="dxa"/>
          </w:tcPr>
          <w:p w14:paraId="4AD50538">
            <w:pPr>
              <w:widowControl/>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 xml:space="preserve">开户银行： </w:t>
            </w:r>
          </w:p>
        </w:tc>
        <w:tc>
          <w:tcPr>
            <w:tcW w:w="3529" w:type="dxa"/>
          </w:tcPr>
          <w:p w14:paraId="693603B7">
            <w:pPr>
              <w:widowControl/>
              <w:rPr>
                <w:rFonts w:ascii="华文仿宋" w:hAnsi="华文仿宋" w:eastAsia="华文仿宋" w:cs="宋体"/>
                <w:color w:val="auto"/>
                <w:sz w:val="24"/>
                <w:highlight w:val="none"/>
              </w:rPr>
            </w:pPr>
          </w:p>
        </w:tc>
        <w:tc>
          <w:tcPr>
            <w:tcW w:w="3529" w:type="dxa"/>
          </w:tcPr>
          <w:p w14:paraId="58398388">
            <w:pPr>
              <w:widowControl/>
              <w:rPr>
                <w:rFonts w:ascii="华文仿宋" w:hAnsi="华文仿宋" w:eastAsia="华文仿宋" w:cs="宋体"/>
                <w:color w:val="auto"/>
                <w:sz w:val="24"/>
                <w:highlight w:val="none"/>
              </w:rPr>
            </w:pPr>
          </w:p>
        </w:tc>
      </w:tr>
      <w:tr w14:paraId="2674DC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4059" w:type="dxa"/>
          </w:tcPr>
          <w:p w14:paraId="5F39507E">
            <w:pPr>
              <w:widowControl/>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 xml:space="preserve">银行帐号： </w:t>
            </w:r>
          </w:p>
        </w:tc>
        <w:tc>
          <w:tcPr>
            <w:tcW w:w="3529" w:type="dxa"/>
          </w:tcPr>
          <w:p w14:paraId="34D1E59D">
            <w:pPr>
              <w:widowControl/>
              <w:rPr>
                <w:rFonts w:ascii="华文仿宋" w:hAnsi="华文仿宋" w:eastAsia="华文仿宋" w:cs="宋体"/>
                <w:color w:val="auto"/>
                <w:sz w:val="24"/>
                <w:highlight w:val="none"/>
              </w:rPr>
            </w:pPr>
          </w:p>
        </w:tc>
        <w:tc>
          <w:tcPr>
            <w:tcW w:w="3529" w:type="dxa"/>
          </w:tcPr>
          <w:p w14:paraId="73628AD4">
            <w:pPr>
              <w:widowControl/>
              <w:rPr>
                <w:rFonts w:ascii="华文仿宋" w:hAnsi="华文仿宋" w:eastAsia="华文仿宋" w:cs="宋体"/>
                <w:color w:val="auto"/>
                <w:sz w:val="24"/>
                <w:highlight w:val="none"/>
              </w:rPr>
            </w:pPr>
          </w:p>
        </w:tc>
      </w:tr>
      <w:tr w14:paraId="0376AF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4059" w:type="dxa"/>
          </w:tcPr>
          <w:p w14:paraId="6C309406">
            <w:pPr>
              <w:widowControl/>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签订日期：202</w:t>
            </w:r>
            <w:r>
              <w:rPr>
                <w:rFonts w:ascii="华文仿宋" w:hAnsi="华文仿宋" w:eastAsia="华文仿宋" w:cs="宋体"/>
                <w:color w:val="auto"/>
                <w:sz w:val="24"/>
                <w:highlight w:val="none"/>
              </w:rPr>
              <w:t>5</w:t>
            </w:r>
            <w:r>
              <w:rPr>
                <w:rFonts w:hint="eastAsia" w:ascii="华文仿宋" w:hAnsi="华文仿宋" w:eastAsia="华文仿宋" w:cs="宋体"/>
                <w:color w:val="auto"/>
                <w:sz w:val="24"/>
                <w:highlight w:val="none"/>
              </w:rPr>
              <w:t xml:space="preserve">年  月  日 </w:t>
            </w:r>
          </w:p>
        </w:tc>
        <w:tc>
          <w:tcPr>
            <w:tcW w:w="3529" w:type="dxa"/>
          </w:tcPr>
          <w:p w14:paraId="1EABA1EB">
            <w:pPr>
              <w:widowControl/>
              <w:rPr>
                <w:rFonts w:ascii="华文仿宋" w:hAnsi="华文仿宋" w:eastAsia="华文仿宋" w:cs="宋体"/>
                <w:color w:val="auto"/>
                <w:sz w:val="24"/>
                <w:highlight w:val="none"/>
              </w:rPr>
            </w:pPr>
          </w:p>
        </w:tc>
        <w:tc>
          <w:tcPr>
            <w:tcW w:w="3529" w:type="dxa"/>
          </w:tcPr>
          <w:p w14:paraId="396F720A">
            <w:pPr>
              <w:widowControl/>
              <w:rPr>
                <w:rFonts w:ascii="华文仿宋" w:hAnsi="华文仿宋" w:eastAsia="华文仿宋" w:cs="宋体"/>
                <w:color w:val="auto"/>
                <w:sz w:val="24"/>
                <w:highlight w:val="none"/>
              </w:rPr>
            </w:pPr>
          </w:p>
        </w:tc>
      </w:tr>
    </w:tbl>
    <w:p w14:paraId="7B478C61">
      <w:pPr>
        <w:pStyle w:val="2"/>
        <w:numPr>
          <w:ilvl w:val="0"/>
          <w:numId w:val="0"/>
        </w:numPr>
        <w:rPr>
          <w:color w:val="auto"/>
          <w:highlight w:val="none"/>
        </w:rPr>
      </w:pPr>
    </w:p>
    <w:p w14:paraId="02E1666B">
      <w:pPr>
        <w:spacing w:line="360" w:lineRule="auto"/>
        <w:rPr>
          <w:rFonts w:ascii="华文仿宋" w:hAnsi="华文仿宋" w:eastAsia="华文仿宋" w:cs="仿宋"/>
          <w:b/>
          <w:color w:val="auto"/>
          <w:kern w:val="1"/>
          <w:sz w:val="28"/>
          <w:szCs w:val="28"/>
          <w:highlight w:val="none"/>
        </w:rPr>
      </w:pPr>
    </w:p>
    <w:p w14:paraId="1C22D00B">
      <w:pPr>
        <w:spacing w:line="360" w:lineRule="auto"/>
        <w:rPr>
          <w:rFonts w:ascii="华文仿宋" w:hAnsi="华文仿宋" w:eastAsia="华文仿宋" w:cs="仿宋"/>
          <w:b/>
          <w:color w:val="auto"/>
          <w:kern w:val="1"/>
          <w:sz w:val="28"/>
          <w:szCs w:val="28"/>
          <w:highlight w:val="none"/>
        </w:rPr>
      </w:pPr>
    </w:p>
    <w:p w14:paraId="7E94002D">
      <w:pPr>
        <w:spacing w:line="360" w:lineRule="auto"/>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附件2</w:t>
      </w:r>
    </w:p>
    <w:p w14:paraId="0ED7A873">
      <w:pPr>
        <w:spacing w:line="360" w:lineRule="auto"/>
        <w:jc w:val="center"/>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履约保函（银行保函参考格式）</w:t>
      </w:r>
    </w:p>
    <w:p w14:paraId="0265FF0D">
      <w:pPr>
        <w:spacing w:line="360" w:lineRule="auto"/>
        <w:rPr>
          <w:rFonts w:ascii="华文仿宋" w:hAnsi="华文仿宋" w:eastAsia="华文仿宋" w:cs="仿宋"/>
          <w:color w:val="auto"/>
          <w:kern w:val="1"/>
          <w:sz w:val="28"/>
          <w:szCs w:val="28"/>
          <w:highlight w:val="none"/>
        </w:rPr>
      </w:pPr>
    </w:p>
    <w:p w14:paraId="1DF63CD6">
      <w:pPr>
        <w:spacing w:line="360" w:lineRule="auto"/>
        <w:rPr>
          <w:rFonts w:ascii="华文仿宋" w:hAnsi="华文仿宋" w:eastAsia="华文仿宋"/>
          <w:color w:val="auto"/>
          <w:kern w:val="1"/>
          <w:sz w:val="32"/>
          <w:highlight w:val="none"/>
        </w:rPr>
      </w:pPr>
      <w:r>
        <w:rPr>
          <w:rFonts w:hint="eastAsia" w:ascii="华文仿宋" w:hAnsi="华文仿宋" w:eastAsia="华文仿宋" w:cs="仿宋"/>
          <w:color w:val="auto"/>
          <w:kern w:val="1"/>
          <w:sz w:val="28"/>
          <w:szCs w:val="28"/>
          <w:highlight w:val="none"/>
        </w:rPr>
        <w:t>致：</w:t>
      </w:r>
      <w:r>
        <w:rPr>
          <w:rFonts w:hint="eastAsia" w:ascii="华文仿宋" w:hAnsi="华文仿宋" w:eastAsia="华文仿宋" w:cs="仿宋"/>
          <w:color w:val="auto"/>
          <w:sz w:val="28"/>
          <w:szCs w:val="28"/>
          <w:highlight w:val="none"/>
          <w:u w:val="single"/>
        </w:rPr>
        <w:t xml:space="preserve"> </w:t>
      </w:r>
      <w:r>
        <w:rPr>
          <w:rFonts w:ascii="华文仿宋" w:hAnsi="华文仿宋" w:eastAsia="华文仿宋" w:cs="仿宋"/>
          <w:color w:val="auto"/>
          <w:sz w:val="28"/>
          <w:szCs w:val="28"/>
          <w:highlight w:val="none"/>
          <w:u w:val="single"/>
        </w:rPr>
        <w:t xml:space="preserve">                            </w:t>
      </w:r>
    </w:p>
    <w:p w14:paraId="0A88B08B">
      <w:pPr>
        <w:spacing w:line="360" w:lineRule="auto"/>
        <w:ind w:firstLine="560" w:firstLineChars="20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鉴于</w:t>
      </w:r>
      <w:r>
        <w:rPr>
          <w:rFonts w:ascii="华文仿宋" w:hAnsi="华文仿宋" w:eastAsia="华文仿宋" w:cs="仿宋"/>
          <w:color w:val="auto"/>
          <w:kern w:val="1"/>
          <w:sz w:val="28"/>
          <w:szCs w:val="28"/>
          <w:highlight w:val="none"/>
          <w:u w:val="single"/>
        </w:rPr>
        <w:t xml:space="preserve">              </w:t>
      </w:r>
      <w:r>
        <w:rPr>
          <w:rFonts w:hint="eastAsia" w:ascii="华文仿宋" w:hAnsi="华文仿宋" w:eastAsia="华文仿宋" w:cs="仿宋"/>
          <w:color w:val="auto"/>
          <w:kern w:val="1"/>
          <w:sz w:val="28"/>
          <w:szCs w:val="28"/>
          <w:highlight w:val="none"/>
        </w:rPr>
        <w:t>（以下简称“承包人”）已与</w:t>
      </w:r>
      <w:r>
        <w:rPr>
          <w:rFonts w:ascii="华文仿宋" w:hAnsi="华文仿宋" w:eastAsia="华文仿宋" w:cs="仿宋"/>
          <w:color w:val="auto"/>
          <w:kern w:val="1"/>
          <w:sz w:val="28"/>
          <w:szCs w:val="28"/>
          <w:highlight w:val="none"/>
          <w:u w:val="single"/>
        </w:rPr>
        <w:t xml:space="preserve">              </w:t>
      </w:r>
      <w:r>
        <w:rPr>
          <w:rFonts w:hint="eastAsia" w:ascii="华文仿宋" w:hAnsi="华文仿宋" w:eastAsia="华文仿宋" w:cs="仿宋"/>
          <w:color w:val="auto"/>
          <w:kern w:val="1"/>
          <w:sz w:val="28"/>
          <w:szCs w:val="28"/>
          <w:highlight w:val="none"/>
        </w:rPr>
        <w:t>（以下简称“你方”）就</w:t>
      </w:r>
      <w:r>
        <w:rPr>
          <w:rFonts w:ascii="华文仿宋" w:hAnsi="华文仿宋" w:eastAsia="华文仿宋" w:cs="仿宋"/>
          <w:color w:val="auto"/>
          <w:kern w:val="1"/>
          <w:sz w:val="28"/>
          <w:szCs w:val="28"/>
          <w:highlight w:val="none"/>
          <w:u w:val="single"/>
        </w:rPr>
        <w:t xml:space="preserve">           </w:t>
      </w:r>
      <w:r>
        <w:rPr>
          <w:rFonts w:hint="eastAsia" w:ascii="华文仿宋" w:hAnsi="华文仿宋" w:eastAsia="华文仿宋" w:cs="仿宋"/>
          <w:color w:val="auto"/>
          <w:kern w:val="1"/>
          <w:sz w:val="28"/>
          <w:szCs w:val="28"/>
          <w:highlight w:val="none"/>
        </w:rPr>
        <w:t>项目签订了合同（下称“合同”，合同编号：</w:t>
      </w:r>
      <w:r>
        <w:rPr>
          <w:rFonts w:ascii="华文仿宋" w:hAnsi="华文仿宋" w:eastAsia="华文仿宋" w:cs="仿宋"/>
          <w:color w:val="auto"/>
          <w:kern w:val="1"/>
          <w:sz w:val="28"/>
          <w:szCs w:val="28"/>
          <w:highlight w:val="none"/>
          <w:u w:val="single"/>
        </w:rPr>
        <w:t xml:space="preserve">       </w:t>
      </w:r>
      <w:r>
        <w:rPr>
          <w:rFonts w:hint="eastAsia" w:ascii="华文仿宋" w:hAnsi="华文仿宋" w:eastAsia="华文仿宋" w:cs="仿宋"/>
          <w:color w:val="auto"/>
          <w:kern w:val="1"/>
          <w:sz w:val="28"/>
          <w:szCs w:val="28"/>
          <w:highlight w:val="none"/>
        </w:rPr>
        <w:t>）；鉴于你方在合同中要求承包人向你方提交下述金额的银行开具的履约保函，作为承包人履行本合同责任的保证，本银行同意为承包人出具以你方为受益人的不可撤销保函。</w:t>
      </w:r>
    </w:p>
    <w:p w14:paraId="38E983F6">
      <w:pPr>
        <w:spacing w:line="360" w:lineRule="auto"/>
        <w:ind w:firstLine="560" w:firstLineChars="20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根据本保函，本银行向你方承担支付人民币（大写）</w:t>
      </w:r>
      <w:r>
        <w:rPr>
          <w:rFonts w:ascii="华文仿宋" w:hAnsi="华文仿宋" w:eastAsia="华文仿宋" w:cs="仿宋"/>
          <w:color w:val="auto"/>
          <w:kern w:val="1"/>
          <w:sz w:val="28"/>
          <w:szCs w:val="28"/>
          <w:highlight w:val="none"/>
          <w:u w:val="single"/>
        </w:rPr>
        <w:t xml:space="preserve">     </w:t>
      </w:r>
      <w:r>
        <w:rPr>
          <w:rFonts w:hint="eastAsia" w:ascii="华文仿宋" w:hAnsi="华文仿宋" w:eastAsia="华文仿宋" w:cs="仿宋"/>
          <w:color w:val="auto"/>
          <w:kern w:val="1"/>
          <w:sz w:val="28"/>
          <w:szCs w:val="28"/>
          <w:highlight w:val="none"/>
        </w:rPr>
        <w:t>（RMB</w:t>
      </w:r>
      <w:r>
        <w:rPr>
          <w:rFonts w:ascii="华文仿宋" w:hAnsi="华文仿宋" w:eastAsia="华文仿宋" w:cs="仿宋"/>
          <w:color w:val="auto"/>
          <w:kern w:val="1"/>
          <w:sz w:val="28"/>
          <w:szCs w:val="28"/>
          <w:highlight w:val="none"/>
          <w:u w:val="single"/>
        </w:rPr>
        <w:t xml:space="preserve">  </w:t>
      </w:r>
      <w:r>
        <w:rPr>
          <w:rFonts w:hint="eastAsia" w:ascii="华文仿宋" w:hAnsi="华文仿宋" w:eastAsia="华文仿宋" w:cs="仿宋"/>
          <w:color w:val="auto"/>
          <w:kern w:val="1"/>
          <w:sz w:val="28"/>
          <w:szCs w:val="28"/>
          <w:highlight w:val="none"/>
          <w:u w:val="single"/>
        </w:rPr>
        <w:t xml:space="preserve"> </w:t>
      </w:r>
      <w:r>
        <w:rPr>
          <w:rFonts w:ascii="华文仿宋" w:hAnsi="华文仿宋" w:eastAsia="华文仿宋" w:cs="仿宋"/>
          <w:color w:val="auto"/>
          <w:kern w:val="1"/>
          <w:sz w:val="28"/>
          <w:szCs w:val="28"/>
          <w:highlight w:val="none"/>
          <w:u w:val="single"/>
        </w:rPr>
        <w:t xml:space="preserve"> </w:t>
      </w:r>
      <w:r>
        <w:rPr>
          <w:rFonts w:hint="eastAsia" w:ascii="华文仿宋" w:hAnsi="华文仿宋" w:eastAsia="华文仿宋" w:cs="仿宋"/>
          <w:color w:val="auto"/>
          <w:kern w:val="1"/>
          <w:sz w:val="28"/>
          <w:szCs w:val="28"/>
          <w:highlight w:val="none"/>
        </w:rPr>
        <w:t>万元）[合同总价（扣除绿色施工安全防护措施费）的10%]的责任，并无条件受本保函的约束。</w:t>
      </w:r>
    </w:p>
    <w:p w14:paraId="7178486F">
      <w:pPr>
        <w:spacing w:line="360" w:lineRule="auto"/>
        <w:ind w:firstLine="560" w:firstLineChars="20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承包人在合同履行过程中，由于资金、技术、质量或非不可抗力等原因违反合同的约定及∕未按照合同的约定履行义务，应承担的违约金/或给你方造成经济损失时，在你方以书面形式提出要求得到上述金额内的任何付款时，本银行于3日内给予支付，不挑剔、不争辩、也不要求你方出具证明或说明背景、理由。</w:t>
      </w:r>
    </w:p>
    <w:p w14:paraId="2E7FC2E3">
      <w:pPr>
        <w:spacing w:line="360" w:lineRule="auto"/>
        <w:ind w:firstLine="560" w:firstLineChars="20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本银行放弃你方应先向承包人要求赔偿上述金额然后再向本银行提出要求的权利。</w:t>
      </w:r>
    </w:p>
    <w:p w14:paraId="76643BFA">
      <w:pPr>
        <w:pStyle w:val="15"/>
        <w:spacing w:after="0" w:line="360" w:lineRule="auto"/>
        <w:ind w:left="0" w:firstLine="560" w:firstLineChars="200"/>
        <w:rPr>
          <w:rFonts w:ascii="华文仿宋" w:hAnsi="华文仿宋" w:eastAsia="华文仿宋" w:cs="仿宋"/>
          <w:color w:val="auto"/>
          <w:sz w:val="28"/>
          <w:szCs w:val="28"/>
          <w:highlight w:val="none"/>
          <w:lang w:val="en-US"/>
        </w:rPr>
      </w:pPr>
      <w:r>
        <w:rPr>
          <w:rFonts w:hint="eastAsia" w:ascii="华文仿宋" w:hAnsi="华文仿宋" w:eastAsia="华文仿宋" w:cs="仿宋"/>
          <w:color w:val="auto"/>
          <w:sz w:val="28"/>
          <w:szCs w:val="28"/>
          <w:highlight w:val="none"/>
        </w:rPr>
        <w:t>本银行</w:t>
      </w:r>
      <w:r>
        <w:rPr>
          <w:rFonts w:hint="eastAsia" w:ascii="华文仿宋" w:hAnsi="华文仿宋" w:eastAsia="华文仿宋" w:cs="仿宋"/>
          <w:color w:val="auto"/>
          <w:sz w:val="28"/>
          <w:szCs w:val="28"/>
          <w:highlight w:val="none"/>
          <w:lang w:val="en-US"/>
        </w:rPr>
        <w:t>还同意在你方和</w:t>
      </w:r>
      <w:r>
        <w:rPr>
          <w:rFonts w:hint="eastAsia" w:ascii="华文仿宋" w:hAnsi="华文仿宋" w:eastAsia="华文仿宋" w:cs="仿宋"/>
          <w:color w:val="auto"/>
          <w:sz w:val="28"/>
          <w:szCs w:val="28"/>
          <w:highlight w:val="none"/>
        </w:rPr>
        <w:t>承包人</w:t>
      </w:r>
      <w:r>
        <w:rPr>
          <w:rFonts w:hint="eastAsia" w:ascii="华文仿宋" w:hAnsi="华文仿宋" w:eastAsia="华文仿宋" w:cs="仿宋"/>
          <w:color w:val="auto"/>
          <w:sz w:val="28"/>
          <w:szCs w:val="28"/>
          <w:highlight w:val="none"/>
          <w:lang w:val="en-US"/>
        </w:rPr>
        <w:t>之间的合同条款、合同项下的工程或合同文件发生变化、补充或修改后，</w:t>
      </w:r>
      <w:r>
        <w:rPr>
          <w:rFonts w:hint="eastAsia" w:ascii="华文仿宋" w:hAnsi="华文仿宋" w:eastAsia="华文仿宋" w:cs="仿宋"/>
          <w:color w:val="auto"/>
          <w:sz w:val="28"/>
          <w:szCs w:val="28"/>
          <w:highlight w:val="none"/>
        </w:rPr>
        <w:t>本银行</w:t>
      </w:r>
      <w:r>
        <w:rPr>
          <w:rFonts w:hint="eastAsia" w:ascii="华文仿宋" w:hAnsi="华文仿宋" w:eastAsia="华文仿宋" w:cs="仿宋"/>
          <w:color w:val="auto"/>
          <w:sz w:val="28"/>
          <w:szCs w:val="28"/>
          <w:highlight w:val="none"/>
          <w:lang w:val="en-US"/>
        </w:rPr>
        <w:t>承担本保函的责任也不改变，有关上述变化、补充和修改也无须通知我行。</w:t>
      </w:r>
    </w:p>
    <w:p w14:paraId="7E5DEAE4">
      <w:pPr>
        <w:spacing w:line="360" w:lineRule="auto"/>
        <w:ind w:firstLine="560" w:firstLineChars="20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本保函自我行开立之日起生效，至合同内工程整体通过竣工验收并提交符合你方要求的完整结算资料后二十八天止，最长不超过</w:t>
      </w:r>
      <w:r>
        <w:rPr>
          <w:rFonts w:hint="eastAsia" w:ascii="华文仿宋" w:hAnsi="华文仿宋" w:eastAsia="华文仿宋" w:cs="仿宋"/>
          <w:color w:val="auto"/>
          <w:kern w:val="1"/>
          <w:sz w:val="28"/>
          <w:szCs w:val="28"/>
          <w:highlight w:val="none"/>
          <w:u w:val="single"/>
        </w:rPr>
        <w:t xml:space="preserve">   </w:t>
      </w:r>
      <w:r>
        <w:rPr>
          <w:rFonts w:hint="eastAsia" w:ascii="华文仿宋" w:hAnsi="华文仿宋" w:eastAsia="华文仿宋" w:cs="仿宋"/>
          <w:color w:val="auto"/>
          <w:kern w:val="1"/>
          <w:sz w:val="28"/>
          <w:szCs w:val="28"/>
          <w:highlight w:val="none"/>
        </w:rPr>
        <w:t>年</w:t>
      </w:r>
      <w:r>
        <w:rPr>
          <w:rFonts w:hint="eastAsia" w:ascii="华文仿宋" w:hAnsi="华文仿宋" w:eastAsia="华文仿宋" w:cs="仿宋"/>
          <w:color w:val="auto"/>
          <w:kern w:val="1"/>
          <w:sz w:val="28"/>
          <w:szCs w:val="28"/>
          <w:highlight w:val="none"/>
          <w:u w:val="single"/>
        </w:rPr>
        <w:t xml:space="preserve"> </w:t>
      </w:r>
      <w:r>
        <w:rPr>
          <w:rFonts w:hint="eastAsia" w:ascii="华文仿宋" w:hAnsi="华文仿宋" w:eastAsia="华文仿宋" w:cs="仿宋"/>
          <w:color w:val="auto"/>
          <w:kern w:val="1"/>
          <w:sz w:val="28"/>
          <w:szCs w:val="28"/>
          <w:highlight w:val="none"/>
        </w:rPr>
        <w:t xml:space="preserve">  月</w:t>
      </w:r>
      <w:r>
        <w:rPr>
          <w:rFonts w:hint="eastAsia" w:ascii="华文仿宋" w:hAnsi="华文仿宋" w:eastAsia="华文仿宋" w:cs="仿宋"/>
          <w:color w:val="auto"/>
          <w:kern w:val="1"/>
          <w:sz w:val="28"/>
          <w:szCs w:val="28"/>
          <w:highlight w:val="none"/>
          <w:u w:val="single"/>
        </w:rPr>
        <w:t xml:space="preserve">   </w:t>
      </w:r>
      <w:r>
        <w:rPr>
          <w:rFonts w:hint="eastAsia" w:ascii="华文仿宋" w:hAnsi="华文仿宋" w:eastAsia="华文仿宋" w:cs="仿宋"/>
          <w:color w:val="auto"/>
          <w:kern w:val="1"/>
          <w:sz w:val="28"/>
          <w:szCs w:val="28"/>
          <w:highlight w:val="none"/>
        </w:rPr>
        <w:t>日。</w:t>
      </w:r>
    </w:p>
    <w:p w14:paraId="74091D71">
      <w:pPr>
        <w:spacing w:line="360" w:lineRule="auto"/>
        <w:ind w:left="1920" w:firstLine="560" w:firstLineChars="20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银行名称：</w:t>
      </w:r>
      <w:r>
        <w:rPr>
          <w:rFonts w:ascii="华文仿宋" w:hAnsi="华文仿宋" w:eastAsia="华文仿宋" w:cs="仿宋"/>
          <w:color w:val="auto"/>
          <w:kern w:val="1"/>
          <w:sz w:val="28"/>
          <w:szCs w:val="28"/>
          <w:highlight w:val="none"/>
        </w:rPr>
        <w:t xml:space="preserve"> </w:t>
      </w:r>
      <w:r>
        <w:rPr>
          <w:rFonts w:hint="eastAsia" w:ascii="华文仿宋" w:hAnsi="华文仿宋" w:eastAsia="华文仿宋" w:cs="仿宋"/>
          <w:color w:val="auto"/>
          <w:kern w:val="1"/>
          <w:sz w:val="28"/>
          <w:szCs w:val="28"/>
          <w:highlight w:val="none"/>
        </w:rPr>
        <w:t>（盖章）</w:t>
      </w:r>
    </w:p>
    <w:p w14:paraId="1CBB788E">
      <w:pPr>
        <w:spacing w:line="360" w:lineRule="auto"/>
        <w:ind w:firstLine="2520" w:firstLineChars="90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银行负责人或委托代理人：</w:t>
      </w:r>
      <w:r>
        <w:rPr>
          <w:rFonts w:ascii="华文仿宋" w:hAnsi="华文仿宋" w:eastAsia="华文仿宋" w:cs="仿宋"/>
          <w:color w:val="auto"/>
          <w:kern w:val="1"/>
          <w:sz w:val="28"/>
          <w:szCs w:val="28"/>
          <w:highlight w:val="none"/>
        </w:rPr>
        <w:t xml:space="preserve">      </w:t>
      </w:r>
      <w:r>
        <w:rPr>
          <w:rFonts w:hint="eastAsia" w:ascii="华文仿宋" w:hAnsi="华文仿宋" w:eastAsia="华文仿宋" w:cs="仿宋"/>
          <w:color w:val="auto"/>
          <w:kern w:val="1"/>
          <w:sz w:val="28"/>
          <w:szCs w:val="28"/>
          <w:highlight w:val="none"/>
        </w:rPr>
        <w:t xml:space="preserve">   </w:t>
      </w:r>
    </w:p>
    <w:p w14:paraId="5F0CA6D7">
      <w:pPr>
        <w:spacing w:line="360" w:lineRule="auto"/>
        <w:ind w:left="2400" w:firstLine="140" w:firstLineChars="5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地</w:t>
      </w:r>
      <w:r>
        <w:rPr>
          <w:rFonts w:ascii="华文仿宋" w:hAnsi="华文仿宋" w:eastAsia="华文仿宋" w:cs="仿宋"/>
          <w:color w:val="auto"/>
          <w:kern w:val="1"/>
          <w:sz w:val="28"/>
          <w:szCs w:val="28"/>
          <w:highlight w:val="none"/>
        </w:rPr>
        <w:t xml:space="preserve">    </w:t>
      </w:r>
      <w:r>
        <w:rPr>
          <w:rFonts w:hint="eastAsia" w:ascii="华文仿宋" w:hAnsi="华文仿宋" w:eastAsia="华文仿宋" w:cs="仿宋"/>
          <w:color w:val="auto"/>
          <w:kern w:val="1"/>
          <w:sz w:val="28"/>
          <w:szCs w:val="28"/>
          <w:highlight w:val="none"/>
        </w:rPr>
        <w:t>址：</w:t>
      </w:r>
      <w:r>
        <w:rPr>
          <w:rFonts w:hint="eastAsia" w:ascii="华文仿宋" w:hAnsi="华文仿宋" w:eastAsia="华文仿宋" w:cs="仿宋"/>
          <w:color w:val="auto"/>
          <w:kern w:val="1"/>
          <w:sz w:val="28"/>
          <w:szCs w:val="28"/>
          <w:highlight w:val="none"/>
        </w:rPr>
        <w:tab/>
      </w:r>
      <w:r>
        <w:rPr>
          <w:rFonts w:hint="eastAsia" w:ascii="华文仿宋" w:hAnsi="华文仿宋" w:eastAsia="华文仿宋" w:cs="仿宋"/>
          <w:color w:val="auto"/>
          <w:kern w:val="1"/>
          <w:sz w:val="28"/>
          <w:szCs w:val="28"/>
          <w:highlight w:val="none"/>
        </w:rPr>
        <w:tab/>
      </w:r>
      <w:r>
        <w:rPr>
          <w:rFonts w:hint="eastAsia" w:ascii="华文仿宋" w:hAnsi="华文仿宋" w:eastAsia="华文仿宋" w:cs="仿宋"/>
          <w:color w:val="auto"/>
          <w:kern w:val="1"/>
          <w:sz w:val="28"/>
          <w:szCs w:val="28"/>
          <w:highlight w:val="none"/>
        </w:rPr>
        <w:tab/>
      </w:r>
      <w:r>
        <w:rPr>
          <w:rFonts w:hint="eastAsia" w:ascii="华文仿宋" w:hAnsi="华文仿宋" w:eastAsia="华文仿宋" w:cs="仿宋"/>
          <w:color w:val="auto"/>
          <w:kern w:val="1"/>
          <w:sz w:val="28"/>
          <w:szCs w:val="28"/>
          <w:highlight w:val="none"/>
        </w:rPr>
        <w:t xml:space="preserve">   </w:t>
      </w:r>
      <w:r>
        <w:rPr>
          <w:rFonts w:hint="eastAsia" w:ascii="华文仿宋" w:hAnsi="华文仿宋" w:eastAsia="华文仿宋" w:cs="仿宋"/>
          <w:color w:val="auto"/>
          <w:kern w:val="1"/>
          <w:sz w:val="28"/>
          <w:szCs w:val="28"/>
          <w:highlight w:val="none"/>
        </w:rPr>
        <w:tab/>
      </w:r>
      <w:r>
        <w:rPr>
          <w:rFonts w:hint="eastAsia" w:ascii="华文仿宋" w:hAnsi="华文仿宋" w:eastAsia="华文仿宋" w:cs="仿宋"/>
          <w:color w:val="auto"/>
          <w:kern w:val="1"/>
          <w:sz w:val="28"/>
          <w:szCs w:val="28"/>
          <w:highlight w:val="none"/>
        </w:rPr>
        <w:tab/>
      </w:r>
      <w:r>
        <w:rPr>
          <w:rFonts w:hint="eastAsia" w:ascii="华文仿宋" w:hAnsi="华文仿宋" w:eastAsia="华文仿宋" w:cs="仿宋"/>
          <w:color w:val="auto"/>
          <w:kern w:val="1"/>
          <w:sz w:val="28"/>
          <w:szCs w:val="28"/>
          <w:highlight w:val="none"/>
        </w:rPr>
        <w:tab/>
      </w:r>
      <w:r>
        <w:rPr>
          <w:rFonts w:hint="eastAsia" w:ascii="华文仿宋" w:hAnsi="华文仿宋" w:eastAsia="华文仿宋" w:cs="仿宋"/>
          <w:color w:val="auto"/>
          <w:kern w:val="1"/>
          <w:sz w:val="28"/>
          <w:szCs w:val="28"/>
          <w:highlight w:val="none"/>
        </w:rPr>
        <w:tab/>
      </w:r>
    </w:p>
    <w:p w14:paraId="03697C59">
      <w:pPr>
        <w:spacing w:line="360" w:lineRule="auto"/>
        <w:ind w:left="1440" w:firstLine="1120" w:firstLineChars="40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邮政编码：</w:t>
      </w:r>
      <w:r>
        <w:rPr>
          <w:rFonts w:hint="eastAsia" w:ascii="华文仿宋" w:hAnsi="华文仿宋" w:eastAsia="华文仿宋" w:cs="仿宋"/>
          <w:color w:val="auto"/>
          <w:kern w:val="1"/>
          <w:sz w:val="28"/>
          <w:szCs w:val="28"/>
          <w:highlight w:val="none"/>
        </w:rPr>
        <w:tab/>
      </w:r>
      <w:r>
        <w:rPr>
          <w:rFonts w:hint="eastAsia" w:ascii="华文仿宋" w:hAnsi="华文仿宋" w:eastAsia="华文仿宋" w:cs="仿宋"/>
          <w:color w:val="auto"/>
          <w:kern w:val="1"/>
          <w:sz w:val="28"/>
          <w:szCs w:val="28"/>
          <w:highlight w:val="none"/>
        </w:rPr>
        <w:tab/>
      </w:r>
      <w:r>
        <w:rPr>
          <w:rFonts w:hint="eastAsia" w:ascii="华文仿宋" w:hAnsi="华文仿宋" w:eastAsia="华文仿宋" w:cs="仿宋"/>
          <w:color w:val="auto"/>
          <w:kern w:val="1"/>
          <w:sz w:val="28"/>
          <w:szCs w:val="28"/>
          <w:highlight w:val="none"/>
        </w:rPr>
        <w:tab/>
      </w:r>
      <w:r>
        <w:rPr>
          <w:rFonts w:hint="eastAsia" w:ascii="华文仿宋" w:hAnsi="华文仿宋" w:eastAsia="华文仿宋" w:cs="仿宋"/>
          <w:color w:val="auto"/>
          <w:kern w:val="1"/>
          <w:sz w:val="28"/>
          <w:szCs w:val="28"/>
          <w:highlight w:val="none"/>
        </w:rPr>
        <w:tab/>
      </w:r>
      <w:r>
        <w:rPr>
          <w:rFonts w:hint="eastAsia" w:ascii="华文仿宋" w:hAnsi="华文仿宋" w:eastAsia="华文仿宋" w:cs="仿宋"/>
          <w:color w:val="auto"/>
          <w:kern w:val="1"/>
          <w:sz w:val="28"/>
          <w:szCs w:val="28"/>
          <w:highlight w:val="none"/>
        </w:rPr>
        <w:tab/>
      </w:r>
      <w:r>
        <w:rPr>
          <w:rFonts w:hint="eastAsia" w:ascii="华文仿宋" w:hAnsi="华文仿宋" w:eastAsia="华文仿宋" w:cs="仿宋"/>
          <w:color w:val="auto"/>
          <w:kern w:val="1"/>
          <w:sz w:val="28"/>
          <w:szCs w:val="28"/>
          <w:highlight w:val="none"/>
        </w:rPr>
        <w:tab/>
      </w:r>
      <w:r>
        <w:rPr>
          <w:rFonts w:hint="eastAsia" w:ascii="华文仿宋" w:hAnsi="华文仿宋" w:eastAsia="华文仿宋" w:cs="仿宋"/>
          <w:color w:val="auto"/>
          <w:kern w:val="1"/>
          <w:sz w:val="28"/>
          <w:szCs w:val="28"/>
          <w:highlight w:val="none"/>
        </w:rPr>
        <w:tab/>
      </w:r>
    </w:p>
    <w:p w14:paraId="00D40793">
      <w:pPr>
        <w:spacing w:line="360" w:lineRule="auto"/>
        <w:ind w:firstLine="2520" w:firstLineChars="90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日</w:t>
      </w:r>
      <w:r>
        <w:rPr>
          <w:rFonts w:ascii="华文仿宋" w:hAnsi="华文仿宋" w:eastAsia="华文仿宋" w:cs="仿宋"/>
          <w:color w:val="auto"/>
          <w:kern w:val="1"/>
          <w:sz w:val="28"/>
          <w:szCs w:val="28"/>
          <w:highlight w:val="none"/>
        </w:rPr>
        <w:t xml:space="preserve">  </w:t>
      </w:r>
      <w:r>
        <w:rPr>
          <w:rFonts w:hint="eastAsia" w:ascii="华文仿宋" w:hAnsi="华文仿宋" w:eastAsia="华文仿宋" w:cs="仿宋"/>
          <w:color w:val="auto"/>
          <w:kern w:val="1"/>
          <w:sz w:val="28"/>
          <w:szCs w:val="28"/>
          <w:highlight w:val="none"/>
        </w:rPr>
        <w:t>期：</w:t>
      </w:r>
      <w:r>
        <w:rPr>
          <w:rFonts w:ascii="华文仿宋" w:hAnsi="华文仿宋" w:eastAsia="华文仿宋" w:cs="仿宋"/>
          <w:color w:val="auto"/>
          <w:kern w:val="1"/>
          <w:sz w:val="28"/>
          <w:szCs w:val="28"/>
          <w:highlight w:val="none"/>
        </w:rPr>
        <w:t xml:space="preserve">         </w:t>
      </w:r>
      <w:r>
        <w:rPr>
          <w:rFonts w:hint="eastAsia" w:ascii="华文仿宋" w:hAnsi="华文仿宋" w:eastAsia="华文仿宋" w:cs="仿宋"/>
          <w:color w:val="auto"/>
          <w:kern w:val="1"/>
          <w:sz w:val="28"/>
          <w:szCs w:val="28"/>
          <w:highlight w:val="none"/>
        </w:rPr>
        <w:t>年</w:t>
      </w:r>
      <w:r>
        <w:rPr>
          <w:rFonts w:ascii="华文仿宋" w:hAnsi="华文仿宋" w:eastAsia="华文仿宋" w:cs="仿宋"/>
          <w:color w:val="auto"/>
          <w:kern w:val="1"/>
          <w:sz w:val="28"/>
          <w:szCs w:val="28"/>
          <w:highlight w:val="none"/>
        </w:rPr>
        <w:t xml:space="preserve">     </w:t>
      </w:r>
      <w:r>
        <w:rPr>
          <w:rFonts w:hint="eastAsia" w:ascii="华文仿宋" w:hAnsi="华文仿宋" w:eastAsia="华文仿宋" w:cs="仿宋"/>
          <w:color w:val="auto"/>
          <w:kern w:val="1"/>
          <w:sz w:val="28"/>
          <w:szCs w:val="28"/>
          <w:highlight w:val="none"/>
        </w:rPr>
        <w:t>月</w:t>
      </w:r>
      <w:r>
        <w:rPr>
          <w:rFonts w:ascii="华文仿宋" w:hAnsi="华文仿宋" w:eastAsia="华文仿宋" w:cs="仿宋"/>
          <w:color w:val="auto"/>
          <w:kern w:val="1"/>
          <w:sz w:val="28"/>
          <w:szCs w:val="28"/>
          <w:highlight w:val="none"/>
        </w:rPr>
        <w:t xml:space="preserve">      </w:t>
      </w:r>
      <w:r>
        <w:rPr>
          <w:rFonts w:hint="eastAsia" w:ascii="华文仿宋" w:hAnsi="华文仿宋" w:eastAsia="华文仿宋" w:cs="仿宋"/>
          <w:color w:val="auto"/>
          <w:kern w:val="1"/>
          <w:sz w:val="28"/>
          <w:szCs w:val="28"/>
          <w:highlight w:val="none"/>
        </w:rPr>
        <w:t>日</w:t>
      </w:r>
    </w:p>
    <w:p w14:paraId="61335071">
      <w:pPr>
        <w:spacing w:line="360" w:lineRule="auto"/>
        <w:rPr>
          <w:rFonts w:ascii="华文仿宋" w:hAnsi="华文仿宋" w:eastAsia="华文仿宋" w:cs="仿宋"/>
          <w:color w:val="auto"/>
          <w:kern w:val="1"/>
          <w:sz w:val="28"/>
          <w:szCs w:val="28"/>
          <w:highlight w:val="none"/>
        </w:rPr>
      </w:pPr>
    </w:p>
    <w:p w14:paraId="08A1E82E">
      <w:pPr>
        <w:spacing w:line="360" w:lineRule="auto"/>
        <w:rPr>
          <w:rFonts w:ascii="华文仿宋" w:hAnsi="华文仿宋" w:eastAsia="华文仿宋" w:cs="仿宋"/>
          <w:color w:val="auto"/>
          <w:kern w:val="1"/>
          <w:sz w:val="28"/>
          <w:szCs w:val="28"/>
          <w:highlight w:val="none"/>
        </w:rPr>
      </w:pPr>
    </w:p>
    <w:p w14:paraId="4654E595">
      <w:pPr>
        <w:spacing w:line="360" w:lineRule="auto"/>
        <w:rPr>
          <w:rFonts w:ascii="华文仿宋" w:hAnsi="华文仿宋" w:eastAsia="华文仿宋" w:cs="仿宋"/>
          <w:color w:val="auto"/>
          <w:kern w:val="1"/>
          <w:sz w:val="28"/>
          <w:szCs w:val="28"/>
          <w:highlight w:val="none"/>
        </w:rPr>
      </w:pPr>
    </w:p>
    <w:p w14:paraId="41F859CC">
      <w:pPr>
        <w:spacing w:line="360" w:lineRule="auto"/>
        <w:rPr>
          <w:rFonts w:ascii="华文仿宋" w:hAnsi="华文仿宋" w:eastAsia="华文仿宋" w:cs="仿宋"/>
          <w:color w:val="auto"/>
          <w:kern w:val="1"/>
          <w:sz w:val="28"/>
          <w:szCs w:val="28"/>
          <w:highlight w:val="none"/>
        </w:rPr>
      </w:pPr>
    </w:p>
    <w:p w14:paraId="6F99CAB0">
      <w:pPr>
        <w:spacing w:line="360" w:lineRule="auto"/>
        <w:rPr>
          <w:rFonts w:ascii="华文仿宋" w:hAnsi="华文仿宋" w:eastAsia="华文仿宋" w:cs="仿宋"/>
          <w:color w:val="auto"/>
          <w:kern w:val="1"/>
          <w:sz w:val="28"/>
          <w:szCs w:val="28"/>
          <w:highlight w:val="none"/>
        </w:rPr>
      </w:pPr>
    </w:p>
    <w:p w14:paraId="7A01AB22">
      <w:pPr>
        <w:spacing w:line="360" w:lineRule="auto"/>
        <w:rPr>
          <w:rFonts w:ascii="华文仿宋" w:hAnsi="华文仿宋" w:eastAsia="华文仿宋" w:cs="仿宋"/>
          <w:color w:val="auto"/>
          <w:kern w:val="1"/>
          <w:sz w:val="28"/>
          <w:szCs w:val="28"/>
          <w:highlight w:val="none"/>
        </w:rPr>
      </w:pPr>
    </w:p>
    <w:p w14:paraId="2D0F3874">
      <w:pPr>
        <w:spacing w:line="360" w:lineRule="auto"/>
        <w:rPr>
          <w:rFonts w:ascii="华文仿宋" w:hAnsi="华文仿宋" w:eastAsia="华文仿宋" w:cs="仿宋"/>
          <w:color w:val="auto"/>
          <w:kern w:val="1"/>
          <w:sz w:val="28"/>
          <w:szCs w:val="28"/>
          <w:highlight w:val="none"/>
        </w:rPr>
      </w:pPr>
    </w:p>
    <w:p w14:paraId="3BF592C8">
      <w:pPr>
        <w:spacing w:line="360" w:lineRule="auto"/>
        <w:rPr>
          <w:rFonts w:ascii="华文仿宋" w:hAnsi="华文仿宋" w:eastAsia="华文仿宋" w:cs="仿宋"/>
          <w:color w:val="auto"/>
          <w:kern w:val="1"/>
          <w:sz w:val="28"/>
          <w:szCs w:val="28"/>
          <w:highlight w:val="none"/>
        </w:rPr>
      </w:pPr>
    </w:p>
    <w:p w14:paraId="570CD7EC">
      <w:pPr>
        <w:spacing w:line="360" w:lineRule="auto"/>
        <w:rPr>
          <w:rFonts w:ascii="华文仿宋" w:hAnsi="华文仿宋" w:eastAsia="华文仿宋" w:cs="仿宋"/>
          <w:color w:val="auto"/>
          <w:kern w:val="1"/>
          <w:sz w:val="28"/>
          <w:szCs w:val="28"/>
          <w:highlight w:val="none"/>
        </w:rPr>
      </w:pPr>
    </w:p>
    <w:p w14:paraId="22C46DB3">
      <w:pPr>
        <w:rPr>
          <w:rFonts w:ascii="华文仿宋" w:hAnsi="华文仿宋" w:eastAsia="华文仿宋" w:cs="仿宋"/>
          <w:b/>
          <w:color w:val="auto"/>
          <w:sz w:val="28"/>
          <w:szCs w:val="28"/>
          <w:highlight w:val="none"/>
        </w:rPr>
      </w:pPr>
      <w:r>
        <w:rPr>
          <w:rFonts w:hint="eastAsia" w:ascii="华文仿宋" w:hAnsi="华文仿宋" w:eastAsia="华文仿宋" w:cs="仿宋"/>
          <w:b/>
          <w:color w:val="auto"/>
          <w:sz w:val="28"/>
          <w:szCs w:val="28"/>
          <w:highlight w:val="none"/>
        </w:rPr>
        <w:br w:type="page"/>
      </w:r>
    </w:p>
    <w:p w14:paraId="64B13442">
      <w:pPr>
        <w:spacing w:line="360" w:lineRule="auto"/>
        <w:rPr>
          <w:rFonts w:ascii="华文仿宋" w:hAnsi="华文仿宋" w:eastAsia="华文仿宋" w:cs="仿宋"/>
          <w:b/>
          <w:color w:val="auto"/>
          <w:sz w:val="28"/>
          <w:szCs w:val="28"/>
          <w:highlight w:val="none"/>
        </w:rPr>
      </w:pPr>
      <w:r>
        <w:rPr>
          <w:rFonts w:hint="eastAsia" w:ascii="华文仿宋" w:hAnsi="华文仿宋" w:eastAsia="华文仿宋" w:cs="仿宋"/>
          <w:b/>
          <w:color w:val="auto"/>
          <w:sz w:val="28"/>
          <w:szCs w:val="28"/>
          <w:highlight w:val="none"/>
        </w:rPr>
        <w:t>附件</w:t>
      </w:r>
      <w:r>
        <w:rPr>
          <w:rFonts w:ascii="华文仿宋" w:hAnsi="华文仿宋" w:eastAsia="华文仿宋" w:cs="仿宋"/>
          <w:b/>
          <w:color w:val="auto"/>
          <w:sz w:val="28"/>
          <w:szCs w:val="28"/>
          <w:highlight w:val="none"/>
        </w:rPr>
        <w:t>3</w:t>
      </w:r>
    </w:p>
    <w:p w14:paraId="7D2EA5B5">
      <w:pPr>
        <w:spacing w:line="360" w:lineRule="auto"/>
        <w:jc w:val="center"/>
        <w:rPr>
          <w:rFonts w:ascii="华文仿宋" w:hAnsi="华文仿宋" w:eastAsia="华文仿宋"/>
          <w:b/>
          <w:color w:val="auto"/>
          <w:sz w:val="28"/>
          <w:szCs w:val="28"/>
          <w:highlight w:val="none"/>
        </w:rPr>
      </w:pPr>
      <w:r>
        <w:rPr>
          <w:rFonts w:hint="eastAsia" w:ascii="华文仿宋" w:hAnsi="华文仿宋" w:eastAsia="华文仿宋" w:cs="仿宋"/>
          <w:b/>
          <w:color w:val="auto"/>
          <w:sz w:val="28"/>
          <w:szCs w:val="28"/>
          <w:highlight w:val="none"/>
        </w:rPr>
        <w:t>《承包人提供主要材料和工程设备一览表》</w:t>
      </w:r>
    </w:p>
    <w:p w14:paraId="019819E0">
      <w:pPr>
        <w:rPr>
          <w:rFonts w:ascii="华文仿宋" w:hAnsi="华文仿宋" w:eastAsia="华文仿宋"/>
          <w:color w:val="auto"/>
          <w:highlight w:val="none"/>
        </w:rPr>
      </w:pPr>
    </w:p>
    <w:p w14:paraId="43256970">
      <w:pPr>
        <w:spacing w:line="360" w:lineRule="auto"/>
        <w:jc w:val="left"/>
        <w:rPr>
          <w:rFonts w:ascii="华文仿宋" w:hAnsi="华文仿宋" w:eastAsia="华文仿宋"/>
          <w:b/>
          <w:color w:val="auto"/>
          <w:sz w:val="28"/>
          <w:szCs w:val="28"/>
          <w:highlight w:val="none"/>
        </w:rPr>
      </w:pPr>
    </w:p>
    <w:p w14:paraId="0D4AB6F9">
      <w:pPr>
        <w:jc w:val="left"/>
        <w:rPr>
          <w:rFonts w:ascii="华文仿宋" w:hAnsi="华文仿宋" w:eastAsia="华文仿宋"/>
          <w:b/>
          <w:color w:val="auto"/>
          <w:sz w:val="28"/>
          <w:szCs w:val="28"/>
          <w:highlight w:val="none"/>
        </w:rPr>
      </w:pPr>
      <w:r>
        <w:rPr>
          <w:rFonts w:hint="eastAsia" w:ascii="华文仿宋" w:hAnsi="华文仿宋" w:eastAsia="华文仿宋"/>
          <w:b/>
          <w:color w:val="auto"/>
          <w:sz w:val="28"/>
          <w:szCs w:val="28"/>
          <w:highlight w:val="none"/>
        </w:rPr>
        <w:br w:type="page"/>
      </w:r>
    </w:p>
    <w:p w14:paraId="065A1FC4">
      <w:pPr>
        <w:spacing w:line="360" w:lineRule="auto"/>
        <w:jc w:val="left"/>
        <w:rPr>
          <w:rFonts w:ascii="华文仿宋" w:hAnsi="华文仿宋" w:eastAsia="华文仿宋"/>
          <w:b/>
          <w:color w:val="auto"/>
          <w:sz w:val="28"/>
          <w:szCs w:val="28"/>
          <w:highlight w:val="none"/>
        </w:rPr>
      </w:pPr>
      <w:r>
        <w:rPr>
          <w:rFonts w:hint="eastAsia" w:ascii="华文仿宋" w:hAnsi="华文仿宋" w:eastAsia="华文仿宋"/>
          <w:b/>
          <w:color w:val="auto"/>
          <w:sz w:val="28"/>
          <w:szCs w:val="28"/>
          <w:highlight w:val="none"/>
        </w:rPr>
        <w:t>附件</w:t>
      </w:r>
      <w:r>
        <w:rPr>
          <w:rFonts w:ascii="华文仿宋" w:hAnsi="华文仿宋" w:eastAsia="华文仿宋"/>
          <w:b/>
          <w:color w:val="auto"/>
          <w:sz w:val="28"/>
          <w:szCs w:val="28"/>
          <w:highlight w:val="none"/>
        </w:rPr>
        <w:t>4</w:t>
      </w:r>
    </w:p>
    <w:p w14:paraId="4A81433F">
      <w:pPr>
        <w:spacing w:line="360" w:lineRule="auto"/>
        <w:jc w:val="center"/>
        <w:rPr>
          <w:rFonts w:ascii="华文仿宋" w:hAnsi="华文仿宋" w:eastAsia="华文仿宋" w:cs="仿宋"/>
          <w:b/>
          <w:color w:val="auto"/>
          <w:sz w:val="28"/>
          <w:szCs w:val="28"/>
          <w:highlight w:val="none"/>
        </w:rPr>
      </w:pPr>
      <w:r>
        <w:rPr>
          <w:rFonts w:hint="eastAsia" w:ascii="华文仿宋" w:hAnsi="华文仿宋" w:eastAsia="华文仿宋" w:cs="仿宋"/>
          <w:b/>
          <w:color w:val="auto"/>
          <w:sz w:val="28"/>
          <w:szCs w:val="28"/>
          <w:highlight w:val="none"/>
        </w:rPr>
        <w:t>项目管理机构人员配备</w:t>
      </w:r>
    </w:p>
    <w:p w14:paraId="5BFDA5B2">
      <w:pPr>
        <w:tabs>
          <w:tab w:val="left" w:pos="4135"/>
        </w:tabs>
        <w:spacing w:line="360" w:lineRule="auto"/>
        <w:ind w:right="44"/>
        <w:rPr>
          <w:rFonts w:ascii="华文仿宋" w:hAnsi="华文仿宋" w:eastAsia="华文仿宋" w:cs="仿宋"/>
          <w:b/>
          <w:color w:val="auto"/>
          <w:sz w:val="28"/>
          <w:szCs w:val="28"/>
          <w:highlight w:val="none"/>
        </w:rPr>
      </w:pPr>
    </w:p>
    <w:p w14:paraId="2CCA8764">
      <w:pPr>
        <w:tabs>
          <w:tab w:val="left" w:pos="4135"/>
        </w:tabs>
        <w:spacing w:line="360" w:lineRule="auto"/>
        <w:ind w:right="44"/>
        <w:rPr>
          <w:rFonts w:ascii="华文仿宋" w:hAnsi="华文仿宋" w:eastAsia="华文仿宋" w:cs="仿宋"/>
          <w:b/>
          <w:color w:val="auto"/>
          <w:sz w:val="28"/>
          <w:szCs w:val="28"/>
          <w:highlight w:val="none"/>
        </w:rPr>
      </w:pPr>
    </w:p>
    <w:p w14:paraId="70B8C61E">
      <w:pPr>
        <w:rPr>
          <w:rFonts w:ascii="华文仿宋" w:hAnsi="华文仿宋" w:eastAsia="华文仿宋" w:cs="仿宋"/>
          <w:b/>
          <w:color w:val="auto"/>
          <w:sz w:val="28"/>
          <w:szCs w:val="28"/>
          <w:highlight w:val="none"/>
        </w:rPr>
      </w:pPr>
      <w:r>
        <w:rPr>
          <w:rFonts w:hint="eastAsia" w:ascii="华文仿宋" w:hAnsi="华文仿宋" w:eastAsia="华文仿宋" w:cs="仿宋"/>
          <w:b/>
          <w:color w:val="auto"/>
          <w:sz w:val="28"/>
          <w:szCs w:val="28"/>
          <w:highlight w:val="none"/>
        </w:rPr>
        <w:br w:type="page"/>
      </w:r>
    </w:p>
    <w:p w14:paraId="7B954EFA">
      <w:pPr>
        <w:tabs>
          <w:tab w:val="left" w:pos="4135"/>
        </w:tabs>
        <w:spacing w:line="360" w:lineRule="auto"/>
        <w:ind w:right="44"/>
        <w:rPr>
          <w:rFonts w:ascii="华文仿宋" w:hAnsi="华文仿宋" w:eastAsia="华文仿宋" w:cs="仿宋"/>
          <w:b/>
          <w:color w:val="auto"/>
          <w:sz w:val="28"/>
          <w:szCs w:val="28"/>
          <w:highlight w:val="none"/>
        </w:rPr>
      </w:pPr>
      <w:r>
        <w:rPr>
          <w:rFonts w:hint="eastAsia" w:ascii="华文仿宋" w:hAnsi="华文仿宋" w:eastAsia="华文仿宋" w:cs="仿宋"/>
          <w:b/>
          <w:color w:val="auto"/>
          <w:sz w:val="28"/>
          <w:szCs w:val="28"/>
          <w:highlight w:val="none"/>
        </w:rPr>
        <w:t>附件</w:t>
      </w:r>
      <w:r>
        <w:rPr>
          <w:rFonts w:ascii="华文仿宋" w:hAnsi="华文仿宋" w:eastAsia="华文仿宋" w:cs="仿宋"/>
          <w:b/>
          <w:color w:val="auto"/>
          <w:sz w:val="28"/>
          <w:szCs w:val="28"/>
          <w:highlight w:val="none"/>
        </w:rPr>
        <w:t>5</w:t>
      </w:r>
    </w:p>
    <w:p w14:paraId="2A03C42F">
      <w:pPr>
        <w:pStyle w:val="129"/>
        <w:spacing w:line="360" w:lineRule="auto"/>
        <w:jc w:val="center"/>
        <w:rPr>
          <w:rFonts w:ascii="华文仿宋" w:hAnsi="华文仿宋" w:eastAsia="华文仿宋" w:cs="仿宋"/>
          <w:b/>
          <w:color w:val="auto"/>
          <w:kern w:val="0"/>
          <w:sz w:val="28"/>
          <w:szCs w:val="28"/>
          <w:highlight w:val="none"/>
        </w:rPr>
      </w:pPr>
      <w:r>
        <w:rPr>
          <w:rFonts w:hint="eastAsia" w:ascii="华文仿宋" w:hAnsi="华文仿宋" w:eastAsia="华文仿宋" w:cs="仿宋"/>
          <w:b/>
          <w:color w:val="auto"/>
          <w:kern w:val="0"/>
          <w:sz w:val="28"/>
          <w:szCs w:val="28"/>
          <w:highlight w:val="none"/>
        </w:rPr>
        <w:t>安全生产合同</w:t>
      </w:r>
    </w:p>
    <w:p w14:paraId="6D8A002F">
      <w:pPr>
        <w:pStyle w:val="129"/>
        <w:spacing w:line="360" w:lineRule="auto"/>
        <w:ind w:firstLine="560"/>
        <w:jc w:val="left"/>
        <w:rPr>
          <w:rFonts w:ascii="华文仿宋" w:hAnsi="华文仿宋" w:eastAsia="华文仿宋" w:cs="仿宋"/>
          <w:color w:val="auto"/>
          <w:kern w:val="0"/>
          <w:sz w:val="28"/>
          <w:szCs w:val="28"/>
          <w:highlight w:val="none"/>
        </w:rPr>
      </w:pPr>
    </w:p>
    <w:p w14:paraId="6236055B">
      <w:pPr>
        <w:spacing w:line="360" w:lineRule="auto"/>
        <w:ind w:left="2551" w:leftChars="267" w:hanging="1990" w:hangingChars="711"/>
        <w:rPr>
          <w:rFonts w:ascii="华文仿宋" w:hAnsi="华文仿宋" w:eastAsia="华文仿宋"/>
          <w:color w:val="auto"/>
          <w:kern w:val="1"/>
          <w:sz w:val="32"/>
          <w:highlight w:val="none"/>
        </w:rPr>
      </w:pPr>
      <w:r>
        <w:rPr>
          <w:rFonts w:ascii="华文仿宋" w:hAnsi="华文仿宋" w:eastAsia="华文仿宋" w:cs="仿宋"/>
          <w:color w:val="auto"/>
          <w:sz w:val="28"/>
          <w:szCs w:val="28"/>
          <w:highlight w:val="none"/>
        </w:rPr>
        <w:t>发包人:（全称）</w:t>
      </w:r>
      <w:r>
        <w:rPr>
          <w:rFonts w:hint="eastAsia" w:ascii="华文仿宋" w:hAnsi="华文仿宋" w:eastAsia="华文仿宋" w:cs="仿宋"/>
          <w:color w:val="auto"/>
          <w:sz w:val="28"/>
          <w:szCs w:val="28"/>
          <w:highlight w:val="none"/>
          <w:u w:val="single"/>
        </w:rPr>
        <w:t xml:space="preserve"> </w:t>
      </w:r>
      <w:r>
        <w:rPr>
          <w:rFonts w:ascii="华文仿宋" w:hAnsi="华文仿宋" w:eastAsia="华文仿宋" w:cs="仿宋"/>
          <w:color w:val="auto"/>
          <w:sz w:val="28"/>
          <w:szCs w:val="28"/>
          <w:highlight w:val="none"/>
          <w:u w:val="single"/>
        </w:rPr>
        <w:t xml:space="preserve">                            </w:t>
      </w:r>
    </w:p>
    <w:p w14:paraId="4D785EAE">
      <w:pPr>
        <w:pStyle w:val="129"/>
        <w:spacing w:line="360" w:lineRule="auto"/>
        <w:ind w:firstLine="560"/>
        <w:jc w:val="left"/>
        <w:rPr>
          <w:rFonts w:ascii="华文仿宋" w:hAnsi="华文仿宋" w:eastAsia="华文仿宋" w:cs="仿宋"/>
          <w:color w:val="auto"/>
          <w:kern w:val="0"/>
          <w:sz w:val="28"/>
          <w:szCs w:val="28"/>
          <w:highlight w:val="none"/>
          <w:u w:val="single"/>
        </w:rPr>
      </w:pPr>
      <w:r>
        <w:rPr>
          <w:rFonts w:ascii="华文仿宋" w:hAnsi="华文仿宋" w:eastAsia="华文仿宋" w:cs="仿宋"/>
          <w:color w:val="auto"/>
          <w:kern w:val="0"/>
          <w:sz w:val="28"/>
          <w:szCs w:val="28"/>
          <w:highlight w:val="none"/>
        </w:rPr>
        <w:t>承包人:（全称）</w:t>
      </w:r>
      <w:r>
        <w:rPr>
          <w:rFonts w:hint="eastAsia" w:ascii="华文仿宋" w:hAnsi="华文仿宋" w:eastAsia="华文仿宋" w:cs="仿宋"/>
          <w:color w:val="auto"/>
          <w:kern w:val="0"/>
          <w:sz w:val="28"/>
          <w:szCs w:val="28"/>
          <w:highlight w:val="none"/>
          <w:u w:val="single"/>
        </w:rPr>
        <w:t xml:space="preserve">                             </w:t>
      </w:r>
    </w:p>
    <w:p w14:paraId="1DD52543">
      <w:pPr>
        <w:pStyle w:val="129"/>
        <w:spacing w:line="360" w:lineRule="auto"/>
        <w:ind w:firstLine="560"/>
        <w:rPr>
          <w:rFonts w:ascii="华文仿宋" w:hAnsi="华文仿宋" w:eastAsia="华文仿宋" w:cs="仿宋"/>
          <w:color w:val="auto"/>
          <w:kern w:val="0"/>
          <w:sz w:val="28"/>
          <w:szCs w:val="28"/>
          <w:highlight w:val="none"/>
        </w:rPr>
      </w:pPr>
      <w:r>
        <w:rPr>
          <w:rFonts w:ascii="华文仿宋" w:hAnsi="华文仿宋" w:eastAsia="华文仿宋" w:cs="仿宋"/>
          <w:color w:val="auto"/>
          <w:kern w:val="0"/>
          <w:sz w:val="28"/>
          <w:szCs w:val="28"/>
          <w:highlight w:val="none"/>
        </w:rPr>
        <w:t>为在施工合同的实施过程中创造安全、高效的施工环境，切实搞好本项目的安全管理工作，发包人与承包人，特此签订安全生产合同：</w:t>
      </w:r>
    </w:p>
    <w:p w14:paraId="15032BF9">
      <w:pPr>
        <w:pStyle w:val="129"/>
        <w:spacing w:line="360" w:lineRule="auto"/>
        <w:ind w:firstLine="560"/>
        <w:rPr>
          <w:rFonts w:ascii="华文仿宋" w:hAnsi="华文仿宋" w:eastAsia="华文仿宋" w:cs="仿宋"/>
          <w:color w:val="auto"/>
          <w:kern w:val="0"/>
          <w:sz w:val="28"/>
          <w:szCs w:val="28"/>
          <w:highlight w:val="none"/>
        </w:rPr>
      </w:pPr>
      <w:r>
        <w:rPr>
          <w:rFonts w:hint="eastAsia" w:ascii="华文仿宋" w:hAnsi="华文仿宋" w:eastAsia="华文仿宋" w:cs="仿宋"/>
          <w:color w:val="auto"/>
          <w:kern w:val="0"/>
          <w:sz w:val="28"/>
          <w:szCs w:val="28"/>
          <w:highlight w:val="none"/>
        </w:rPr>
        <w:t>1、发包人职责</w:t>
      </w:r>
    </w:p>
    <w:p w14:paraId="35BA9E83">
      <w:pPr>
        <w:pStyle w:val="128"/>
        <w:spacing w:line="360" w:lineRule="auto"/>
        <w:ind w:firstLine="560"/>
        <w:rPr>
          <w:rFonts w:ascii="华文仿宋" w:hAnsi="华文仿宋" w:eastAsia="华文仿宋" w:cs="仿宋"/>
          <w:color w:val="auto"/>
          <w:kern w:val="0"/>
          <w:sz w:val="28"/>
          <w:szCs w:val="28"/>
          <w:highlight w:val="none"/>
        </w:rPr>
      </w:pPr>
      <w:r>
        <w:rPr>
          <w:rFonts w:hint="eastAsia" w:ascii="华文仿宋" w:hAnsi="华文仿宋" w:eastAsia="华文仿宋" w:cs="仿宋"/>
          <w:color w:val="auto"/>
          <w:kern w:val="0"/>
          <w:sz w:val="28"/>
          <w:szCs w:val="28"/>
          <w:highlight w:val="none"/>
        </w:rPr>
        <w:t>1.1 严格遵守国家有关安全生产的法律法规，认真执行工程承包合同中的有关安全要求。</w:t>
      </w:r>
    </w:p>
    <w:p w14:paraId="535FE420">
      <w:pPr>
        <w:pStyle w:val="128"/>
        <w:spacing w:line="360" w:lineRule="auto"/>
        <w:ind w:firstLine="560"/>
        <w:rPr>
          <w:rFonts w:ascii="华文仿宋" w:hAnsi="华文仿宋" w:eastAsia="华文仿宋" w:cs="仿宋"/>
          <w:color w:val="auto"/>
          <w:kern w:val="0"/>
          <w:sz w:val="28"/>
          <w:szCs w:val="28"/>
          <w:highlight w:val="none"/>
        </w:rPr>
      </w:pPr>
      <w:r>
        <w:rPr>
          <w:rFonts w:hint="eastAsia" w:ascii="华文仿宋" w:hAnsi="华文仿宋" w:eastAsia="华文仿宋" w:cs="仿宋"/>
          <w:color w:val="auto"/>
          <w:kern w:val="0"/>
          <w:sz w:val="28"/>
          <w:szCs w:val="28"/>
          <w:highlight w:val="none"/>
        </w:rPr>
        <w:t>1.2 按照“安全第一、预防为主”和坚持“管生产必须管安全”的原则进行安全生产管理，做到生产和安全工作同时计划、布置、检查、总结和评比。</w:t>
      </w:r>
    </w:p>
    <w:p w14:paraId="20BF85FB">
      <w:pPr>
        <w:pStyle w:val="128"/>
        <w:spacing w:line="360" w:lineRule="auto"/>
        <w:ind w:firstLine="560"/>
        <w:rPr>
          <w:rFonts w:ascii="华文仿宋" w:hAnsi="华文仿宋" w:eastAsia="华文仿宋" w:cs="仿宋"/>
          <w:color w:val="auto"/>
          <w:kern w:val="0"/>
          <w:sz w:val="28"/>
          <w:szCs w:val="28"/>
          <w:highlight w:val="none"/>
        </w:rPr>
      </w:pPr>
      <w:r>
        <w:rPr>
          <w:rFonts w:hint="eastAsia" w:ascii="华文仿宋" w:hAnsi="华文仿宋" w:eastAsia="华文仿宋" w:cs="仿宋"/>
          <w:color w:val="auto"/>
          <w:kern w:val="0"/>
          <w:sz w:val="28"/>
          <w:szCs w:val="28"/>
          <w:highlight w:val="none"/>
        </w:rPr>
        <w:t>1.3 重要的安全设施必须坚持与主体工程“三同时”的原则，即：同时设计、审批，同时施工，同时验收，投入使用。</w:t>
      </w:r>
    </w:p>
    <w:p w14:paraId="6E83A64D">
      <w:pPr>
        <w:pStyle w:val="128"/>
        <w:spacing w:line="360" w:lineRule="auto"/>
        <w:ind w:firstLine="560"/>
        <w:rPr>
          <w:rFonts w:ascii="华文仿宋" w:hAnsi="华文仿宋" w:eastAsia="华文仿宋" w:cs="仿宋"/>
          <w:color w:val="auto"/>
          <w:kern w:val="0"/>
          <w:sz w:val="28"/>
          <w:szCs w:val="28"/>
          <w:highlight w:val="none"/>
        </w:rPr>
      </w:pPr>
      <w:r>
        <w:rPr>
          <w:rFonts w:hint="eastAsia" w:ascii="华文仿宋" w:hAnsi="华文仿宋" w:eastAsia="华文仿宋" w:cs="仿宋"/>
          <w:color w:val="auto"/>
          <w:kern w:val="0"/>
          <w:sz w:val="28"/>
          <w:szCs w:val="28"/>
          <w:highlight w:val="none"/>
        </w:rPr>
        <w:t>1.4 定期召开安全生产调度会，及时传达中央及地方有关安全生产的精神。</w:t>
      </w:r>
    </w:p>
    <w:p w14:paraId="4B8FDA0C">
      <w:pPr>
        <w:pStyle w:val="128"/>
        <w:spacing w:line="360" w:lineRule="auto"/>
        <w:ind w:firstLine="560"/>
        <w:rPr>
          <w:rFonts w:ascii="华文仿宋" w:hAnsi="华文仿宋" w:eastAsia="华文仿宋" w:cs="仿宋"/>
          <w:color w:val="auto"/>
          <w:kern w:val="0"/>
          <w:sz w:val="28"/>
          <w:szCs w:val="28"/>
          <w:highlight w:val="none"/>
        </w:rPr>
      </w:pPr>
      <w:r>
        <w:rPr>
          <w:rFonts w:ascii="华文仿宋" w:hAnsi="华文仿宋" w:eastAsia="华文仿宋" w:cs="仿宋"/>
          <w:color w:val="auto"/>
          <w:kern w:val="0"/>
          <w:sz w:val="28"/>
          <w:szCs w:val="28"/>
          <w:highlight w:val="none"/>
        </w:rPr>
        <w:t>1.5 组织对承包人施工现场安全生产检查，监督承包人及时处理发现的各种安全隐患。</w:t>
      </w:r>
    </w:p>
    <w:p w14:paraId="68ACE4C9">
      <w:pPr>
        <w:pStyle w:val="128"/>
        <w:spacing w:line="360" w:lineRule="auto"/>
        <w:ind w:firstLine="560"/>
        <w:rPr>
          <w:rFonts w:ascii="华文仿宋" w:hAnsi="华文仿宋" w:eastAsia="华文仿宋" w:cs="仿宋"/>
          <w:color w:val="auto"/>
          <w:kern w:val="0"/>
          <w:sz w:val="28"/>
          <w:szCs w:val="28"/>
          <w:highlight w:val="none"/>
        </w:rPr>
      </w:pPr>
      <w:r>
        <w:rPr>
          <w:rFonts w:ascii="华文仿宋" w:hAnsi="华文仿宋" w:eastAsia="华文仿宋" w:cs="仿宋"/>
          <w:color w:val="auto"/>
          <w:kern w:val="0"/>
          <w:sz w:val="28"/>
          <w:szCs w:val="28"/>
          <w:highlight w:val="none"/>
        </w:rPr>
        <w:t>2、承包人职责</w:t>
      </w:r>
    </w:p>
    <w:p w14:paraId="4BD1D879">
      <w:pPr>
        <w:pStyle w:val="128"/>
        <w:spacing w:line="360" w:lineRule="auto"/>
        <w:ind w:firstLine="560"/>
        <w:rPr>
          <w:rFonts w:ascii="华文仿宋" w:hAnsi="华文仿宋" w:eastAsia="华文仿宋" w:cs="仿宋"/>
          <w:color w:val="auto"/>
          <w:kern w:val="0"/>
          <w:sz w:val="28"/>
          <w:szCs w:val="28"/>
          <w:highlight w:val="none"/>
        </w:rPr>
      </w:pPr>
      <w:r>
        <w:rPr>
          <w:rFonts w:ascii="华文仿宋" w:hAnsi="华文仿宋" w:eastAsia="华文仿宋" w:cs="仿宋"/>
          <w:color w:val="auto"/>
          <w:kern w:val="0"/>
          <w:sz w:val="28"/>
          <w:szCs w:val="28"/>
          <w:highlight w:val="none"/>
        </w:rPr>
        <w:t>2.1 严格遵守国家有关安全生产的法律法规，认真执行工程承包合同中的有关安全要求。</w:t>
      </w:r>
    </w:p>
    <w:p w14:paraId="4C6A718C">
      <w:pPr>
        <w:pStyle w:val="128"/>
        <w:spacing w:line="360" w:lineRule="auto"/>
        <w:ind w:firstLine="560"/>
        <w:rPr>
          <w:rFonts w:ascii="华文仿宋" w:hAnsi="华文仿宋" w:eastAsia="华文仿宋" w:cs="仿宋"/>
          <w:color w:val="auto"/>
          <w:kern w:val="0"/>
          <w:sz w:val="28"/>
          <w:szCs w:val="28"/>
          <w:highlight w:val="none"/>
        </w:rPr>
      </w:pPr>
      <w:r>
        <w:rPr>
          <w:rFonts w:ascii="华文仿宋" w:hAnsi="华文仿宋" w:eastAsia="华文仿宋" w:cs="仿宋"/>
          <w:color w:val="auto"/>
          <w:kern w:val="0"/>
          <w:sz w:val="28"/>
          <w:szCs w:val="28"/>
          <w:highlight w:val="none"/>
        </w:rPr>
        <w:t>2.2 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14:paraId="2A92EEAA">
      <w:pPr>
        <w:pStyle w:val="128"/>
        <w:spacing w:line="360" w:lineRule="auto"/>
        <w:ind w:firstLine="560"/>
        <w:rPr>
          <w:rFonts w:ascii="华文仿宋" w:hAnsi="华文仿宋" w:eastAsia="华文仿宋" w:cs="仿宋"/>
          <w:color w:val="auto"/>
          <w:kern w:val="0"/>
          <w:sz w:val="28"/>
          <w:szCs w:val="28"/>
          <w:highlight w:val="none"/>
        </w:rPr>
      </w:pPr>
      <w:r>
        <w:rPr>
          <w:rFonts w:ascii="华文仿宋" w:hAnsi="华文仿宋" w:eastAsia="华文仿宋" w:cs="仿宋"/>
          <w:color w:val="auto"/>
          <w:kern w:val="0"/>
          <w:sz w:val="28"/>
          <w:szCs w:val="28"/>
          <w:highlight w:val="none"/>
        </w:rPr>
        <w:t>2.3 建立健全安全生产责任制。从派往项目实施的项目经理到</w:t>
      </w:r>
      <w:r>
        <w:rPr>
          <w:rFonts w:hint="eastAsia" w:ascii="华文仿宋" w:hAnsi="华文仿宋" w:eastAsia="华文仿宋" w:cs="仿宋"/>
          <w:color w:val="auto"/>
          <w:kern w:val="0"/>
          <w:sz w:val="28"/>
          <w:szCs w:val="28"/>
          <w:highlight w:val="none"/>
        </w:rPr>
        <w:t>建设领域工人</w:t>
      </w:r>
      <w:r>
        <w:rPr>
          <w:rFonts w:ascii="华文仿宋" w:hAnsi="华文仿宋" w:eastAsia="华文仿宋" w:cs="仿宋"/>
          <w:color w:val="auto"/>
          <w:kern w:val="0"/>
          <w:sz w:val="28"/>
          <w:szCs w:val="28"/>
          <w:highlight w:val="none"/>
        </w:rPr>
        <w:t>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14:paraId="61DAAB53">
      <w:pPr>
        <w:pStyle w:val="128"/>
        <w:spacing w:line="360" w:lineRule="auto"/>
        <w:ind w:firstLine="560"/>
        <w:rPr>
          <w:rFonts w:ascii="华文仿宋" w:hAnsi="华文仿宋" w:eastAsia="华文仿宋" w:cs="仿宋"/>
          <w:color w:val="auto"/>
          <w:kern w:val="0"/>
          <w:sz w:val="28"/>
          <w:szCs w:val="28"/>
          <w:highlight w:val="none"/>
        </w:rPr>
      </w:pPr>
      <w:r>
        <w:rPr>
          <w:rFonts w:ascii="华文仿宋" w:hAnsi="华文仿宋" w:eastAsia="华文仿宋" w:cs="仿宋"/>
          <w:color w:val="auto"/>
          <w:kern w:val="0"/>
          <w:sz w:val="28"/>
          <w:szCs w:val="28"/>
          <w:highlight w:val="none"/>
        </w:rPr>
        <w:t>2.4 承包人在任何时候都应采取各种合理的预防措施，防止其员工发生任何违法、违禁、暴力或妨碍治安的行为。</w:t>
      </w:r>
    </w:p>
    <w:p w14:paraId="1CEB7881">
      <w:pPr>
        <w:pStyle w:val="128"/>
        <w:spacing w:line="360" w:lineRule="auto"/>
        <w:ind w:firstLine="560"/>
        <w:rPr>
          <w:rFonts w:ascii="华文仿宋" w:hAnsi="华文仿宋" w:eastAsia="华文仿宋" w:cs="仿宋"/>
          <w:color w:val="auto"/>
          <w:kern w:val="0"/>
          <w:sz w:val="28"/>
          <w:szCs w:val="28"/>
          <w:highlight w:val="none"/>
        </w:rPr>
      </w:pPr>
      <w:r>
        <w:rPr>
          <w:rFonts w:ascii="华文仿宋" w:hAnsi="华文仿宋" w:eastAsia="华文仿宋" w:cs="仿宋"/>
          <w:color w:val="auto"/>
          <w:kern w:val="0"/>
          <w:sz w:val="28"/>
          <w:szCs w:val="28"/>
          <w:highlight w:val="none"/>
        </w:rPr>
        <w:t>2.5 承包人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107AAF2E">
      <w:pPr>
        <w:pStyle w:val="128"/>
        <w:spacing w:line="360" w:lineRule="auto"/>
        <w:ind w:firstLine="560"/>
        <w:rPr>
          <w:rFonts w:ascii="华文仿宋" w:hAnsi="华文仿宋" w:eastAsia="华文仿宋" w:cs="仿宋"/>
          <w:color w:val="auto"/>
          <w:kern w:val="0"/>
          <w:sz w:val="28"/>
          <w:szCs w:val="28"/>
          <w:highlight w:val="none"/>
        </w:rPr>
      </w:pPr>
      <w:r>
        <w:rPr>
          <w:rFonts w:ascii="华文仿宋" w:hAnsi="华文仿宋" w:eastAsia="华文仿宋" w:cs="仿宋"/>
          <w:color w:val="auto"/>
          <w:kern w:val="0"/>
          <w:sz w:val="28"/>
          <w:szCs w:val="28"/>
          <w:highlight w:val="none"/>
        </w:rPr>
        <w:t>2.6 对于易燃易爆的材料除应专门妥善保管之外，还应配备足够的消防设施，所有施工人员都应熟悉消防设备的性能和使用方法；承包人不得将任何种类的爆炸物给予、易货或以其他方式转让给任何其他人，或允许、容忍上述同样行为。</w:t>
      </w:r>
    </w:p>
    <w:p w14:paraId="4D9F21AC">
      <w:pPr>
        <w:pStyle w:val="128"/>
        <w:spacing w:line="360" w:lineRule="auto"/>
        <w:ind w:firstLine="560"/>
        <w:rPr>
          <w:rFonts w:ascii="华文仿宋" w:hAnsi="华文仿宋" w:eastAsia="华文仿宋" w:cs="仿宋"/>
          <w:color w:val="auto"/>
          <w:kern w:val="0"/>
          <w:sz w:val="28"/>
          <w:szCs w:val="28"/>
          <w:highlight w:val="none"/>
        </w:rPr>
      </w:pPr>
      <w:r>
        <w:rPr>
          <w:rFonts w:ascii="华文仿宋" w:hAnsi="华文仿宋" w:eastAsia="华文仿宋" w:cs="仿宋"/>
          <w:color w:val="auto"/>
          <w:kern w:val="0"/>
          <w:sz w:val="28"/>
          <w:szCs w:val="28"/>
          <w:highlight w:val="none"/>
        </w:rPr>
        <w:t>2.7 操作人员上岗，必须按规定穿戴防护用品。施工负责人和安全检查员应随时检查劳动防护用品的穿戴情况，不按规定穿戴防护用品的人员不得上岗。</w:t>
      </w:r>
    </w:p>
    <w:p w14:paraId="6CDB9288">
      <w:pPr>
        <w:pStyle w:val="128"/>
        <w:spacing w:line="360" w:lineRule="auto"/>
        <w:ind w:firstLine="560"/>
        <w:rPr>
          <w:rFonts w:ascii="华文仿宋" w:hAnsi="华文仿宋" w:eastAsia="华文仿宋" w:cs="仿宋"/>
          <w:color w:val="auto"/>
          <w:kern w:val="0"/>
          <w:sz w:val="28"/>
          <w:szCs w:val="28"/>
          <w:highlight w:val="none"/>
        </w:rPr>
      </w:pPr>
      <w:r>
        <w:rPr>
          <w:rFonts w:ascii="华文仿宋" w:hAnsi="华文仿宋" w:eastAsia="华文仿宋" w:cs="仿宋"/>
          <w:color w:val="auto"/>
          <w:kern w:val="0"/>
          <w:sz w:val="28"/>
          <w:szCs w:val="28"/>
          <w:highlight w:val="none"/>
        </w:rPr>
        <w:t>2.8 所有施工机具设备和高空作业的设备均应定期检查，并有安全员的签字记录，保证其经常处于完好状态；不合格的机具、设备和劳动保护用品严禁使用。</w:t>
      </w:r>
    </w:p>
    <w:p w14:paraId="3E915D73">
      <w:pPr>
        <w:pStyle w:val="128"/>
        <w:spacing w:line="360" w:lineRule="auto"/>
        <w:ind w:firstLine="560"/>
        <w:rPr>
          <w:rFonts w:ascii="华文仿宋" w:hAnsi="华文仿宋" w:eastAsia="华文仿宋" w:cs="仿宋"/>
          <w:color w:val="auto"/>
          <w:kern w:val="0"/>
          <w:sz w:val="28"/>
          <w:szCs w:val="28"/>
          <w:highlight w:val="none"/>
        </w:rPr>
      </w:pPr>
      <w:r>
        <w:rPr>
          <w:rFonts w:ascii="华文仿宋" w:hAnsi="华文仿宋" w:eastAsia="华文仿宋" w:cs="仿宋"/>
          <w:color w:val="auto"/>
          <w:kern w:val="0"/>
          <w:sz w:val="28"/>
          <w:szCs w:val="28"/>
          <w:highlight w:val="none"/>
        </w:rPr>
        <w:t>2.9施工中采用新技术、新工艺、新设备、新材料时，必须制定相应的安全技术措施，施工现场必须具有相关的安全标志牌。</w:t>
      </w:r>
    </w:p>
    <w:p w14:paraId="69BAC9EF">
      <w:pPr>
        <w:pStyle w:val="128"/>
        <w:spacing w:line="360" w:lineRule="auto"/>
        <w:ind w:firstLine="560"/>
        <w:rPr>
          <w:rFonts w:ascii="华文仿宋" w:hAnsi="华文仿宋" w:eastAsia="华文仿宋" w:cs="仿宋"/>
          <w:color w:val="auto"/>
          <w:kern w:val="0"/>
          <w:sz w:val="28"/>
          <w:szCs w:val="28"/>
          <w:highlight w:val="none"/>
        </w:rPr>
      </w:pPr>
      <w:r>
        <w:rPr>
          <w:rFonts w:ascii="华文仿宋" w:hAnsi="华文仿宋" w:eastAsia="华文仿宋" w:cs="仿宋"/>
          <w:color w:val="auto"/>
          <w:kern w:val="0"/>
          <w:sz w:val="28"/>
          <w:szCs w:val="28"/>
          <w:highlight w:val="none"/>
        </w:rPr>
        <w:t>2.10承包人必须按照本工程项目特点，组织制定本工程实施中的生产安全事故应急救援预案；如果发生安全事故，应按照《国务院关于特大安全事故行政责任追究的规定》以及其它有关规定，及时上报有关部门，并坚持“三不放过”的原则，严肃处理相关责任人。</w:t>
      </w:r>
    </w:p>
    <w:p w14:paraId="3DE1C8C4">
      <w:pPr>
        <w:pStyle w:val="128"/>
        <w:spacing w:line="360" w:lineRule="auto"/>
        <w:ind w:firstLine="560"/>
        <w:rPr>
          <w:rFonts w:ascii="华文仿宋" w:hAnsi="华文仿宋" w:eastAsia="华文仿宋" w:cs="仿宋"/>
          <w:color w:val="auto"/>
          <w:kern w:val="0"/>
          <w:sz w:val="28"/>
          <w:szCs w:val="28"/>
          <w:highlight w:val="none"/>
        </w:rPr>
      </w:pPr>
      <w:r>
        <w:rPr>
          <w:rFonts w:ascii="华文仿宋" w:hAnsi="华文仿宋" w:eastAsia="华文仿宋" w:cs="仿宋"/>
          <w:color w:val="auto"/>
          <w:kern w:val="0"/>
          <w:sz w:val="28"/>
          <w:szCs w:val="28"/>
          <w:highlight w:val="none"/>
        </w:rPr>
        <w:t>3、违约责任</w:t>
      </w:r>
    </w:p>
    <w:p w14:paraId="19DFD31C">
      <w:pPr>
        <w:pStyle w:val="128"/>
        <w:spacing w:line="360" w:lineRule="auto"/>
        <w:ind w:firstLine="560"/>
        <w:rPr>
          <w:rFonts w:ascii="华文仿宋" w:hAnsi="华文仿宋" w:eastAsia="华文仿宋" w:cs="仿宋"/>
          <w:color w:val="auto"/>
          <w:kern w:val="0"/>
          <w:sz w:val="28"/>
          <w:szCs w:val="28"/>
          <w:highlight w:val="none"/>
        </w:rPr>
      </w:pPr>
      <w:r>
        <w:rPr>
          <w:rFonts w:ascii="华文仿宋" w:hAnsi="华文仿宋" w:eastAsia="华文仿宋" w:cs="仿宋"/>
          <w:color w:val="auto"/>
          <w:kern w:val="0"/>
          <w:sz w:val="28"/>
          <w:szCs w:val="28"/>
          <w:highlight w:val="none"/>
        </w:rPr>
        <w:t>如因发包人或承包人违约造成安全事故，将依法追究责任。</w:t>
      </w:r>
    </w:p>
    <w:p w14:paraId="3AB28CB9">
      <w:pPr>
        <w:pStyle w:val="128"/>
        <w:spacing w:line="360" w:lineRule="auto"/>
        <w:ind w:firstLine="560"/>
        <w:rPr>
          <w:rFonts w:ascii="华文仿宋" w:hAnsi="华文仿宋" w:eastAsia="华文仿宋" w:cs="仿宋"/>
          <w:color w:val="auto"/>
          <w:kern w:val="0"/>
          <w:sz w:val="28"/>
          <w:szCs w:val="28"/>
          <w:highlight w:val="none"/>
        </w:rPr>
      </w:pPr>
      <w:r>
        <w:rPr>
          <w:rFonts w:ascii="华文仿宋" w:hAnsi="华文仿宋" w:eastAsia="华文仿宋" w:cs="仿宋"/>
          <w:color w:val="auto"/>
          <w:kern w:val="0"/>
          <w:sz w:val="28"/>
          <w:szCs w:val="28"/>
          <w:highlight w:val="none"/>
        </w:rPr>
        <w:t>4、合同份数</w:t>
      </w:r>
    </w:p>
    <w:p w14:paraId="6ECD6DD8">
      <w:pPr>
        <w:spacing w:line="360" w:lineRule="auto"/>
        <w:ind w:firstLine="560"/>
        <w:rPr>
          <w:rFonts w:ascii="华文仿宋" w:hAnsi="华文仿宋" w:eastAsia="华文仿宋" w:cs="仿宋"/>
          <w:color w:val="auto"/>
          <w:sz w:val="28"/>
          <w:szCs w:val="28"/>
          <w:highlight w:val="none"/>
        </w:rPr>
      </w:pPr>
      <w:r>
        <w:rPr>
          <w:rFonts w:hint="eastAsia" w:ascii="华文仿宋" w:hAnsi="华文仿宋" w:eastAsia="华文仿宋" w:cs="仿宋"/>
          <w:color w:val="auto"/>
          <w:kern w:val="1"/>
          <w:sz w:val="28"/>
          <w:szCs w:val="28"/>
          <w:highlight w:val="none"/>
        </w:rPr>
        <w:t>本合同一式</w:t>
      </w:r>
      <w:r>
        <w:rPr>
          <w:rFonts w:hint="eastAsia" w:ascii="华文仿宋" w:hAnsi="华文仿宋" w:eastAsia="华文仿宋" w:cs="仿宋"/>
          <w:color w:val="auto"/>
          <w:kern w:val="1"/>
          <w:sz w:val="28"/>
          <w:szCs w:val="28"/>
          <w:highlight w:val="none"/>
          <w:u w:val="single"/>
        </w:rPr>
        <w:t xml:space="preserve"> </w:t>
      </w:r>
      <w:r>
        <w:rPr>
          <w:rFonts w:ascii="华文仿宋" w:hAnsi="华文仿宋" w:eastAsia="华文仿宋" w:cs="仿宋"/>
          <w:color w:val="auto"/>
          <w:kern w:val="1"/>
          <w:sz w:val="28"/>
          <w:szCs w:val="28"/>
          <w:highlight w:val="none"/>
          <w:u w:val="single"/>
        </w:rPr>
        <w:t xml:space="preserve">   </w:t>
      </w:r>
      <w:r>
        <w:rPr>
          <w:rFonts w:hint="eastAsia" w:ascii="华文仿宋" w:hAnsi="华文仿宋" w:eastAsia="华文仿宋" w:cs="仿宋"/>
          <w:color w:val="auto"/>
          <w:kern w:val="1"/>
          <w:sz w:val="28"/>
          <w:szCs w:val="28"/>
          <w:highlight w:val="none"/>
        </w:rPr>
        <w:t>份，发包人执</w:t>
      </w:r>
      <w:r>
        <w:rPr>
          <w:rFonts w:hint="eastAsia" w:ascii="华文仿宋" w:hAnsi="华文仿宋" w:eastAsia="华文仿宋" w:cs="仿宋"/>
          <w:color w:val="auto"/>
          <w:kern w:val="1"/>
          <w:sz w:val="28"/>
          <w:szCs w:val="28"/>
          <w:highlight w:val="none"/>
          <w:u w:val="single"/>
        </w:rPr>
        <w:t xml:space="preserve"> </w:t>
      </w:r>
      <w:r>
        <w:rPr>
          <w:rFonts w:ascii="华文仿宋" w:hAnsi="华文仿宋" w:eastAsia="华文仿宋" w:cs="仿宋"/>
          <w:color w:val="auto"/>
          <w:kern w:val="1"/>
          <w:sz w:val="28"/>
          <w:szCs w:val="28"/>
          <w:highlight w:val="none"/>
          <w:u w:val="single"/>
        </w:rPr>
        <w:t xml:space="preserve">   </w:t>
      </w:r>
      <w:r>
        <w:rPr>
          <w:rFonts w:hint="eastAsia" w:ascii="华文仿宋" w:hAnsi="华文仿宋" w:eastAsia="华文仿宋" w:cs="仿宋"/>
          <w:color w:val="auto"/>
          <w:kern w:val="1"/>
          <w:sz w:val="28"/>
          <w:szCs w:val="28"/>
          <w:highlight w:val="none"/>
        </w:rPr>
        <w:t>份，承包人执</w:t>
      </w:r>
      <w:r>
        <w:rPr>
          <w:rFonts w:hint="eastAsia" w:ascii="华文仿宋" w:hAnsi="华文仿宋" w:eastAsia="华文仿宋" w:cs="仿宋"/>
          <w:color w:val="auto"/>
          <w:kern w:val="1"/>
          <w:sz w:val="28"/>
          <w:szCs w:val="28"/>
          <w:highlight w:val="none"/>
          <w:u w:val="single"/>
        </w:rPr>
        <w:t xml:space="preserve"> </w:t>
      </w:r>
      <w:r>
        <w:rPr>
          <w:rFonts w:ascii="华文仿宋" w:hAnsi="华文仿宋" w:eastAsia="华文仿宋" w:cs="仿宋"/>
          <w:color w:val="auto"/>
          <w:kern w:val="1"/>
          <w:sz w:val="28"/>
          <w:szCs w:val="28"/>
          <w:highlight w:val="none"/>
          <w:u w:val="single"/>
        </w:rPr>
        <w:t xml:space="preserve">   </w:t>
      </w:r>
      <w:r>
        <w:rPr>
          <w:rFonts w:hint="eastAsia" w:ascii="华文仿宋" w:hAnsi="华文仿宋" w:eastAsia="华文仿宋" w:cs="仿宋"/>
          <w:color w:val="auto"/>
          <w:kern w:val="1"/>
          <w:sz w:val="28"/>
          <w:szCs w:val="28"/>
          <w:highlight w:val="none"/>
        </w:rPr>
        <w:t>份，</w:t>
      </w:r>
      <w:r>
        <w:rPr>
          <w:rFonts w:hint="eastAsia" w:ascii="华文仿宋" w:hAnsi="华文仿宋" w:eastAsia="华文仿宋"/>
          <w:color w:val="auto"/>
          <w:sz w:val="28"/>
          <w:szCs w:val="28"/>
          <w:highlight w:val="none"/>
        </w:rPr>
        <w:t>随施工合同</w:t>
      </w:r>
      <w:r>
        <w:rPr>
          <w:rFonts w:ascii="华文仿宋" w:hAnsi="华文仿宋" w:eastAsia="华文仿宋" w:cs="仿宋"/>
          <w:color w:val="auto"/>
          <w:sz w:val="28"/>
          <w:szCs w:val="28"/>
          <w:highlight w:val="none"/>
        </w:rPr>
        <w:t>双方法定代表人或其授权代理人签署</w:t>
      </w:r>
      <w:r>
        <w:rPr>
          <w:rFonts w:hint="eastAsia" w:ascii="华文仿宋" w:hAnsi="华文仿宋" w:eastAsia="华文仿宋" w:cs="仿宋"/>
          <w:color w:val="auto"/>
          <w:sz w:val="28"/>
          <w:szCs w:val="28"/>
          <w:highlight w:val="none"/>
        </w:rPr>
        <w:t>并</w:t>
      </w:r>
      <w:r>
        <w:rPr>
          <w:rFonts w:ascii="华文仿宋" w:hAnsi="华文仿宋" w:eastAsia="华文仿宋" w:cs="仿宋"/>
          <w:color w:val="auto"/>
          <w:sz w:val="28"/>
          <w:szCs w:val="28"/>
          <w:highlight w:val="none"/>
        </w:rPr>
        <w:t>加盖公章后生效，全部工程竣工验收后失效。</w:t>
      </w:r>
    </w:p>
    <w:p w14:paraId="59FBF319">
      <w:pPr>
        <w:pStyle w:val="85"/>
        <w:ind w:firstLine="482"/>
        <w:rPr>
          <w:rFonts w:ascii="华文仿宋" w:hAnsi="华文仿宋" w:eastAsia="华文仿宋"/>
          <w:color w:val="auto"/>
          <w:spacing w:val="0"/>
          <w:sz w:val="28"/>
          <w:szCs w:val="28"/>
          <w:highlight w:val="none"/>
        </w:rPr>
      </w:pPr>
      <w:r>
        <w:rPr>
          <w:rFonts w:hint="eastAsia" w:ascii="华文仿宋" w:hAnsi="华文仿宋" w:eastAsia="华文仿宋"/>
          <w:b/>
          <w:color w:val="auto"/>
          <w:spacing w:val="0"/>
          <w:sz w:val="28"/>
          <w:szCs w:val="28"/>
          <w:highlight w:val="none"/>
        </w:rPr>
        <w:t>5、</w:t>
      </w:r>
      <w:r>
        <w:rPr>
          <w:rFonts w:hint="eastAsia" w:ascii="华文仿宋" w:hAnsi="华文仿宋" w:eastAsia="华文仿宋"/>
          <w:color w:val="auto"/>
          <w:spacing w:val="0"/>
          <w:sz w:val="28"/>
          <w:szCs w:val="28"/>
          <w:highlight w:val="none"/>
        </w:rPr>
        <w:t>本安全生产合同的有效期与施工合同的有效期相同。</w:t>
      </w:r>
    </w:p>
    <w:p w14:paraId="31A9FB32">
      <w:pPr>
        <w:pStyle w:val="128"/>
        <w:spacing w:line="360" w:lineRule="auto"/>
        <w:ind w:firstLine="560"/>
        <w:rPr>
          <w:rFonts w:ascii="华文仿宋" w:hAnsi="华文仿宋" w:eastAsia="华文仿宋" w:cs="仿宋"/>
          <w:color w:val="auto"/>
          <w:kern w:val="0"/>
          <w:sz w:val="28"/>
          <w:szCs w:val="28"/>
          <w:highlight w:val="none"/>
        </w:rPr>
      </w:pPr>
    </w:p>
    <w:p w14:paraId="61168354">
      <w:pPr>
        <w:jc w:val="left"/>
        <w:rPr>
          <w:rFonts w:ascii="华文仿宋" w:hAnsi="华文仿宋" w:eastAsia="华文仿宋" w:cs="仿宋"/>
          <w:b/>
          <w:color w:val="auto"/>
          <w:sz w:val="28"/>
          <w:szCs w:val="28"/>
          <w:highlight w:val="none"/>
        </w:rPr>
      </w:pPr>
      <w:r>
        <w:rPr>
          <w:rFonts w:hint="eastAsia" w:ascii="华文仿宋" w:hAnsi="华文仿宋" w:eastAsia="华文仿宋" w:cs="仿宋"/>
          <w:b/>
          <w:color w:val="auto"/>
          <w:sz w:val="28"/>
          <w:szCs w:val="28"/>
          <w:highlight w:val="none"/>
        </w:rPr>
        <w:br w:type="page"/>
      </w:r>
    </w:p>
    <w:p w14:paraId="37B9295F">
      <w:pPr>
        <w:pStyle w:val="129"/>
        <w:spacing w:line="360" w:lineRule="auto"/>
        <w:jc w:val="left"/>
        <w:rPr>
          <w:rFonts w:ascii="华文仿宋" w:hAnsi="华文仿宋" w:eastAsia="华文仿宋" w:cs="仿宋"/>
          <w:b/>
          <w:color w:val="auto"/>
          <w:kern w:val="0"/>
          <w:sz w:val="28"/>
          <w:szCs w:val="28"/>
          <w:highlight w:val="none"/>
        </w:rPr>
      </w:pPr>
      <w:r>
        <w:rPr>
          <w:rFonts w:hint="eastAsia" w:ascii="华文仿宋" w:hAnsi="华文仿宋" w:eastAsia="华文仿宋" w:cs="仿宋"/>
          <w:b/>
          <w:color w:val="auto"/>
          <w:kern w:val="0"/>
          <w:sz w:val="28"/>
          <w:szCs w:val="28"/>
          <w:highlight w:val="none"/>
        </w:rPr>
        <w:t>附件6</w:t>
      </w:r>
    </w:p>
    <w:p w14:paraId="55750504">
      <w:pPr>
        <w:pStyle w:val="141"/>
        <w:rPr>
          <w:rFonts w:ascii="华文仿宋" w:hAnsi="华文仿宋" w:eastAsia="华文仿宋" w:cs="仿宋"/>
          <w:snapToGrid/>
          <w:color w:val="auto"/>
          <w:spacing w:val="0"/>
          <w:sz w:val="28"/>
          <w:szCs w:val="28"/>
          <w:highlight w:val="none"/>
        </w:rPr>
      </w:pPr>
      <w:r>
        <w:rPr>
          <w:rFonts w:hint="eastAsia" w:ascii="华文仿宋" w:hAnsi="华文仿宋" w:eastAsia="华文仿宋" w:cs="仿宋"/>
          <w:snapToGrid/>
          <w:color w:val="auto"/>
          <w:spacing w:val="0"/>
          <w:sz w:val="28"/>
          <w:szCs w:val="28"/>
          <w:highlight w:val="none"/>
        </w:rPr>
        <w:t>工程建设项目廉政责任书</w:t>
      </w:r>
    </w:p>
    <w:p w14:paraId="054E4CB0">
      <w:pPr>
        <w:pStyle w:val="85"/>
        <w:ind w:firstLine="496"/>
        <w:rPr>
          <w:rFonts w:ascii="华文仿宋" w:hAnsi="华文仿宋" w:eastAsia="华文仿宋"/>
          <w:color w:val="auto"/>
          <w:sz w:val="28"/>
          <w:szCs w:val="28"/>
          <w:highlight w:val="none"/>
        </w:rPr>
      </w:pPr>
    </w:p>
    <w:p w14:paraId="27E0B46F">
      <w:pPr>
        <w:pStyle w:val="85"/>
        <w:ind w:firstLine="480"/>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工程名称：</w:t>
      </w:r>
      <w:r>
        <w:rPr>
          <w:rFonts w:hint="eastAsia" w:ascii="华文仿宋" w:hAnsi="华文仿宋" w:eastAsia="华文仿宋" w:cs="仿宋"/>
          <w:color w:val="auto"/>
          <w:kern w:val="1"/>
          <w:sz w:val="28"/>
          <w:szCs w:val="28"/>
          <w:highlight w:val="none"/>
          <w:u w:val="single"/>
        </w:rPr>
        <w:t xml:space="preserve"> </w:t>
      </w:r>
      <w:r>
        <w:rPr>
          <w:rFonts w:ascii="华文仿宋" w:hAnsi="华文仿宋" w:eastAsia="华文仿宋" w:cs="仿宋"/>
          <w:color w:val="auto"/>
          <w:kern w:val="1"/>
          <w:sz w:val="28"/>
          <w:szCs w:val="28"/>
          <w:highlight w:val="none"/>
          <w:u w:val="single"/>
        </w:rPr>
        <w:t xml:space="preserve">                         </w:t>
      </w:r>
    </w:p>
    <w:p w14:paraId="7276DE83">
      <w:pPr>
        <w:pStyle w:val="85"/>
        <w:ind w:firstLine="480"/>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工程地址：</w:t>
      </w:r>
      <w:r>
        <w:rPr>
          <w:rFonts w:hint="eastAsia" w:ascii="华文仿宋" w:hAnsi="华文仿宋" w:eastAsia="华文仿宋" w:cs="仿宋"/>
          <w:color w:val="auto"/>
          <w:kern w:val="1"/>
          <w:sz w:val="28"/>
          <w:szCs w:val="28"/>
          <w:highlight w:val="none"/>
          <w:u w:val="single"/>
        </w:rPr>
        <w:t xml:space="preserve"> </w:t>
      </w:r>
      <w:r>
        <w:rPr>
          <w:rFonts w:ascii="华文仿宋" w:hAnsi="华文仿宋" w:eastAsia="华文仿宋" w:cs="仿宋"/>
          <w:color w:val="auto"/>
          <w:kern w:val="1"/>
          <w:sz w:val="28"/>
          <w:szCs w:val="28"/>
          <w:highlight w:val="none"/>
          <w:u w:val="single"/>
        </w:rPr>
        <w:t xml:space="preserve">                         </w:t>
      </w:r>
    </w:p>
    <w:p w14:paraId="55433FC6">
      <w:pPr>
        <w:pStyle w:val="85"/>
        <w:ind w:firstLine="480"/>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发包人：</w:t>
      </w:r>
      <w:r>
        <w:rPr>
          <w:rFonts w:hint="eastAsia" w:ascii="华文仿宋" w:hAnsi="华文仿宋" w:eastAsia="华文仿宋" w:cs="仿宋"/>
          <w:color w:val="auto"/>
          <w:kern w:val="1"/>
          <w:sz w:val="28"/>
          <w:szCs w:val="28"/>
          <w:highlight w:val="none"/>
          <w:u w:val="single"/>
        </w:rPr>
        <w:t xml:space="preserve"> </w:t>
      </w:r>
      <w:r>
        <w:rPr>
          <w:rFonts w:ascii="华文仿宋" w:hAnsi="华文仿宋" w:eastAsia="华文仿宋" w:cs="仿宋"/>
          <w:color w:val="auto"/>
          <w:kern w:val="1"/>
          <w:sz w:val="28"/>
          <w:szCs w:val="28"/>
          <w:highlight w:val="none"/>
          <w:u w:val="single"/>
        </w:rPr>
        <w:t xml:space="preserve">                           </w:t>
      </w:r>
    </w:p>
    <w:p w14:paraId="0FF27642">
      <w:pPr>
        <w:pStyle w:val="85"/>
        <w:ind w:firstLine="480"/>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承包人：</w:t>
      </w:r>
      <w:r>
        <w:rPr>
          <w:rFonts w:ascii="华文仿宋" w:hAnsi="华文仿宋" w:eastAsia="华文仿宋"/>
          <w:color w:val="auto"/>
          <w:spacing w:val="0"/>
          <w:sz w:val="28"/>
          <w:szCs w:val="28"/>
          <w:highlight w:val="none"/>
          <w:u w:val="single"/>
        </w:rPr>
        <w:t xml:space="preserve"> </w:t>
      </w:r>
      <w:r>
        <w:rPr>
          <w:rFonts w:hint="eastAsia" w:ascii="华文仿宋" w:hAnsi="华文仿宋" w:eastAsia="华文仿宋"/>
          <w:color w:val="auto"/>
          <w:spacing w:val="0"/>
          <w:sz w:val="28"/>
          <w:szCs w:val="28"/>
          <w:highlight w:val="none"/>
          <w:u w:val="single"/>
        </w:rPr>
        <w:t xml:space="preserve">                   </w:t>
      </w:r>
      <w:r>
        <w:rPr>
          <w:rFonts w:ascii="华文仿宋" w:hAnsi="华文仿宋" w:eastAsia="华文仿宋"/>
          <w:color w:val="auto"/>
          <w:spacing w:val="0"/>
          <w:sz w:val="28"/>
          <w:szCs w:val="28"/>
          <w:highlight w:val="none"/>
          <w:u w:val="single"/>
        </w:rPr>
        <w:t xml:space="preserve"> </w:t>
      </w:r>
      <w:r>
        <w:rPr>
          <w:rFonts w:hint="eastAsia" w:ascii="华文仿宋" w:hAnsi="华文仿宋" w:eastAsia="华文仿宋"/>
          <w:color w:val="auto"/>
          <w:spacing w:val="0"/>
          <w:sz w:val="28"/>
          <w:szCs w:val="28"/>
          <w:highlight w:val="none"/>
          <w:u w:val="single"/>
        </w:rPr>
        <w:t xml:space="preserve">        </w:t>
      </w:r>
    </w:p>
    <w:p w14:paraId="63AF87F5">
      <w:pPr>
        <w:pStyle w:val="85"/>
        <w:ind w:firstLine="480"/>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为加强工程建设中的廉政建设，规范工程建设项目的各项活动，防止发生各种谋取不正当利益的违法违纪行为，保护国家、集体和当事人的合法权益，根据国家有关工程建设的法律法规和廉政建设责任制规定，特订立本廉政责任书。</w:t>
      </w:r>
    </w:p>
    <w:p w14:paraId="5FFFB4DE">
      <w:pPr>
        <w:pStyle w:val="85"/>
        <w:ind w:firstLine="482"/>
        <w:rPr>
          <w:rFonts w:ascii="华文仿宋" w:hAnsi="华文仿宋" w:eastAsia="华文仿宋"/>
          <w:b/>
          <w:color w:val="auto"/>
          <w:spacing w:val="0"/>
          <w:sz w:val="28"/>
          <w:szCs w:val="28"/>
          <w:highlight w:val="none"/>
        </w:rPr>
      </w:pPr>
      <w:r>
        <w:rPr>
          <w:rFonts w:hint="eastAsia" w:ascii="华文仿宋" w:hAnsi="华文仿宋" w:eastAsia="华文仿宋"/>
          <w:b/>
          <w:color w:val="auto"/>
          <w:spacing w:val="0"/>
          <w:sz w:val="28"/>
          <w:szCs w:val="28"/>
          <w:highlight w:val="none"/>
        </w:rPr>
        <w:t>第一条  双方的责任</w:t>
      </w:r>
    </w:p>
    <w:p w14:paraId="6FCA93F1">
      <w:pPr>
        <w:pStyle w:val="85"/>
        <w:ind w:firstLine="480"/>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（一）应严格遵守国家关于市场准入、项目招标投标、工程建设、施工安装和市场活动等有关法律、法规、相关政策，以及廉政建设的各项规定。</w:t>
      </w:r>
    </w:p>
    <w:p w14:paraId="499A88F3">
      <w:pPr>
        <w:pStyle w:val="85"/>
        <w:ind w:firstLine="480"/>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（二）严格执行建设工程项目承发包合同文件，自觉按合同办事。</w:t>
      </w:r>
    </w:p>
    <w:p w14:paraId="4884AA9E">
      <w:pPr>
        <w:pStyle w:val="85"/>
        <w:ind w:firstLine="480"/>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（三）业务活动必须坚持公开、公平、公正、诚信、透明的原则（除法律法规另有规定者外），不得为获取不正当的利益，损害国家、集体和对方利益，不得违反工程建设管理、施工安装和监理的规章制度。</w:t>
      </w:r>
    </w:p>
    <w:p w14:paraId="24924F29">
      <w:pPr>
        <w:pStyle w:val="85"/>
        <w:ind w:firstLine="480"/>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（四）发现对方在业务活动中有违规、违纪、违法行为的，应及时提醒对方，情节严重的，应向其上级主管部门或纪检监察、司法等有关机关举报。</w:t>
      </w:r>
    </w:p>
    <w:p w14:paraId="1BF3909E">
      <w:pPr>
        <w:pStyle w:val="85"/>
        <w:ind w:firstLine="482"/>
        <w:rPr>
          <w:rFonts w:ascii="华文仿宋" w:hAnsi="华文仿宋" w:eastAsia="华文仿宋"/>
          <w:b/>
          <w:color w:val="auto"/>
          <w:spacing w:val="0"/>
          <w:sz w:val="28"/>
          <w:szCs w:val="28"/>
          <w:highlight w:val="none"/>
        </w:rPr>
      </w:pPr>
    </w:p>
    <w:p w14:paraId="69FFC421">
      <w:pPr>
        <w:pStyle w:val="85"/>
        <w:ind w:firstLine="482"/>
        <w:rPr>
          <w:rFonts w:ascii="华文仿宋" w:hAnsi="华文仿宋" w:eastAsia="华文仿宋"/>
          <w:color w:val="auto"/>
          <w:spacing w:val="0"/>
          <w:sz w:val="28"/>
          <w:szCs w:val="28"/>
          <w:highlight w:val="none"/>
        </w:rPr>
      </w:pPr>
      <w:r>
        <w:rPr>
          <w:rFonts w:hint="eastAsia" w:ascii="华文仿宋" w:hAnsi="华文仿宋" w:eastAsia="华文仿宋"/>
          <w:b/>
          <w:color w:val="auto"/>
          <w:spacing w:val="0"/>
          <w:sz w:val="28"/>
          <w:szCs w:val="28"/>
          <w:highlight w:val="none"/>
        </w:rPr>
        <w:t xml:space="preserve">第二条 </w:t>
      </w:r>
      <w:r>
        <w:rPr>
          <w:rFonts w:ascii="华文仿宋" w:hAnsi="华文仿宋" w:eastAsia="华文仿宋"/>
          <w:b/>
          <w:color w:val="auto"/>
          <w:spacing w:val="0"/>
          <w:sz w:val="28"/>
          <w:szCs w:val="28"/>
          <w:highlight w:val="none"/>
        </w:rPr>
        <w:t xml:space="preserve"> </w:t>
      </w:r>
      <w:r>
        <w:rPr>
          <w:rFonts w:hint="eastAsia" w:ascii="华文仿宋" w:hAnsi="华文仿宋" w:eastAsia="华文仿宋"/>
          <w:b/>
          <w:color w:val="auto"/>
          <w:spacing w:val="0"/>
          <w:sz w:val="28"/>
          <w:szCs w:val="28"/>
          <w:highlight w:val="none"/>
        </w:rPr>
        <w:t>发包人的责任</w:t>
      </w:r>
    </w:p>
    <w:p w14:paraId="141411D0">
      <w:pPr>
        <w:pStyle w:val="85"/>
        <w:ind w:firstLine="480"/>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发包人的领导和从事本建设工程项目的工作人员，在工程建设的事前、事中、事后应遵守以下规定：</w:t>
      </w:r>
    </w:p>
    <w:p w14:paraId="60FC1AA6">
      <w:pPr>
        <w:pStyle w:val="85"/>
        <w:ind w:firstLine="480"/>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（一）不准向承包人和相关单位索要或接受回扣、礼金、有价证券、贵重物品和好处费、感谢费等。</w:t>
      </w:r>
    </w:p>
    <w:p w14:paraId="42973416">
      <w:pPr>
        <w:pStyle w:val="85"/>
        <w:ind w:firstLine="480"/>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 xml:space="preserve">（二）不准在承包人和相关单位报销任何应由发包人或个人支付的费用。 </w:t>
      </w:r>
    </w:p>
    <w:p w14:paraId="3DB60B68">
      <w:pPr>
        <w:pStyle w:val="85"/>
        <w:ind w:firstLine="480"/>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（三）不准要求、暗示或接受承包人和相关单位为个人装修住房、婚丧嫁娶、配偶子女的工作安排以及出国（境）、旅游等提供方便。</w:t>
      </w:r>
    </w:p>
    <w:p w14:paraId="0BE05F57">
      <w:pPr>
        <w:pStyle w:val="85"/>
        <w:ind w:firstLine="480"/>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（四）不准参加有可能影响公正执行公务的承包人及相关单位的宴请、健身、娱乐等活动。</w:t>
      </w:r>
    </w:p>
    <w:p w14:paraId="39B635D1">
      <w:pPr>
        <w:pStyle w:val="85"/>
        <w:ind w:firstLine="480"/>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（五）不准向承包人介绍或为配偶、子女、亲属参与同发包人项目工程合同有关的设备、材料、工程分包、劳务等经济活动。不得以任何理由向承包人和相关单位推荐分包单位。</w:t>
      </w:r>
    </w:p>
    <w:p w14:paraId="1E3B6905">
      <w:pPr>
        <w:pStyle w:val="85"/>
        <w:ind w:firstLine="482"/>
        <w:rPr>
          <w:rFonts w:ascii="华文仿宋" w:hAnsi="华文仿宋" w:eastAsia="华文仿宋"/>
          <w:color w:val="auto"/>
          <w:spacing w:val="0"/>
          <w:sz w:val="28"/>
          <w:szCs w:val="28"/>
          <w:highlight w:val="none"/>
        </w:rPr>
      </w:pPr>
      <w:r>
        <w:rPr>
          <w:rFonts w:hint="eastAsia" w:ascii="华文仿宋" w:hAnsi="华文仿宋" w:eastAsia="华文仿宋"/>
          <w:b/>
          <w:color w:val="auto"/>
          <w:spacing w:val="0"/>
          <w:sz w:val="28"/>
          <w:szCs w:val="28"/>
          <w:highlight w:val="none"/>
        </w:rPr>
        <w:t>第三条</w:t>
      </w:r>
      <w:r>
        <w:rPr>
          <w:rFonts w:ascii="华文仿宋" w:hAnsi="华文仿宋" w:eastAsia="华文仿宋"/>
          <w:b/>
          <w:color w:val="auto"/>
          <w:spacing w:val="0"/>
          <w:sz w:val="28"/>
          <w:szCs w:val="28"/>
          <w:highlight w:val="none"/>
        </w:rPr>
        <w:t xml:space="preserve"> </w:t>
      </w:r>
      <w:r>
        <w:rPr>
          <w:rFonts w:hint="eastAsia" w:ascii="华文仿宋" w:hAnsi="华文仿宋" w:eastAsia="华文仿宋"/>
          <w:b/>
          <w:color w:val="auto"/>
          <w:spacing w:val="0"/>
          <w:sz w:val="28"/>
          <w:szCs w:val="28"/>
          <w:highlight w:val="none"/>
        </w:rPr>
        <w:t xml:space="preserve"> 承包人的责任</w:t>
      </w:r>
    </w:p>
    <w:p w14:paraId="6838B357">
      <w:pPr>
        <w:pStyle w:val="85"/>
        <w:ind w:firstLine="480"/>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应与发包人保持正常的业务交往，按照有关法律法规和程序开展业务工作，严格执行工程建设和监理的有关方针、政策，尤其是有关建筑施工安装和施工强制性标准和规范，并遵守以下规定：</w:t>
      </w:r>
    </w:p>
    <w:p w14:paraId="6244F83B">
      <w:pPr>
        <w:pStyle w:val="85"/>
        <w:ind w:firstLine="480"/>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（一）不准以任何理由向发包人、相关单位及其工作人员索要、接受或赠送礼金、有价证券、贵重物品及回扣、好处费、感谢费等。</w:t>
      </w:r>
    </w:p>
    <w:p w14:paraId="0AF3D14B">
      <w:pPr>
        <w:pStyle w:val="85"/>
        <w:ind w:firstLine="480"/>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（二）不准以任何理由为发包人和相关单位报销应由对方或个人支付的费用。</w:t>
      </w:r>
    </w:p>
    <w:p w14:paraId="46B0E643">
      <w:pPr>
        <w:pStyle w:val="85"/>
        <w:ind w:firstLine="480"/>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（三）不准接受或暗示为发包人、相关单位或个人装修住房、婚丧嫁娶、配偶子女的工作安排以及出国（境）、旅游等提供方便。</w:t>
      </w:r>
    </w:p>
    <w:p w14:paraId="0B7E8524">
      <w:pPr>
        <w:pStyle w:val="85"/>
        <w:ind w:firstLine="480"/>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（四）不准以任何理由为发包人、相关单位或个人组织有可能影响公正执行公务的宴请、健身、娱乐等活动。</w:t>
      </w:r>
    </w:p>
    <w:p w14:paraId="0FC65FAB">
      <w:pPr>
        <w:pStyle w:val="85"/>
        <w:ind w:firstLine="482"/>
        <w:rPr>
          <w:rFonts w:ascii="华文仿宋" w:hAnsi="华文仿宋" w:eastAsia="华文仿宋"/>
          <w:color w:val="auto"/>
          <w:spacing w:val="0"/>
          <w:sz w:val="28"/>
          <w:szCs w:val="28"/>
          <w:highlight w:val="none"/>
        </w:rPr>
      </w:pPr>
      <w:r>
        <w:rPr>
          <w:rFonts w:hint="eastAsia" w:ascii="华文仿宋" w:hAnsi="华文仿宋" w:eastAsia="华文仿宋"/>
          <w:b/>
          <w:color w:val="auto"/>
          <w:spacing w:val="0"/>
          <w:sz w:val="28"/>
          <w:szCs w:val="28"/>
          <w:highlight w:val="none"/>
        </w:rPr>
        <w:t>第四条</w:t>
      </w:r>
      <w:r>
        <w:rPr>
          <w:rFonts w:ascii="华文仿宋" w:hAnsi="华文仿宋" w:eastAsia="华文仿宋"/>
          <w:b/>
          <w:color w:val="auto"/>
          <w:spacing w:val="0"/>
          <w:sz w:val="28"/>
          <w:szCs w:val="28"/>
          <w:highlight w:val="none"/>
        </w:rPr>
        <w:t xml:space="preserve"> </w:t>
      </w:r>
      <w:r>
        <w:rPr>
          <w:rFonts w:hint="eastAsia" w:ascii="华文仿宋" w:hAnsi="华文仿宋" w:eastAsia="华文仿宋"/>
          <w:b/>
          <w:color w:val="auto"/>
          <w:spacing w:val="0"/>
          <w:sz w:val="28"/>
          <w:szCs w:val="28"/>
          <w:highlight w:val="none"/>
        </w:rPr>
        <w:t xml:space="preserve"> 违约责任</w:t>
      </w:r>
    </w:p>
    <w:p w14:paraId="4850CF54">
      <w:pPr>
        <w:pStyle w:val="85"/>
        <w:ind w:firstLine="480"/>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一）发包人工作人员有违反本廉政责任书第一、第二条责任行为的，按照管理权限，依据有关法律法规和规定给予党纪、政纪处分或组织处理；涉嫌犯罪的，移交司法机关追究刑事责任；给承包人单位造成经济损失的，应予以赔偿。</w:t>
      </w:r>
    </w:p>
    <w:p w14:paraId="5F2EA9CC">
      <w:pPr>
        <w:pStyle w:val="85"/>
        <w:ind w:firstLine="480"/>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二）承包人工作人员有违反本廉政责任书第一、三条责任行为的，按照管理权限，依据有关法律法规和规定给予党纪、政纪处分或组织处理；涉嫌犯罪的，移交司法机关追究刑事责任；给发包人单位造成经济损失的，应予以赔偿。</w:t>
      </w:r>
    </w:p>
    <w:p w14:paraId="1C34E09C">
      <w:pPr>
        <w:pStyle w:val="85"/>
        <w:ind w:firstLine="482"/>
        <w:rPr>
          <w:rFonts w:ascii="华文仿宋" w:hAnsi="华文仿宋" w:eastAsia="华文仿宋"/>
          <w:b/>
          <w:color w:val="auto"/>
          <w:spacing w:val="0"/>
          <w:sz w:val="28"/>
          <w:szCs w:val="28"/>
          <w:highlight w:val="none"/>
        </w:rPr>
      </w:pPr>
      <w:r>
        <w:rPr>
          <w:rFonts w:hint="eastAsia" w:ascii="华文仿宋" w:hAnsi="华文仿宋" w:eastAsia="华文仿宋"/>
          <w:b/>
          <w:color w:val="auto"/>
          <w:spacing w:val="0"/>
          <w:sz w:val="28"/>
          <w:szCs w:val="28"/>
          <w:highlight w:val="none"/>
        </w:rPr>
        <w:t>第五条</w:t>
      </w:r>
      <w:r>
        <w:rPr>
          <w:rFonts w:ascii="华文仿宋" w:hAnsi="华文仿宋" w:eastAsia="华文仿宋"/>
          <w:b/>
          <w:color w:val="auto"/>
          <w:spacing w:val="0"/>
          <w:sz w:val="28"/>
          <w:szCs w:val="28"/>
          <w:highlight w:val="none"/>
        </w:rPr>
        <w:t xml:space="preserve"> </w:t>
      </w:r>
      <w:r>
        <w:rPr>
          <w:rFonts w:hint="eastAsia" w:ascii="华文仿宋" w:hAnsi="华文仿宋" w:eastAsia="华文仿宋"/>
          <w:b/>
          <w:color w:val="auto"/>
          <w:spacing w:val="0"/>
          <w:sz w:val="28"/>
          <w:szCs w:val="28"/>
          <w:highlight w:val="none"/>
        </w:rPr>
        <w:t xml:space="preserve"> </w:t>
      </w:r>
      <w:r>
        <w:rPr>
          <w:rFonts w:hint="eastAsia" w:ascii="华文仿宋" w:hAnsi="华文仿宋" w:eastAsia="华文仿宋"/>
          <w:color w:val="auto"/>
          <w:spacing w:val="0"/>
          <w:sz w:val="28"/>
          <w:szCs w:val="28"/>
          <w:highlight w:val="none"/>
        </w:rPr>
        <w:t>本廉政责任书作为工程施工合同的附件，与工程施工合同具有同等法律效力，随合同生效而生效。</w:t>
      </w:r>
    </w:p>
    <w:p w14:paraId="339990EC">
      <w:pPr>
        <w:pStyle w:val="85"/>
        <w:ind w:firstLine="482"/>
        <w:rPr>
          <w:rFonts w:ascii="华文仿宋" w:hAnsi="华文仿宋" w:eastAsia="华文仿宋"/>
          <w:color w:val="auto"/>
          <w:spacing w:val="0"/>
          <w:sz w:val="28"/>
          <w:szCs w:val="28"/>
          <w:highlight w:val="none"/>
        </w:rPr>
      </w:pPr>
      <w:r>
        <w:rPr>
          <w:rFonts w:hint="eastAsia" w:ascii="华文仿宋" w:hAnsi="华文仿宋" w:eastAsia="华文仿宋"/>
          <w:b/>
          <w:color w:val="auto"/>
          <w:spacing w:val="0"/>
          <w:sz w:val="28"/>
          <w:szCs w:val="28"/>
          <w:highlight w:val="none"/>
        </w:rPr>
        <w:t>第六条</w:t>
      </w:r>
      <w:r>
        <w:rPr>
          <w:rFonts w:ascii="华文仿宋" w:hAnsi="华文仿宋" w:eastAsia="华文仿宋"/>
          <w:b/>
          <w:color w:val="auto"/>
          <w:spacing w:val="0"/>
          <w:sz w:val="28"/>
          <w:szCs w:val="28"/>
          <w:highlight w:val="none"/>
        </w:rPr>
        <w:t xml:space="preserve"> </w:t>
      </w:r>
      <w:r>
        <w:rPr>
          <w:rFonts w:hint="eastAsia" w:ascii="华文仿宋" w:hAnsi="华文仿宋" w:eastAsia="华文仿宋"/>
          <w:b/>
          <w:color w:val="auto"/>
          <w:spacing w:val="0"/>
          <w:sz w:val="28"/>
          <w:szCs w:val="28"/>
          <w:highlight w:val="none"/>
        </w:rPr>
        <w:t xml:space="preserve"> </w:t>
      </w:r>
      <w:r>
        <w:rPr>
          <w:rFonts w:hint="eastAsia" w:ascii="华文仿宋" w:hAnsi="华文仿宋" w:eastAsia="华文仿宋"/>
          <w:color w:val="auto"/>
          <w:spacing w:val="0"/>
          <w:sz w:val="28"/>
          <w:szCs w:val="28"/>
          <w:highlight w:val="none"/>
        </w:rPr>
        <w:t>本廉政责任书的有效期与施工合同的有效期相同。</w:t>
      </w:r>
    </w:p>
    <w:p w14:paraId="255975D1">
      <w:pPr>
        <w:widowControl/>
        <w:jc w:val="left"/>
        <w:rPr>
          <w:rFonts w:ascii="华文仿宋" w:hAnsi="华文仿宋" w:eastAsia="华文仿宋"/>
          <w:color w:val="auto"/>
          <w:sz w:val="28"/>
          <w:szCs w:val="28"/>
          <w:highlight w:val="none"/>
        </w:rPr>
      </w:pPr>
      <w:r>
        <w:rPr>
          <w:rFonts w:ascii="华文仿宋" w:hAnsi="华文仿宋" w:eastAsia="华文仿宋"/>
          <w:color w:val="auto"/>
          <w:sz w:val="28"/>
          <w:szCs w:val="28"/>
          <w:highlight w:val="none"/>
        </w:rPr>
        <w:br w:type="page"/>
      </w:r>
    </w:p>
    <w:p w14:paraId="7409A2B9">
      <w:pPr>
        <w:pStyle w:val="85"/>
        <w:ind w:firstLine="482"/>
        <w:rPr>
          <w:rFonts w:ascii="华文仿宋" w:hAnsi="华文仿宋" w:eastAsia="华文仿宋" w:cs="仿宋"/>
          <w:b/>
          <w:color w:val="auto"/>
          <w:spacing w:val="0"/>
          <w:sz w:val="28"/>
          <w:szCs w:val="28"/>
          <w:highlight w:val="none"/>
        </w:rPr>
      </w:pPr>
      <w:r>
        <w:rPr>
          <w:rFonts w:hint="eastAsia" w:ascii="华文仿宋" w:hAnsi="华文仿宋" w:eastAsia="华文仿宋" w:cs="仿宋"/>
          <w:b/>
          <w:color w:val="auto"/>
          <w:spacing w:val="0"/>
          <w:sz w:val="28"/>
          <w:szCs w:val="28"/>
          <w:highlight w:val="none"/>
        </w:rPr>
        <w:t>附件7、工程量清单计价说明</w:t>
      </w:r>
    </w:p>
    <w:p w14:paraId="30B47E35">
      <w:pPr>
        <w:pStyle w:val="85"/>
        <w:ind w:firstLine="482"/>
        <w:rPr>
          <w:rFonts w:ascii="华文仿宋" w:hAnsi="华文仿宋" w:eastAsia="华文仿宋" w:cs="仿宋"/>
          <w:b/>
          <w:color w:val="auto"/>
          <w:spacing w:val="0"/>
          <w:sz w:val="28"/>
          <w:szCs w:val="28"/>
          <w:highlight w:val="none"/>
        </w:rPr>
      </w:pPr>
    </w:p>
    <w:p w14:paraId="175A796B">
      <w:pPr>
        <w:pStyle w:val="85"/>
        <w:ind w:firstLine="482"/>
        <w:rPr>
          <w:rFonts w:ascii="华文仿宋" w:hAnsi="华文仿宋" w:eastAsia="华文仿宋" w:cs="仿宋"/>
          <w:b/>
          <w:color w:val="auto"/>
          <w:spacing w:val="0"/>
          <w:sz w:val="28"/>
          <w:szCs w:val="28"/>
          <w:highlight w:val="none"/>
        </w:rPr>
      </w:pPr>
    </w:p>
    <w:p w14:paraId="04F0C043">
      <w:pPr>
        <w:pStyle w:val="85"/>
        <w:ind w:firstLine="482"/>
        <w:rPr>
          <w:rFonts w:ascii="华文仿宋" w:hAnsi="华文仿宋" w:eastAsia="华文仿宋" w:cs="仿宋"/>
          <w:b/>
          <w:color w:val="auto"/>
          <w:spacing w:val="0"/>
          <w:sz w:val="28"/>
          <w:szCs w:val="28"/>
          <w:highlight w:val="none"/>
        </w:rPr>
      </w:pPr>
    </w:p>
    <w:p w14:paraId="230C7B45">
      <w:pPr>
        <w:pStyle w:val="85"/>
        <w:ind w:firstLine="482"/>
        <w:rPr>
          <w:rFonts w:ascii="华文仿宋" w:hAnsi="华文仿宋" w:eastAsia="华文仿宋" w:cs="仿宋"/>
          <w:b/>
          <w:color w:val="auto"/>
          <w:spacing w:val="0"/>
          <w:sz w:val="28"/>
          <w:szCs w:val="28"/>
          <w:highlight w:val="none"/>
        </w:rPr>
      </w:pPr>
    </w:p>
    <w:p w14:paraId="30E1D0FF">
      <w:pPr>
        <w:pStyle w:val="85"/>
        <w:ind w:firstLine="482"/>
        <w:rPr>
          <w:rFonts w:ascii="华文仿宋" w:hAnsi="华文仿宋" w:eastAsia="华文仿宋" w:cs="仿宋"/>
          <w:b/>
          <w:color w:val="auto"/>
          <w:spacing w:val="0"/>
          <w:sz w:val="28"/>
          <w:szCs w:val="28"/>
          <w:highlight w:val="none"/>
        </w:rPr>
      </w:pPr>
    </w:p>
    <w:p w14:paraId="621B92B0">
      <w:pPr>
        <w:pStyle w:val="85"/>
        <w:ind w:firstLine="482"/>
        <w:rPr>
          <w:rFonts w:ascii="华文仿宋" w:hAnsi="华文仿宋" w:eastAsia="华文仿宋" w:cs="仿宋"/>
          <w:b/>
          <w:color w:val="auto"/>
          <w:spacing w:val="0"/>
          <w:sz w:val="28"/>
          <w:szCs w:val="28"/>
          <w:highlight w:val="none"/>
        </w:rPr>
      </w:pPr>
    </w:p>
    <w:p w14:paraId="56D751C9">
      <w:pPr>
        <w:pStyle w:val="85"/>
        <w:ind w:firstLine="482"/>
        <w:rPr>
          <w:rFonts w:ascii="华文仿宋" w:hAnsi="华文仿宋" w:eastAsia="华文仿宋" w:cs="仿宋"/>
          <w:b/>
          <w:color w:val="auto"/>
          <w:spacing w:val="0"/>
          <w:sz w:val="28"/>
          <w:szCs w:val="28"/>
          <w:highlight w:val="none"/>
        </w:rPr>
      </w:pPr>
    </w:p>
    <w:p w14:paraId="1D6982C9">
      <w:pPr>
        <w:pStyle w:val="85"/>
        <w:ind w:firstLine="482"/>
        <w:rPr>
          <w:rFonts w:ascii="华文仿宋" w:hAnsi="华文仿宋" w:eastAsia="华文仿宋" w:cs="仿宋"/>
          <w:b/>
          <w:color w:val="auto"/>
          <w:spacing w:val="0"/>
          <w:sz w:val="28"/>
          <w:szCs w:val="28"/>
          <w:highlight w:val="none"/>
        </w:rPr>
      </w:pPr>
    </w:p>
    <w:p w14:paraId="73CB08AC">
      <w:pPr>
        <w:pStyle w:val="85"/>
        <w:ind w:firstLine="482"/>
        <w:rPr>
          <w:rFonts w:ascii="华文仿宋" w:hAnsi="华文仿宋" w:eastAsia="华文仿宋" w:cs="仿宋"/>
          <w:b/>
          <w:color w:val="auto"/>
          <w:spacing w:val="0"/>
          <w:sz w:val="28"/>
          <w:szCs w:val="28"/>
          <w:highlight w:val="none"/>
        </w:rPr>
      </w:pPr>
    </w:p>
    <w:p w14:paraId="4F189C67">
      <w:pPr>
        <w:pStyle w:val="85"/>
        <w:ind w:firstLine="482"/>
        <w:rPr>
          <w:rFonts w:ascii="华文仿宋" w:hAnsi="华文仿宋" w:eastAsia="华文仿宋" w:cs="仿宋"/>
          <w:b/>
          <w:color w:val="auto"/>
          <w:spacing w:val="0"/>
          <w:sz w:val="28"/>
          <w:szCs w:val="28"/>
          <w:highlight w:val="none"/>
        </w:rPr>
      </w:pPr>
    </w:p>
    <w:p w14:paraId="7E35073C">
      <w:pPr>
        <w:pStyle w:val="85"/>
        <w:ind w:firstLine="482"/>
        <w:rPr>
          <w:rFonts w:ascii="华文仿宋" w:hAnsi="华文仿宋" w:eastAsia="华文仿宋" w:cs="仿宋"/>
          <w:b/>
          <w:color w:val="auto"/>
          <w:spacing w:val="0"/>
          <w:sz w:val="28"/>
          <w:szCs w:val="28"/>
          <w:highlight w:val="none"/>
        </w:rPr>
      </w:pPr>
    </w:p>
    <w:p w14:paraId="5363979C">
      <w:pPr>
        <w:pStyle w:val="85"/>
        <w:ind w:firstLine="482"/>
        <w:rPr>
          <w:rFonts w:ascii="华文仿宋" w:hAnsi="华文仿宋" w:eastAsia="华文仿宋" w:cs="仿宋"/>
          <w:b/>
          <w:color w:val="auto"/>
          <w:spacing w:val="0"/>
          <w:sz w:val="28"/>
          <w:szCs w:val="28"/>
          <w:highlight w:val="none"/>
        </w:rPr>
      </w:pPr>
    </w:p>
    <w:p w14:paraId="2EBC1D9B">
      <w:pPr>
        <w:pStyle w:val="85"/>
        <w:ind w:firstLine="482"/>
        <w:rPr>
          <w:rFonts w:ascii="华文仿宋" w:hAnsi="华文仿宋" w:eastAsia="华文仿宋" w:cs="仿宋"/>
          <w:b/>
          <w:color w:val="auto"/>
          <w:spacing w:val="0"/>
          <w:sz w:val="28"/>
          <w:szCs w:val="28"/>
          <w:highlight w:val="none"/>
        </w:rPr>
      </w:pPr>
    </w:p>
    <w:p w14:paraId="01C8864C">
      <w:pPr>
        <w:pStyle w:val="85"/>
        <w:ind w:firstLine="482"/>
        <w:rPr>
          <w:rFonts w:ascii="华文仿宋" w:hAnsi="华文仿宋" w:eastAsia="华文仿宋" w:cs="仿宋"/>
          <w:b/>
          <w:color w:val="auto"/>
          <w:spacing w:val="0"/>
          <w:sz w:val="28"/>
          <w:szCs w:val="28"/>
          <w:highlight w:val="none"/>
        </w:rPr>
      </w:pPr>
    </w:p>
    <w:p w14:paraId="04D4D3ED">
      <w:pPr>
        <w:pStyle w:val="85"/>
        <w:ind w:firstLine="482"/>
        <w:rPr>
          <w:rFonts w:ascii="华文仿宋" w:hAnsi="华文仿宋" w:eastAsia="华文仿宋" w:cs="仿宋"/>
          <w:b/>
          <w:color w:val="auto"/>
          <w:spacing w:val="0"/>
          <w:sz w:val="28"/>
          <w:szCs w:val="28"/>
          <w:highlight w:val="none"/>
        </w:rPr>
      </w:pPr>
    </w:p>
    <w:p w14:paraId="73D2D50F">
      <w:pPr>
        <w:pStyle w:val="85"/>
        <w:ind w:firstLine="482"/>
        <w:rPr>
          <w:rFonts w:ascii="华文仿宋" w:hAnsi="华文仿宋" w:eastAsia="华文仿宋" w:cs="仿宋"/>
          <w:b/>
          <w:color w:val="auto"/>
          <w:spacing w:val="0"/>
          <w:sz w:val="28"/>
          <w:szCs w:val="28"/>
          <w:highlight w:val="none"/>
        </w:rPr>
      </w:pPr>
    </w:p>
    <w:p w14:paraId="7A44867D">
      <w:pPr>
        <w:pStyle w:val="85"/>
        <w:ind w:firstLine="482"/>
        <w:rPr>
          <w:rFonts w:ascii="华文仿宋" w:hAnsi="华文仿宋" w:eastAsia="华文仿宋" w:cs="仿宋"/>
          <w:b/>
          <w:color w:val="auto"/>
          <w:spacing w:val="0"/>
          <w:sz w:val="28"/>
          <w:szCs w:val="28"/>
          <w:highlight w:val="none"/>
        </w:rPr>
      </w:pPr>
    </w:p>
    <w:p w14:paraId="31E8699D">
      <w:pPr>
        <w:pStyle w:val="85"/>
        <w:ind w:firstLine="482"/>
        <w:rPr>
          <w:rFonts w:ascii="华文仿宋" w:hAnsi="华文仿宋" w:eastAsia="华文仿宋" w:cs="仿宋"/>
          <w:b/>
          <w:color w:val="auto"/>
          <w:spacing w:val="0"/>
          <w:sz w:val="28"/>
          <w:szCs w:val="28"/>
          <w:highlight w:val="none"/>
        </w:rPr>
      </w:pPr>
    </w:p>
    <w:p w14:paraId="3C287DC8">
      <w:pPr>
        <w:pStyle w:val="85"/>
        <w:ind w:firstLine="482"/>
        <w:rPr>
          <w:rFonts w:ascii="华文仿宋" w:hAnsi="华文仿宋" w:eastAsia="华文仿宋" w:cs="仿宋"/>
          <w:b/>
          <w:color w:val="auto"/>
          <w:spacing w:val="0"/>
          <w:sz w:val="28"/>
          <w:szCs w:val="28"/>
          <w:highlight w:val="none"/>
        </w:rPr>
      </w:pPr>
    </w:p>
    <w:p w14:paraId="786E4203">
      <w:pPr>
        <w:pStyle w:val="85"/>
        <w:ind w:firstLine="482"/>
        <w:rPr>
          <w:rFonts w:ascii="华文仿宋" w:hAnsi="华文仿宋" w:eastAsia="华文仿宋" w:cs="仿宋"/>
          <w:b/>
          <w:color w:val="auto"/>
          <w:spacing w:val="0"/>
          <w:sz w:val="28"/>
          <w:szCs w:val="28"/>
          <w:highlight w:val="none"/>
        </w:rPr>
      </w:pPr>
    </w:p>
    <w:p w14:paraId="38E75D8F">
      <w:pPr>
        <w:pStyle w:val="85"/>
        <w:ind w:firstLine="482"/>
        <w:rPr>
          <w:rFonts w:ascii="华文仿宋" w:hAnsi="华文仿宋" w:eastAsia="华文仿宋" w:cs="仿宋"/>
          <w:b/>
          <w:color w:val="auto"/>
          <w:spacing w:val="0"/>
          <w:sz w:val="28"/>
          <w:szCs w:val="28"/>
          <w:highlight w:val="none"/>
        </w:rPr>
      </w:pPr>
    </w:p>
    <w:p w14:paraId="1EFD0327">
      <w:pPr>
        <w:pStyle w:val="85"/>
        <w:ind w:firstLine="482"/>
        <w:rPr>
          <w:rFonts w:ascii="华文仿宋" w:hAnsi="华文仿宋" w:eastAsia="华文仿宋" w:cs="仿宋"/>
          <w:b/>
          <w:color w:val="auto"/>
          <w:spacing w:val="0"/>
          <w:sz w:val="28"/>
          <w:szCs w:val="28"/>
          <w:highlight w:val="none"/>
        </w:rPr>
      </w:pPr>
    </w:p>
    <w:p w14:paraId="6B6EBE97">
      <w:pPr>
        <w:pStyle w:val="85"/>
        <w:ind w:firstLine="482"/>
        <w:rPr>
          <w:rFonts w:ascii="华文仿宋" w:hAnsi="华文仿宋" w:eastAsia="华文仿宋" w:cs="仿宋"/>
          <w:b/>
          <w:color w:val="auto"/>
          <w:spacing w:val="0"/>
          <w:sz w:val="28"/>
          <w:szCs w:val="28"/>
          <w:highlight w:val="none"/>
        </w:rPr>
      </w:pPr>
      <w:r>
        <w:rPr>
          <w:rFonts w:hint="eastAsia" w:ascii="华文仿宋" w:hAnsi="华文仿宋" w:eastAsia="华文仿宋" w:cs="仿宋"/>
          <w:b/>
          <w:color w:val="auto"/>
          <w:spacing w:val="0"/>
          <w:sz w:val="28"/>
          <w:szCs w:val="28"/>
          <w:highlight w:val="none"/>
        </w:rPr>
        <w:t>附件8</w:t>
      </w:r>
    </w:p>
    <w:p w14:paraId="12929561">
      <w:pPr>
        <w:pStyle w:val="85"/>
        <w:ind w:firstLine="3083" w:firstLineChars="1100"/>
        <w:rPr>
          <w:rFonts w:ascii="华文仿宋" w:hAnsi="华文仿宋" w:eastAsia="华文仿宋" w:cs="仿宋"/>
          <w:b/>
          <w:color w:val="auto"/>
          <w:spacing w:val="0"/>
          <w:sz w:val="28"/>
          <w:szCs w:val="28"/>
          <w:highlight w:val="none"/>
        </w:rPr>
      </w:pPr>
      <w:r>
        <w:rPr>
          <w:rFonts w:hint="eastAsia" w:ascii="华文仿宋" w:hAnsi="华文仿宋" w:eastAsia="华文仿宋" w:cs="仿宋"/>
          <w:b/>
          <w:color w:val="auto"/>
          <w:spacing w:val="0"/>
          <w:sz w:val="28"/>
          <w:szCs w:val="28"/>
          <w:highlight w:val="none"/>
        </w:rPr>
        <w:t>承包人配合工作</w:t>
      </w:r>
    </w:p>
    <w:p w14:paraId="1C795AB8">
      <w:pPr>
        <w:pStyle w:val="85"/>
        <w:ind w:firstLine="482"/>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一、施工证照办理方面</w:t>
      </w:r>
    </w:p>
    <w:p w14:paraId="769A0C53">
      <w:pPr>
        <w:pStyle w:val="85"/>
        <w:ind w:firstLine="482"/>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承包人应在签发中标通知书后10天内完成施工许可证变更办理（BCDE区及地下室）。</w:t>
      </w:r>
    </w:p>
    <w:p w14:paraId="0ED7B0EF">
      <w:pPr>
        <w:pStyle w:val="85"/>
        <w:ind w:firstLine="482"/>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二、场地布置及临建搭建方面</w:t>
      </w:r>
    </w:p>
    <w:p w14:paraId="03AB8025">
      <w:pPr>
        <w:pStyle w:val="85"/>
        <w:ind w:firstLine="482"/>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1、因施工场地受限，承包人须自行协调考虑设置临时道路，并配合项目开放、开盘要求，及时进行临时通道转换。</w:t>
      </w:r>
    </w:p>
    <w:p w14:paraId="655FAB36">
      <w:pPr>
        <w:pStyle w:val="85"/>
        <w:ind w:firstLine="482"/>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2、从项目用地临时道路硬化及恢复由承包人自行负责，发包人不另行支付费用；</w:t>
      </w:r>
    </w:p>
    <w:p w14:paraId="2238110F">
      <w:pPr>
        <w:pStyle w:val="85"/>
        <w:ind w:firstLine="482"/>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3、本项目红线内无场地设置临时办公、住宿、材料加工场地，承包人应自行考虑在周边用地进行租借临时施工场地；</w:t>
      </w:r>
    </w:p>
    <w:p w14:paraId="5BF32924">
      <w:pPr>
        <w:pStyle w:val="85"/>
        <w:ind w:firstLine="482"/>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4、承包人应充分考虑场地封闭管理、施工道路等问题。</w:t>
      </w:r>
    </w:p>
    <w:p w14:paraId="1A7E28DD">
      <w:pPr>
        <w:pStyle w:val="85"/>
        <w:ind w:firstLine="482"/>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三、安全、文明施工方面</w:t>
      </w:r>
    </w:p>
    <w:p w14:paraId="74F27781">
      <w:pPr>
        <w:pStyle w:val="85"/>
        <w:ind w:firstLine="482"/>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本项目紧邻江南世家、春石街民宅等居民楼，社会关注度高，承包人须充分考虑对施工带来的影响；承包人应采取切实可行的措施，尽量减少施工扰民给项目施工进展带来的干扰。并负责对外关系协调。</w:t>
      </w:r>
    </w:p>
    <w:p w14:paraId="14DF8C2C">
      <w:pPr>
        <w:pStyle w:val="85"/>
        <w:ind w:firstLine="482"/>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四、工程技术质量管理方面</w:t>
      </w:r>
    </w:p>
    <w:p w14:paraId="5F1134A5">
      <w:pPr>
        <w:pStyle w:val="85"/>
        <w:ind w:firstLine="482"/>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1、本项目场地工况复杂，承包单位应对现状地形、施工图、历史完工情况和剩余工作量有充分了解，认真研读总平面布置图、基坑开挖图、地勘资料及基础设计图纸、工程交接清单，考虑施工工艺、施工难度、收尾工程量；</w:t>
      </w:r>
    </w:p>
    <w:p w14:paraId="321D94C7">
      <w:pPr>
        <w:pStyle w:val="85"/>
        <w:ind w:firstLine="482"/>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2、承包人应有具体措施有效地预防地下室、卫生间、门窗及屋面防渗漏等问题。</w:t>
      </w:r>
    </w:p>
    <w:p w14:paraId="33E17348">
      <w:pPr>
        <w:pStyle w:val="85"/>
        <w:ind w:firstLine="482"/>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3、本工程主体钢筋混凝土结构工程工期短，如何有效组织施工（合理配置人力、设备、模板数量等）以及结构封顶前后如何有效地协调各专业施工队伍（如外水、外电、室外园林景观、燃气、室内外装修等）的进场、施工配合等，确保工程按期完成，承包人须提交详细工作流程和相应措施。</w:t>
      </w:r>
    </w:p>
    <w:p w14:paraId="6B105497">
      <w:pPr>
        <w:pStyle w:val="85"/>
        <w:ind w:firstLine="482"/>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4、本项目的施工质量控制，承包人应制定切实可行的方案，特别是预埋机电管线的精确定位及防水、防开裂应有专项措施。</w:t>
      </w:r>
    </w:p>
    <w:p w14:paraId="6C8A10F9">
      <w:pPr>
        <w:pStyle w:val="85"/>
        <w:ind w:firstLine="482"/>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五、总承包服务工作方面</w:t>
      </w:r>
    </w:p>
    <w:p w14:paraId="07BA24DC">
      <w:pPr>
        <w:pStyle w:val="85"/>
        <w:ind w:firstLine="482"/>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1、施工过程中，承包人应做好总承包服务工作，包括不限于安全，保卫、文明施工的统一管理，保证各专业施工安全顺利进行，承包人应有相应的措施；</w:t>
      </w:r>
    </w:p>
    <w:p w14:paraId="0B24BDE7">
      <w:pPr>
        <w:pStyle w:val="85"/>
        <w:ind w:firstLine="482"/>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2、承包人完成合同工程量施工后，需配合完成园林市政工程等必要专业工程才能组织项目联合验收，承包人需做好相关总包管理及分包单位的配合工作；竣工（联合）验收过程中，承包人应按照本项目工期节点要求，统筹制定、收集、整理好本项目所的专业竣工验收资料（含前期总承包单位资料），确保项目竣工（联合）验收工作及时完成。承包人负责BCDE区及地下室区域所有联合验收工作。</w:t>
      </w:r>
    </w:p>
    <w:p w14:paraId="1B960051">
      <w:pPr>
        <w:pStyle w:val="85"/>
        <w:ind w:firstLine="482"/>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六、配合营销售楼方面</w:t>
      </w:r>
    </w:p>
    <w:p w14:paraId="6496DC25">
      <w:pPr>
        <w:pStyle w:val="85"/>
        <w:ind w:firstLine="482"/>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1、承包人应有具体措施组织样板房展示区施工、垂直运输设备的合理布置（少穿地下室顶板、避开展示样板房附近区域）等。</w:t>
      </w:r>
    </w:p>
    <w:p w14:paraId="0A88648A">
      <w:pPr>
        <w:pStyle w:val="85"/>
        <w:ind w:firstLine="482"/>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2、样板房展示区（C1、C3、B3三套样板房）施工期间，因工期要求可能会存在提前拆模、支撑、提前进行砌筑、抹灰施工，提前进行地下室顶板及侧壁回填施工，承包人应有合理措施和相关技术方案，全力保障展示区及样板房按时开放。</w:t>
      </w:r>
    </w:p>
    <w:p w14:paraId="2D85C798">
      <w:pPr>
        <w:pStyle w:val="85"/>
        <w:ind w:firstLine="482"/>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3、本项目计划2025年</w:t>
      </w:r>
      <w:r>
        <w:rPr>
          <w:rFonts w:ascii="华文仿宋" w:hAnsi="华文仿宋" w:eastAsia="华文仿宋"/>
          <w:color w:val="auto"/>
          <w:spacing w:val="0"/>
          <w:sz w:val="28"/>
          <w:szCs w:val="28"/>
          <w:highlight w:val="none"/>
        </w:rPr>
        <w:t>10</w:t>
      </w:r>
      <w:r>
        <w:rPr>
          <w:rFonts w:hint="eastAsia" w:ascii="华文仿宋" w:hAnsi="华文仿宋" w:eastAsia="华文仿宋"/>
          <w:color w:val="auto"/>
          <w:spacing w:val="0"/>
          <w:sz w:val="28"/>
          <w:szCs w:val="28"/>
          <w:highlight w:val="none"/>
        </w:rPr>
        <w:t>月30日销售开放（C1样板房、C1-02临时销售接待中心、园林展示区），2025年12月1日销售开盘，2025年12月30日会所开放，2026年7月30日B3样板房开放。</w:t>
      </w:r>
    </w:p>
    <w:p w14:paraId="0046D44F">
      <w:pPr>
        <w:pStyle w:val="85"/>
        <w:ind w:firstLine="482"/>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4、承包人需提前充分了解展示区施工围蔽范围（BCDE区），以及开放阶段和开盘阶段所造成的施工围蔽转换，此费用已包含在投标报价中，不另行计取。</w:t>
      </w:r>
    </w:p>
    <w:p w14:paraId="384B961E">
      <w:pPr>
        <w:pStyle w:val="85"/>
        <w:ind w:firstLine="482"/>
        <w:rPr>
          <w:rFonts w:ascii="华文仿宋" w:hAnsi="华文仿宋" w:eastAsia="华文仿宋"/>
          <w:color w:val="auto"/>
          <w:spacing w:val="0"/>
          <w:sz w:val="28"/>
          <w:szCs w:val="28"/>
          <w:highlight w:val="none"/>
        </w:rPr>
      </w:pPr>
      <w:r>
        <w:rPr>
          <w:rFonts w:ascii="华文仿宋" w:hAnsi="华文仿宋" w:eastAsia="华文仿宋"/>
          <w:color w:val="auto"/>
          <w:spacing w:val="0"/>
          <w:sz w:val="28"/>
          <w:szCs w:val="28"/>
          <w:highlight w:val="none"/>
        </w:rPr>
        <w:t xml:space="preserve"> </w:t>
      </w:r>
      <w:r>
        <w:rPr>
          <w:rFonts w:hint="eastAsia" w:ascii="华文仿宋" w:hAnsi="华文仿宋" w:eastAsia="华文仿宋"/>
          <w:color w:val="auto"/>
          <w:spacing w:val="0"/>
          <w:sz w:val="28"/>
          <w:szCs w:val="28"/>
          <w:highlight w:val="none"/>
        </w:rPr>
        <w:t>七、项目现场管理要求</w:t>
      </w:r>
    </w:p>
    <w:p w14:paraId="46CAD850">
      <w:pPr>
        <w:pStyle w:val="85"/>
        <w:ind w:firstLine="482"/>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1.临建要求：</w:t>
      </w:r>
    </w:p>
    <w:p w14:paraId="6ED94E00">
      <w:pPr>
        <w:pStyle w:val="85"/>
        <w:ind w:firstLine="482"/>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1）承包人负责提供发包人及监理常驻现场人员不小于400平方米的现场办公场所及配套设施，包括办公室（含配套设施如办公桌、文件柜、网络办公、电脑、空调等）、员工宿舍（含配套设施如：床铺、饮水机、空调等）、员工用餐、用水、用电等。保证现场办公条件满足本项目发包人、监理及设计驻场人员现场办公的需要。</w:t>
      </w:r>
    </w:p>
    <w:p w14:paraId="21924725">
      <w:pPr>
        <w:pStyle w:val="85"/>
        <w:ind w:firstLine="482"/>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（2）承包人进行施工平面布置时，应同时满足现场施工和甲方销售要求。甲方有权根据销售和施工、验收等实际需要，对施工现场布置进行调整，承包人需及时按甲方要求予以执行，相关费用含在合同报价中。</w:t>
      </w:r>
    </w:p>
    <w:p w14:paraId="03C014B6">
      <w:pPr>
        <w:pStyle w:val="85"/>
        <w:ind w:firstLine="482"/>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2.场地接收要求：场地接收后需负责整个范围内以及红线内所有的设施的维护工作，包括但不限于：</w:t>
      </w:r>
    </w:p>
    <w:p w14:paraId="7AE73B6B">
      <w:pPr>
        <w:pStyle w:val="85"/>
        <w:ind w:firstLine="482"/>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（1）负责临时围墙及大门、临时出入口道路等的接收及修缮工作，并负责相应的施工出入口开口工作（含手续办理）；若现场大门后期需要改动，由承包人自行调整大门尺寸及相关的洗车槽、沉淀池等。</w:t>
      </w:r>
    </w:p>
    <w:p w14:paraId="13DF65A5">
      <w:pPr>
        <w:pStyle w:val="85"/>
        <w:ind w:firstLine="482"/>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2）接收并维护现有场地内排水设施并办理排水证，不能满足要求时需重新进行完善，包括但不限于基坑周边排水沟、洗车槽、洗车池、沉砂池、截水沟等基坑内排水沟、降水井、集水井等。基坑周边安全围挡及警示设施；</w:t>
      </w:r>
    </w:p>
    <w:p w14:paraId="7C4B2276">
      <w:pPr>
        <w:pStyle w:val="85"/>
        <w:ind w:firstLine="482"/>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3.临水临电要求：</w:t>
      </w:r>
    </w:p>
    <w:p w14:paraId="6975F98F">
      <w:pPr>
        <w:pStyle w:val="85"/>
        <w:ind w:firstLine="482"/>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1）现场已通临水临电，承包人重新考虑临水临电路由敷设。确保BCDE区域及地下室每栋楼每层均有临水临电接驳点（优化提升工程完工，移交精装后，为后续精装修单位使用6个月（具体以甲方指令为准））。临水临电的容量不足部分由承包人自行解决，相关费用由承包人承担。如果由于逾期不交水电费造成停水停电，则甲方在下月的进度款中扣起上月1倍的水电费款作为罚款。</w:t>
      </w:r>
    </w:p>
    <w:p w14:paraId="6DF3C3FB">
      <w:pPr>
        <w:pStyle w:val="85"/>
        <w:ind w:firstLine="482"/>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（2）承包人有责任为其他分包人提供在场地中施工的水、电接驳点，同时承包人应按政府收费标准（加上损耗后）向分包人收取水电费，不得自行提高收费标准。</w:t>
      </w:r>
    </w:p>
    <w:p w14:paraId="3BB256A4">
      <w:pPr>
        <w:pStyle w:val="85"/>
        <w:ind w:firstLine="482"/>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（3）承包人需提供发包人不低于200kVA的临时用电负荷、不低于DN50的临水接驳供售楼部、展示区使用，由承包人安装临时水电表，水电费由发包人按收费标准支付给承包人。</w:t>
      </w:r>
    </w:p>
    <w:p w14:paraId="43B29F21">
      <w:pPr>
        <w:pStyle w:val="85"/>
        <w:ind w:firstLine="482"/>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二、安全、文明施工管理要求</w:t>
      </w:r>
    </w:p>
    <w:p w14:paraId="368F8EC1">
      <w:pPr>
        <w:pStyle w:val="85"/>
        <w:ind w:firstLine="482"/>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1）承包人应按照《施工合同》约定的有关内容和授权范围，负责项目现场安全文明施工的统一协调和管理。包括但不限于：①贯彻落实国家、省及市建设工程法律法规标准和广州市城投发展控股有限公司制定的相关安全标准及管理要求，实施项目安全生产标准化管理；②建立项目安全文明施工工作小组，并足额配备安全管理人员；③建立并落实项目安全文明施工责任制、管理制度和操作规程；④制定并落实项目安全文明施工管理目标和措施，保证项目安全文明施工措施费的投入；⑤定期召开安全会议，落实政府等单位项目安全文明施工管理要求；⑥严格审查分包单位的安全条件，并对分包单位现场安全文明施工进行统一管理；⑦组织开展项目安全风险管理和隐患排查治理工作，并建立《安全隐患排查治理管理台帐》，实行闭合管理；⑧制定项目各类突发事件应急预案，落实应急队伍、物资，并做好应急培训、演练工作；⑨及时报告生产安全事故，并做好调查处理工作。</w:t>
      </w:r>
    </w:p>
    <w:p w14:paraId="3C644CD1">
      <w:pPr>
        <w:pStyle w:val="85"/>
        <w:ind w:firstLine="482"/>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2）承包人应无条件接受广州市城投发展控股有限公司及其主管部门组织的包括但不限于第三方安全文明巡检、月度、季度及年度检查，并按要求做好迎检准备、检查实施、整改落实及闭环，安全文明巡检结果未达到发包人制定相关标准及其他未按时整改落实，视为承包人违约，并承担相关违约责任。</w:t>
      </w:r>
    </w:p>
    <w:p w14:paraId="6EE3CB6F">
      <w:pPr>
        <w:pStyle w:val="85"/>
        <w:ind w:firstLine="482"/>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（3）本工程应在工地主要出入口处设置智能化管理系统，功能包括：视频安全文明宣导、打卡门禁、出入施工人员分类计数（支持数据导出功能）、第三方视频监控等功能。</w:t>
      </w:r>
    </w:p>
    <w:p w14:paraId="3400558A">
      <w:pPr>
        <w:pStyle w:val="85"/>
        <w:ind w:firstLine="482"/>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4）场地内施工围挡、施工道路、建筑楼层、塔吊等需要做防扬尘喷淋、投入在线监控扬尘系统等，确保满足政府环保要求；现场需配置防扬尘雾炮机，承包人须在进场第一时间在每个大门两边分别设置一台，其余根据现场实际情况进行定位，以满足广州市及白云区当地环保等政府部门要求为准，如环保等政府部门要求数量增多，必须无条件执行。</w:t>
      </w:r>
    </w:p>
    <w:p w14:paraId="0BDE5E7C">
      <w:pPr>
        <w:pStyle w:val="85"/>
        <w:ind w:firstLine="482"/>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5）现场必须配备足够数量且符合要求的密目网，确保现场整个施工过程中裸土全覆盖，裸土覆盖不应认为是一次性的，而是根据现场动态施工过程及时跟进，发现一处覆盖一处包括但不限于二次甚至多次覆盖，实现全施工过程全天候无死角全覆盖。</w:t>
      </w:r>
    </w:p>
    <w:p w14:paraId="6CDB7C3B">
      <w:pPr>
        <w:pStyle w:val="85"/>
        <w:ind w:firstLine="482"/>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6）施工现场设置集中垃圾收集池，垃圾收集池的大小应满足及时清理要求，并按时每天清理外运垃圾，确保工地垃圾集中堆放处置。分包单位垃圾由分包单位运至集中堆放点，由承包人集中清运，费用已综合考虑，不另行计取。</w:t>
      </w:r>
    </w:p>
    <w:p w14:paraId="3B39E4AF">
      <w:pPr>
        <w:pStyle w:val="85"/>
        <w:ind w:firstLine="482"/>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（7）投标单位应充分考虑当地政府部门的安全文明施工要求包括但不限于政府部门在过程中可能提出新的要求，无条件并严格落实安全文明施工措施。</w:t>
      </w:r>
    </w:p>
    <w:p w14:paraId="3706F427">
      <w:pPr>
        <w:pStyle w:val="85"/>
        <w:ind w:firstLine="482"/>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（8）承包人应按政府部门相关要求做好防疫工作，因防疫漏洞导致项目受到强制性停工的责任由承包人承担。</w:t>
      </w:r>
    </w:p>
    <w:p w14:paraId="20D14932">
      <w:pPr>
        <w:pStyle w:val="85"/>
        <w:ind w:firstLine="482"/>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三、技术管理要求</w:t>
      </w:r>
    </w:p>
    <w:p w14:paraId="17F1D284">
      <w:pPr>
        <w:pStyle w:val="85"/>
        <w:ind w:firstLine="482"/>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图纸会审：承包人应在在收到正式施工图后15天内完成施工图会审，在甲方规定的时间进行技术交底，承包人有责任查核施工图中所有工程数据及信息（包含分包图纸及各专业的深化图纸），在工程实施前发现并提出施工图中存在的错漏碰缺等问题并在获得设计、监理和甲方认可的解决方案后再行实施；如承包人未履行上述责任导致的返工、开凿及变更，由承包人自行负责；非甲 方原因导致预留预埋错误，承包人对此承担全部责任，甲方不再支付额外费用，工期不予延长。</w:t>
      </w:r>
    </w:p>
    <w:p w14:paraId="3325D324">
      <w:pPr>
        <w:pStyle w:val="85"/>
        <w:ind w:firstLine="482"/>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四、质量管理要求</w:t>
      </w:r>
    </w:p>
    <w:p w14:paraId="4D21E6F7">
      <w:pPr>
        <w:pStyle w:val="85"/>
        <w:ind w:firstLine="482"/>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（1）承包人应按照国家省市有关建筑法律法规及规范要求，建立和健全管理体系，设立质量管理专职机构，配备满足规定要求的专职管理人员。</w:t>
      </w:r>
    </w:p>
    <w:p w14:paraId="28A6783C">
      <w:pPr>
        <w:pStyle w:val="85"/>
        <w:ind w:firstLine="482"/>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（2）承包人在施工过程中应认真落实广州市城投发展控股有限公司及其主管部门制定的相关质量制度及文件规定。</w:t>
      </w:r>
    </w:p>
    <w:p w14:paraId="155F5BDC">
      <w:pPr>
        <w:pStyle w:val="85"/>
        <w:ind w:firstLine="482"/>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3）承包人应无条件接受广州市城投发展控股有限公司及其主管部门组织的包括但不限于第三方质量巡检、月度、季度及年度检查，并按要求做好迎检准备、检查实施及后续整改落实闭环，若质量巡检结果未达到发包人制定的相关标准及其他检查未按时整改落实，视为承包人违约，并承担相关违约责任。</w:t>
      </w:r>
    </w:p>
    <w:p w14:paraId="0653B408">
      <w:pPr>
        <w:pStyle w:val="85"/>
        <w:ind w:firstLine="482"/>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4）承包人投入的施工作业人员必须具备相应的上岗证，如特种人员，还须具备特种人员作业证书，以确保施工质量。所有人员必须带证上岗，随时接受发包人、监理人检查，若发包人后期需要对关键岗位人员实行面试上岗制度，应按其要求办理，否则按合同约定承担违约责任。</w:t>
      </w:r>
    </w:p>
    <w:p w14:paraId="542E57B8">
      <w:pPr>
        <w:pStyle w:val="85"/>
        <w:ind w:firstLine="482"/>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5）承包人及其选择的专业承包商所采用的所有材料应符合《主要设备材料品牌/生产厂家推荐表》（详见本《技术条件》附件1），否则一律作退场处理；对《主要设备材料品牌/生产厂家推荐表》中未能覆盖的材料，应按规定报承包人、监理人审批。</w:t>
      </w:r>
    </w:p>
    <w:p w14:paraId="10E80C42">
      <w:pPr>
        <w:pStyle w:val="85"/>
        <w:ind w:firstLine="482"/>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（6）承包人严格按照设计确定的材质、规格、色彩及相关技术标准等，由施工单位提供样板，经设计、监理、业主确认后方可施工。保证施工所用材料、设备的质量，从源头上控制质量隐患。</w:t>
      </w:r>
    </w:p>
    <w:p w14:paraId="312AEE5C">
      <w:pPr>
        <w:pStyle w:val="85"/>
        <w:ind w:firstLine="482"/>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7）本项目坚持样板引路方式施工，项目现场设置工法样板区，样板区应在进场后2个月内制作完成，样板区大小及设置要求需经发包人同意。要求在楼栋内制作工法样板区，工法样板区包括但不限于砌筑抹灰、管道安装、结构浇筑样板、卫生间防水、门窗等工法。并设置标识牌。本工法样板房设置区域需由需经发包人同意。</w:t>
      </w:r>
    </w:p>
    <w:p w14:paraId="5707039B">
      <w:pPr>
        <w:pStyle w:val="85"/>
        <w:ind w:firstLine="482"/>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（8）强化隐蔽工程验收、中间交接验收、分部分项工程预验收管理，规范竣工验收管理。层层把关，全过程控制，达到样板工程的质量目标。</w:t>
      </w:r>
    </w:p>
    <w:p w14:paraId="43223663">
      <w:pPr>
        <w:pStyle w:val="85"/>
        <w:ind w:firstLine="482"/>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（9）承包人必须严格执行有关质量通病治理措施、工程建设强制性标准和有关节能、环境保护、绿色施工的规定。</w:t>
      </w:r>
    </w:p>
    <w:p w14:paraId="128D4F15">
      <w:pPr>
        <w:pStyle w:val="85"/>
        <w:ind w:firstLine="482"/>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（10）本项目质量标准及质量创优目标按合同约定执行。</w:t>
      </w:r>
    </w:p>
    <w:p w14:paraId="521F874F">
      <w:pPr>
        <w:pStyle w:val="85"/>
        <w:ind w:firstLine="482"/>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五、进度管理要求</w:t>
      </w:r>
    </w:p>
    <w:p w14:paraId="1E96C1C2">
      <w:pPr>
        <w:pStyle w:val="85"/>
        <w:ind w:firstLine="482"/>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1）承包人应在收到中标通知书后10个工作日内，完成工程施工前准备工作，包括但不限于如下工作：完成临设搭设等总平面布置工作，所有工程施工及管理人员到位，完成包括“施工许可证”在内的各项工程报审报批，施工组织设计及主要施工方案完成审批，满足工程正常施工的机械设备进场，工程开工所必需的工程材料进场。</w:t>
      </w:r>
    </w:p>
    <w:p w14:paraId="18940413">
      <w:pPr>
        <w:pStyle w:val="85"/>
        <w:ind w:firstLine="482"/>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2）承包人应在施工合同签订后7个日历天内，根据本项目工期进度目标、施工图纸和现场实际情况编制切实可行的实施进度计划，并按照发包人代表、监理工程师的要求随时修订和调整，采取一切可能的措施，确保按批准的进度计划实施工程。承包人作为总承包单位，应合理安排施工工作，统筹各专业单位的工作界面，不得影响施工进度。承包人如不根据工作面变化情况合理调整人员、施工机械设备，造成的人员、设备窝工费用发包人不予支付。</w:t>
      </w:r>
    </w:p>
    <w:p w14:paraId="016D0328">
      <w:pPr>
        <w:pStyle w:val="85"/>
        <w:ind w:firstLine="482"/>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（3）本项目工期进度目标中关键节点工期节点由于承包人原因不能按时完成的，根据实际情况处以5000元/天的罚款。</w:t>
      </w:r>
    </w:p>
    <w:p w14:paraId="4E1EB620">
      <w:pPr>
        <w:pStyle w:val="85"/>
        <w:ind w:firstLine="482"/>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4）承包人在各施工阶段必须加强管理力度，各专业分包人进场施工后，承包人需做好总包的协调和配合工作，监理工程师在现场所确定的各项工作配合时间，承包人必须按期落实，否则招标人有权予以处罚，并追究相应的工期责任。</w:t>
      </w:r>
    </w:p>
    <w:p w14:paraId="0B3DC3FE">
      <w:pPr>
        <w:pStyle w:val="85"/>
        <w:ind w:firstLine="482"/>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（5）承包人应根据施工任务做好工期分析工作，按工期节点要求进行人料机的安排，及时根据计划的实施情况调整人料机的投入。</w:t>
      </w:r>
    </w:p>
    <w:p w14:paraId="5B94A876">
      <w:pPr>
        <w:pStyle w:val="85"/>
        <w:ind w:firstLine="482"/>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6）承包人作为总承包单位，应合理安排施工工作，统筹各专业单位的工作界面，不得影响施工进度。承包人应根据工作面的变化情况及工程进度要求，合理调配人员及施工机械设备。承包人如不根据工作面变化情况合理调整人员、施工机械设备，造成的人员、设备窝工费用发包人不予支付。</w:t>
      </w:r>
    </w:p>
    <w:p w14:paraId="710F91C1">
      <w:pPr>
        <w:pStyle w:val="85"/>
        <w:ind w:firstLine="482"/>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六、配合营销售楼管理要求</w:t>
      </w:r>
    </w:p>
    <w:p w14:paraId="7D577F9D">
      <w:pPr>
        <w:pStyle w:val="85"/>
        <w:ind w:firstLine="482"/>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1）本项目设置实体样板房，承包人应按发包人要求在样板层以上楼层设置截水、整层防水措施，按发包人要求完成样板段外立面施工、外脚手架拆除，展示区、看楼通道园林施工。按发包人要求安装临时（或永久）电梯供销售看楼专用。</w:t>
      </w:r>
    </w:p>
    <w:p w14:paraId="20C79675">
      <w:pPr>
        <w:pStyle w:val="85"/>
        <w:ind w:firstLine="482"/>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2）售楼部及样板房场地移交是指：承包人应考虑提前进行砌筑、批荡等工作，提前完成铝合金外窗、栏杆及外墙装饰施工，施工场地的材料运输通道已具备，统筹各分包单位样板房的施工并全力配合各分包单位样板房施工。</w:t>
      </w:r>
    </w:p>
    <w:p w14:paraId="23E3DA0D">
      <w:pPr>
        <w:pStyle w:val="85"/>
        <w:ind w:firstLine="482"/>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（3）施工计划要重点考虑售楼部、样板房及展示区的开放节点时间，无条件配合，保证售楼部、样板房及展示区按时开放。</w:t>
      </w:r>
    </w:p>
    <w:p w14:paraId="7730EC80">
      <w:pPr>
        <w:pStyle w:val="85"/>
        <w:ind w:firstLine="482"/>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4）售楼部、样板房及展示区水电费的计取方式：售楼部、样板房范围内由承包人分设水电表（表前所设的独立使用管线必须满足售楼部、样板房使用负荷），在移交发包人后，相关水电费用由发包人承担。水电费单价按照收费部门标准收取（采用水电费由承包人代缴方式）。</w:t>
      </w:r>
    </w:p>
    <w:p w14:paraId="2AEDEB27">
      <w:pPr>
        <w:pStyle w:val="85"/>
        <w:ind w:firstLine="482"/>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（5）所有机械设备安装需考虑不影响展示区展示开放。</w:t>
      </w:r>
    </w:p>
    <w:p w14:paraId="04630C5E">
      <w:pPr>
        <w:pStyle w:val="85"/>
        <w:ind w:firstLine="482"/>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七、工人工资支付及实名制分账管理要求</w:t>
      </w:r>
    </w:p>
    <w:p w14:paraId="66DE136A">
      <w:pPr>
        <w:pStyle w:val="85"/>
        <w:ind w:firstLine="482"/>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因政府实行项目实名制和工人工资分账管理等（包括广州市建设领域管理应用信息平台的使用及项目工人工资专户回执等），请承包人根据政府职能部门要求必须积极配合并按要求办理，同时须统筹完成各分包单位的实名制和工人工资分账管理工作，若因承包人或各分包单位未按相关要求执行而导致的一系列问题，由承包人自行承担全部责任，承包人确保工人工资专款专用，并在合同中约定工人工资比例的计算方式及保留至2位小数点。</w:t>
      </w:r>
    </w:p>
    <w:p w14:paraId="709BBC38">
      <w:pPr>
        <w:pStyle w:val="85"/>
        <w:ind w:firstLine="482"/>
        <w:rPr>
          <w:rFonts w:ascii="华文仿宋" w:hAnsi="华文仿宋" w:eastAsia="华文仿宋"/>
          <w:color w:val="auto"/>
          <w:spacing w:val="0"/>
          <w:sz w:val="28"/>
          <w:szCs w:val="28"/>
          <w:highlight w:val="none"/>
        </w:rPr>
      </w:pPr>
    </w:p>
    <w:p w14:paraId="2190B412">
      <w:pPr>
        <w:pStyle w:val="85"/>
        <w:ind w:firstLine="482"/>
        <w:rPr>
          <w:rFonts w:ascii="华文仿宋" w:hAnsi="华文仿宋" w:eastAsia="华文仿宋"/>
          <w:color w:val="auto"/>
          <w:spacing w:val="0"/>
          <w:sz w:val="28"/>
          <w:szCs w:val="28"/>
          <w:highlight w:val="none"/>
        </w:rPr>
      </w:pPr>
    </w:p>
    <w:p w14:paraId="4758D69A">
      <w:pPr>
        <w:pStyle w:val="85"/>
        <w:ind w:firstLine="482"/>
        <w:rPr>
          <w:rFonts w:ascii="华文仿宋" w:hAnsi="华文仿宋" w:eastAsia="华文仿宋"/>
          <w:color w:val="auto"/>
          <w:spacing w:val="0"/>
          <w:sz w:val="28"/>
          <w:szCs w:val="28"/>
          <w:highlight w:val="none"/>
        </w:rPr>
      </w:pPr>
    </w:p>
    <w:p w14:paraId="362DB766">
      <w:pPr>
        <w:pStyle w:val="85"/>
        <w:ind w:firstLine="482"/>
        <w:rPr>
          <w:rFonts w:ascii="华文仿宋" w:hAnsi="华文仿宋" w:eastAsia="华文仿宋"/>
          <w:color w:val="auto"/>
          <w:spacing w:val="0"/>
          <w:sz w:val="28"/>
          <w:szCs w:val="28"/>
          <w:highlight w:val="none"/>
        </w:rPr>
      </w:pPr>
    </w:p>
    <w:p w14:paraId="12E19BA6">
      <w:pPr>
        <w:pStyle w:val="85"/>
        <w:ind w:firstLine="482"/>
        <w:rPr>
          <w:rFonts w:ascii="华文仿宋" w:hAnsi="华文仿宋" w:eastAsia="华文仿宋"/>
          <w:color w:val="auto"/>
          <w:spacing w:val="0"/>
          <w:sz w:val="28"/>
          <w:szCs w:val="28"/>
          <w:highlight w:val="none"/>
        </w:rPr>
      </w:pPr>
    </w:p>
    <w:p w14:paraId="741CEFBD">
      <w:pPr>
        <w:pStyle w:val="85"/>
        <w:ind w:firstLine="482"/>
        <w:rPr>
          <w:rFonts w:ascii="华文仿宋" w:hAnsi="华文仿宋" w:eastAsia="华文仿宋"/>
          <w:color w:val="auto"/>
          <w:spacing w:val="0"/>
          <w:sz w:val="28"/>
          <w:szCs w:val="28"/>
          <w:highlight w:val="none"/>
        </w:rPr>
      </w:pPr>
    </w:p>
    <w:p w14:paraId="15262DF5">
      <w:pPr>
        <w:pStyle w:val="85"/>
        <w:ind w:firstLine="482"/>
        <w:rPr>
          <w:rFonts w:ascii="华文仿宋" w:hAnsi="华文仿宋" w:eastAsia="华文仿宋"/>
          <w:color w:val="auto"/>
          <w:spacing w:val="0"/>
          <w:sz w:val="28"/>
          <w:szCs w:val="28"/>
          <w:highlight w:val="none"/>
        </w:rPr>
      </w:pPr>
    </w:p>
    <w:p w14:paraId="74BDD310">
      <w:pPr>
        <w:pStyle w:val="85"/>
        <w:ind w:firstLine="482"/>
        <w:rPr>
          <w:rFonts w:ascii="华文仿宋" w:hAnsi="华文仿宋" w:eastAsia="华文仿宋"/>
          <w:color w:val="auto"/>
          <w:spacing w:val="0"/>
          <w:sz w:val="28"/>
          <w:szCs w:val="28"/>
          <w:highlight w:val="none"/>
        </w:rPr>
      </w:pPr>
    </w:p>
    <w:p w14:paraId="3156FC75">
      <w:pPr>
        <w:pStyle w:val="85"/>
        <w:ind w:firstLine="482"/>
        <w:rPr>
          <w:rFonts w:ascii="华文仿宋" w:hAnsi="华文仿宋" w:eastAsia="华文仿宋"/>
          <w:color w:val="auto"/>
          <w:spacing w:val="0"/>
          <w:sz w:val="28"/>
          <w:szCs w:val="28"/>
          <w:highlight w:val="none"/>
        </w:rPr>
      </w:pPr>
    </w:p>
    <w:p w14:paraId="711FE0DA">
      <w:pPr>
        <w:pStyle w:val="85"/>
        <w:ind w:firstLine="482"/>
        <w:rPr>
          <w:rFonts w:ascii="华文仿宋" w:hAnsi="华文仿宋" w:eastAsia="华文仿宋"/>
          <w:color w:val="auto"/>
          <w:spacing w:val="0"/>
          <w:sz w:val="28"/>
          <w:szCs w:val="28"/>
          <w:highlight w:val="none"/>
        </w:rPr>
      </w:pPr>
    </w:p>
    <w:p w14:paraId="6F020EEB">
      <w:pPr>
        <w:pStyle w:val="85"/>
        <w:ind w:firstLine="482"/>
        <w:rPr>
          <w:rFonts w:ascii="华文仿宋" w:hAnsi="华文仿宋" w:eastAsia="华文仿宋"/>
          <w:color w:val="auto"/>
          <w:spacing w:val="0"/>
          <w:sz w:val="28"/>
          <w:szCs w:val="28"/>
          <w:highlight w:val="none"/>
        </w:rPr>
      </w:pPr>
    </w:p>
    <w:p w14:paraId="3D0333CC">
      <w:pPr>
        <w:pStyle w:val="85"/>
        <w:ind w:firstLine="482"/>
        <w:rPr>
          <w:rFonts w:ascii="华文仿宋" w:hAnsi="华文仿宋" w:eastAsia="华文仿宋"/>
          <w:color w:val="auto"/>
          <w:spacing w:val="0"/>
          <w:sz w:val="28"/>
          <w:szCs w:val="28"/>
          <w:highlight w:val="none"/>
        </w:rPr>
      </w:pPr>
    </w:p>
    <w:p w14:paraId="3EE6FEA3">
      <w:pPr>
        <w:pStyle w:val="85"/>
        <w:ind w:firstLine="482"/>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附件9</w:t>
      </w:r>
    </w:p>
    <w:p w14:paraId="3EC391C6">
      <w:pPr>
        <w:pStyle w:val="85"/>
        <w:ind w:firstLine="2523" w:firstLineChars="900"/>
        <w:rPr>
          <w:rFonts w:ascii="华文仿宋" w:hAnsi="华文仿宋" w:eastAsia="华文仿宋" w:cs="仿宋"/>
          <w:b/>
          <w:color w:val="auto"/>
          <w:spacing w:val="0"/>
          <w:sz w:val="28"/>
          <w:szCs w:val="28"/>
          <w:highlight w:val="none"/>
        </w:rPr>
      </w:pPr>
      <w:bookmarkStart w:id="10" w:name="_Hlk203123313"/>
      <w:r>
        <w:rPr>
          <w:rFonts w:hint="eastAsia" w:ascii="华文仿宋" w:hAnsi="华文仿宋" w:eastAsia="华文仿宋" w:cs="仿宋"/>
          <w:b/>
          <w:color w:val="auto"/>
          <w:spacing w:val="0"/>
          <w:sz w:val="28"/>
          <w:szCs w:val="28"/>
          <w:highlight w:val="none"/>
        </w:rPr>
        <w:t>工人工资支付分账管理协议书</w:t>
      </w:r>
    </w:p>
    <w:bookmarkEnd w:id="10"/>
    <w:p w14:paraId="6FBC3B9C">
      <w:pPr>
        <w:pStyle w:val="85"/>
        <w:ind w:firstLine="482"/>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发包人（甲方）：</w:t>
      </w:r>
      <w:r>
        <w:rPr>
          <w:rFonts w:ascii="华文仿宋" w:hAnsi="华文仿宋" w:eastAsia="华文仿宋"/>
          <w:color w:val="auto"/>
          <w:spacing w:val="0"/>
          <w:sz w:val="28"/>
          <w:szCs w:val="28"/>
          <w:highlight w:val="none"/>
        </w:rPr>
        <w:t xml:space="preserve"> </w:t>
      </w:r>
    </w:p>
    <w:p w14:paraId="2347B1FB">
      <w:pPr>
        <w:pStyle w:val="85"/>
        <w:ind w:firstLine="482"/>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承包人（乙方）：</w:t>
      </w:r>
    </w:p>
    <w:p w14:paraId="1083A9A7">
      <w:pPr>
        <w:pStyle w:val="85"/>
        <w:ind w:firstLine="482"/>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鉴于</w:t>
      </w:r>
      <w:r>
        <w:rPr>
          <w:rFonts w:ascii="华文仿宋" w:hAnsi="华文仿宋" w:eastAsia="华文仿宋"/>
          <w:color w:val="auto"/>
          <w:spacing w:val="0"/>
          <w:sz w:val="28"/>
          <w:szCs w:val="28"/>
          <w:highlight w:val="none"/>
        </w:rPr>
        <w:t>2025年  月  日，发包人</w:t>
      </w:r>
      <w:r>
        <w:rPr>
          <w:rFonts w:hint="eastAsia" w:ascii="华文仿宋" w:hAnsi="华文仿宋" w:eastAsia="华文仿宋"/>
          <w:color w:val="auto"/>
          <w:spacing w:val="0"/>
          <w:sz w:val="28"/>
          <w:szCs w:val="28"/>
          <w:highlight w:val="none"/>
          <w:u w:val="single"/>
        </w:rPr>
        <w:t xml:space="preserve"> </w:t>
      </w:r>
      <w:r>
        <w:rPr>
          <w:rFonts w:ascii="华文仿宋" w:hAnsi="华文仿宋" w:eastAsia="华文仿宋"/>
          <w:color w:val="auto"/>
          <w:spacing w:val="0"/>
          <w:sz w:val="28"/>
          <w:szCs w:val="28"/>
          <w:highlight w:val="none"/>
          <w:u w:val="single"/>
        </w:rPr>
        <w:t xml:space="preserve">      </w:t>
      </w:r>
      <w:r>
        <w:rPr>
          <w:rFonts w:hint="eastAsia" w:ascii="华文仿宋" w:hAnsi="华文仿宋" w:eastAsia="华文仿宋"/>
          <w:color w:val="auto"/>
          <w:spacing w:val="0"/>
          <w:sz w:val="28"/>
          <w:szCs w:val="28"/>
          <w:highlight w:val="none"/>
        </w:rPr>
        <w:t xml:space="preserve"> </w:t>
      </w:r>
      <w:r>
        <w:rPr>
          <w:rFonts w:ascii="华文仿宋" w:hAnsi="华文仿宋" w:eastAsia="华文仿宋"/>
          <w:color w:val="auto"/>
          <w:spacing w:val="0"/>
          <w:sz w:val="28"/>
          <w:szCs w:val="28"/>
          <w:highlight w:val="none"/>
        </w:rPr>
        <w:t>（以下称甲方）、承包人</w:t>
      </w:r>
      <w:r>
        <w:rPr>
          <w:rFonts w:ascii="华文仿宋" w:hAnsi="华文仿宋" w:eastAsia="华文仿宋"/>
          <w:color w:val="auto"/>
          <w:spacing w:val="0"/>
          <w:sz w:val="28"/>
          <w:szCs w:val="28"/>
          <w:highlight w:val="none"/>
          <w:u w:val="single"/>
        </w:rPr>
        <w:t xml:space="preserve">  </w:t>
      </w:r>
      <w:r>
        <w:rPr>
          <w:rFonts w:ascii="华文仿宋" w:hAnsi="华文仿宋" w:eastAsia="华文仿宋"/>
          <w:color w:val="auto"/>
          <w:spacing w:val="0"/>
          <w:sz w:val="28"/>
          <w:szCs w:val="28"/>
          <w:highlight w:val="none"/>
        </w:rPr>
        <w:t xml:space="preserve">                </w:t>
      </w:r>
    </w:p>
    <w:p w14:paraId="26101960">
      <w:pPr>
        <w:pStyle w:val="85"/>
        <w:ind w:firstLine="482"/>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（以下称乙方）双方就</w:t>
      </w:r>
      <w:r>
        <w:rPr>
          <w:rFonts w:ascii="华文仿宋" w:hAnsi="华文仿宋" w:eastAsia="华文仿宋"/>
          <w:color w:val="auto"/>
          <w:spacing w:val="0"/>
          <w:sz w:val="28"/>
          <w:szCs w:val="28"/>
          <w:highlight w:val="none"/>
        </w:rPr>
        <w:t xml:space="preserve"> （以下称本项目）签订《</w:t>
      </w:r>
      <w:r>
        <w:rPr>
          <w:rFonts w:hint="eastAsia" w:ascii="华文仿宋" w:hAnsi="华文仿宋" w:eastAsia="华文仿宋"/>
          <w:color w:val="auto"/>
          <w:spacing w:val="0"/>
          <w:sz w:val="28"/>
          <w:szCs w:val="28"/>
          <w:highlight w:val="none"/>
          <w:u w:val="single"/>
        </w:rPr>
        <w:t xml:space="preserve"> </w:t>
      </w:r>
      <w:r>
        <w:rPr>
          <w:rFonts w:ascii="华文仿宋" w:hAnsi="华文仿宋" w:eastAsia="华文仿宋"/>
          <w:color w:val="auto"/>
          <w:spacing w:val="0"/>
          <w:sz w:val="28"/>
          <w:szCs w:val="28"/>
          <w:highlight w:val="none"/>
          <w:u w:val="single"/>
        </w:rPr>
        <w:t xml:space="preserve">          </w:t>
      </w:r>
      <w:r>
        <w:rPr>
          <w:rFonts w:ascii="华文仿宋" w:hAnsi="华文仿宋" w:eastAsia="华文仿宋"/>
          <w:color w:val="auto"/>
          <w:spacing w:val="0"/>
          <w:sz w:val="28"/>
          <w:szCs w:val="28"/>
          <w:highlight w:val="none"/>
        </w:rPr>
        <w:t>》（合同编号：</w:t>
      </w:r>
      <w:r>
        <w:rPr>
          <w:rFonts w:hint="eastAsia" w:ascii="华文仿宋" w:hAnsi="华文仿宋" w:eastAsia="华文仿宋"/>
          <w:color w:val="auto"/>
          <w:spacing w:val="0"/>
          <w:sz w:val="28"/>
          <w:szCs w:val="28"/>
          <w:highlight w:val="none"/>
          <w:u w:val="single"/>
        </w:rPr>
        <w:t xml:space="preserve"> </w:t>
      </w:r>
      <w:r>
        <w:rPr>
          <w:rFonts w:ascii="华文仿宋" w:hAnsi="华文仿宋" w:eastAsia="华文仿宋"/>
          <w:color w:val="auto"/>
          <w:spacing w:val="0"/>
          <w:sz w:val="28"/>
          <w:szCs w:val="28"/>
          <w:highlight w:val="none"/>
          <w:u w:val="single"/>
        </w:rPr>
        <w:t xml:space="preserve">  </w:t>
      </w:r>
      <w:r>
        <w:rPr>
          <w:rFonts w:ascii="华文仿宋" w:hAnsi="华文仿宋" w:eastAsia="华文仿宋"/>
          <w:color w:val="auto"/>
          <w:spacing w:val="0"/>
          <w:sz w:val="28"/>
          <w:szCs w:val="28"/>
          <w:highlight w:val="none"/>
        </w:rPr>
        <w:t xml:space="preserve">，以下称主合同）。 </w:t>
      </w:r>
    </w:p>
    <w:p w14:paraId="52AA4A12">
      <w:pPr>
        <w:pStyle w:val="85"/>
        <w:ind w:firstLine="482"/>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现根据《广州市住房和城乡建设局关于印发</w:t>
      </w:r>
      <w:r>
        <w:rPr>
          <w:rFonts w:ascii="华文仿宋" w:hAnsi="华文仿宋" w:eastAsia="华文仿宋"/>
          <w:color w:val="auto"/>
          <w:spacing w:val="0"/>
          <w:sz w:val="28"/>
          <w:szCs w:val="28"/>
          <w:highlight w:val="none"/>
        </w:rPr>
        <w:t xml:space="preserve">&lt;广州市建筑施工实名制管理办法&gt;的通知》 </w:t>
      </w:r>
      <w:r>
        <w:rPr>
          <w:rFonts w:hint="eastAsia" w:ascii="华文仿宋" w:hAnsi="华文仿宋" w:eastAsia="华文仿宋"/>
          <w:color w:val="auto"/>
          <w:spacing w:val="0"/>
          <w:sz w:val="28"/>
          <w:szCs w:val="28"/>
          <w:highlight w:val="none"/>
        </w:rPr>
        <w:t>（穗建规字〔</w:t>
      </w:r>
      <w:r>
        <w:rPr>
          <w:rFonts w:ascii="华文仿宋" w:hAnsi="华文仿宋" w:eastAsia="华文仿宋"/>
          <w:color w:val="auto"/>
          <w:spacing w:val="0"/>
          <w:sz w:val="28"/>
          <w:szCs w:val="28"/>
          <w:highlight w:val="none"/>
        </w:rPr>
        <w:t xml:space="preserve">2020〕18 号）、《关于印发广州市建设领域工人工资支付分账管理实施细则 </w:t>
      </w:r>
      <w:r>
        <w:rPr>
          <w:rFonts w:hint="eastAsia" w:ascii="华文仿宋" w:hAnsi="华文仿宋" w:eastAsia="华文仿宋"/>
          <w:color w:val="auto"/>
          <w:spacing w:val="0"/>
          <w:sz w:val="28"/>
          <w:szCs w:val="28"/>
          <w:highlight w:val="none"/>
        </w:rPr>
        <w:t>的通知》（穗建规字〔</w:t>
      </w:r>
      <w:r>
        <w:rPr>
          <w:rFonts w:ascii="华文仿宋" w:hAnsi="华文仿宋" w:eastAsia="华文仿宋"/>
          <w:color w:val="auto"/>
          <w:spacing w:val="0"/>
          <w:sz w:val="28"/>
          <w:szCs w:val="28"/>
          <w:highlight w:val="none"/>
        </w:rPr>
        <w:t xml:space="preserve">2020〕37 号）等有关规定，双方就本项目工人工资支付分账管理事 </w:t>
      </w:r>
      <w:r>
        <w:rPr>
          <w:rFonts w:hint="eastAsia" w:ascii="华文仿宋" w:hAnsi="华文仿宋" w:eastAsia="华文仿宋"/>
          <w:color w:val="auto"/>
          <w:spacing w:val="0"/>
          <w:sz w:val="28"/>
          <w:szCs w:val="28"/>
          <w:highlight w:val="none"/>
        </w:rPr>
        <w:t>宜协商一致，达成如下协议，以资共同遵守。</w:t>
      </w:r>
      <w:r>
        <w:rPr>
          <w:rFonts w:ascii="华文仿宋" w:hAnsi="华文仿宋" w:eastAsia="华文仿宋"/>
          <w:color w:val="auto"/>
          <w:spacing w:val="0"/>
          <w:sz w:val="28"/>
          <w:szCs w:val="28"/>
          <w:highlight w:val="none"/>
        </w:rPr>
        <w:t xml:space="preserve"> </w:t>
      </w:r>
    </w:p>
    <w:p w14:paraId="69E87857">
      <w:pPr>
        <w:pStyle w:val="85"/>
        <w:ind w:firstLine="482"/>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第一条</w:t>
      </w:r>
      <w:r>
        <w:rPr>
          <w:rFonts w:ascii="华文仿宋" w:hAnsi="华文仿宋" w:eastAsia="华文仿宋"/>
          <w:color w:val="auto"/>
          <w:spacing w:val="0"/>
          <w:sz w:val="28"/>
          <w:szCs w:val="28"/>
          <w:highlight w:val="none"/>
        </w:rPr>
        <w:t xml:space="preserve"> 甲方负责监督乙方的工人工资支付情况，协调本项目的工人工资支付事宜。乙</w:t>
      </w:r>
      <w:r>
        <w:rPr>
          <w:rFonts w:hint="eastAsia" w:ascii="华文仿宋" w:hAnsi="华文仿宋" w:eastAsia="华文仿宋"/>
          <w:color w:val="auto"/>
          <w:spacing w:val="0"/>
          <w:sz w:val="28"/>
          <w:szCs w:val="28"/>
          <w:highlight w:val="none"/>
        </w:rPr>
        <w:t>方服从甲方有关工人工资支付的监督管理，若乙方拖欠或克扣工人工资造成群体性事件或</w:t>
      </w:r>
      <w:r>
        <w:rPr>
          <w:rFonts w:ascii="华文仿宋" w:hAnsi="华文仿宋" w:eastAsia="华文仿宋"/>
          <w:color w:val="auto"/>
          <w:spacing w:val="0"/>
          <w:sz w:val="28"/>
          <w:szCs w:val="28"/>
          <w:highlight w:val="none"/>
        </w:rPr>
        <w:t xml:space="preserve"> </w:t>
      </w:r>
      <w:r>
        <w:rPr>
          <w:rFonts w:hint="eastAsia" w:ascii="华文仿宋" w:hAnsi="华文仿宋" w:eastAsia="华文仿宋"/>
          <w:color w:val="auto"/>
          <w:spacing w:val="0"/>
          <w:sz w:val="28"/>
          <w:szCs w:val="28"/>
          <w:highlight w:val="none"/>
        </w:rPr>
        <w:t>不良影响的，甲方有权降低乙方诚信评分，将乙方列入黑名单，拒绝乙方参与甲方后续工</w:t>
      </w:r>
      <w:r>
        <w:rPr>
          <w:rFonts w:ascii="华文仿宋" w:hAnsi="华文仿宋" w:eastAsia="华文仿宋"/>
          <w:color w:val="auto"/>
          <w:spacing w:val="0"/>
          <w:sz w:val="28"/>
          <w:szCs w:val="28"/>
          <w:highlight w:val="none"/>
        </w:rPr>
        <w:t xml:space="preserve">+程投标。 </w:t>
      </w:r>
    </w:p>
    <w:p w14:paraId="165D9FB6">
      <w:pPr>
        <w:pStyle w:val="85"/>
        <w:ind w:firstLine="482"/>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第二条</w:t>
      </w:r>
      <w:r>
        <w:rPr>
          <w:rFonts w:ascii="华文仿宋" w:hAnsi="华文仿宋" w:eastAsia="华文仿宋"/>
          <w:color w:val="auto"/>
          <w:spacing w:val="0"/>
          <w:sz w:val="28"/>
          <w:szCs w:val="28"/>
          <w:highlight w:val="none"/>
        </w:rPr>
        <w:t xml:space="preserve"> 乙方须对本项目工程款中的工人工资开立工人工资支付专用账户，严禁挪作他 </w:t>
      </w:r>
      <w:r>
        <w:rPr>
          <w:rFonts w:hint="eastAsia" w:ascii="华文仿宋" w:hAnsi="华文仿宋" w:eastAsia="华文仿宋"/>
          <w:color w:val="auto"/>
          <w:spacing w:val="0"/>
          <w:sz w:val="28"/>
          <w:szCs w:val="28"/>
          <w:highlight w:val="none"/>
        </w:rPr>
        <w:t>用，确保专款专用。</w:t>
      </w:r>
      <w:r>
        <w:rPr>
          <w:rFonts w:ascii="华文仿宋" w:hAnsi="华文仿宋" w:eastAsia="华文仿宋"/>
          <w:color w:val="auto"/>
          <w:spacing w:val="0"/>
          <w:sz w:val="28"/>
          <w:szCs w:val="28"/>
          <w:highlight w:val="none"/>
        </w:rPr>
        <w:t xml:space="preserve"> </w:t>
      </w:r>
    </w:p>
    <w:p w14:paraId="20C4D77F">
      <w:pPr>
        <w:pStyle w:val="85"/>
        <w:ind w:firstLine="482"/>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乙方办理工人工资支付专用账户撤销手续的，应在本项目完工且乙方已结清工人工资</w:t>
      </w:r>
      <w:r>
        <w:rPr>
          <w:rFonts w:ascii="华文仿宋" w:hAnsi="华文仿宋" w:eastAsia="华文仿宋"/>
          <w:color w:val="auto"/>
          <w:spacing w:val="0"/>
          <w:sz w:val="28"/>
          <w:szCs w:val="28"/>
          <w:highlight w:val="none"/>
        </w:rPr>
        <w:t xml:space="preserve"> </w:t>
      </w:r>
      <w:r>
        <w:rPr>
          <w:rFonts w:hint="eastAsia" w:ascii="华文仿宋" w:hAnsi="华文仿宋" w:eastAsia="华文仿宋"/>
          <w:color w:val="auto"/>
          <w:spacing w:val="0"/>
          <w:sz w:val="28"/>
          <w:szCs w:val="28"/>
          <w:highlight w:val="none"/>
        </w:rPr>
        <w:t>后，取得甲方书面同意。</w:t>
      </w:r>
      <w:r>
        <w:rPr>
          <w:rFonts w:ascii="华文仿宋" w:hAnsi="华文仿宋" w:eastAsia="华文仿宋"/>
          <w:color w:val="auto"/>
          <w:spacing w:val="0"/>
          <w:sz w:val="28"/>
          <w:szCs w:val="28"/>
          <w:highlight w:val="none"/>
        </w:rPr>
        <w:t xml:space="preserve"> </w:t>
      </w:r>
    </w:p>
    <w:p w14:paraId="3A8BD677">
      <w:pPr>
        <w:pStyle w:val="85"/>
        <w:ind w:firstLine="482"/>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第三条</w:t>
      </w:r>
      <w:r>
        <w:rPr>
          <w:rFonts w:ascii="华文仿宋" w:hAnsi="华文仿宋" w:eastAsia="华文仿宋"/>
          <w:color w:val="auto"/>
          <w:spacing w:val="0"/>
          <w:sz w:val="28"/>
          <w:szCs w:val="28"/>
          <w:highlight w:val="none"/>
        </w:rPr>
        <w:t xml:space="preserve"> 乙方按照主合同约定申请工程款时，每一期工程款都必须按照规定比例将工程</w:t>
      </w:r>
      <w:r>
        <w:rPr>
          <w:rFonts w:hint="eastAsia" w:ascii="华文仿宋" w:hAnsi="华文仿宋" w:eastAsia="华文仿宋"/>
          <w:color w:val="auto"/>
          <w:spacing w:val="0"/>
          <w:sz w:val="28"/>
          <w:szCs w:val="28"/>
          <w:highlight w:val="none"/>
        </w:rPr>
        <w:t>款项中的工人工资单列，并提供工人工资专用账户相关资料。以便甲方进行分账支付。如</w:t>
      </w:r>
      <w:r>
        <w:rPr>
          <w:rFonts w:ascii="华文仿宋" w:hAnsi="华文仿宋" w:eastAsia="华文仿宋"/>
          <w:color w:val="auto"/>
          <w:spacing w:val="0"/>
          <w:sz w:val="28"/>
          <w:szCs w:val="28"/>
          <w:highlight w:val="none"/>
        </w:rPr>
        <w:t xml:space="preserve"> </w:t>
      </w:r>
      <w:r>
        <w:rPr>
          <w:rFonts w:hint="eastAsia" w:ascii="华文仿宋" w:hAnsi="华文仿宋" w:eastAsia="华文仿宋"/>
          <w:color w:val="auto"/>
          <w:spacing w:val="0"/>
          <w:sz w:val="28"/>
          <w:szCs w:val="28"/>
          <w:highlight w:val="none"/>
        </w:rPr>
        <w:t>因乙方错误提供工人工资单列金额而导致相关工人工资无法支付的，由乙方承担由此引起的一切法律责任。</w:t>
      </w:r>
      <w:r>
        <w:rPr>
          <w:rFonts w:ascii="华文仿宋" w:hAnsi="华文仿宋" w:eastAsia="华文仿宋"/>
          <w:color w:val="auto"/>
          <w:spacing w:val="0"/>
          <w:sz w:val="28"/>
          <w:szCs w:val="28"/>
          <w:highlight w:val="none"/>
        </w:rPr>
        <w:t xml:space="preserve"> </w:t>
      </w:r>
    </w:p>
    <w:p w14:paraId="21AF56F8">
      <w:pPr>
        <w:pStyle w:val="85"/>
        <w:ind w:firstLine="482"/>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工人工资款比例按照主合同第一部分协议书第五条合同价款中单列的</w:t>
      </w:r>
      <w:bookmarkStart w:id="11" w:name="_Hlk203124306"/>
      <w:r>
        <w:rPr>
          <w:rFonts w:hint="eastAsia" w:ascii="华文仿宋" w:hAnsi="华文仿宋" w:eastAsia="华文仿宋"/>
          <w:color w:val="auto"/>
          <w:spacing w:val="0"/>
          <w:sz w:val="28"/>
          <w:szCs w:val="28"/>
          <w:highlight w:val="none"/>
        </w:rPr>
        <w:t>人工费金额除以中标金额计算为</w:t>
      </w:r>
      <w:r>
        <w:rPr>
          <w:rFonts w:ascii="华文仿宋" w:hAnsi="华文仿宋" w:eastAsia="华文仿宋"/>
          <w:color w:val="auto"/>
          <w:spacing w:val="0"/>
          <w:sz w:val="28"/>
          <w:szCs w:val="28"/>
          <w:highlight w:val="none"/>
          <w:u w:val="single"/>
        </w:rPr>
        <w:t xml:space="preserve">     </w:t>
      </w:r>
      <w:r>
        <w:rPr>
          <w:rFonts w:ascii="华文仿宋" w:hAnsi="华文仿宋" w:eastAsia="华文仿宋"/>
          <w:color w:val="auto"/>
          <w:spacing w:val="0"/>
          <w:sz w:val="28"/>
          <w:szCs w:val="28"/>
          <w:highlight w:val="none"/>
        </w:rPr>
        <w:t xml:space="preserve"> %</w:t>
      </w:r>
      <w:bookmarkEnd w:id="11"/>
      <w:r>
        <w:rPr>
          <w:rFonts w:ascii="华文仿宋" w:hAnsi="华文仿宋" w:eastAsia="华文仿宋"/>
          <w:color w:val="auto"/>
          <w:spacing w:val="0"/>
          <w:sz w:val="28"/>
          <w:szCs w:val="28"/>
          <w:highlight w:val="none"/>
        </w:rPr>
        <w:t xml:space="preserve">，由甲方按照主合同约定每一期足额支付至第二条所述乙方工人工资专用账户，且工人工资款金额最终以有权结算终审部门审定为准。 </w:t>
      </w:r>
    </w:p>
    <w:p w14:paraId="5EA8235C">
      <w:pPr>
        <w:pStyle w:val="85"/>
        <w:ind w:firstLine="482"/>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第四条</w:t>
      </w:r>
      <w:r>
        <w:rPr>
          <w:rFonts w:ascii="华文仿宋" w:hAnsi="华文仿宋" w:eastAsia="华文仿宋"/>
          <w:color w:val="auto"/>
          <w:spacing w:val="0"/>
          <w:sz w:val="28"/>
          <w:szCs w:val="28"/>
          <w:highlight w:val="none"/>
        </w:rPr>
        <w:t xml:space="preserve"> 乙方须建立工人考勤、工资结算和支付等管理台账，并于每次申请工程款时向 </w:t>
      </w:r>
      <w:r>
        <w:rPr>
          <w:rFonts w:hint="eastAsia" w:ascii="华文仿宋" w:hAnsi="华文仿宋" w:eastAsia="华文仿宋"/>
          <w:color w:val="auto"/>
          <w:spacing w:val="0"/>
          <w:sz w:val="28"/>
          <w:szCs w:val="28"/>
          <w:highlight w:val="none"/>
        </w:rPr>
        <w:t>甲方报备。</w:t>
      </w:r>
    </w:p>
    <w:p w14:paraId="73617442">
      <w:pPr>
        <w:pStyle w:val="85"/>
        <w:ind w:firstLine="482"/>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第五条</w:t>
      </w:r>
      <w:r>
        <w:rPr>
          <w:rFonts w:ascii="华文仿宋" w:hAnsi="华文仿宋" w:eastAsia="华文仿宋"/>
          <w:color w:val="auto"/>
          <w:spacing w:val="0"/>
          <w:sz w:val="28"/>
          <w:szCs w:val="28"/>
          <w:highlight w:val="none"/>
        </w:rPr>
        <w:t xml:space="preserve"> 本协议是《</w:t>
      </w:r>
      <w:r>
        <w:rPr>
          <w:rFonts w:hint="eastAsia" w:ascii="华文仿宋" w:hAnsi="华文仿宋" w:eastAsia="华文仿宋"/>
          <w:color w:val="auto"/>
          <w:spacing w:val="0"/>
          <w:sz w:val="28"/>
          <w:szCs w:val="28"/>
          <w:highlight w:val="none"/>
          <w:u w:val="single"/>
        </w:rPr>
        <w:t xml:space="preserve"> </w:t>
      </w:r>
      <w:r>
        <w:rPr>
          <w:rFonts w:ascii="华文仿宋" w:hAnsi="华文仿宋" w:eastAsia="华文仿宋"/>
          <w:color w:val="auto"/>
          <w:spacing w:val="0"/>
          <w:sz w:val="28"/>
          <w:szCs w:val="28"/>
          <w:highlight w:val="none"/>
          <w:u w:val="single"/>
        </w:rPr>
        <w:t xml:space="preserve">         》</w:t>
      </w:r>
      <w:r>
        <w:rPr>
          <w:rFonts w:ascii="华文仿宋" w:hAnsi="华文仿宋" w:eastAsia="华文仿宋"/>
          <w:color w:val="auto"/>
          <w:spacing w:val="0"/>
          <w:sz w:val="28"/>
          <w:szCs w:val="28"/>
          <w:highlight w:val="none"/>
        </w:rPr>
        <w:t xml:space="preserve">的附件，与主合同效力等同，自双方法定代表人（或委托代理人）签字或盖章，并加盖公章之日起生效。 </w:t>
      </w:r>
    </w:p>
    <w:p w14:paraId="7CB60122">
      <w:pPr>
        <w:pStyle w:val="85"/>
        <w:ind w:firstLine="482"/>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第六条</w:t>
      </w:r>
      <w:r>
        <w:rPr>
          <w:rFonts w:ascii="华文仿宋" w:hAnsi="华文仿宋" w:eastAsia="华文仿宋"/>
          <w:color w:val="auto"/>
          <w:spacing w:val="0"/>
          <w:sz w:val="28"/>
          <w:szCs w:val="28"/>
          <w:highlight w:val="none"/>
        </w:rPr>
        <w:t xml:space="preserve"> 本协议一式贰拾份，具有同等法律效力，其中发包人、承包人各执拾份。</w:t>
      </w:r>
    </w:p>
    <w:p w14:paraId="6D566A9D">
      <w:pPr>
        <w:pStyle w:val="85"/>
        <w:ind w:firstLine="482"/>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签署页：</w:t>
      </w:r>
    </w:p>
    <w:p w14:paraId="2744ED37">
      <w:pPr>
        <w:pStyle w:val="85"/>
        <w:ind w:firstLine="482"/>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发</w:t>
      </w:r>
      <w:r>
        <w:rPr>
          <w:rFonts w:ascii="华文仿宋" w:hAnsi="华文仿宋" w:eastAsia="华文仿宋"/>
          <w:color w:val="auto"/>
          <w:spacing w:val="0"/>
          <w:sz w:val="28"/>
          <w:szCs w:val="28"/>
          <w:highlight w:val="none"/>
        </w:rPr>
        <w:t xml:space="preserve"> 包 人：（盖章）                承 包 人：（盖章）</w:t>
      </w:r>
    </w:p>
    <w:p w14:paraId="1A4D2B47">
      <w:pPr>
        <w:pStyle w:val="85"/>
        <w:ind w:firstLine="482"/>
        <w:rPr>
          <w:rFonts w:ascii="华文仿宋" w:hAnsi="华文仿宋" w:eastAsia="华文仿宋"/>
          <w:color w:val="auto"/>
          <w:spacing w:val="0"/>
          <w:sz w:val="28"/>
          <w:szCs w:val="28"/>
          <w:highlight w:val="none"/>
        </w:rPr>
      </w:pPr>
      <w:r>
        <w:rPr>
          <w:rFonts w:ascii="华文仿宋" w:hAnsi="华文仿宋" w:eastAsia="华文仿宋"/>
          <w:color w:val="auto"/>
          <w:spacing w:val="0"/>
          <w:sz w:val="28"/>
          <w:szCs w:val="28"/>
          <w:highlight w:val="none"/>
        </w:rPr>
        <w:t xml:space="preserve">           </w:t>
      </w:r>
    </w:p>
    <w:p w14:paraId="1D820389">
      <w:pPr>
        <w:pStyle w:val="85"/>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法定代表人（或委托代理人）：</w:t>
      </w:r>
      <w:r>
        <w:rPr>
          <w:rFonts w:ascii="华文仿宋" w:hAnsi="华文仿宋" w:eastAsia="华文仿宋"/>
          <w:color w:val="auto"/>
          <w:spacing w:val="0"/>
          <w:sz w:val="28"/>
          <w:szCs w:val="28"/>
          <w:highlight w:val="none"/>
        </w:rPr>
        <w:t xml:space="preserve">         法定代表人（或委托代理人）：</w:t>
      </w:r>
    </w:p>
    <w:p w14:paraId="1FCE4FDA">
      <w:pPr>
        <w:pStyle w:val="85"/>
        <w:ind w:firstLine="482"/>
        <w:rPr>
          <w:rFonts w:ascii="华文仿宋" w:hAnsi="华文仿宋" w:eastAsia="华文仿宋"/>
          <w:color w:val="auto"/>
          <w:spacing w:val="0"/>
          <w:sz w:val="28"/>
          <w:szCs w:val="28"/>
          <w:highlight w:val="none"/>
        </w:rPr>
      </w:pPr>
      <w:r>
        <w:rPr>
          <w:rFonts w:ascii="华文仿宋" w:hAnsi="华文仿宋" w:eastAsia="华文仿宋"/>
          <w:color w:val="auto"/>
          <w:spacing w:val="0"/>
          <w:sz w:val="28"/>
          <w:szCs w:val="28"/>
          <w:highlight w:val="none"/>
        </w:rPr>
        <w:t xml:space="preserve">          </w:t>
      </w:r>
    </w:p>
    <w:sectPr>
      <w:headerReference r:id="rId3" w:type="default"/>
      <w:footerReference r:id="rId4" w:type="default"/>
      <w:pgSz w:w="11906" w:h="16838"/>
      <w:pgMar w:top="1361" w:right="1588" w:bottom="1361" w:left="1588" w:header="851" w:footer="85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Cambria">
    <w:panose1 w:val="02040503050406030204"/>
    <w:charset w:val="00"/>
    <w:family w:val="roman"/>
    <w:pitch w:val="default"/>
    <w:sig w:usb0="E00006FF" w:usb1="420024FF" w:usb2="02000000" w:usb3="00000000" w:csb0="2000019F" w:csb1="00000000"/>
  </w:font>
  <w:font w:name="华文细黑">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059AA">
    <w:pPr>
      <w:pStyle w:val="22"/>
      <w:jc w:val="center"/>
    </w:pPr>
  </w:p>
  <w:p w14:paraId="013C93EC">
    <w:pPr>
      <w:pStyle w:val="22"/>
      <w:jc w:val="center"/>
    </w:pPr>
    <w:r>
      <w:fldChar w:fldCharType="begin"/>
    </w:r>
    <w:r>
      <w:instrText xml:space="preserve"> PAGE \* Arabic </w:instrText>
    </w:r>
    <w:r>
      <w:fldChar w:fldCharType="separate"/>
    </w:r>
    <w:r>
      <w:t>52</w:t>
    </w:r>
    <w:r>
      <w:fldChar w:fldCharType="end"/>
    </w:r>
  </w:p>
  <w:p w14:paraId="0C036AF4">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10D78">
    <w:pPr>
      <w:pStyle w:val="2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46D42C"/>
    <w:multiLevelType w:val="multilevel"/>
    <w:tmpl w:val="5846D42C"/>
    <w:lvl w:ilvl="0" w:tentative="0">
      <w:start w:val="1"/>
      <w:numFmt w:val="decimal"/>
      <w:pStyle w:val="3"/>
      <w:lvlText w:val="第%1章"/>
      <w:lvlJc w:val="left"/>
    </w:lvl>
    <w:lvl w:ilvl="1" w:tentative="0">
      <w:start w:val="1"/>
      <w:numFmt w:val="decimal"/>
      <w:pStyle w:val="4"/>
      <w:lvlText w:val="%1.%2."/>
      <w:lvlJc w:val="left"/>
    </w:lvl>
    <w:lvl w:ilvl="2" w:tentative="0">
      <w:start w:val="1"/>
      <w:numFmt w:val="decimal"/>
      <w:pStyle w:val="2"/>
      <w:lvlText w:val="%1.%2.%3."/>
      <w:lvlJc w:val="left"/>
    </w:lvl>
    <w:lvl w:ilvl="3" w:tentative="0">
      <w:start w:val="1"/>
      <w:numFmt w:val="decimal"/>
      <w:pStyle w:val="5"/>
      <w:lvlText w:val="%1.%2.%3.%4."/>
      <w:lvlJc w:val="left"/>
    </w:lvl>
    <w:lvl w:ilvl="4" w:tentative="0">
      <w:start w:val="1"/>
      <w:numFmt w:val="decimal"/>
      <w:lvlText w:val="%1.%2.%3.%4.%5."/>
      <w:lvlJc w:val="left"/>
    </w:lvl>
    <w:lvl w:ilvl="5" w:tentative="0">
      <w:start w:val="1"/>
      <w:numFmt w:val="decimal"/>
      <w:lvlText w:val="%1.%2.%3.%4.%5.%6."/>
      <w:lvlJc w:val="left"/>
    </w:lvl>
    <w:lvl w:ilvl="6" w:tentative="0">
      <w:start w:val="1"/>
      <w:numFmt w:val="decimal"/>
      <w:lvlText w:val="%1.%2.%3.%4.%5.%6.%7."/>
      <w:lvlJc w:val="left"/>
    </w:lvl>
    <w:lvl w:ilvl="7" w:tentative="0">
      <w:start w:val="1"/>
      <w:numFmt w:val="decimal"/>
      <w:lvlText w:val="%1.%2.%3.%4.%5.%6.%7.%8."/>
      <w:lvlJc w:val="left"/>
    </w:lvl>
    <w:lvl w:ilvl="8" w:tentative="0">
      <w:start w:val="1"/>
      <w:numFmt w:val="decimal"/>
      <w:lvlText w:val="%1.%2.%3.%4.%5.%6.%7.%8.%9"/>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BjNmVjOWRmY2RjZTgwYmU2MGIwNmI1MDczZWRkNDkifQ=="/>
  </w:docVars>
  <w:rsids>
    <w:rsidRoot w:val="00461A80"/>
    <w:rsid w:val="00000C6B"/>
    <w:rsid w:val="00001339"/>
    <w:rsid w:val="00001527"/>
    <w:rsid w:val="000017E0"/>
    <w:rsid w:val="00001BB5"/>
    <w:rsid w:val="00001CA1"/>
    <w:rsid w:val="000031D6"/>
    <w:rsid w:val="00003488"/>
    <w:rsid w:val="00004990"/>
    <w:rsid w:val="00006351"/>
    <w:rsid w:val="0000746A"/>
    <w:rsid w:val="0001033D"/>
    <w:rsid w:val="000104F8"/>
    <w:rsid w:val="00011BC7"/>
    <w:rsid w:val="000123A3"/>
    <w:rsid w:val="00012624"/>
    <w:rsid w:val="00015232"/>
    <w:rsid w:val="00015844"/>
    <w:rsid w:val="00015ECC"/>
    <w:rsid w:val="00017DB6"/>
    <w:rsid w:val="00024FB8"/>
    <w:rsid w:val="000256C9"/>
    <w:rsid w:val="00025A20"/>
    <w:rsid w:val="00025C11"/>
    <w:rsid w:val="00026686"/>
    <w:rsid w:val="00026CD3"/>
    <w:rsid w:val="00026F2A"/>
    <w:rsid w:val="00027AA9"/>
    <w:rsid w:val="00027E3D"/>
    <w:rsid w:val="000304A9"/>
    <w:rsid w:val="00031DD7"/>
    <w:rsid w:val="000320C5"/>
    <w:rsid w:val="00032201"/>
    <w:rsid w:val="0003233B"/>
    <w:rsid w:val="000327DE"/>
    <w:rsid w:val="00033C9E"/>
    <w:rsid w:val="00033E46"/>
    <w:rsid w:val="000343C1"/>
    <w:rsid w:val="00036516"/>
    <w:rsid w:val="000368F4"/>
    <w:rsid w:val="00036DA8"/>
    <w:rsid w:val="00037056"/>
    <w:rsid w:val="000406BB"/>
    <w:rsid w:val="000409B9"/>
    <w:rsid w:val="0004113F"/>
    <w:rsid w:val="00041E8F"/>
    <w:rsid w:val="00042374"/>
    <w:rsid w:val="00042E59"/>
    <w:rsid w:val="00043E72"/>
    <w:rsid w:val="00044215"/>
    <w:rsid w:val="00044785"/>
    <w:rsid w:val="0004492E"/>
    <w:rsid w:val="000461F1"/>
    <w:rsid w:val="00047480"/>
    <w:rsid w:val="00050063"/>
    <w:rsid w:val="00050D74"/>
    <w:rsid w:val="00050E08"/>
    <w:rsid w:val="00051C8E"/>
    <w:rsid w:val="00052259"/>
    <w:rsid w:val="0005261A"/>
    <w:rsid w:val="0005262C"/>
    <w:rsid w:val="0005284C"/>
    <w:rsid w:val="00052F3A"/>
    <w:rsid w:val="00054081"/>
    <w:rsid w:val="000567FC"/>
    <w:rsid w:val="000623F9"/>
    <w:rsid w:val="00062674"/>
    <w:rsid w:val="00062AC8"/>
    <w:rsid w:val="000632E8"/>
    <w:rsid w:val="00065141"/>
    <w:rsid w:val="00067889"/>
    <w:rsid w:val="00067FC5"/>
    <w:rsid w:val="00071EFB"/>
    <w:rsid w:val="000742DB"/>
    <w:rsid w:val="000749AD"/>
    <w:rsid w:val="00076514"/>
    <w:rsid w:val="00080E39"/>
    <w:rsid w:val="00081B42"/>
    <w:rsid w:val="0008242C"/>
    <w:rsid w:val="0008273F"/>
    <w:rsid w:val="00083B13"/>
    <w:rsid w:val="00083B2B"/>
    <w:rsid w:val="00084114"/>
    <w:rsid w:val="00084996"/>
    <w:rsid w:val="000853A4"/>
    <w:rsid w:val="0008609C"/>
    <w:rsid w:val="000903F4"/>
    <w:rsid w:val="00090429"/>
    <w:rsid w:val="00090AE3"/>
    <w:rsid w:val="0009281E"/>
    <w:rsid w:val="000942BE"/>
    <w:rsid w:val="00094340"/>
    <w:rsid w:val="0009584D"/>
    <w:rsid w:val="0009600C"/>
    <w:rsid w:val="0009631F"/>
    <w:rsid w:val="000964EF"/>
    <w:rsid w:val="00097A48"/>
    <w:rsid w:val="00097D9F"/>
    <w:rsid w:val="000A16A7"/>
    <w:rsid w:val="000A2265"/>
    <w:rsid w:val="000A47BB"/>
    <w:rsid w:val="000A5B9B"/>
    <w:rsid w:val="000A5E3A"/>
    <w:rsid w:val="000A6B25"/>
    <w:rsid w:val="000B01BF"/>
    <w:rsid w:val="000B23BB"/>
    <w:rsid w:val="000B2B1F"/>
    <w:rsid w:val="000B3677"/>
    <w:rsid w:val="000B5A70"/>
    <w:rsid w:val="000B64AC"/>
    <w:rsid w:val="000C0A8A"/>
    <w:rsid w:val="000C1637"/>
    <w:rsid w:val="000C2E72"/>
    <w:rsid w:val="000C3055"/>
    <w:rsid w:val="000C3683"/>
    <w:rsid w:val="000C46D8"/>
    <w:rsid w:val="000C6385"/>
    <w:rsid w:val="000C6F1B"/>
    <w:rsid w:val="000C763C"/>
    <w:rsid w:val="000D0D73"/>
    <w:rsid w:val="000D0E0C"/>
    <w:rsid w:val="000D100E"/>
    <w:rsid w:val="000D21E1"/>
    <w:rsid w:val="000D26AE"/>
    <w:rsid w:val="000D34A1"/>
    <w:rsid w:val="000D3652"/>
    <w:rsid w:val="000D42D2"/>
    <w:rsid w:val="000D561B"/>
    <w:rsid w:val="000D6DB9"/>
    <w:rsid w:val="000D7044"/>
    <w:rsid w:val="000D7175"/>
    <w:rsid w:val="000E020B"/>
    <w:rsid w:val="000E0349"/>
    <w:rsid w:val="000E141F"/>
    <w:rsid w:val="000E1FFF"/>
    <w:rsid w:val="000E24DA"/>
    <w:rsid w:val="000E2829"/>
    <w:rsid w:val="000E2D62"/>
    <w:rsid w:val="000E3658"/>
    <w:rsid w:val="000E37FB"/>
    <w:rsid w:val="000E46D1"/>
    <w:rsid w:val="000E6BE1"/>
    <w:rsid w:val="000E6C49"/>
    <w:rsid w:val="000E7052"/>
    <w:rsid w:val="000E7905"/>
    <w:rsid w:val="000F20E3"/>
    <w:rsid w:val="000F3B2A"/>
    <w:rsid w:val="000F3E1B"/>
    <w:rsid w:val="000F5AB5"/>
    <w:rsid w:val="000F6773"/>
    <w:rsid w:val="000F6935"/>
    <w:rsid w:val="000F6D35"/>
    <w:rsid w:val="000F6D84"/>
    <w:rsid w:val="0010222D"/>
    <w:rsid w:val="001025AB"/>
    <w:rsid w:val="00102DC6"/>
    <w:rsid w:val="001042CB"/>
    <w:rsid w:val="001052DA"/>
    <w:rsid w:val="00106CB1"/>
    <w:rsid w:val="00107FC3"/>
    <w:rsid w:val="00110C7A"/>
    <w:rsid w:val="0011329A"/>
    <w:rsid w:val="001156B3"/>
    <w:rsid w:val="00116C36"/>
    <w:rsid w:val="00116F59"/>
    <w:rsid w:val="00117CD2"/>
    <w:rsid w:val="00120411"/>
    <w:rsid w:val="00120441"/>
    <w:rsid w:val="00120ED9"/>
    <w:rsid w:val="00121372"/>
    <w:rsid w:val="00123D80"/>
    <w:rsid w:val="00123DE0"/>
    <w:rsid w:val="00124D8B"/>
    <w:rsid w:val="001269C3"/>
    <w:rsid w:val="0013031C"/>
    <w:rsid w:val="00132038"/>
    <w:rsid w:val="00132922"/>
    <w:rsid w:val="001333B0"/>
    <w:rsid w:val="001349F3"/>
    <w:rsid w:val="00135481"/>
    <w:rsid w:val="00135C0D"/>
    <w:rsid w:val="00136595"/>
    <w:rsid w:val="001379AD"/>
    <w:rsid w:val="00140408"/>
    <w:rsid w:val="001418CA"/>
    <w:rsid w:val="00141A57"/>
    <w:rsid w:val="00142DF2"/>
    <w:rsid w:val="00142ECC"/>
    <w:rsid w:val="001432F2"/>
    <w:rsid w:val="001435F4"/>
    <w:rsid w:val="00143855"/>
    <w:rsid w:val="001444D9"/>
    <w:rsid w:val="00144EEA"/>
    <w:rsid w:val="001458C7"/>
    <w:rsid w:val="001523FF"/>
    <w:rsid w:val="00155875"/>
    <w:rsid w:val="001560F1"/>
    <w:rsid w:val="001567F5"/>
    <w:rsid w:val="00156DB1"/>
    <w:rsid w:val="00156F90"/>
    <w:rsid w:val="001572EC"/>
    <w:rsid w:val="00160E49"/>
    <w:rsid w:val="00161572"/>
    <w:rsid w:val="00161A70"/>
    <w:rsid w:val="00161BE1"/>
    <w:rsid w:val="001627D2"/>
    <w:rsid w:val="00163EDD"/>
    <w:rsid w:val="001660E8"/>
    <w:rsid w:val="0016734A"/>
    <w:rsid w:val="0017018F"/>
    <w:rsid w:val="001701C7"/>
    <w:rsid w:val="0017088F"/>
    <w:rsid w:val="00170A03"/>
    <w:rsid w:val="00172843"/>
    <w:rsid w:val="00172C29"/>
    <w:rsid w:val="00173541"/>
    <w:rsid w:val="00174D6B"/>
    <w:rsid w:val="001766DB"/>
    <w:rsid w:val="00176C44"/>
    <w:rsid w:val="00177CC8"/>
    <w:rsid w:val="0018021B"/>
    <w:rsid w:val="00181421"/>
    <w:rsid w:val="00183D17"/>
    <w:rsid w:val="00183D5E"/>
    <w:rsid w:val="00184F8F"/>
    <w:rsid w:val="00185914"/>
    <w:rsid w:val="001877C6"/>
    <w:rsid w:val="0019175C"/>
    <w:rsid w:val="00192C11"/>
    <w:rsid w:val="0019359E"/>
    <w:rsid w:val="00193A5B"/>
    <w:rsid w:val="001942C3"/>
    <w:rsid w:val="001961A1"/>
    <w:rsid w:val="0019649D"/>
    <w:rsid w:val="001976CC"/>
    <w:rsid w:val="00197D62"/>
    <w:rsid w:val="001A0FB3"/>
    <w:rsid w:val="001A281B"/>
    <w:rsid w:val="001A3FCF"/>
    <w:rsid w:val="001A44FC"/>
    <w:rsid w:val="001A6D09"/>
    <w:rsid w:val="001A7D35"/>
    <w:rsid w:val="001B1063"/>
    <w:rsid w:val="001B27F8"/>
    <w:rsid w:val="001B3AC4"/>
    <w:rsid w:val="001B3CF5"/>
    <w:rsid w:val="001B4FF4"/>
    <w:rsid w:val="001B6488"/>
    <w:rsid w:val="001C2A27"/>
    <w:rsid w:val="001C3A6A"/>
    <w:rsid w:val="001C5323"/>
    <w:rsid w:val="001C64FE"/>
    <w:rsid w:val="001C681E"/>
    <w:rsid w:val="001C6DC0"/>
    <w:rsid w:val="001D32BD"/>
    <w:rsid w:val="001D3D0A"/>
    <w:rsid w:val="001D3E8F"/>
    <w:rsid w:val="001D42D4"/>
    <w:rsid w:val="001D449E"/>
    <w:rsid w:val="001D7188"/>
    <w:rsid w:val="001D787F"/>
    <w:rsid w:val="001D7DFF"/>
    <w:rsid w:val="001E1455"/>
    <w:rsid w:val="001E17A1"/>
    <w:rsid w:val="001E1ED7"/>
    <w:rsid w:val="001E26E5"/>
    <w:rsid w:val="001E30F1"/>
    <w:rsid w:val="001E4090"/>
    <w:rsid w:val="001E5F34"/>
    <w:rsid w:val="001F00F2"/>
    <w:rsid w:val="001F02A7"/>
    <w:rsid w:val="001F0BC8"/>
    <w:rsid w:val="001F220A"/>
    <w:rsid w:val="001F3937"/>
    <w:rsid w:val="001F3C64"/>
    <w:rsid w:val="001F40AB"/>
    <w:rsid w:val="001F51BE"/>
    <w:rsid w:val="001F53C8"/>
    <w:rsid w:val="001F77A9"/>
    <w:rsid w:val="00200476"/>
    <w:rsid w:val="00203369"/>
    <w:rsid w:val="00203B96"/>
    <w:rsid w:val="00206CE5"/>
    <w:rsid w:val="0020711B"/>
    <w:rsid w:val="002105C2"/>
    <w:rsid w:val="00210CF3"/>
    <w:rsid w:val="002119A8"/>
    <w:rsid w:val="00213D17"/>
    <w:rsid w:val="00214643"/>
    <w:rsid w:val="00214B36"/>
    <w:rsid w:val="00214D12"/>
    <w:rsid w:val="00216242"/>
    <w:rsid w:val="002172D2"/>
    <w:rsid w:val="00220093"/>
    <w:rsid w:val="002212EB"/>
    <w:rsid w:val="002226DD"/>
    <w:rsid w:val="00222838"/>
    <w:rsid w:val="00222B89"/>
    <w:rsid w:val="00223D67"/>
    <w:rsid w:val="00224F4E"/>
    <w:rsid w:val="002251A1"/>
    <w:rsid w:val="002259F0"/>
    <w:rsid w:val="002262B8"/>
    <w:rsid w:val="00226DD6"/>
    <w:rsid w:val="002273EF"/>
    <w:rsid w:val="00227A48"/>
    <w:rsid w:val="00231670"/>
    <w:rsid w:val="002338D9"/>
    <w:rsid w:val="00233BF8"/>
    <w:rsid w:val="002341D5"/>
    <w:rsid w:val="00235C29"/>
    <w:rsid w:val="00237855"/>
    <w:rsid w:val="002409EB"/>
    <w:rsid w:val="00240A9F"/>
    <w:rsid w:val="00241B1B"/>
    <w:rsid w:val="002424F1"/>
    <w:rsid w:val="00243581"/>
    <w:rsid w:val="002436F8"/>
    <w:rsid w:val="00244DF6"/>
    <w:rsid w:val="00245197"/>
    <w:rsid w:val="00246732"/>
    <w:rsid w:val="002468FF"/>
    <w:rsid w:val="00246E14"/>
    <w:rsid w:val="00247532"/>
    <w:rsid w:val="00247882"/>
    <w:rsid w:val="00250F74"/>
    <w:rsid w:val="00252267"/>
    <w:rsid w:val="00252EEC"/>
    <w:rsid w:val="00253A4F"/>
    <w:rsid w:val="00254326"/>
    <w:rsid w:val="00255816"/>
    <w:rsid w:val="00255A95"/>
    <w:rsid w:val="002561E8"/>
    <w:rsid w:val="00256746"/>
    <w:rsid w:val="00256C97"/>
    <w:rsid w:val="002571B7"/>
    <w:rsid w:val="00260437"/>
    <w:rsid w:val="002605DB"/>
    <w:rsid w:val="002605F6"/>
    <w:rsid w:val="0026126D"/>
    <w:rsid w:val="002617E7"/>
    <w:rsid w:val="00263975"/>
    <w:rsid w:val="00263CB3"/>
    <w:rsid w:val="00264099"/>
    <w:rsid w:val="00265D97"/>
    <w:rsid w:val="00265FA4"/>
    <w:rsid w:val="00266D29"/>
    <w:rsid w:val="002678D9"/>
    <w:rsid w:val="00271F61"/>
    <w:rsid w:val="00272626"/>
    <w:rsid w:val="00273B51"/>
    <w:rsid w:val="00275833"/>
    <w:rsid w:val="00277E87"/>
    <w:rsid w:val="002803B8"/>
    <w:rsid w:val="00280C0B"/>
    <w:rsid w:val="0028128B"/>
    <w:rsid w:val="00282529"/>
    <w:rsid w:val="00283535"/>
    <w:rsid w:val="0028391C"/>
    <w:rsid w:val="00284B7C"/>
    <w:rsid w:val="00284F47"/>
    <w:rsid w:val="002856BB"/>
    <w:rsid w:val="0028582B"/>
    <w:rsid w:val="00286A0F"/>
    <w:rsid w:val="002902F0"/>
    <w:rsid w:val="0029187F"/>
    <w:rsid w:val="002920D5"/>
    <w:rsid w:val="00292A4D"/>
    <w:rsid w:val="00292EC9"/>
    <w:rsid w:val="00293BBE"/>
    <w:rsid w:val="002941DA"/>
    <w:rsid w:val="0029464F"/>
    <w:rsid w:val="002947D5"/>
    <w:rsid w:val="00294D2F"/>
    <w:rsid w:val="00294EF5"/>
    <w:rsid w:val="00295423"/>
    <w:rsid w:val="002958ED"/>
    <w:rsid w:val="00296217"/>
    <w:rsid w:val="002962E3"/>
    <w:rsid w:val="00297447"/>
    <w:rsid w:val="002A046D"/>
    <w:rsid w:val="002A2F2B"/>
    <w:rsid w:val="002A3601"/>
    <w:rsid w:val="002A3913"/>
    <w:rsid w:val="002A39A6"/>
    <w:rsid w:val="002A3C49"/>
    <w:rsid w:val="002A4963"/>
    <w:rsid w:val="002A657D"/>
    <w:rsid w:val="002A70BD"/>
    <w:rsid w:val="002B05FB"/>
    <w:rsid w:val="002B148F"/>
    <w:rsid w:val="002B1835"/>
    <w:rsid w:val="002B2CCE"/>
    <w:rsid w:val="002B3CD3"/>
    <w:rsid w:val="002B3F88"/>
    <w:rsid w:val="002B4122"/>
    <w:rsid w:val="002B5CE0"/>
    <w:rsid w:val="002B6765"/>
    <w:rsid w:val="002B6B7C"/>
    <w:rsid w:val="002C1528"/>
    <w:rsid w:val="002C23E9"/>
    <w:rsid w:val="002C4791"/>
    <w:rsid w:val="002C4CBC"/>
    <w:rsid w:val="002C51FB"/>
    <w:rsid w:val="002C56A1"/>
    <w:rsid w:val="002C5B44"/>
    <w:rsid w:val="002C7903"/>
    <w:rsid w:val="002D03BA"/>
    <w:rsid w:val="002D05BE"/>
    <w:rsid w:val="002D0F7D"/>
    <w:rsid w:val="002D1C3E"/>
    <w:rsid w:val="002D23CA"/>
    <w:rsid w:val="002D453F"/>
    <w:rsid w:val="002D474A"/>
    <w:rsid w:val="002D4ACD"/>
    <w:rsid w:val="002D5438"/>
    <w:rsid w:val="002D5749"/>
    <w:rsid w:val="002D5927"/>
    <w:rsid w:val="002D644B"/>
    <w:rsid w:val="002D6765"/>
    <w:rsid w:val="002D731D"/>
    <w:rsid w:val="002D7381"/>
    <w:rsid w:val="002D7914"/>
    <w:rsid w:val="002E0358"/>
    <w:rsid w:val="002E0C3C"/>
    <w:rsid w:val="002E17A0"/>
    <w:rsid w:val="002E17FA"/>
    <w:rsid w:val="002E18F8"/>
    <w:rsid w:val="002E2D27"/>
    <w:rsid w:val="002E4996"/>
    <w:rsid w:val="002E4A9C"/>
    <w:rsid w:val="002E511C"/>
    <w:rsid w:val="002E5547"/>
    <w:rsid w:val="002E5CDA"/>
    <w:rsid w:val="002E5D49"/>
    <w:rsid w:val="002E5D5B"/>
    <w:rsid w:val="002E5EAA"/>
    <w:rsid w:val="002E6DD0"/>
    <w:rsid w:val="002E75F5"/>
    <w:rsid w:val="002E7EDB"/>
    <w:rsid w:val="002F1953"/>
    <w:rsid w:val="002F1A43"/>
    <w:rsid w:val="002F1AAE"/>
    <w:rsid w:val="002F1E34"/>
    <w:rsid w:val="002F2F40"/>
    <w:rsid w:val="002F35C4"/>
    <w:rsid w:val="002F3968"/>
    <w:rsid w:val="002F44E3"/>
    <w:rsid w:val="002F71E6"/>
    <w:rsid w:val="002F7205"/>
    <w:rsid w:val="003003F3"/>
    <w:rsid w:val="00303037"/>
    <w:rsid w:val="003032C5"/>
    <w:rsid w:val="00303CCF"/>
    <w:rsid w:val="00304A24"/>
    <w:rsid w:val="00304FAF"/>
    <w:rsid w:val="0030725A"/>
    <w:rsid w:val="003075C5"/>
    <w:rsid w:val="00307F5C"/>
    <w:rsid w:val="0031031A"/>
    <w:rsid w:val="00312514"/>
    <w:rsid w:val="00312E74"/>
    <w:rsid w:val="00314208"/>
    <w:rsid w:val="003170AC"/>
    <w:rsid w:val="0032014A"/>
    <w:rsid w:val="00320245"/>
    <w:rsid w:val="003215EC"/>
    <w:rsid w:val="00322066"/>
    <w:rsid w:val="00322E21"/>
    <w:rsid w:val="003238D3"/>
    <w:rsid w:val="00323EEF"/>
    <w:rsid w:val="003250C2"/>
    <w:rsid w:val="0032617A"/>
    <w:rsid w:val="0032686B"/>
    <w:rsid w:val="00326A2C"/>
    <w:rsid w:val="00326FA8"/>
    <w:rsid w:val="003270BB"/>
    <w:rsid w:val="00330A33"/>
    <w:rsid w:val="00330CD7"/>
    <w:rsid w:val="00331874"/>
    <w:rsid w:val="00333A2B"/>
    <w:rsid w:val="003365D7"/>
    <w:rsid w:val="00341074"/>
    <w:rsid w:val="003410F1"/>
    <w:rsid w:val="003418C5"/>
    <w:rsid w:val="00341AD1"/>
    <w:rsid w:val="00343BDA"/>
    <w:rsid w:val="00344EB2"/>
    <w:rsid w:val="00347E36"/>
    <w:rsid w:val="00352B53"/>
    <w:rsid w:val="00353993"/>
    <w:rsid w:val="00353D27"/>
    <w:rsid w:val="00354D29"/>
    <w:rsid w:val="00355418"/>
    <w:rsid w:val="0035642E"/>
    <w:rsid w:val="0035651A"/>
    <w:rsid w:val="00357677"/>
    <w:rsid w:val="00360E36"/>
    <w:rsid w:val="003614CD"/>
    <w:rsid w:val="00361540"/>
    <w:rsid w:val="0036195F"/>
    <w:rsid w:val="00361BB5"/>
    <w:rsid w:val="0036256E"/>
    <w:rsid w:val="00362D82"/>
    <w:rsid w:val="00363EB2"/>
    <w:rsid w:val="00365633"/>
    <w:rsid w:val="00365DDF"/>
    <w:rsid w:val="0036670F"/>
    <w:rsid w:val="00370134"/>
    <w:rsid w:val="00370558"/>
    <w:rsid w:val="00370729"/>
    <w:rsid w:val="00370940"/>
    <w:rsid w:val="00371663"/>
    <w:rsid w:val="00374280"/>
    <w:rsid w:val="00374315"/>
    <w:rsid w:val="0037501B"/>
    <w:rsid w:val="003751D0"/>
    <w:rsid w:val="00375329"/>
    <w:rsid w:val="003763C2"/>
    <w:rsid w:val="003763DD"/>
    <w:rsid w:val="00376B93"/>
    <w:rsid w:val="00377A45"/>
    <w:rsid w:val="0038098A"/>
    <w:rsid w:val="003821A2"/>
    <w:rsid w:val="003826B0"/>
    <w:rsid w:val="003827B9"/>
    <w:rsid w:val="003827CE"/>
    <w:rsid w:val="00382FE6"/>
    <w:rsid w:val="003840A8"/>
    <w:rsid w:val="00384C67"/>
    <w:rsid w:val="00384FA6"/>
    <w:rsid w:val="00385328"/>
    <w:rsid w:val="00385D33"/>
    <w:rsid w:val="00385E69"/>
    <w:rsid w:val="00386836"/>
    <w:rsid w:val="003938F0"/>
    <w:rsid w:val="0039463B"/>
    <w:rsid w:val="0039560F"/>
    <w:rsid w:val="00395638"/>
    <w:rsid w:val="00395931"/>
    <w:rsid w:val="00395CFE"/>
    <w:rsid w:val="00396431"/>
    <w:rsid w:val="003A04E5"/>
    <w:rsid w:val="003A2EDA"/>
    <w:rsid w:val="003A4683"/>
    <w:rsid w:val="003A6C24"/>
    <w:rsid w:val="003A6CBE"/>
    <w:rsid w:val="003B1599"/>
    <w:rsid w:val="003B3544"/>
    <w:rsid w:val="003B3836"/>
    <w:rsid w:val="003B617F"/>
    <w:rsid w:val="003B6643"/>
    <w:rsid w:val="003B6CB9"/>
    <w:rsid w:val="003B6F69"/>
    <w:rsid w:val="003B7788"/>
    <w:rsid w:val="003C02EA"/>
    <w:rsid w:val="003C12FF"/>
    <w:rsid w:val="003C1AF7"/>
    <w:rsid w:val="003C26E0"/>
    <w:rsid w:val="003C3C34"/>
    <w:rsid w:val="003C418E"/>
    <w:rsid w:val="003C62AC"/>
    <w:rsid w:val="003C69DA"/>
    <w:rsid w:val="003D03DF"/>
    <w:rsid w:val="003D0A8A"/>
    <w:rsid w:val="003D2B15"/>
    <w:rsid w:val="003D305C"/>
    <w:rsid w:val="003D42C4"/>
    <w:rsid w:val="003D47BF"/>
    <w:rsid w:val="003D6343"/>
    <w:rsid w:val="003D7A6E"/>
    <w:rsid w:val="003E029B"/>
    <w:rsid w:val="003E0CB7"/>
    <w:rsid w:val="003E10CD"/>
    <w:rsid w:val="003E1738"/>
    <w:rsid w:val="003E3DE1"/>
    <w:rsid w:val="003E3FE0"/>
    <w:rsid w:val="003E46A8"/>
    <w:rsid w:val="003E5124"/>
    <w:rsid w:val="003E5148"/>
    <w:rsid w:val="003E5A79"/>
    <w:rsid w:val="003E662D"/>
    <w:rsid w:val="003E6D88"/>
    <w:rsid w:val="003E72B9"/>
    <w:rsid w:val="003E7459"/>
    <w:rsid w:val="003E7CC0"/>
    <w:rsid w:val="003F01DC"/>
    <w:rsid w:val="003F264A"/>
    <w:rsid w:val="003F4F63"/>
    <w:rsid w:val="003F788E"/>
    <w:rsid w:val="00400665"/>
    <w:rsid w:val="00400723"/>
    <w:rsid w:val="00400D1E"/>
    <w:rsid w:val="00401734"/>
    <w:rsid w:val="00401D23"/>
    <w:rsid w:val="004021E7"/>
    <w:rsid w:val="00403F4E"/>
    <w:rsid w:val="004066FD"/>
    <w:rsid w:val="00406FCE"/>
    <w:rsid w:val="0040705C"/>
    <w:rsid w:val="004109E6"/>
    <w:rsid w:val="004112FF"/>
    <w:rsid w:val="004124BD"/>
    <w:rsid w:val="00412F2E"/>
    <w:rsid w:val="004139B0"/>
    <w:rsid w:val="00413A13"/>
    <w:rsid w:val="00414E98"/>
    <w:rsid w:val="004150F0"/>
    <w:rsid w:val="00415855"/>
    <w:rsid w:val="00415887"/>
    <w:rsid w:val="004158D6"/>
    <w:rsid w:val="00416117"/>
    <w:rsid w:val="00416B2D"/>
    <w:rsid w:val="00417356"/>
    <w:rsid w:val="00417464"/>
    <w:rsid w:val="004175B7"/>
    <w:rsid w:val="00417B7D"/>
    <w:rsid w:val="00420040"/>
    <w:rsid w:val="00420C0F"/>
    <w:rsid w:val="00420C76"/>
    <w:rsid w:val="00421D20"/>
    <w:rsid w:val="0042202D"/>
    <w:rsid w:val="0042244D"/>
    <w:rsid w:val="00422AB5"/>
    <w:rsid w:val="00422EB2"/>
    <w:rsid w:val="0042592A"/>
    <w:rsid w:val="004268B4"/>
    <w:rsid w:val="00426ABC"/>
    <w:rsid w:val="0042722A"/>
    <w:rsid w:val="00427978"/>
    <w:rsid w:val="00430534"/>
    <w:rsid w:val="00430C55"/>
    <w:rsid w:val="00431824"/>
    <w:rsid w:val="00431995"/>
    <w:rsid w:val="00432146"/>
    <w:rsid w:val="0043282A"/>
    <w:rsid w:val="00432943"/>
    <w:rsid w:val="00434355"/>
    <w:rsid w:val="00435829"/>
    <w:rsid w:val="0043616E"/>
    <w:rsid w:val="00440325"/>
    <w:rsid w:val="00440AF3"/>
    <w:rsid w:val="00441644"/>
    <w:rsid w:val="00443B6A"/>
    <w:rsid w:val="00444DDD"/>
    <w:rsid w:val="004453C4"/>
    <w:rsid w:val="004458B2"/>
    <w:rsid w:val="004468E1"/>
    <w:rsid w:val="00446930"/>
    <w:rsid w:val="004470FA"/>
    <w:rsid w:val="00447A8A"/>
    <w:rsid w:val="00447D3B"/>
    <w:rsid w:val="00447D40"/>
    <w:rsid w:val="00451E13"/>
    <w:rsid w:val="00453516"/>
    <w:rsid w:val="004538E6"/>
    <w:rsid w:val="00454295"/>
    <w:rsid w:val="004544B7"/>
    <w:rsid w:val="00454510"/>
    <w:rsid w:val="00454B42"/>
    <w:rsid w:val="004606DB"/>
    <w:rsid w:val="00461A80"/>
    <w:rsid w:val="004630C7"/>
    <w:rsid w:val="00463380"/>
    <w:rsid w:val="00464048"/>
    <w:rsid w:val="00464CFA"/>
    <w:rsid w:val="004654B2"/>
    <w:rsid w:val="004654EC"/>
    <w:rsid w:val="00470161"/>
    <w:rsid w:val="00470194"/>
    <w:rsid w:val="004701C5"/>
    <w:rsid w:val="0047043D"/>
    <w:rsid w:val="00471853"/>
    <w:rsid w:val="00471E4D"/>
    <w:rsid w:val="00473110"/>
    <w:rsid w:val="004760F5"/>
    <w:rsid w:val="0047726F"/>
    <w:rsid w:val="004803DC"/>
    <w:rsid w:val="00481060"/>
    <w:rsid w:val="004811DA"/>
    <w:rsid w:val="004827E2"/>
    <w:rsid w:val="00482E1B"/>
    <w:rsid w:val="00484233"/>
    <w:rsid w:val="00484A02"/>
    <w:rsid w:val="00485D3F"/>
    <w:rsid w:val="004903AC"/>
    <w:rsid w:val="00491B15"/>
    <w:rsid w:val="00492BD5"/>
    <w:rsid w:val="004931FF"/>
    <w:rsid w:val="00493442"/>
    <w:rsid w:val="00494500"/>
    <w:rsid w:val="00495723"/>
    <w:rsid w:val="00495B9E"/>
    <w:rsid w:val="00497052"/>
    <w:rsid w:val="004A06CD"/>
    <w:rsid w:val="004A0BFC"/>
    <w:rsid w:val="004A2353"/>
    <w:rsid w:val="004A3968"/>
    <w:rsid w:val="004A4009"/>
    <w:rsid w:val="004A5530"/>
    <w:rsid w:val="004A6D53"/>
    <w:rsid w:val="004A6EBB"/>
    <w:rsid w:val="004A7170"/>
    <w:rsid w:val="004A736F"/>
    <w:rsid w:val="004A7BD2"/>
    <w:rsid w:val="004B0505"/>
    <w:rsid w:val="004B0686"/>
    <w:rsid w:val="004B0FEB"/>
    <w:rsid w:val="004B178A"/>
    <w:rsid w:val="004B3134"/>
    <w:rsid w:val="004B3285"/>
    <w:rsid w:val="004B37C5"/>
    <w:rsid w:val="004B53A9"/>
    <w:rsid w:val="004B625D"/>
    <w:rsid w:val="004B6823"/>
    <w:rsid w:val="004B694D"/>
    <w:rsid w:val="004B7C7A"/>
    <w:rsid w:val="004C042C"/>
    <w:rsid w:val="004C1BE0"/>
    <w:rsid w:val="004C1F03"/>
    <w:rsid w:val="004C26AA"/>
    <w:rsid w:val="004C3D82"/>
    <w:rsid w:val="004C59B5"/>
    <w:rsid w:val="004C6C09"/>
    <w:rsid w:val="004D082E"/>
    <w:rsid w:val="004D0EC4"/>
    <w:rsid w:val="004D535B"/>
    <w:rsid w:val="004D6400"/>
    <w:rsid w:val="004D6843"/>
    <w:rsid w:val="004D6E0F"/>
    <w:rsid w:val="004D732F"/>
    <w:rsid w:val="004D7D6E"/>
    <w:rsid w:val="004E1430"/>
    <w:rsid w:val="004E1FBD"/>
    <w:rsid w:val="004E253B"/>
    <w:rsid w:val="004E30ED"/>
    <w:rsid w:val="004E42E0"/>
    <w:rsid w:val="004E4B9B"/>
    <w:rsid w:val="004E53F1"/>
    <w:rsid w:val="004E56DC"/>
    <w:rsid w:val="004E5C40"/>
    <w:rsid w:val="004E5CED"/>
    <w:rsid w:val="004E6704"/>
    <w:rsid w:val="004F262C"/>
    <w:rsid w:val="004F3836"/>
    <w:rsid w:val="004F3883"/>
    <w:rsid w:val="004F3FE6"/>
    <w:rsid w:val="004F432A"/>
    <w:rsid w:val="004F4630"/>
    <w:rsid w:val="004F5D93"/>
    <w:rsid w:val="004F5EFA"/>
    <w:rsid w:val="004F60B6"/>
    <w:rsid w:val="004F716C"/>
    <w:rsid w:val="004F78A8"/>
    <w:rsid w:val="005011D8"/>
    <w:rsid w:val="00501498"/>
    <w:rsid w:val="0050275C"/>
    <w:rsid w:val="00504B78"/>
    <w:rsid w:val="00504E52"/>
    <w:rsid w:val="00507668"/>
    <w:rsid w:val="00507D09"/>
    <w:rsid w:val="005101E4"/>
    <w:rsid w:val="00510792"/>
    <w:rsid w:val="00511848"/>
    <w:rsid w:val="00511A81"/>
    <w:rsid w:val="00511DA1"/>
    <w:rsid w:val="00512242"/>
    <w:rsid w:val="00513405"/>
    <w:rsid w:val="00513622"/>
    <w:rsid w:val="00514660"/>
    <w:rsid w:val="00515C45"/>
    <w:rsid w:val="005164D4"/>
    <w:rsid w:val="0051694E"/>
    <w:rsid w:val="00516FDA"/>
    <w:rsid w:val="005209A8"/>
    <w:rsid w:val="00521647"/>
    <w:rsid w:val="00521A6C"/>
    <w:rsid w:val="00522EB4"/>
    <w:rsid w:val="00527495"/>
    <w:rsid w:val="00527636"/>
    <w:rsid w:val="0053122D"/>
    <w:rsid w:val="00532040"/>
    <w:rsid w:val="00532C21"/>
    <w:rsid w:val="00533862"/>
    <w:rsid w:val="00533FE2"/>
    <w:rsid w:val="00535790"/>
    <w:rsid w:val="00535A9A"/>
    <w:rsid w:val="00535EB2"/>
    <w:rsid w:val="00535EDD"/>
    <w:rsid w:val="005364B0"/>
    <w:rsid w:val="00536534"/>
    <w:rsid w:val="0054030D"/>
    <w:rsid w:val="00540702"/>
    <w:rsid w:val="00540B61"/>
    <w:rsid w:val="00541C45"/>
    <w:rsid w:val="0054213B"/>
    <w:rsid w:val="00544C15"/>
    <w:rsid w:val="00550CD7"/>
    <w:rsid w:val="00552EE1"/>
    <w:rsid w:val="0055565E"/>
    <w:rsid w:val="0055606C"/>
    <w:rsid w:val="00557128"/>
    <w:rsid w:val="00557EE4"/>
    <w:rsid w:val="00560459"/>
    <w:rsid w:val="0056162F"/>
    <w:rsid w:val="005618D4"/>
    <w:rsid w:val="0056214E"/>
    <w:rsid w:val="00562912"/>
    <w:rsid w:val="0056347B"/>
    <w:rsid w:val="00563BA8"/>
    <w:rsid w:val="00564B74"/>
    <w:rsid w:val="00565333"/>
    <w:rsid w:val="00567F12"/>
    <w:rsid w:val="00571316"/>
    <w:rsid w:val="00571758"/>
    <w:rsid w:val="00572614"/>
    <w:rsid w:val="005733D7"/>
    <w:rsid w:val="0057437E"/>
    <w:rsid w:val="00574876"/>
    <w:rsid w:val="00574C5F"/>
    <w:rsid w:val="00574D31"/>
    <w:rsid w:val="00575832"/>
    <w:rsid w:val="00576114"/>
    <w:rsid w:val="005808FE"/>
    <w:rsid w:val="00580D21"/>
    <w:rsid w:val="005812FC"/>
    <w:rsid w:val="005834A2"/>
    <w:rsid w:val="005837E6"/>
    <w:rsid w:val="005847E7"/>
    <w:rsid w:val="00586601"/>
    <w:rsid w:val="00587546"/>
    <w:rsid w:val="005879D0"/>
    <w:rsid w:val="00590667"/>
    <w:rsid w:val="00592659"/>
    <w:rsid w:val="00592BB0"/>
    <w:rsid w:val="005939B1"/>
    <w:rsid w:val="005940D7"/>
    <w:rsid w:val="00595137"/>
    <w:rsid w:val="005977F7"/>
    <w:rsid w:val="005A27EA"/>
    <w:rsid w:val="005A3BBF"/>
    <w:rsid w:val="005A3D0A"/>
    <w:rsid w:val="005A50D7"/>
    <w:rsid w:val="005B0300"/>
    <w:rsid w:val="005B0BED"/>
    <w:rsid w:val="005B0DBD"/>
    <w:rsid w:val="005B17DE"/>
    <w:rsid w:val="005B241B"/>
    <w:rsid w:val="005B2601"/>
    <w:rsid w:val="005B59FD"/>
    <w:rsid w:val="005B5C02"/>
    <w:rsid w:val="005B7A82"/>
    <w:rsid w:val="005C13D3"/>
    <w:rsid w:val="005C21F2"/>
    <w:rsid w:val="005C28E4"/>
    <w:rsid w:val="005C2D29"/>
    <w:rsid w:val="005C497A"/>
    <w:rsid w:val="005C4AA8"/>
    <w:rsid w:val="005C6D17"/>
    <w:rsid w:val="005C7965"/>
    <w:rsid w:val="005D2384"/>
    <w:rsid w:val="005D4249"/>
    <w:rsid w:val="005D5C81"/>
    <w:rsid w:val="005D69CE"/>
    <w:rsid w:val="005D7180"/>
    <w:rsid w:val="005E0499"/>
    <w:rsid w:val="005E0DF2"/>
    <w:rsid w:val="005E1AB3"/>
    <w:rsid w:val="005E43BA"/>
    <w:rsid w:val="005F0C51"/>
    <w:rsid w:val="005F0D17"/>
    <w:rsid w:val="005F3144"/>
    <w:rsid w:val="005F38EB"/>
    <w:rsid w:val="005F5E13"/>
    <w:rsid w:val="005F76AB"/>
    <w:rsid w:val="005F789A"/>
    <w:rsid w:val="005F7F51"/>
    <w:rsid w:val="00600699"/>
    <w:rsid w:val="006012CA"/>
    <w:rsid w:val="00601418"/>
    <w:rsid w:val="00601D99"/>
    <w:rsid w:val="00602733"/>
    <w:rsid w:val="00602D57"/>
    <w:rsid w:val="00604756"/>
    <w:rsid w:val="00604DA0"/>
    <w:rsid w:val="00605DAE"/>
    <w:rsid w:val="00606881"/>
    <w:rsid w:val="0060713A"/>
    <w:rsid w:val="006071B5"/>
    <w:rsid w:val="0060729C"/>
    <w:rsid w:val="00612ACF"/>
    <w:rsid w:val="006153B8"/>
    <w:rsid w:val="006204AF"/>
    <w:rsid w:val="00621851"/>
    <w:rsid w:val="00622A1C"/>
    <w:rsid w:val="00624C22"/>
    <w:rsid w:val="006273CE"/>
    <w:rsid w:val="006323CC"/>
    <w:rsid w:val="00634462"/>
    <w:rsid w:val="00634AC5"/>
    <w:rsid w:val="006359B7"/>
    <w:rsid w:val="00635A71"/>
    <w:rsid w:val="00640093"/>
    <w:rsid w:val="00640C05"/>
    <w:rsid w:val="00641092"/>
    <w:rsid w:val="0064109C"/>
    <w:rsid w:val="00641D5C"/>
    <w:rsid w:val="00641EE7"/>
    <w:rsid w:val="00643A1D"/>
    <w:rsid w:val="00647105"/>
    <w:rsid w:val="00651082"/>
    <w:rsid w:val="00651FD0"/>
    <w:rsid w:val="00652486"/>
    <w:rsid w:val="00652D93"/>
    <w:rsid w:val="00652FC8"/>
    <w:rsid w:val="00654944"/>
    <w:rsid w:val="00654BE1"/>
    <w:rsid w:val="00655481"/>
    <w:rsid w:val="00656671"/>
    <w:rsid w:val="00656A73"/>
    <w:rsid w:val="006572EF"/>
    <w:rsid w:val="00657931"/>
    <w:rsid w:val="00657962"/>
    <w:rsid w:val="0066027D"/>
    <w:rsid w:val="00661C18"/>
    <w:rsid w:val="00661C5B"/>
    <w:rsid w:val="006626BD"/>
    <w:rsid w:val="0066326C"/>
    <w:rsid w:val="0066391E"/>
    <w:rsid w:val="00663C41"/>
    <w:rsid w:val="00665298"/>
    <w:rsid w:val="006658D0"/>
    <w:rsid w:val="006666E5"/>
    <w:rsid w:val="00666EC1"/>
    <w:rsid w:val="0066737F"/>
    <w:rsid w:val="00670316"/>
    <w:rsid w:val="006710D4"/>
    <w:rsid w:val="00671530"/>
    <w:rsid w:val="006719F7"/>
    <w:rsid w:val="00671CBC"/>
    <w:rsid w:val="00671CC9"/>
    <w:rsid w:val="00676638"/>
    <w:rsid w:val="0067739F"/>
    <w:rsid w:val="00677C2C"/>
    <w:rsid w:val="00677C5D"/>
    <w:rsid w:val="00680862"/>
    <w:rsid w:val="006820A9"/>
    <w:rsid w:val="00682F49"/>
    <w:rsid w:val="0068322C"/>
    <w:rsid w:val="0068358A"/>
    <w:rsid w:val="00684291"/>
    <w:rsid w:val="00685462"/>
    <w:rsid w:val="0068693D"/>
    <w:rsid w:val="006904B4"/>
    <w:rsid w:val="006908A6"/>
    <w:rsid w:val="006924CF"/>
    <w:rsid w:val="0069314D"/>
    <w:rsid w:val="00695FCD"/>
    <w:rsid w:val="0069605E"/>
    <w:rsid w:val="00696178"/>
    <w:rsid w:val="00696C67"/>
    <w:rsid w:val="00696CBE"/>
    <w:rsid w:val="006A108F"/>
    <w:rsid w:val="006A16BF"/>
    <w:rsid w:val="006A2DBF"/>
    <w:rsid w:val="006A330D"/>
    <w:rsid w:val="006A4BB1"/>
    <w:rsid w:val="006A659E"/>
    <w:rsid w:val="006A737C"/>
    <w:rsid w:val="006B0B8A"/>
    <w:rsid w:val="006B2265"/>
    <w:rsid w:val="006B44EA"/>
    <w:rsid w:val="006B50BE"/>
    <w:rsid w:val="006B7237"/>
    <w:rsid w:val="006B7DC8"/>
    <w:rsid w:val="006C0BD5"/>
    <w:rsid w:val="006C0CB9"/>
    <w:rsid w:val="006C0FD9"/>
    <w:rsid w:val="006C1770"/>
    <w:rsid w:val="006C2609"/>
    <w:rsid w:val="006C3DD1"/>
    <w:rsid w:val="006C5187"/>
    <w:rsid w:val="006C5305"/>
    <w:rsid w:val="006C70DF"/>
    <w:rsid w:val="006C7280"/>
    <w:rsid w:val="006C7A91"/>
    <w:rsid w:val="006D0328"/>
    <w:rsid w:val="006D0A3C"/>
    <w:rsid w:val="006D0A72"/>
    <w:rsid w:val="006D0D84"/>
    <w:rsid w:val="006D3658"/>
    <w:rsid w:val="006D41AB"/>
    <w:rsid w:val="006D57E0"/>
    <w:rsid w:val="006D5DB3"/>
    <w:rsid w:val="006D6B6D"/>
    <w:rsid w:val="006E1F91"/>
    <w:rsid w:val="006E2BFA"/>
    <w:rsid w:val="006E4632"/>
    <w:rsid w:val="006E531F"/>
    <w:rsid w:val="006E60DE"/>
    <w:rsid w:val="006E652C"/>
    <w:rsid w:val="006E696F"/>
    <w:rsid w:val="006E77EE"/>
    <w:rsid w:val="006E7D0A"/>
    <w:rsid w:val="006F0655"/>
    <w:rsid w:val="006F1DBF"/>
    <w:rsid w:val="006F2BFC"/>
    <w:rsid w:val="006F3216"/>
    <w:rsid w:val="006F4665"/>
    <w:rsid w:val="006F62E8"/>
    <w:rsid w:val="006F7400"/>
    <w:rsid w:val="006F7590"/>
    <w:rsid w:val="006F7C83"/>
    <w:rsid w:val="00702379"/>
    <w:rsid w:val="00702F7C"/>
    <w:rsid w:val="0070527F"/>
    <w:rsid w:val="007056F5"/>
    <w:rsid w:val="00705B5C"/>
    <w:rsid w:val="00706C8F"/>
    <w:rsid w:val="0070718A"/>
    <w:rsid w:val="00710AF2"/>
    <w:rsid w:val="0071172D"/>
    <w:rsid w:val="007118FC"/>
    <w:rsid w:val="00711F88"/>
    <w:rsid w:val="0071232C"/>
    <w:rsid w:val="00712D3F"/>
    <w:rsid w:val="00714DB1"/>
    <w:rsid w:val="00715EA3"/>
    <w:rsid w:val="0071769B"/>
    <w:rsid w:val="00720399"/>
    <w:rsid w:val="00720517"/>
    <w:rsid w:val="0072116A"/>
    <w:rsid w:val="007213A6"/>
    <w:rsid w:val="00721C43"/>
    <w:rsid w:val="00724478"/>
    <w:rsid w:val="0072553A"/>
    <w:rsid w:val="00726FD5"/>
    <w:rsid w:val="0073027B"/>
    <w:rsid w:val="007302FE"/>
    <w:rsid w:val="007323A1"/>
    <w:rsid w:val="007325FF"/>
    <w:rsid w:val="00732B23"/>
    <w:rsid w:val="00733A5F"/>
    <w:rsid w:val="00733AFA"/>
    <w:rsid w:val="0073593F"/>
    <w:rsid w:val="00736A39"/>
    <w:rsid w:val="00741C5D"/>
    <w:rsid w:val="0074223C"/>
    <w:rsid w:val="00742921"/>
    <w:rsid w:val="00743CF9"/>
    <w:rsid w:val="007446EE"/>
    <w:rsid w:val="00744DC8"/>
    <w:rsid w:val="00745521"/>
    <w:rsid w:val="007468EE"/>
    <w:rsid w:val="007501A3"/>
    <w:rsid w:val="0075118A"/>
    <w:rsid w:val="00751D71"/>
    <w:rsid w:val="0075381B"/>
    <w:rsid w:val="0075408C"/>
    <w:rsid w:val="00754669"/>
    <w:rsid w:val="00754D0C"/>
    <w:rsid w:val="0075508C"/>
    <w:rsid w:val="00755325"/>
    <w:rsid w:val="007562A9"/>
    <w:rsid w:val="00756AE1"/>
    <w:rsid w:val="007579E6"/>
    <w:rsid w:val="00757AB5"/>
    <w:rsid w:val="007600E0"/>
    <w:rsid w:val="00760D9E"/>
    <w:rsid w:val="00762012"/>
    <w:rsid w:val="00762E43"/>
    <w:rsid w:val="00763FA8"/>
    <w:rsid w:val="0076569B"/>
    <w:rsid w:val="007664AA"/>
    <w:rsid w:val="00766703"/>
    <w:rsid w:val="00766B72"/>
    <w:rsid w:val="00767942"/>
    <w:rsid w:val="00771543"/>
    <w:rsid w:val="007724E4"/>
    <w:rsid w:val="00772F65"/>
    <w:rsid w:val="0077344E"/>
    <w:rsid w:val="007735FF"/>
    <w:rsid w:val="00776373"/>
    <w:rsid w:val="00777EE3"/>
    <w:rsid w:val="00782512"/>
    <w:rsid w:val="00783619"/>
    <w:rsid w:val="007839DD"/>
    <w:rsid w:val="007844B4"/>
    <w:rsid w:val="00784B13"/>
    <w:rsid w:val="00784CC6"/>
    <w:rsid w:val="007909EC"/>
    <w:rsid w:val="00791782"/>
    <w:rsid w:val="007931BE"/>
    <w:rsid w:val="007947A3"/>
    <w:rsid w:val="00794A01"/>
    <w:rsid w:val="007959BF"/>
    <w:rsid w:val="007A02F8"/>
    <w:rsid w:val="007A165A"/>
    <w:rsid w:val="007A3239"/>
    <w:rsid w:val="007A4BA8"/>
    <w:rsid w:val="007A6AA2"/>
    <w:rsid w:val="007A721A"/>
    <w:rsid w:val="007A76DC"/>
    <w:rsid w:val="007B1783"/>
    <w:rsid w:val="007B1D91"/>
    <w:rsid w:val="007B5866"/>
    <w:rsid w:val="007B6070"/>
    <w:rsid w:val="007B63CE"/>
    <w:rsid w:val="007B6443"/>
    <w:rsid w:val="007B6FF9"/>
    <w:rsid w:val="007C0860"/>
    <w:rsid w:val="007C1E17"/>
    <w:rsid w:val="007C20F3"/>
    <w:rsid w:val="007C2404"/>
    <w:rsid w:val="007C2B4F"/>
    <w:rsid w:val="007C39AB"/>
    <w:rsid w:val="007C3D6D"/>
    <w:rsid w:val="007C58DF"/>
    <w:rsid w:val="007C6556"/>
    <w:rsid w:val="007C6D42"/>
    <w:rsid w:val="007C73F4"/>
    <w:rsid w:val="007D0307"/>
    <w:rsid w:val="007D11ED"/>
    <w:rsid w:val="007D1AFF"/>
    <w:rsid w:val="007D3657"/>
    <w:rsid w:val="007D3AF7"/>
    <w:rsid w:val="007D4A37"/>
    <w:rsid w:val="007D6DA4"/>
    <w:rsid w:val="007D7729"/>
    <w:rsid w:val="007E0733"/>
    <w:rsid w:val="007E0917"/>
    <w:rsid w:val="007E0B77"/>
    <w:rsid w:val="007E2258"/>
    <w:rsid w:val="007E334A"/>
    <w:rsid w:val="007E3BCC"/>
    <w:rsid w:val="007E56D2"/>
    <w:rsid w:val="007E62C9"/>
    <w:rsid w:val="007E7DC6"/>
    <w:rsid w:val="007F0FD2"/>
    <w:rsid w:val="007F10AF"/>
    <w:rsid w:val="007F1739"/>
    <w:rsid w:val="007F1E34"/>
    <w:rsid w:val="007F450D"/>
    <w:rsid w:val="007F587E"/>
    <w:rsid w:val="007F5BFA"/>
    <w:rsid w:val="007F5DC9"/>
    <w:rsid w:val="007F62C1"/>
    <w:rsid w:val="007F7060"/>
    <w:rsid w:val="007F7A6C"/>
    <w:rsid w:val="007F7AE6"/>
    <w:rsid w:val="00800305"/>
    <w:rsid w:val="00800402"/>
    <w:rsid w:val="00802CCF"/>
    <w:rsid w:val="008033E5"/>
    <w:rsid w:val="00803B48"/>
    <w:rsid w:val="00804288"/>
    <w:rsid w:val="008045FA"/>
    <w:rsid w:val="0080542E"/>
    <w:rsid w:val="00805750"/>
    <w:rsid w:val="008068ED"/>
    <w:rsid w:val="00806C82"/>
    <w:rsid w:val="00807413"/>
    <w:rsid w:val="00807594"/>
    <w:rsid w:val="00807821"/>
    <w:rsid w:val="00810124"/>
    <w:rsid w:val="008105A9"/>
    <w:rsid w:val="00812161"/>
    <w:rsid w:val="00813EEF"/>
    <w:rsid w:val="00813FA2"/>
    <w:rsid w:val="00814CAC"/>
    <w:rsid w:val="008151BA"/>
    <w:rsid w:val="0081700F"/>
    <w:rsid w:val="008177B9"/>
    <w:rsid w:val="00820AC4"/>
    <w:rsid w:val="00823500"/>
    <w:rsid w:val="00824318"/>
    <w:rsid w:val="00825154"/>
    <w:rsid w:val="00825841"/>
    <w:rsid w:val="00826F12"/>
    <w:rsid w:val="008315B1"/>
    <w:rsid w:val="00831B7D"/>
    <w:rsid w:val="00831C89"/>
    <w:rsid w:val="00831D13"/>
    <w:rsid w:val="00833679"/>
    <w:rsid w:val="00834630"/>
    <w:rsid w:val="008350EE"/>
    <w:rsid w:val="008363FB"/>
    <w:rsid w:val="008365FB"/>
    <w:rsid w:val="00836825"/>
    <w:rsid w:val="008370ED"/>
    <w:rsid w:val="008425D0"/>
    <w:rsid w:val="00845014"/>
    <w:rsid w:val="00845459"/>
    <w:rsid w:val="008479AC"/>
    <w:rsid w:val="0085194E"/>
    <w:rsid w:val="008521B2"/>
    <w:rsid w:val="00852F89"/>
    <w:rsid w:val="00853863"/>
    <w:rsid w:val="00853886"/>
    <w:rsid w:val="00854E63"/>
    <w:rsid w:val="00856786"/>
    <w:rsid w:val="008575C9"/>
    <w:rsid w:val="008607A2"/>
    <w:rsid w:val="00861149"/>
    <w:rsid w:val="008611A9"/>
    <w:rsid w:val="00861756"/>
    <w:rsid w:val="00863951"/>
    <w:rsid w:val="00863A4C"/>
    <w:rsid w:val="008648C6"/>
    <w:rsid w:val="00864AA6"/>
    <w:rsid w:val="00865EA5"/>
    <w:rsid w:val="00866854"/>
    <w:rsid w:val="008703C7"/>
    <w:rsid w:val="008720E7"/>
    <w:rsid w:val="008728F4"/>
    <w:rsid w:val="00872C7A"/>
    <w:rsid w:val="00873498"/>
    <w:rsid w:val="0087373A"/>
    <w:rsid w:val="008740A8"/>
    <w:rsid w:val="008750C0"/>
    <w:rsid w:val="00875D3E"/>
    <w:rsid w:val="008772AB"/>
    <w:rsid w:val="008803F5"/>
    <w:rsid w:val="0088206A"/>
    <w:rsid w:val="00882768"/>
    <w:rsid w:val="008856C8"/>
    <w:rsid w:val="008865BA"/>
    <w:rsid w:val="00886D9E"/>
    <w:rsid w:val="00887723"/>
    <w:rsid w:val="00887B8E"/>
    <w:rsid w:val="00891F12"/>
    <w:rsid w:val="00895FB7"/>
    <w:rsid w:val="00897568"/>
    <w:rsid w:val="00897EDC"/>
    <w:rsid w:val="008A2AC7"/>
    <w:rsid w:val="008A37C6"/>
    <w:rsid w:val="008A4D55"/>
    <w:rsid w:val="008A524B"/>
    <w:rsid w:val="008A56E3"/>
    <w:rsid w:val="008A5AC3"/>
    <w:rsid w:val="008A7AA8"/>
    <w:rsid w:val="008B0177"/>
    <w:rsid w:val="008B086A"/>
    <w:rsid w:val="008B0E3E"/>
    <w:rsid w:val="008B1A6F"/>
    <w:rsid w:val="008B1BDF"/>
    <w:rsid w:val="008B2677"/>
    <w:rsid w:val="008B4EE9"/>
    <w:rsid w:val="008B596A"/>
    <w:rsid w:val="008B66E4"/>
    <w:rsid w:val="008B7393"/>
    <w:rsid w:val="008B7F94"/>
    <w:rsid w:val="008C01FC"/>
    <w:rsid w:val="008C116A"/>
    <w:rsid w:val="008C1661"/>
    <w:rsid w:val="008C1B08"/>
    <w:rsid w:val="008C1B15"/>
    <w:rsid w:val="008C3017"/>
    <w:rsid w:val="008C31A8"/>
    <w:rsid w:val="008C33AA"/>
    <w:rsid w:val="008C3E40"/>
    <w:rsid w:val="008C43C4"/>
    <w:rsid w:val="008C4EC6"/>
    <w:rsid w:val="008C6198"/>
    <w:rsid w:val="008C621E"/>
    <w:rsid w:val="008C6E94"/>
    <w:rsid w:val="008D0751"/>
    <w:rsid w:val="008D14A7"/>
    <w:rsid w:val="008D16A3"/>
    <w:rsid w:val="008D24A9"/>
    <w:rsid w:val="008D317F"/>
    <w:rsid w:val="008D38C0"/>
    <w:rsid w:val="008D3CB8"/>
    <w:rsid w:val="008D48F1"/>
    <w:rsid w:val="008D4B51"/>
    <w:rsid w:val="008D6C6C"/>
    <w:rsid w:val="008D750F"/>
    <w:rsid w:val="008E0370"/>
    <w:rsid w:val="008E27F0"/>
    <w:rsid w:val="008E3380"/>
    <w:rsid w:val="008E4725"/>
    <w:rsid w:val="008E4802"/>
    <w:rsid w:val="008E4CFB"/>
    <w:rsid w:val="008E4D94"/>
    <w:rsid w:val="008E5D13"/>
    <w:rsid w:val="008E60AB"/>
    <w:rsid w:val="008E6840"/>
    <w:rsid w:val="008F1C6D"/>
    <w:rsid w:val="008F32A3"/>
    <w:rsid w:val="008F3422"/>
    <w:rsid w:val="008F5A38"/>
    <w:rsid w:val="008F670A"/>
    <w:rsid w:val="008F67F1"/>
    <w:rsid w:val="008F6BFF"/>
    <w:rsid w:val="008F7783"/>
    <w:rsid w:val="008F7B6F"/>
    <w:rsid w:val="008F7DD4"/>
    <w:rsid w:val="008F7EB5"/>
    <w:rsid w:val="009001CE"/>
    <w:rsid w:val="009029E0"/>
    <w:rsid w:val="0090490D"/>
    <w:rsid w:val="00904ED1"/>
    <w:rsid w:val="009063C1"/>
    <w:rsid w:val="009063E1"/>
    <w:rsid w:val="0090658F"/>
    <w:rsid w:val="0090772E"/>
    <w:rsid w:val="00907E0B"/>
    <w:rsid w:val="009109EA"/>
    <w:rsid w:val="00911318"/>
    <w:rsid w:val="00911675"/>
    <w:rsid w:val="00911C77"/>
    <w:rsid w:val="009132E2"/>
    <w:rsid w:val="0091380E"/>
    <w:rsid w:val="00914895"/>
    <w:rsid w:val="00915225"/>
    <w:rsid w:val="00915524"/>
    <w:rsid w:val="00916E56"/>
    <w:rsid w:val="00917595"/>
    <w:rsid w:val="00921405"/>
    <w:rsid w:val="00921561"/>
    <w:rsid w:val="0092199B"/>
    <w:rsid w:val="009220EA"/>
    <w:rsid w:val="00922579"/>
    <w:rsid w:val="00922D76"/>
    <w:rsid w:val="0092353A"/>
    <w:rsid w:val="00923C54"/>
    <w:rsid w:val="0092496C"/>
    <w:rsid w:val="00925D3A"/>
    <w:rsid w:val="00925D91"/>
    <w:rsid w:val="00926FB6"/>
    <w:rsid w:val="00927793"/>
    <w:rsid w:val="00927B14"/>
    <w:rsid w:val="00933BA5"/>
    <w:rsid w:val="009378DB"/>
    <w:rsid w:val="00937D73"/>
    <w:rsid w:val="00937DFE"/>
    <w:rsid w:val="00941A65"/>
    <w:rsid w:val="00941E28"/>
    <w:rsid w:val="00943707"/>
    <w:rsid w:val="0094471C"/>
    <w:rsid w:val="009451CF"/>
    <w:rsid w:val="009456C6"/>
    <w:rsid w:val="00945A57"/>
    <w:rsid w:val="009466BA"/>
    <w:rsid w:val="00950B1F"/>
    <w:rsid w:val="00951474"/>
    <w:rsid w:val="00952F68"/>
    <w:rsid w:val="0095376C"/>
    <w:rsid w:val="00953F63"/>
    <w:rsid w:val="00955505"/>
    <w:rsid w:val="00956CC0"/>
    <w:rsid w:val="00957A1D"/>
    <w:rsid w:val="00957A50"/>
    <w:rsid w:val="00961049"/>
    <w:rsid w:val="0096111B"/>
    <w:rsid w:val="009626E1"/>
    <w:rsid w:val="00963352"/>
    <w:rsid w:val="0096342B"/>
    <w:rsid w:val="00963912"/>
    <w:rsid w:val="009644F4"/>
    <w:rsid w:val="009648FE"/>
    <w:rsid w:val="009650F1"/>
    <w:rsid w:val="0096623A"/>
    <w:rsid w:val="0096694E"/>
    <w:rsid w:val="009700AB"/>
    <w:rsid w:val="009701DD"/>
    <w:rsid w:val="00970758"/>
    <w:rsid w:val="009729AE"/>
    <w:rsid w:val="009742B2"/>
    <w:rsid w:val="009746E2"/>
    <w:rsid w:val="00974E13"/>
    <w:rsid w:val="00974E1C"/>
    <w:rsid w:val="00975F03"/>
    <w:rsid w:val="00977643"/>
    <w:rsid w:val="00977678"/>
    <w:rsid w:val="00977BC4"/>
    <w:rsid w:val="00982348"/>
    <w:rsid w:val="00982A88"/>
    <w:rsid w:val="00982BCE"/>
    <w:rsid w:val="00983C8D"/>
    <w:rsid w:val="00983E44"/>
    <w:rsid w:val="00983FC3"/>
    <w:rsid w:val="00986344"/>
    <w:rsid w:val="00986408"/>
    <w:rsid w:val="0098696F"/>
    <w:rsid w:val="00986CB7"/>
    <w:rsid w:val="009906CA"/>
    <w:rsid w:val="00992313"/>
    <w:rsid w:val="00992507"/>
    <w:rsid w:val="00992EA7"/>
    <w:rsid w:val="0099396B"/>
    <w:rsid w:val="00994B27"/>
    <w:rsid w:val="00994FA6"/>
    <w:rsid w:val="00995DCD"/>
    <w:rsid w:val="009964B5"/>
    <w:rsid w:val="009967FC"/>
    <w:rsid w:val="009968B4"/>
    <w:rsid w:val="00996C02"/>
    <w:rsid w:val="00996E8F"/>
    <w:rsid w:val="009A05CE"/>
    <w:rsid w:val="009A204A"/>
    <w:rsid w:val="009A2BE3"/>
    <w:rsid w:val="009A353D"/>
    <w:rsid w:val="009A35ED"/>
    <w:rsid w:val="009A3A38"/>
    <w:rsid w:val="009A62C8"/>
    <w:rsid w:val="009A67CE"/>
    <w:rsid w:val="009A69BF"/>
    <w:rsid w:val="009B11E0"/>
    <w:rsid w:val="009B1F36"/>
    <w:rsid w:val="009B1F58"/>
    <w:rsid w:val="009B2116"/>
    <w:rsid w:val="009B2919"/>
    <w:rsid w:val="009B29AB"/>
    <w:rsid w:val="009B2EB7"/>
    <w:rsid w:val="009B5327"/>
    <w:rsid w:val="009B544C"/>
    <w:rsid w:val="009B6287"/>
    <w:rsid w:val="009B65C3"/>
    <w:rsid w:val="009B6ADF"/>
    <w:rsid w:val="009C03B1"/>
    <w:rsid w:val="009C0888"/>
    <w:rsid w:val="009C0D4F"/>
    <w:rsid w:val="009C129F"/>
    <w:rsid w:val="009C2B43"/>
    <w:rsid w:val="009C3419"/>
    <w:rsid w:val="009C361B"/>
    <w:rsid w:val="009C445F"/>
    <w:rsid w:val="009C4899"/>
    <w:rsid w:val="009C6897"/>
    <w:rsid w:val="009C7637"/>
    <w:rsid w:val="009C7E2F"/>
    <w:rsid w:val="009D09AD"/>
    <w:rsid w:val="009D2145"/>
    <w:rsid w:val="009D2753"/>
    <w:rsid w:val="009D41C4"/>
    <w:rsid w:val="009D5675"/>
    <w:rsid w:val="009D6152"/>
    <w:rsid w:val="009D65B0"/>
    <w:rsid w:val="009D7ED2"/>
    <w:rsid w:val="009E308E"/>
    <w:rsid w:val="009E3CA9"/>
    <w:rsid w:val="009E4A6C"/>
    <w:rsid w:val="009E545E"/>
    <w:rsid w:val="009E5D0D"/>
    <w:rsid w:val="009E5DA5"/>
    <w:rsid w:val="009E6E82"/>
    <w:rsid w:val="009E77EE"/>
    <w:rsid w:val="009E78DB"/>
    <w:rsid w:val="009E7EAB"/>
    <w:rsid w:val="009F0E0B"/>
    <w:rsid w:val="009F12EC"/>
    <w:rsid w:val="009F3086"/>
    <w:rsid w:val="009F4373"/>
    <w:rsid w:val="009F499E"/>
    <w:rsid w:val="009F5C64"/>
    <w:rsid w:val="009F5C7D"/>
    <w:rsid w:val="009F7382"/>
    <w:rsid w:val="009F7ACA"/>
    <w:rsid w:val="009F7D77"/>
    <w:rsid w:val="00A002BC"/>
    <w:rsid w:val="00A01069"/>
    <w:rsid w:val="00A01AC8"/>
    <w:rsid w:val="00A020D3"/>
    <w:rsid w:val="00A0302D"/>
    <w:rsid w:val="00A031F0"/>
    <w:rsid w:val="00A03C5D"/>
    <w:rsid w:val="00A041E0"/>
    <w:rsid w:val="00A06A18"/>
    <w:rsid w:val="00A1052B"/>
    <w:rsid w:val="00A105C1"/>
    <w:rsid w:val="00A11FA1"/>
    <w:rsid w:val="00A12352"/>
    <w:rsid w:val="00A13623"/>
    <w:rsid w:val="00A13C8A"/>
    <w:rsid w:val="00A145F4"/>
    <w:rsid w:val="00A150BC"/>
    <w:rsid w:val="00A168C4"/>
    <w:rsid w:val="00A205CF"/>
    <w:rsid w:val="00A208E0"/>
    <w:rsid w:val="00A20B83"/>
    <w:rsid w:val="00A22742"/>
    <w:rsid w:val="00A22ED5"/>
    <w:rsid w:val="00A23419"/>
    <w:rsid w:val="00A2372B"/>
    <w:rsid w:val="00A23C99"/>
    <w:rsid w:val="00A30480"/>
    <w:rsid w:val="00A3049F"/>
    <w:rsid w:val="00A31FF8"/>
    <w:rsid w:val="00A3404A"/>
    <w:rsid w:val="00A34716"/>
    <w:rsid w:val="00A35B27"/>
    <w:rsid w:val="00A364DC"/>
    <w:rsid w:val="00A379F5"/>
    <w:rsid w:val="00A40664"/>
    <w:rsid w:val="00A41052"/>
    <w:rsid w:val="00A43F34"/>
    <w:rsid w:val="00A43FC3"/>
    <w:rsid w:val="00A45FE5"/>
    <w:rsid w:val="00A47149"/>
    <w:rsid w:val="00A477FB"/>
    <w:rsid w:val="00A50394"/>
    <w:rsid w:val="00A50D11"/>
    <w:rsid w:val="00A53DBB"/>
    <w:rsid w:val="00A56B9C"/>
    <w:rsid w:val="00A607F0"/>
    <w:rsid w:val="00A60947"/>
    <w:rsid w:val="00A6270B"/>
    <w:rsid w:val="00A67E47"/>
    <w:rsid w:val="00A70658"/>
    <w:rsid w:val="00A71432"/>
    <w:rsid w:val="00A718BC"/>
    <w:rsid w:val="00A71A54"/>
    <w:rsid w:val="00A71BC3"/>
    <w:rsid w:val="00A731A9"/>
    <w:rsid w:val="00A7367A"/>
    <w:rsid w:val="00A743FA"/>
    <w:rsid w:val="00A7589A"/>
    <w:rsid w:val="00A771FF"/>
    <w:rsid w:val="00A77CC3"/>
    <w:rsid w:val="00A8138A"/>
    <w:rsid w:val="00A81E31"/>
    <w:rsid w:val="00A843B7"/>
    <w:rsid w:val="00A84F06"/>
    <w:rsid w:val="00A851EF"/>
    <w:rsid w:val="00A8694D"/>
    <w:rsid w:val="00A92309"/>
    <w:rsid w:val="00A935DD"/>
    <w:rsid w:val="00A94B0E"/>
    <w:rsid w:val="00A96B01"/>
    <w:rsid w:val="00A96CA7"/>
    <w:rsid w:val="00A97627"/>
    <w:rsid w:val="00A978A8"/>
    <w:rsid w:val="00AA0BD2"/>
    <w:rsid w:val="00AA0D9A"/>
    <w:rsid w:val="00AA0DB2"/>
    <w:rsid w:val="00AA0EF3"/>
    <w:rsid w:val="00AA0F21"/>
    <w:rsid w:val="00AA126D"/>
    <w:rsid w:val="00AA351B"/>
    <w:rsid w:val="00AA417B"/>
    <w:rsid w:val="00AA4929"/>
    <w:rsid w:val="00AA63C1"/>
    <w:rsid w:val="00AA79B2"/>
    <w:rsid w:val="00AB10A9"/>
    <w:rsid w:val="00AB31C9"/>
    <w:rsid w:val="00AB47F0"/>
    <w:rsid w:val="00AB4883"/>
    <w:rsid w:val="00AB4E15"/>
    <w:rsid w:val="00AB4F7D"/>
    <w:rsid w:val="00AB63D7"/>
    <w:rsid w:val="00AC0125"/>
    <w:rsid w:val="00AC0314"/>
    <w:rsid w:val="00AC17EB"/>
    <w:rsid w:val="00AC1AC2"/>
    <w:rsid w:val="00AC1C86"/>
    <w:rsid w:val="00AC22A6"/>
    <w:rsid w:val="00AC2A92"/>
    <w:rsid w:val="00AC2D26"/>
    <w:rsid w:val="00AC2E53"/>
    <w:rsid w:val="00AC399A"/>
    <w:rsid w:val="00AC5AC6"/>
    <w:rsid w:val="00AC5FC5"/>
    <w:rsid w:val="00AC6770"/>
    <w:rsid w:val="00AC76D6"/>
    <w:rsid w:val="00AD316E"/>
    <w:rsid w:val="00AD37B2"/>
    <w:rsid w:val="00AD4A8A"/>
    <w:rsid w:val="00AE0A07"/>
    <w:rsid w:val="00AE2E12"/>
    <w:rsid w:val="00AE3EE4"/>
    <w:rsid w:val="00AE592B"/>
    <w:rsid w:val="00AE5C14"/>
    <w:rsid w:val="00AF05BB"/>
    <w:rsid w:val="00AF1584"/>
    <w:rsid w:val="00AF40BA"/>
    <w:rsid w:val="00AF5BF1"/>
    <w:rsid w:val="00AF7EC2"/>
    <w:rsid w:val="00B01B34"/>
    <w:rsid w:val="00B0221C"/>
    <w:rsid w:val="00B02A3B"/>
    <w:rsid w:val="00B02E30"/>
    <w:rsid w:val="00B0387B"/>
    <w:rsid w:val="00B0400A"/>
    <w:rsid w:val="00B044E3"/>
    <w:rsid w:val="00B049F2"/>
    <w:rsid w:val="00B05000"/>
    <w:rsid w:val="00B056B8"/>
    <w:rsid w:val="00B0601C"/>
    <w:rsid w:val="00B060FB"/>
    <w:rsid w:val="00B07FF8"/>
    <w:rsid w:val="00B100CC"/>
    <w:rsid w:val="00B10113"/>
    <w:rsid w:val="00B12573"/>
    <w:rsid w:val="00B12819"/>
    <w:rsid w:val="00B132EB"/>
    <w:rsid w:val="00B15036"/>
    <w:rsid w:val="00B162F0"/>
    <w:rsid w:val="00B16455"/>
    <w:rsid w:val="00B17794"/>
    <w:rsid w:val="00B21866"/>
    <w:rsid w:val="00B2198B"/>
    <w:rsid w:val="00B21E45"/>
    <w:rsid w:val="00B23A7B"/>
    <w:rsid w:val="00B23AFF"/>
    <w:rsid w:val="00B242BD"/>
    <w:rsid w:val="00B25DBF"/>
    <w:rsid w:val="00B26718"/>
    <w:rsid w:val="00B27BEC"/>
    <w:rsid w:val="00B27CEE"/>
    <w:rsid w:val="00B312D9"/>
    <w:rsid w:val="00B33761"/>
    <w:rsid w:val="00B33FDC"/>
    <w:rsid w:val="00B349DE"/>
    <w:rsid w:val="00B3629C"/>
    <w:rsid w:val="00B406DC"/>
    <w:rsid w:val="00B40A96"/>
    <w:rsid w:val="00B41F0E"/>
    <w:rsid w:val="00B42573"/>
    <w:rsid w:val="00B44D15"/>
    <w:rsid w:val="00B4601D"/>
    <w:rsid w:val="00B46131"/>
    <w:rsid w:val="00B474EB"/>
    <w:rsid w:val="00B47801"/>
    <w:rsid w:val="00B50779"/>
    <w:rsid w:val="00B510E9"/>
    <w:rsid w:val="00B514F8"/>
    <w:rsid w:val="00B54213"/>
    <w:rsid w:val="00B55609"/>
    <w:rsid w:val="00B55D58"/>
    <w:rsid w:val="00B57F9F"/>
    <w:rsid w:val="00B61040"/>
    <w:rsid w:val="00B61AF2"/>
    <w:rsid w:val="00B63E49"/>
    <w:rsid w:val="00B650EE"/>
    <w:rsid w:val="00B65B03"/>
    <w:rsid w:val="00B66E66"/>
    <w:rsid w:val="00B671EF"/>
    <w:rsid w:val="00B67E1B"/>
    <w:rsid w:val="00B71C44"/>
    <w:rsid w:val="00B72C7E"/>
    <w:rsid w:val="00B73CE5"/>
    <w:rsid w:val="00B74238"/>
    <w:rsid w:val="00B742C1"/>
    <w:rsid w:val="00B74645"/>
    <w:rsid w:val="00B7502E"/>
    <w:rsid w:val="00B7611F"/>
    <w:rsid w:val="00B7770B"/>
    <w:rsid w:val="00B80EB1"/>
    <w:rsid w:val="00B80F25"/>
    <w:rsid w:val="00B8207E"/>
    <w:rsid w:val="00B82724"/>
    <w:rsid w:val="00B84B64"/>
    <w:rsid w:val="00B8501D"/>
    <w:rsid w:val="00B87AFC"/>
    <w:rsid w:val="00B90677"/>
    <w:rsid w:val="00B915A5"/>
    <w:rsid w:val="00B92BF6"/>
    <w:rsid w:val="00B93800"/>
    <w:rsid w:val="00B94880"/>
    <w:rsid w:val="00B95244"/>
    <w:rsid w:val="00B9537F"/>
    <w:rsid w:val="00B963EC"/>
    <w:rsid w:val="00B96D85"/>
    <w:rsid w:val="00B96DA4"/>
    <w:rsid w:val="00BA0013"/>
    <w:rsid w:val="00BA008C"/>
    <w:rsid w:val="00BA16F3"/>
    <w:rsid w:val="00BA2158"/>
    <w:rsid w:val="00BA28EF"/>
    <w:rsid w:val="00BA407C"/>
    <w:rsid w:val="00BA40D2"/>
    <w:rsid w:val="00BA43C4"/>
    <w:rsid w:val="00BA5EC7"/>
    <w:rsid w:val="00BA63A8"/>
    <w:rsid w:val="00BA6A69"/>
    <w:rsid w:val="00BA7C45"/>
    <w:rsid w:val="00BB030B"/>
    <w:rsid w:val="00BB07D2"/>
    <w:rsid w:val="00BB0DA0"/>
    <w:rsid w:val="00BB23DA"/>
    <w:rsid w:val="00BB3974"/>
    <w:rsid w:val="00BB4AB9"/>
    <w:rsid w:val="00BB5AB6"/>
    <w:rsid w:val="00BB7328"/>
    <w:rsid w:val="00BB7482"/>
    <w:rsid w:val="00BB77FC"/>
    <w:rsid w:val="00BB786E"/>
    <w:rsid w:val="00BC1BA6"/>
    <w:rsid w:val="00BC3E63"/>
    <w:rsid w:val="00BC507F"/>
    <w:rsid w:val="00BC6465"/>
    <w:rsid w:val="00BC7F34"/>
    <w:rsid w:val="00BD1772"/>
    <w:rsid w:val="00BD1850"/>
    <w:rsid w:val="00BD3B00"/>
    <w:rsid w:val="00BD50BD"/>
    <w:rsid w:val="00BD5239"/>
    <w:rsid w:val="00BD5638"/>
    <w:rsid w:val="00BD5A82"/>
    <w:rsid w:val="00BD5F7E"/>
    <w:rsid w:val="00BD6AF0"/>
    <w:rsid w:val="00BD7E39"/>
    <w:rsid w:val="00BE1410"/>
    <w:rsid w:val="00BE2A47"/>
    <w:rsid w:val="00BE3575"/>
    <w:rsid w:val="00BE4364"/>
    <w:rsid w:val="00BE5BBE"/>
    <w:rsid w:val="00BE65E0"/>
    <w:rsid w:val="00BE6B3D"/>
    <w:rsid w:val="00BE6DED"/>
    <w:rsid w:val="00BE71FC"/>
    <w:rsid w:val="00BE72C2"/>
    <w:rsid w:val="00BE7E54"/>
    <w:rsid w:val="00BF02D2"/>
    <w:rsid w:val="00BF0E94"/>
    <w:rsid w:val="00BF1ACA"/>
    <w:rsid w:val="00BF2A21"/>
    <w:rsid w:val="00BF3B27"/>
    <w:rsid w:val="00BF4AD6"/>
    <w:rsid w:val="00BF725A"/>
    <w:rsid w:val="00C01134"/>
    <w:rsid w:val="00C01C2D"/>
    <w:rsid w:val="00C02DDC"/>
    <w:rsid w:val="00C0334A"/>
    <w:rsid w:val="00C03D67"/>
    <w:rsid w:val="00C04079"/>
    <w:rsid w:val="00C05FFE"/>
    <w:rsid w:val="00C06CB1"/>
    <w:rsid w:val="00C07602"/>
    <w:rsid w:val="00C12611"/>
    <w:rsid w:val="00C12B81"/>
    <w:rsid w:val="00C15C4D"/>
    <w:rsid w:val="00C16510"/>
    <w:rsid w:val="00C16B22"/>
    <w:rsid w:val="00C16DE4"/>
    <w:rsid w:val="00C17DDB"/>
    <w:rsid w:val="00C202AE"/>
    <w:rsid w:val="00C213C3"/>
    <w:rsid w:val="00C2279D"/>
    <w:rsid w:val="00C2466E"/>
    <w:rsid w:val="00C2472C"/>
    <w:rsid w:val="00C2586B"/>
    <w:rsid w:val="00C264C3"/>
    <w:rsid w:val="00C26AB3"/>
    <w:rsid w:val="00C270ED"/>
    <w:rsid w:val="00C318F3"/>
    <w:rsid w:val="00C32860"/>
    <w:rsid w:val="00C3288A"/>
    <w:rsid w:val="00C32E3E"/>
    <w:rsid w:val="00C336A7"/>
    <w:rsid w:val="00C36282"/>
    <w:rsid w:val="00C37916"/>
    <w:rsid w:val="00C37A0C"/>
    <w:rsid w:val="00C37E2B"/>
    <w:rsid w:val="00C40750"/>
    <w:rsid w:val="00C412DC"/>
    <w:rsid w:val="00C41ABD"/>
    <w:rsid w:val="00C421C7"/>
    <w:rsid w:val="00C447D1"/>
    <w:rsid w:val="00C44C4B"/>
    <w:rsid w:val="00C4529C"/>
    <w:rsid w:val="00C471F4"/>
    <w:rsid w:val="00C4753C"/>
    <w:rsid w:val="00C47BC3"/>
    <w:rsid w:val="00C51458"/>
    <w:rsid w:val="00C51998"/>
    <w:rsid w:val="00C52216"/>
    <w:rsid w:val="00C523BF"/>
    <w:rsid w:val="00C528A8"/>
    <w:rsid w:val="00C52D7C"/>
    <w:rsid w:val="00C52F69"/>
    <w:rsid w:val="00C530A9"/>
    <w:rsid w:val="00C543F0"/>
    <w:rsid w:val="00C54C55"/>
    <w:rsid w:val="00C54D03"/>
    <w:rsid w:val="00C57AC2"/>
    <w:rsid w:val="00C6092E"/>
    <w:rsid w:val="00C61134"/>
    <w:rsid w:val="00C634DB"/>
    <w:rsid w:val="00C6517F"/>
    <w:rsid w:val="00C651E1"/>
    <w:rsid w:val="00C66297"/>
    <w:rsid w:val="00C6665D"/>
    <w:rsid w:val="00C70B4E"/>
    <w:rsid w:val="00C72BE5"/>
    <w:rsid w:val="00C73348"/>
    <w:rsid w:val="00C741AD"/>
    <w:rsid w:val="00C741CA"/>
    <w:rsid w:val="00C74DED"/>
    <w:rsid w:val="00C76243"/>
    <w:rsid w:val="00C801F4"/>
    <w:rsid w:val="00C803F6"/>
    <w:rsid w:val="00C80A85"/>
    <w:rsid w:val="00C81A71"/>
    <w:rsid w:val="00C83ABF"/>
    <w:rsid w:val="00C86D4F"/>
    <w:rsid w:val="00C876BB"/>
    <w:rsid w:val="00C87AB9"/>
    <w:rsid w:val="00C87F67"/>
    <w:rsid w:val="00C909EE"/>
    <w:rsid w:val="00C926B2"/>
    <w:rsid w:val="00C93078"/>
    <w:rsid w:val="00C93A9F"/>
    <w:rsid w:val="00C94097"/>
    <w:rsid w:val="00CA059D"/>
    <w:rsid w:val="00CA1B2E"/>
    <w:rsid w:val="00CA302E"/>
    <w:rsid w:val="00CA44DD"/>
    <w:rsid w:val="00CA662A"/>
    <w:rsid w:val="00CA751F"/>
    <w:rsid w:val="00CB0CF0"/>
    <w:rsid w:val="00CB1185"/>
    <w:rsid w:val="00CB2AD5"/>
    <w:rsid w:val="00CB3150"/>
    <w:rsid w:val="00CB5AF6"/>
    <w:rsid w:val="00CB6ED0"/>
    <w:rsid w:val="00CB7668"/>
    <w:rsid w:val="00CB7D9B"/>
    <w:rsid w:val="00CC139E"/>
    <w:rsid w:val="00CC14EE"/>
    <w:rsid w:val="00CC1D50"/>
    <w:rsid w:val="00CC268A"/>
    <w:rsid w:val="00CC2CDD"/>
    <w:rsid w:val="00CC4255"/>
    <w:rsid w:val="00CC6480"/>
    <w:rsid w:val="00CC7319"/>
    <w:rsid w:val="00CC7CA9"/>
    <w:rsid w:val="00CD0F16"/>
    <w:rsid w:val="00CD130B"/>
    <w:rsid w:val="00CD3778"/>
    <w:rsid w:val="00CD3C98"/>
    <w:rsid w:val="00CD43A1"/>
    <w:rsid w:val="00CD52A0"/>
    <w:rsid w:val="00CD7638"/>
    <w:rsid w:val="00CD786F"/>
    <w:rsid w:val="00CD7EBC"/>
    <w:rsid w:val="00CE1271"/>
    <w:rsid w:val="00CE25C4"/>
    <w:rsid w:val="00CE25F4"/>
    <w:rsid w:val="00CE2ACE"/>
    <w:rsid w:val="00CE3015"/>
    <w:rsid w:val="00CE33DC"/>
    <w:rsid w:val="00CE3DFA"/>
    <w:rsid w:val="00CE40EB"/>
    <w:rsid w:val="00CE4A94"/>
    <w:rsid w:val="00CE67C1"/>
    <w:rsid w:val="00CE7152"/>
    <w:rsid w:val="00CE7BA9"/>
    <w:rsid w:val="00CF3AC0"/>
    <w:rsid w:val="00CF5B33"/>
    <w:rsid w:val="00CF6BF0"/>
    <w:rsid w:val="00CF7289"/>
    <w:rsid w:val="00CF77FA"/>
    <w:rsid w:val="00CF7D28"/>
    <w:rsid w:val="00D0002E"/>
    <w:rsid w:val="00D01138"/>
    <w:rsid w:val="00D03DD0"/>
    <w:rsid w:val="00D057B3"/>
    <w:rsid w:val="00D05E28"/>
    <w:rsid w:val="00D07D1B"/>
    <w:rsid w:val="00D10C9B"/>
    <w:rsid w:val="00D13CFF"/>
    <w:rsid w:val="00D156B7"/>
    <w:rsid w:val="00D15D1C"/>
    <w:rsid w:val="00D1754D"/>
    <w:rsid w:val="00D20112"/>
    <w:rsid w:val="00D2137C"/>
    <w:rsid w:val="00D21B44"/>
    <w:rsid w:val="00D22E6C"/>
    <w:rsid w:val="00D22FD7"/>
    <w:rsid w:val="00D23188"/>
    <w:rsid w:val="00D23BE8"/>
    <w:rsid w:val="00D24F34"/>
    <w:rsid w:val="00D24F8E"/>
    <w:rsid w:val="00D257B7"/>
    <w:rsid w:val="00D25C1D"/>
    <w:rsid w:val="00D276C3"/>
    <w:rsid w:val="00D307D2"/>
    <w:rsid w:val="00D31E25"/>
    <w:rsid w:val="00D33DE9"/>
    <w:rsid w:val="00D347F9"/>
    <w:rsid w:val="00D349D2"/>
    <w:rsid w:val="00D35584"/>
    <w:rsid w:val="00D36879"/>
    <w:rsid w:val="00D37284"/>
    <w:rsid w:val="00D372F7"/>
    <w:rsid w:val="00D37336"/>
    <w:rsid w:val="00D37B67"/>
    <w:rsid w:val="00D40F97"/>
    <w:rsid w:val="00D44DDC"/>
    <w:rsid w:val="00D453DF"/>
    <w:rsid w:val="00D466DF"/>
    <w:rsid w:val="00D5147E"/>
    <w:rsid w:val="00D54539"/>
    <w:rsid w:val="00D546C2"/>
    <w:rsid w:val="00D55F37"/>
    <w:rsid w:val="00D5772D"/>
    <w:rsid w:val="00D61812"/>
    <w:rsid w:val="00D6250F"/>
    <w:rsid w:val="00D62861"/>
    <w:rsid w:val="00D633AA"/>
    <w:rsid w:val="00D63506"/>
    <w:rsid w:val="00D6659B"/>
    <w:rsid w:val="00D667D1"/>
    <w:rsid w:val="00D710B5"/>
    <w:rsid w:val="00D71F3A"/>
    <w:rsid w:val="00D7293D"/>
    <w:rsid w:val="00D730A5"/>
    <w:rsid w:val="00D73B89"/>
    <w:rsid w:val="00D74E55"/>
    <w:rsid w:val="00D7644A"/>
    <w:rsid w:val="00D77CA2"/>
    <w:rsid w:val="00D8194B"/>
    <w:rsid w:val="00D84BDB"/>
    <w:rsid w:val="00D86876"/>
    <w:rsid w:val="00D86B2A"/>
    <w:rsid w:val="00D876BA"/>
    <w:rsid w:val="00D87B8C"/>
    <w:rsid w:val="00D87D77"/>
    <w:rsid w:val="00D9139D"/>
    <w:rsid w:val="00D9358E"/>
    <w:rsid w:val="00D93ECC"/>
    <w:rsid w:val="00D942AF"/>
    <w:rsid w:val="00D94399"/>
    <w:rsid w:val="00D94AA8"/>
    <w:rsid w:val="00D95986"/>
    <w:rsid w:val="00D979D7"/>
    <w:rsid w:val="00DA07C9"/>
    <w:rsid w:val="00DA2DE9"/>
    <w:rsid w:val="00DA36E1"/>
    <w:rsid w:val="00DA3AE3"/>
    <w:rsid w:val="00DB0696"/>
    <w:rsid w:val="00DB0F5A"/>
    <w:rsid w:val="00DB0FCD"/>
    <w:rsid w:val="00DB1894"/>
    <w:rsid w:val="00DB18E4"/>
    <w:rsid w:val="00DB26AF"/>
    <w:rsid w:val="00DB33AD"/>
    <w:rsid w:val="00DB5CC1"/>
    <w:rsid w:val="00DB5F8D"/>
    <w:rsid w:val="00DB6907"/>
    <w:rsid w:val="00DC024D"/>
    <w:rsid w:val="00DC0EAF"/>
    <w:rsid w:val="00DC1B5D"/>
    <w:rsid w:val="00DC306F"/>
    <w:rsid w:val="00DC5D6C"/>
    <w:rsid w:val="00DC6299"/>
    <w:rsid w:val="00DC63F6"/>
    <w:rsid w:val="00DC6F2C"/>
    <w:rsid w:val="00DC7134"/>
    <w:rsid w:val="00DC78B4"/>
    <w:rsid w:val="00DD088A"/>
    <w:rsid w:val="00DD0B73"/>
    <w:rsid w:val="00DD247D"/>
    <w:rsid w:val="00DD265E"/>
    <w:rsid w:val="00DD433A"/>
    <w:rsid w:val="00DD5C77"/>
    <w:rsid w:val="00DD5F51"/>
    <w:rsid w:val="00DD600B"/>
    <w:rsid w:val="00DD6400"/>
    <w:rsid w:val="00DE12E6"/>
    <w:rsid w:val="00DE2310"/>
    <w:rsid w:val="00DE2C16"/>
    <w:rsid w:val="00DE3DEE"/>
    <w:rsid w:val="00DE4983"/>
    <w:rsid w:val="00DE5567"/>
    <w:rsid w:val="00DE5BD9"/>
    <w:rsid w:val="00DE5DF1"/>
    <w:rsid w:val="00DE5E2E"/>
    <w:rsid w:val="00DF02D6"/>
    <w:rsid w:val="00DF3502"/>
    <w:rsid w:val="00DF3CAF"/>
    <w:rsid w:val="00DF3E5C"/>
    <w:rsid w:val="00DF5320"/>
    <w:rsid w:val="00DF604C"/>
    <w:rsid w:val="00DF6850"/>
    <w:rsid w:val="00DF7B74"/>
    <w:rsid w:val="00E008EB"/>
    <w:rsid w:val="00E020F8"/>
    <w:rsid w:val="00E02254"/>
    <w:rsid w:val="00E02583"/>
    <w:rsid w:val="00E02C14"/>
    <w:rsid w:val="00E02F34"/>
    <w:rsid w:val="00E0503D"/>
    <w:rsid w:val="00E051E9"/>
    <w:rsid w:val="00E05CC4"/>
    <w:rsid w:val="00E077B7"/>
    <w:rsid w:val="00E11335"/>
    <w:rsid w:val="00E14E5E"/>
    <w:rsid w:val="00E17C31"/>
    <w:rsid w:val="00E20451"/>
    <w:rsid w:val="00E224A8"/>
    <w:rsid w:val="00E23C8B"/>
    <w:rsid w:val="00E24991"/>
    <w:rsid w:val="00E25277"/>
    <w:rsid w:val="00E26D8D"/>
    <w:rsid w:val="00E3197B"/>
    <w:rsid w:val="00E31993"/>
    <w:rsid w:val="00E31A9E"/>
    <w:rsid w:val="00E324C4"/>
    <w:rsid w:val="00E32B10"/>
    <w:rsid w:val="00E32E4C"/>
    <w:rsid w:val="00E33839"/>
    <w:rsid w:val="00E345ED"/>
    <w:rsid w:val="00E351FF"/>
    <w:rsid w:val="00E35F36"/>
    <w:rsid w:val="00E375C7"/>
    <w:rsid w:val="00E375D9"/>
    <w:rsid w:val="00E40276"/>
    <w:rsid w:val="00E40431"/>
    <w:rsid w:val="00E40C1C"/>
    <w:rsid w:val="00E4127E"/>
    <w:rsid w:val="00E4233E"/>
    <w:rsid w:val="00E423DA"/>
    <w:rsid w:val="00E42E30"/>
    <w:rsid w:val="00E43AA5"/>
    <w:rsid w:val="00E454E9"/>
    <w:rsid w:val="00E52B88"/>
    <w:rsid w:val="00E53FE3"/>
    <w:rsid w:val="00E540AA"/>
    <w:rsid w:val="00E5435B"/>
    <w:rsid w:val="00E553FF"/>
    <w:rsid w:val="00E5570E"/>
    <w:rsid w:val="00E60121"/>
    <w:rsid w:val="00E608CE"/>
    <w:rsid w:val="00E60D9D"/>
    <w:rsid w:val="00E60F1A"/>
    <w:rsid w:val="00E61F3C"/>
    <w:rsid w:val="00E6236D"/>
    <w:rsid w:val="00E62D6B"/>
    <w:rsid w:val="00E631BD"/>
    <w:rsid w:val="00E63319"/>
    <w:rsid w:val="00E6338C"/>
    <w:rsid w:val="00E637C2"/>
    <w:rsid w:val="00E64EA7"/>
    <w:rsid w:val="00E6569E"/>
    <w:rsid w:val="00E65DDC"/>
    <w:rsid w:val="00E665F2"/>
    <w:rsid w:val="00E67438"/>
    <w:rsid w:val="00E6754A"/>
    <w:rsid w:val="00E72556"/>
    <w:rsid w:val="00E72F59"/>
    <w:rsid w:val="00E73263"/>
    <w:rsid w:val="00E73415"/>
    <w:rsid w:val="00E762E2"/>
    <w:rsid w:val="00E77657"/>
    <w:rsid w:val="00E809A7"/>
    <w:rsid w:val="00E80A67"/>
    <w:rsid w:val="00E810FA"/>
    <w:rsid w:val="00E816FC"/>
    <w:rsid w:val="00E819BC"/>
    <w:rsid w:val="00E81FCC"/>
    <w:rsid w:val="00E829C0"/>
    <w:rsid w:val="00E82B54"/>
    <w:rsid w:val="00E82D70"/>
    <w:rsid w:val="00E8305E"/>
    <w:rsid w:val="00E854EE"/>
    <w:rsid w:val="00E8581B"/>
    <w:rsid w:val="00E86473"/>
    <w:rsid w:val="00E909CF"/>
    <w:rsid w:val="00E912F3"/>
    <w:rsid w:val="00E91544"/>
    <w:rsid w:val="00E91823"/>
    <w:rsid w:val="00E91E06"/>
    <w:rsid w:val="00E9686C"/>
    <w:rsid w:val="00EA19FB"/>
    <w:rsid w:val="00EA4146"/>
    <w:rsid w:val="00EA4197"/>
    <w:rsid w:val="00EA4DFE"/>
    <w:rsid w:val="00EA5BD9"/>
    <w:rsid w:val="00EA68FF"/>
    <w:rsid w:val="00EA785D"/>
    <w:rsid w:val="00EA7FEB"/>
    <w:rsid w:val="00EB0439"/>
    <w:rsid w:val="00EB1F64"/>
    <w:rsid w:val="00EB38F4"/>
    <w:rsid w:val="00EB43FF"/>
    <w:rsid w:val="00EB461B"/>
    <w:rsid w:val="00EB484D"/>
    <w:rsid w:val="00EB567F"/>
    <w:rsid w:val="00EB5E2A"/>
    <w:rsid w:val="00EB62B4"/>
    <w:rsid w:val="00EB6E2B"/>
    <w:rsid w:val="00EB76CF"/>
    <w:rsid w:val="00EC0440"/>
    <w:rsid w:val="00EC19EB"/>
    <w:rsid w:val="00EC2584"/>
    <w:rsid w:val="00EC6147"/>
    <w:rsid w:val="00EC75DE"/>
    <w:rsid w:val="00EC7F7A"/>
    <w:rsid w:val="00ED0B9F"/>
    <w:rsid w:val="00ED281A"/>
    <w:rsid w:val="00ED3907"/>
    <w:rsid w:val="00ED4245"/>
    <w:rsid w:val="00EE191A"/>
    <w:rsid w:val="00EE1E26"/>
    <w:rsid w:val="00EE2E41"/>
    <w:rsid w:val="00EE32EA"/>
    <w:rsid w:val="00EE3950"/>
    <w:rsid w:val="00EE3F9B"/>
    <w:rsid w:val="00EE4865"/>
    <w:rsid w:val="00EE547C"/>
    <w:rsid w:val="00EE581F"/>
    <w:rsid w:val="00EE5EC6"/>
    <w:rsid w:val="00EE710A"/>
    <w:rsid w:val="00EF01BD"/>
    <w:rsid w:val="00EF06AB"/>
    <w:rsid w:val="00EF0DA2"/>
    <w:rsid w:val="00EF2B8E"/>
    <w:rsid w:val="00EF39B9"/>
    <w:rsid w:val="00EF5030"/>
    <w:rsid w:val="00EF5BA1"/>
    <w:rsid w:val="00EF7491"/>
    <w:rsid w:val="00EF7D0F"/>
    <w:rsid w:val="00F016B7"/>
    <w:rsid w:val="00F01B9A"/>
    <w:rsid w:val="00F03B75"/>
    <w:rsid w:val="00F05E97"/>
    <w:rsid w:val="00F06A9F"/>
    <w:rsid w:val="00F10524"/>
    <w:rsid w:val="00F10DBD"/>
    <w:rsid w:val="00F112B9"/>
    <w:rsid w:val="00F11C7C"/>
    <w:rsid w:val="00F123B1"/>
    <w:rsid w:val="00F125A1"/>
    <w:rsid w:val="00F12FB7"/>
    <w:rsid w:val="00F15A51"/>
    <w:rsid w:val="00F20AE2"/>
    <w:rsid w:val="00F20BDE"/>
    <w:rsid w:val="00F225A1"/>
    <w:rsid w:val="00F2311A"/>
    <w:rsid w:val="00F24E83"/>
    <w:rsid w:val="00F25992"/>
    <w:rsid w:val="00F3087A"/>
    <w:rsid w:val="00F30A0D"/>
    <w:rsid w:val="00F30BF2"/>
    <w:rsid w:val="00F31390"/>
    <w:rsid w:val="00F3262F"/>
    <w:rsid w:val="00F336E3"/>
    <w:rsid w:val="00F3424A"/>
    <w:rsid w:val="00F36055"/>
    <w:rsid w:val="00F362F6"/>
    <w:rsid w:val="00F374D1"/>
    <w:rsid w:val="00F40587"/>
    <w:rsid w:val="00F40B82"/>
    <w:rsid w:val="00F413B0"/>
    <w:rsid w:val="00F41C90"/>
    <w:rsid w:val="00F41DA7"/>
    <w:rsid w:val="00F425ED"/>
    <w:rsid w:val="00F4477E"/>
    <w:rsid w:val="00F4556E"/>
    <w:rsid w:val="00F46F81"/>
    <w:rsid w:val="00F473F7"/>
    <w:rsid w:val="00F47543"/>
    <w:rsid w:val="00F47FA2"/>
    <w:rsid w:val="00F5139C"/>
    <w:rsid w:val="00F53267"/>
    <w:rsid w:val="00F54FD1"/>
    <w:rsid w:val="00F559BD"/>
    <w:rsid w:val="00F562E9"/>
    <w:rsid w:val="00F56FE6"/>
    <w:rsid w:val="00F578DB"/>
    <w:rsid w:val="00F57B00"/>
    <w:rsid w:val="00F57E49"/>
    <w:rsid w:val="00F60D40"/>
    <w:rsid w:val="00F6110E"/>
    <w:rsid w:val="00F62EEE"/>
    <w:rsid w:val="00F63271"/>
    <w:rsid w:val="00F63DE5"/>
    <w:rsid w:val="00F7002A"/>
    <w:rsid w:val="00F703A7"/>
    <w:rsid w:val="00F70B2A"/>
    <w:rsid w:val="00F71EEF"/>
    <w:rsid w:val="00F72DC9"/>
    <w:rsid w:val="00F72F07"/>
    <w:rsid w:val="00F7617D"/>
    <w:rsid w:val="00F80828"/>
    <w:rsid w:val="00F81D80"/>
    <w:rsid w:val="00F82F95"/>
    <w:rsid w:val="00F83DA4"/>
    <w:rsid w:val="00F84318"/>
    <w:rsid w:val="00F86D84"/>
    <w:rsid w:val="00F87F2A"/>
    <w:rsid w:val="00F9079A"/>
    <w:rsid w:val="00F9122C"/>
    <w:rsid w:val="00F916A9"/>
    <w:rsid w:val="00F92075"/>
    <w:rsid w:val="00F94AAD"/>
    <w:rsid w:val="00F962CE"/>
    <w:rsid w:val="00F96B4C"/>
    <w:rsid w:val="00FA22CE"/>
    <w:rsid w:val="00FA2A34"/>
    <w:rsid w:val="00FA2C41"/>
    <w:rsid w:val="00FA361A"/>
    <w:rsid w:val="00FA5766"/>
    <w:rsid w:val="00FA5A4C"/>
    <w:rsid w:val="00FA7159"/>
    <w:rsid w:val="00FA7671"/>
    <w:rsid w:val="00FA7F69"/>
    <w:rsid w:val="00FB0E35"/>
    <w:rsid w:val="00FB17E3"/>
    <w:rsid w:val="00FB1F62"/>
    <w:rsid w:val="00FB2A88"/>
    <w:rsid w:val="00FB4507"/>
    <w:rsid w:val="00FB537B"/>
    <w:rsid w:val="00FB6D1C"/>
    <w:rsid w:val="00FB6EA0"/>
    <w:rsid w:val="00FC11D2"/>
    <w:rsid w:val="00FC144B"/>
    <w:rsid w:val="00FC1658"/>
    <w:rsid w:val="00FC1B13"/>
    <w:rsid w:val="00FC480D"/>
    <w:rsid w:val="00FC4897"/>
    <w:rsid w:val="00FC4A4D"/>
    <w:rsid w:val="00FC59B4"/>
    <w:rsid w:val="00FC7F84"/>
    <w:rsid w:val="00FD0108"/>
    <w:rsid w:val="00FD0163"/>
    <w:rsid w:val="00FD0975"/>
    <w:rsid w:val="00FD0B40"/>
    <w:rsid w:val="00FD22CA"/>
    <w:rsid w:val="00FD2AA4"/>
    <w:rsid w:val="00FD307F"/>
    <w:rsid w:val="00FD36D9"/>
    <w:rsid w:val="00FD3A5F"/>
    <w:rsid w:val="00FD4743"/>
    <w:rsid w:val="00FD5450"/>
    <w:rsid w:val="00FD5DA4"/>
    <w:rsid w:val="00FD6C3A"/>
    <w:rsid w:val="00FD7F11"/>
    <w:rsid w:val="00FE04FB"/>
    <w:rsid w:val="00FE0E78"/>
    <w:rsid w:val="00FE25A4"/>
    <w:rsid w:val="00FE338D"/>
    <w:rsid w:val="00FE39FC"/>
    <w:rsid w:val="00FE470D"/>
    <w:rsid w:val="00FE7368"/>
    <w:rsid w:val="00FF32B4"/>
    <w:rsid w:val="00FF33D9"/>
    <w:rsid w:val="00FF3505"/>
    <w:rsid w:val="00FF3B3E"/>
    <w:rsid w:val="00FF67D0"/>
    <w:rsid w:val="00FF6A7E"/>
    <w:rsid w:val="00FF7701"/>
    <w:rsid w:val="00FF7B5C"/>
    <w:rsid w:val="00FF7C01"/>
    <w:rsid w:val="01D11767"/>
    <w:rsid w:val="10A90535"/>
    <w:rsid w:val="11024B5D"/>
    <w:rsid w:val="128052E4"/>
    <w:rsid w:val="128E3DC0"/>
    <w:rsid w:val="1D6E4ED7"/>
    <w:rsid w:val="1D86344E"/>
    <w:rsid w:val="20FD539D"/>
    <w:rsid w:val="24A13792"/>
    <w:rsid w:val="26334AC0"/>
    <w:rsid w:val="28D67FAA"/>
    <w:rsid w:val="2C5B188B"/>
    <w:rsid w:val="32AD6DEB"/>
    <w:rsid w:val="33224658"/>
    <w:rsid w:val="370C39E5"/>
    <w:rsid w:val="3D5C44F1"/>
    <w:rsid w:val="3DBE4A77"/>
    <w:rsid w:val="41C36316"/>
    <w:rsid w:val="44114BD2"/>
    <w:rsid w:val="44744567"/>
    <w:rsid w:val="470754C4"/>
    <w:rsid w:val="49F45C86"/>
    <w:rsid w:val="4A7E61FF"/>
    <w:rsid w:val="4CA11390"/>
    <w:rsid w:val="4CEF31A7"/>
    <w:rsid w:val="4D646C8A"/>
    <w:rsid w:val="50741D80"/>
    <w:rsid w:val="58AC3282"/>
    <w:rsid w:val="5E846B63"/>
    <w:rsid w:val="5F6F23FD"/>
    <w:rsid w:val="5F740409"/>
    <w:rsid w:val="617C1113"/>
    <w:rsid w:val="637F7363"/>
    <w:rsid w:val="64382A63"/>
    <w:rsid w:val="654F5532"/>
    <w:rsid w:val="65811C2A"/>
    <w:rsid w:val="66B04659"/>
    <w:rsid w:val="68386B85"/>
    <w:rsid w:val="69B60E66"/>
    <w:rsid w:val="745045FA"/>
    <w:rsid w:val="7458112A"/>
    <w:rsid w:val="77271A31"/>
    <w:rsid w:val="777606C7"/>
    <w:rsid w:val="7BD74193"/>
    <w:rsid w:val="7C1B17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3">
    <w:name w:val="heading 1"/>
    <w:basedOn w:val="1"/>
    <w:next w:val="1"/>
    <w:link w:val="47"/>
    <w:qFormat/>
    <w:uiPriority w:val="0"/>
    <w:pPr>
      <w:keepNext/>
      <w:keepLines/>
      <w:numPr>
        <w:ilvl w:val="0"/>
        <w:numId w:val="1"/>
      </w:numPr>
      <w:tabs>
        <w:tab w:val="left" w:pos="1080"/>
      </w:tabs>
      <w:spacing w:before="340" w:after="330" w:line="576" w:lineRule="auto"/>
      <w:ind w:left="425" w:hanging="425"/>
      <w:outlineLvl w:val="0"/>
    </w:pPr>
    <w:rPr>
      <w:rFonts w:ascii="Arial" w:hAnsi="Arial" w:cs="Arial"/>
      <w:b/>
      <w:sz w:val="30"/>
      <w:szCs w:val="44"/>
    </w:rPr>
  </w:style>
  <w:style w:type="paragraph" w:styleId="4">
    <w:name w:val="heading 2"/>
    <w:basedOn w:val="1"/>
    <w:next w:val="1"/>
    <w:link w:val="48"/>
    <w:qFormat/>
    <w:uiPriority w:val="0"/>
    <w:pPr>
      <w:keepNext/>
      <w:keepLines/>
      <w:numPr>
        <w:ilvl w:val="1"/>
        <w:numId w:val="1"/>
      </w:numPr>
      <w:tabs>
        <w:tab w:val="left" w:pos="921"/>
      </w:tabs>
      <w:spacing w:before="260" w:after="260" w:line="415" w:lineRule="auto"/>
      <w:ind w:left="921" w:hanging="567"/>
      <w:outlineLvl w:val="1"/>
    </w:pPr>
    <w:rPr>
      <w:rFonts w:ascii="Arial" w:hAnsi="Arial" w:eastAsia="黑体" w:cs="Arial"/>
      <w:sz w:val="28"/>
      <w:szCs w:val="32"/>
    </w:rPr>
  </w:style>
  <w:style w:type="paragraph" w:styleId="2">
    <w:name w:val="heading 3"/>
    <w:basedOn w:val="1"/>
    <w:next w:val="1"/>
    <w:link w:val="49"/>
    <w:autoRedefine/>
    <w:qFormat/>
    <w:uiPriority w:val="0"/>
    <w:pPr>
      <w:keepNext/>
      <w:keepLines/>
      <w:numPr>
        <w:ilvl w:val="2"/>
        <w:numId w:val="1"/>
      </w:numPr>
      <w:tabs>
        <w:tab w:val="left" w:pos="885"/>
      </w:tabs>
      <w:spacing w:before="260" w:after="260" w:line="415" w:lineRule="auto"/>
      <w:ind w:left="885" w:hanging="709"/>
      <w:outlineLvl w:val="2"/>
    </w:pPr>
    <w:rPr>
      <w:b/>
      <w:spacing w:val="59"/>
      <w:szCs w:val="18"/>
    </w:rPr>
  </w:style>
  <w:style w:type="paragraph" w:styleId="5">
    <w:name w:val="heading 4"/>
    <w:basedOn w:val="1"/>
    <w:next w:val="1"/>
    <w:link w:val="50"/>
    <w:qFormat/>
    <w:uiPriority w:val="0"/>
    <w:pPr>
      <w:keepNext/>
      <w:keepLines/>
      <w:numPr>
        <w:ilvl w:val="3"/>
        <w:numId w:val="1"/>
      </w:numPr>
      <w:tabs>
        <w:tab w:val="left" w:pos="1080"/>
      </w:tabs>
      <w:spacing w:before="280" w:after="290" w:line="374" w:lineRule="auto"/>
      <w:ind w:left="851" w:hanging="851"/>
      <w:outlineLvl w:val="3"/>
    </w:pPr>
    <w:rPr>
      <w:rFonts w:ascii="Arial" w:hAnsi="Arial" w:eastAsia="黑体" w:cs="Arial"/>
      <w:b/>
      <w:sz w:val="28"/>
      <w:szCs w:val="28"/>
    </w:rPr>
  </w:style>
  <w:style w:type="paragraph" w:styleId="6">
    <w:name w:val="heading 5"/>
    <w:basedOn w:val="5"/>
    <w:next w:val="7"/>
    <w:link w:val="51"/>
    <w:autoRedefine/>
    <w:qFormat/>
    <w:uiPriority w:val="0"/>
    <w:pPr>
      <w:numPr>
        <w:ilvl w:val="0"/>
        <w:numId w:val="0"/>
      </w:numPr>
      <w:spacing w:after="0" w:line="240" w:lineRule="exact"/>
      <w:ind w:left="3124" w:hanging="284"/>
      <w:jc w:val="center"/>
      <w:outlineLvl w:val="4"/>
    </w:pPr>
    <w:rPr>
      <w:rFonts w:eastAsia="仿宋"/>
      <w:b w:val="0"/>
      <w:sz w:val="30"/>
      <w:szCs w:val="30"/>
    </w:rPr>
  </w:style>
  <w:style w:type="paragraph" w:styleId="8">
    <w:name w:val="heading 6"/>
    <w:basedOn w:val="1"/>
    <w:next w:val="1"/>
    <w:link w:val="52"/>
    <w:qFormat/>
    <w:uiPriority w:val="0"/>
    <w:pPr>
      <w:keepNext/>
      <w:keepLines/>
      <w:spacing w:before="240" w:after="64" w:line="317" w:lineRule="auto"/>
      <w:outlineLvl w:val="5"/>
    </w:pPr>
    <w:rPr>
      <w:rFonts w:ascii="Arial" w:hAnsi="Arial" w:eastAsia="黑体" w:cs="Arial"/>
      <w:b/>
      <w:sz w:val="24"/>
    </w:rPr>
  </w:style>
  <w:style w:type="paragraph" w:styleId="9">
    <w:name w:val="heading 7"/>
    <w:basedOn w:val="1"/>
    <w:next w:val="7"/>
    <w:link w:val="53"/>
    <w:autoRedefine/>
    <w:qFormat/>
    <w:uiPriority w:val="0"/>
    <w:pPr>
      <w:keepNext/>
      <w:keepLines/>
      <w:spacing w:before="240" w:after="64" w:line="312" w:lineRule="auto"/>
      <w:outlineLvl w:val="6"/>
    </w:pPr>
    <w:rPr>
      <w:rFonts w:eastAsia="楷体"/>
      <w:b/>
      <w:sz w:val="24"/>
      <w:szCs w:val="20"/>
    </w:rPr>
  </w:style>
  <w:style w:type="paragraph" w:styleId="10">
    <w:name w:val="heading 8"/>
    <w:basedOn w:val="1"/>
    <w:next w:val="7"/>
    <w:link w:val="54"/>
    <w:autoRedefine/>
    <w:qFormat/>
    <w:uiPriority w:val="0"/>
    <w:pPr>
      <w:keepNext/>
      <w:keepLines/>
      <w:spacing w:before="240" w:after="64" w:line="312" w:lineRule="auto"/>
      <w:outlineLvl w:val="7"/>
    </w:pPr>
    <w:rPr>
      <w:rFonts w:ascii="Arial" w:hAnsi="Arial" w:eastAsia="黑体" w:cs="Arial"/>
      <w:sz w:val="24"/>
      <w:szCs w:val="20"/>
    </w:rPr>
  </w:style>
  <w:style w:type="paragraph" w:styleId="11">
    <w:name w:val="heading 9"/>
    <w:basedOn w:val="1"/>
    <w:next w:val="7"/>
    <w:link w:val="55"/>
    <w:autoRedefine/>
    <w:qFormat/>
    <w:uiPriority w:val="0"/>
    <w:pPr>
      <w:keepNext/>
      <w:keepLines/>
      <w:spacing w:before="240" w:after="64" w:line="312" w:lineRule="auto"/>
      <w:outlineLvl w:val="8"/>
    </w:pPr>
    <w:rPr>
      <w:rFonts w:ascii="Arial" w:hAnsi="Arial" w:eastAsia="黑体" w:cs="Arial"/>
      <w:szCs w:val="20"/>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7">
    <w:name w:val="Normal Indent"/>
    <w:basedOn w:val="1"/>
    <w:autoRedefine/>
    <w:qFormat/>
    <w:uiPriority w:val="0"/>
    <w:pPr>
      <w:ind w:firstLine="420"/>
    </w:pPr>
    <w:rPr>
      <w:kern w:val="1"/>
    </w:rPr>
  </w:style>
  <w:style w:type="paragraph" w:styleId="12">
    <w:name w:val="Document Map"/>
    <w:basedOn w:val="1"/>
    <w:link w:val="71"/>
    <w:autoRedefine/>
    <w:qFormat/>
    <w:uiPriority w:val="0"/>
    <w:pPr>
      <w:shd w:val="clear" w:color="000000" w:fill="00007F"/>
    </w:pPr>
    <w:rPr>
      <w:kern w:val="1"/>
    </w:rPr>
  </w:style>
  <w:style w:type="paragraph" w:styleId="13">
    <w:name w:val="annotation text"/>
    <w:basedOn w:val="1"/>
    <w:link w:val="69"/>
    <w:autoRedefine/>
    <w:unhideWhenUsed/>
    <w:qFormat/>
    <w:uiPriority w:val="99"/>
    <w:pPr>
      <w:jc w:val="left"/>
    </w:pPr>
  </w:style>
  <w:style w:type="paragraph" w:styleId="14">
    <w:name w:val="Body Text"/>
    <w:basedOn w:val="1"/>
    <w:link w:val="66"/>
    <w:autoRedefine/>
    <w:unhideWhenUsed/>
    <w:qFormat/>
    <w:uiPriority w:val="0"/>
    <w:pPr>
      <w:spacing w:after="120"/>
    </w:pPr>
  </w:style>
  <w:style w:type="paragraph" w:styleId="15">
    <w:name w:val="Body Text Indent"/>
    <w:basedOn w:val="1"/>
    <w:link w:val="72"/>
    <w:autoRedefine/>
    <w:qFormat/>
    <w:uiPriority w:val="0"/>
    <w:pPr>
      <w:spacing w:after="120"/>
      <w:ind w:left="420"/>
    </w:pPr>
    <w:rPr>
      <w:kern w:val="1"/>
      <w:lang w:val="zh-CN"/>
    </w:rPr>
  </w:style>
  <w:style w:type="paragraph" w:styleId="16">
    <w:name w:val="toc 3"/>
    <w:basedOn w:val="1"/>
    <w:next w:val="1"/>
    <w:autoRedefine/>
    <w:qFormat/>
    <w:uiPriority w:val="0"/>
    <w:pPr>
      <w:ind w:left="210"/>
      <w:jc w:val="left"/>
    </w:pPr>
    <w:rPr>
      <w:kern w:val="1"/>
      <w:sz w:val="20"/>
      <w:szCs w:val="20"/>
    </w:rPr>
  </w:style>
  <w:style w:type="paragraph" w:styleId="17">
    <w:name w:val="Plain Text"/>
    <w:basedOn w:val="1"/>
    <w:link w:val="79"/>
    <w:autoRedefine/>
    <w:qFormat/>
    <w:uiPriority w:val="0"/>
    <w:rPr>
      <w:rFonts w:ascii="宋体" w:hAnsi="宋体" w:cs="Courier New"/>
      <w:kern w:val="1"/>
      <w:szCs w:val="20"/>
    </w:rPr>
  </w:style>
  <w:style w:type="paragraph" w:styleId="18">
    <w:name w:val="Date"/>
    <w:basedOn w:val="1"/>
    <w:next w:val="1"/>
    <w:link w:val="59"/>
    <w:autoRedefine/>
    <w:qFormat/>
    <w:uiPriority w:val="0"/>
    <w:pPr>
      <w:ind w:left="100"/>
    </w:pPr>
    <w:rPr>
      <w:kern w:val="1"/>
    </w:rPr>
  </w:style>
  <w:style w:type="paragraph" w:styleId="19">
    <w:name w:val="Body Text Indent 2"/>
    <w:basedOn w:val="1"/>
    <w:link w:val="65"/>
    <w:autoRedefine/>
    <w:qFormat/>
    <w:uiPriority w:val="0"/>
    <w:pPr>
      <w:spacing w:line="400" w:lineRule="exact"/>
      <w:ind w:left="425"/>
    </w:pPr>
    <w:rPr>
      <w:kern w:val="1"/>
      <w:sz w:val="24"/>
      <w:szCs w:val="20"/>
    </w:rPr>
  </w:style>
  <w:style w:type="paragraph" w:styleId="20">
    <w:name w:val="endnote text"/>
    <w:basedOn w:val="1"/>
    <w:link w:val="62"/>
    <w:autoRedefine/>
    <w:qFormat/>
    <w:uiPriority w:val="0"/>
    <w:pPr>
      <w:jc w:val="left"/>
    </w:pPr>
    <w:rPr>
      <w:kern w:val="1"/>
      <w:szCs w:val="20"/>
    </w:rPr>
  </w:style>
  <w:style w:type="paragraph" w:styleId="21">
    <w:name w:val="Balloon Text"/>
    <w:basedOn w:val="1"/>
    <w:link w:val="56"/>
    <w:autoRedefine/>
    <w:qFormat/>
    <w:uiPriority w:val="0"/>
    <w:rPr>
      <w:kern w:val="1"/>
      <w:sz w:val="18"/>
      <w:szCs w:val="18"/>
      <w:lang w:val="zh-CN"/>
    </w:rPr>
  </w:style>
  <w:style w:type="paragraph" w:styleId="22">
    <w:name w:val="footer"/>
    <w:basedOn w:val="1"/>
    <w:link w:val="63"/>
    <w:autoRedefine/>
    <w:qFormat/>
    <w:uiPriority w:val="0"/>
    <w:pPr>
      <w:tabs>
        <w:tab w:val="center" w:pos="4153"/>
        <w:tab w:val="right" w:pos="8306"/>
      </w:tabs>
      <w:jc w:val="left"/>
    </w:pPr>
    <w:rPr>
      <w:kern w:val="1"/>
      <w:sz w:val="18"/>
      <w:szCs w:val="18"/>
    </w:rPr>
  </w:style>
  <w:style w:type="paragraph" w:styleId="23">
    <w:name w:val="header"/>
    <w:basedOn w:val="1"/>
    <w:link w:val="58"/>
    <w:qFormat/>
    <w:uiPriority w:val="0"/>
    <w:pPr>
      <w:pBdr>
        <w:bottom w:val="single" w:color="000000" w:sz="6" w:space="1"/>
      </w:pBdr>
      <w:tabs>
        <w:tab w:val="center" w:pos="4153"/>
        <w:tab w:val="right" w:pos="8306"/>
      </w:tabs>
      <w:jc w:val="center"/>
    </w:pPr>
    <w:rPr>
      <w:kern w:val="1"/>
      <w:sz w:val="18"/>
      <w:szCs w:val="18"/>
    </w:rPr>
  </w:style>
  <w:style w:type="paragraph" w:styleId="24">
    <w:name w:val="toc 1"/>
    <w:basedOn w:val="1"/>
    <w:next w:val="1"/>
    <w:autoRedefine/>
    <w:qFormat/>
    <w:uiPriority w:val="0"/>
    <w:pPr>
      <w:spacing w:before="360"/>
      <w:jc w:val="left"/>
    </w:pPr>
    <w:rPr>
      <w:rFonts w:ascii="Arial" w:hAnsi="Arial" w:cs="Arial"/>
      <w:b/>
      <w:caps/>
      <w:kern w:val="1"/>
      <w:sz w:val="24"/>
    </w:rPr>
  </w:style>
  <w:style w:type="paragraph" w:styleId="25">
    <w:name w:val="toc 4"/>
    <w:basedOn w:val="1"/>
    <w:next w:val="1"/>
    <w:autoRedefine/>
    <w:qFormat/>
    <w:uiPriority w:val="0"/>
    <w:pPr>
      <w:ind w:left="1260"/>
    </w:pPr>
    <w:rPr>
      <w:kern w:val="1"/>
    </w:rPr>
  </w:style>
  <w:style w:type="paragraph" w:styleId="26">
    <w:name w:val="index heading"/>
    <w:basedOn w:val="1"/>
    <w:next w:val="27"/>
    <w:qFormat/>
    <w:uiPriority w:val="0"/>
    <w:rPr>
      <w:kern w:val="1"/>
    </w:rPr>
  </w:style>
  <w:style w:type="paragraph" w:styleId="27">
    <w:name w:val="index 1"/>
    <w:basedOn w:val="1"/>
    <w:next w:val="1"/>
    <w:autoRedefine/>
    <w:qFormat/>
    <w:uiPriority w:val="0"/>
    <w:rPr>
      <w:rFonts w:eastAsia="仿宋"/>
      <w:kern w:val="1"/>
      <w:sz w:val="28"/>
      <w:szCs w:val="20"/>
    </w:rPr>
  </w:style>
  <w:style w:type="paragraph" w:styleId="28">
    <w:name w:val="footnote text"/>
    <w:basedOn w:val="1"/>
    <w:link w:val="64"/>
    <w:autoRedefine/>
    <w:qFormat/>
    <w:uiPriority w:val="0"/>
    <w:pPr>
      <w:jc w:val="left"/>
    </w:pPr>
    <w:rPr>
      <w:kern w:val="1"/>
      <w:sz w:val="18"/>
      <w:szCs w:val="20"/>
    </w:rPr>
  </w:style>
  <w:style w:type="paragraph" w:styleId="29">
    <w:name w:val="Body Text Indent 3"/>
    <w:basedOn w:val="1"/>
    <w:link w:val="57"/>
    <w:autoRedefine/>
    <w:qFormat/>
    <w:uiPriority w:val="0"/>
    <w:pPr>
      <w:tabs>
        <w:tab w:val="left" w:pos="0"/>
      </w:tabs>
      <w:spacing w:line="400" w:lineRule="exact"/>
      <w:ind w:left="563" w:hanging="84"/>
    </w:pPr>
    <w:rPr>
      <w:kern w:val="1"/>
      <w:sz w:val="24"/>
      <w:szCs w:val="20"/>
    </w:rPr>
  </w:style>
  <w:style w:type="paragraph" w:styleId="30">
    <w:name w:val="toc 2"/>
    <w:basedOn w:val="1"/>
    <w:next w:val="1"/>
    <w:autoRedefine/>
    <w:qFormat/>
    <w:uiPriority w:val="0"/>
    <w:pPr>
      <w:spacing w:before="240"/>
      <w:jc w:val="left"/>
    </w:pPr>
    <w:rPr>
      <w:b/>
      <w:kern w:val="1"/>
      <w:sz w:val="20"/>
      <w:szCs w:val="20"/>
    </w:rPr>
  </w:style>
  <w:style w:type="paragraph" w:styleId="31">
    <w:name w:val="Body Text 2"/>
    <w:basedOn w:val="1"/>
    <w:link w:val="61"/>
    <w:autoRedefine/>
    <w:qFormat/>
    <w:uiPriority w:val="0"/>
    <w:rPr>
      <w:rFonts w:ascii="宋体" w:hAnsi="宋体" w:cs="宋体"/>
      <w:kern w:val="1"/>
      <w:u w:val="single"/>
    </w:rPr>
  </w:style>
  <w:style w:type="paragraph" w:styleId="32">
    <w:name w:val="HTML Preformatted"/>
    <w:basedOn w:val="1"/>
    <w:link w:val="60"/>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8729"/>
        <w:tab w:val="left" w:pos="10076"/>
        <w:tab w:val="left" w:pos="10992"/>
        <w:tab w:val="left" w:pos="11908"/>
        <w:tab w:val="left" w:pos="12824"/>
        <w:tab w:val="left" w:pos="13740"/>
        <w:tab w:val="left" w:pos="14656"/>
      </w:tabs>
      <w:spacing w:line="330" w:lineRule="atLeast"/>
      <w:jc w:val="left"/>
    </w:pPr>
    <w:rPr>
      <w:rFonts w:ascii="Arial" w:hAnsi="Arial" w:cs="Arial"/>
      <w:szCs w:val="21"/>
    </w:rPr>
  </w:style>
  <w:style w:type="paragraph" w:styleId="33">
    <w:name w:val="Normal (Web)"/>
    <w:basedOn w:val="1"/>
    <w:autoRedefine/>
    <w:qFormat/>
    <w:uiPriority w:val="99"/>
    <w:pPr>
      <w:widowControl/>
      <w:spacing w:before="100" w:beforeAutospacing="1" w:after="100" w:afterAutospacing="1"/>
      <w:jc w:val="left"/>
    </w:pPr>
    <w:rPr>
      <w:rFonts w:ascii="宋体" w:hAnsi="宋体" w:cs="宋体"/>
      <w:sz w:val="24"/>
    </w:rPr>
  </w:style>
  <w:style w:type="paragraph" w:styleId="34">
    <w:name w:val="Title"/>
    <w:basedOn w:val="1"/>
    <w:link w:val="68"/>
    <w:autoRedefine/>
    <w:qFormat/>
    <w:uiPriority w:val="0"/>
    <w:pPr>
      <w:spacing w:before="120" w:after="60"/>
      <w:jc w:val="center"/>
    </w:pPr>
    <w:rPr>
      <w:rFonts w:ascii="Arial" w:hAnsi="Arial" w:cs="Arial"/>
      <w:b/>
      <w:kern w:val="1"/>
      <w:sz w:val="44"/>
      <w:szCs w:val="20"/>
    </w:rPr>
  </w:style>
  <w:style w:type="paragraph" w:styleId="35">
    <w:name w:val="annotation subject"/>
    <w:basedOn w:val="13"/>
    <w:next w:val="13"/>
    <w:link w:val="70"/>
    <w:autoRedefine/>
    <w:qFormat/>
    <w:uiPriority w:val="0"/>
    <w:rPr>
      <w:b/>
      <w:kern w:val="1"/>
    </w:rPr>
  </w:style>
  <w:style w:type="paragraph" w:styleId="36">
    <w:name w:val="Body Text First Indent"/>
    <w:basedOn w:val="14"/>
    <w:link w:val="67"/>
    <w:autoRedefine/>
    <w:qFormat/>
    <w:uiPriority w:val="0"/>
    <w:pPr>
      <w:ind w:firstLine="420"/>
    </w:pPr>
    <w:rPr>
      <w:rFonts w:eastAsia="楷体"/>
      <w:kern w:val="1"/>
      <w:szCs w:val="20"/>
    </w:rPr>
  </w:style>
  <w:style w:type="table" w:styleId="38">
    <w:name w:val="Table Grid"/>
    <w:basedOn w:val="37"/>
    <w:autoRedefine/>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autoRedefine/>
    <w:qFormat/>
    <w:uiPriority w:val="22"/>
    <w:rPr>
      <w:b/>
    </w:rPr>
  </w:style>
  <w:style w:type="character" w:styleId="41">
    <w:name w:val="endnote reference"/>
    <w:autoRedefine/>
    <w:qFormat/>
    <w:uiPriority w:val="0"/>
    <w:rPr>
      <w:position w:val="-2"/>
      <w:vertAlign w:val="superscript"/>
    </w:rPr>
  </w:style>
  <w:style w:type="character" w:styleId="42">
    <w:name w:val="page number"/>
    <w:basedOn w:val="39"/>
    <w:autoRedefine/>
    <w:qFormat/>
    <w:uiPriority w:val="0"/>
  </w:style>
  <w:style w:type="character" w:styleId="43">
    <w:name w:val="FollowedHyperlink"/>
    <w:basedOn w:val="39"/>
    <w:autoRedefine/>
    <w:semiHidden/>
    <w:unhideWhenUsed/>
    <w:qFormat/>
    <w:uiPriority w:val="99"/>
    <w:rPr>
      <w:color w:val="800080" w:themeColor="followedHyperlink"/>
      <w:u w:val="single"/>
      <w14:textFill>
        <w14:solidFill>
          <w14:schemeClr w14:val="folHlink"/>
        </w14:solidFill>
      </w14:textFill>
    </w:rPr>
  </w:style>
  <w:style w:type="character" w:styleId="44">
    <w:name w:val="Hyperlink"/>
    <w:autoRedefine/>
    <w:qFormat/>
    <w:uiPriority w:val="0"/>
    <w:rPr>
      <w:color w:val="0000FF"/>
      <w:u w:val="single"/>
    </w:rPr>
  </w:style>
  <w:style w:type="character" w:styleId="45">
    <w:name w:val="annotation reference"/>
    <w:autoRedefine/>
    <w:qFormat/>
    <w:uiPriority w:val="99"/>
    <w:rPr>
      <w:sz w:val="21"/>
      <w:szCs w:val="21"/>
    </w:rPr>
  </w:style>
  <w:style w:type="character" w:styleId="46">
    <w:name w:val="footnote reference"/>
    <w:autoRedefine/>
    <w:qFormat/>
    <w:uiPriority w:val="0"/>
    <w:rPr>
      <w:position w:val="-2"/>
      <w:vertAlign w:val="superscript"/>
    </w:rPr>
  </w:style>
  <w:style w:type="character" w:customStyle="1" w:styleId="47">
    <w:name w:val="标题 1 字符"/>
    <w:basedOn w:val="39"/>
    <w:link w:val="3"/>
    <w:autoRedefine/>
    <w:qFormat/>
    <w:uiPriority w:val="0"/>
    <w:rPr>
      <w:rFonts w:ascii="Arial" w:hAnsi="Arial" w:eastAsia="宋体" w:cs="Arial"/>
      <w:b/>
      <w:color w:val="000000"/>
      <w:kern w:val="0"/>
      <w:sz w:val="30"/>
      <w:szCs w:val="44"/>
    </w:rPr>
  </w:style>
  <w:style w:type="character" w:customStyle="1" w:styleId="48">
    <w:name w:val="标题 2 字符"/>
    <w:basedOn w:val="39"/>
    <w:link w:val="4"/>
    <w:autoRedefine/>
    <w:qFormat/>
    <w:uiPriority w:val="0"/>
    <w:rPr>
      <w:rFonts w:ascii="Arial" w:hAnsi="Arial" w:eastAsia="黑体" w:cs="Arial"/>
      <w:color w:val="000000"/>
      <w:kern w:val="0"/>
      <w:sz w:val="28"/>
      <w:szCs w:val="32"/>
      <w:lang w:val="en-US" w:eastAsia="zh-CN"/>
    </w:rPr>
  </w:style>
  <w:style w:type="character" w:customStyle="1" w:styleId="49">
    <w:name w:val="标题 3 字符"/>
    <w:basedOn w:val="39"/>
    <w:link w:val="2"/>
    <w:autoRedefine/>
    <w:qFormat/>
    <w:uiPriority w:val="0"/>
    <w:rPr>
      <w:rFonts w:ascii="Times New Roman" w:hAnsi="Times New Roman" w:eastAsia="宋体" w:cs="Times New Roman"/>
      <w:b/>
      <w:color w:val="000000"/>
      <w:spacing w:val="59"/>
      <w:kern w:val="0"/>
      <w:szCs w:val="18"/>
    </w:rPr>
  </w:style>
  <w:style w:type="character" w:customStyle="1" w:styleId="50">
    <w:name w:val="标题 4 字符"/>
    <w:basedOn w:val="39"/>
    <w:link w:val="5"/>
    <w:autoRedefine/>
    <w:qFormat/>
    <w:uiPriority w:val="0"/>
    <w:rPr>
      <w:rFonts w:ascii="Arial" w:hAnsi="Arial" w:eastAsia="黑体" w:cs="Arial"/>
      <w:b/>
      <w:color w:val="000000"/>
      <w:kern w:val="0"/>
      <w:sz w:val="28"/>
      <w:szCs w:val="28"/>
    </w:rPr>
  </w:style>
  <w:style w:type="character" w:customStyle="1" w:styleId="51">
    <w:name w:val="标题 5 字符"/>
    <w:basedOn w:val="39"/>
    <w:link w:val="6"/>
    <w:autoRedefine/>
    <w:qFormat/>
    <w:uiPriority w:val="0"/>
    <w:rPr>
      <w:rFonts w:ascii="Arial" w:hAnsi="Arial" w:eastAsia="仿宋" w:cs="Arial"/>
      <w:color w:val="000000"/>
      <w:kern w:val="0"/>
      <w:sz w:val="30"/>
      <w:szCs w:val="30"/>
    </w:rPr>
  </w:style>
  <w:style w:type="character" w:customStyle="1" w:styleId="52">
    <w:name w:val="标题 6 字符"/>
    <w:basedOn w:val="39"/>
    <w:link w:val="8"/>
    <w:autoRedefine/>
    <w:qFormat/>
    <w:uiPriority w:val="0"/>
    <w:rPr>
      <w:rFonts w:ascii="Arial" w:hAnsi="Arial" w:eastAsia="黑体" w:cs="Arial"/>
      <w:b/>
      <w:color w:val="000000"/>
      <w:kern w:val="0"/>
      <w:sz w:val="24"/>
      <w:szCs w:val="24"/>
    </w:rPr>
  </w:style>
  <w:style w:type="character" w:customStyle="1" w:styleId="53">
    <w:name w:val="标题 7 字符"/>
    <w:basedOn w:val="39"/>
    <w:link w:val="9"/>
    <w:autoRedefine/>
    <w:qFormat/>
    <w:uiPriority w:val="0"/>
    <w:rPr>
      <w:rFonts w:ascii="Times New Roman" w:hAnsi="Times New Roman" w:eastAsia="楷体" w:cs="Times New Roman"/>
      <w:b/>
      <w:color w:val="000000"/>
      <w:kern w:val="0"/>
      <w:sz w:val="24"/>
      <w:szCs w:val="20"/>
    </w:rPr>
  </w:style>
  <w:style w:type="character" w:customStyle="1" w:styleId="54">
    <w:name w:val="标题 8 字符"/>
    <w:basedOn w:val="39"/>
    <w:link w:val="10"/>
    <w:autoRedefine/>
    <w:qFormat/>
    <w:uiPriority w:val="0"/>
    <w:rPr>
      <w:rFonts w:ascii="Arial" w:hAnsi="Arial" w:eastAsia="黑体" w:cs="Arial"/>
      <w:color w:val="000000"/>
      <w:kern w:val="0"/>
      <w:sz w:val="24"/>
      <w:szCs w:val="20"/>
    </w:rPr>
  </w:style>
  <w:style w:type="character" w:customStyle="1" w:styleId="55">
    <w:name w:val="标题 9 字符"/>
    <w:basedOn w:val="39"/>
    <w:link w:val="11"/>
    <w:autoRedefine/>
    <w:qFormat/>
    <w:uiPriority w:val="0"/>
    <w:rPr>
      <w:rFonts w:ascii="Arial" w:hAnsi="Arial" w:eastAsia="黑体" w:cs="Arial"/>
      <w:color w:val="000000"/>
      <w:kern w:val="0"/>
      <w:szCs w:val="20"/>
    </w:rPr>
  </w:style>
  <w:style w:type="character" w:customStyle="1" w:styleId="56">
    <w:name w:val="批注框文本 字符"/>
    <w:basedOn w:val="39"/>
    <w:link w:val="21"/>
    <w:autoRedefine/>
    <w:qFormat/>
    <w:uiPriority w:val="0"/>
    <w:rPr>
      <w:rFonts w:ascii="Times New Roman" w:hAnsi="Times New Roman" w:eastAsia="宋体" w:cs="Times New Roman"/>
      <w:color w:val="000000"/>
      <w:kern w:val="1"/>
      <w:sz w:val="18"/>
      <w:szCs w:val="18"/>
      <w:lang w:val="zh-CN"/>
    </w:rPr>
  </w:style>
  <w:style w:type="character" w:customStyle="1" w:styleId="57">
    <w:name w:val="正文文本缩进 3 字符"/>
    <w:basedOn w:val="39"/>
    <w:link w:val="29"/>
    <w:autoRedefine/>
    <w:qFormat/>
    <w:uiPriority w:val="0"/>
    <w:rPr>
      <w:rFonts w:ascii="Times New Roman" w:hAnsi="Times New Roman" w:eastAsia="宋体" w:cs="Times New Roman"/>
      <w:color w:val="000000"/>
      <w:kern w:val="1"/>
      <w:sz w:val="24"/>
      <w:szCs w:val="20"/>
    </w:rPr>
  </w:style>
  <w:style w:type="character" w:customStyle="1" w:styleId="58">
    <w:name w:val="页眉 字符"/>
    <w:basedOn w:val="39"/>
    <w:link w:val="23"/>
    <w:autoRedefine/>
    <w:qFormat/>
    <w:uiPriority w:val="0"/>
    <w:rPr>
      <w:rFonts w:ascii="Times New Roman" w:hAnsi="Times New Roman" w:eastAsia="宋体" w:cs="Times New Roman"/>
      <w:color w:val="000000"/>
      <w:kern w:val="1"/>
      <w:sz w:val="18"/>
      <w:szCs w:val="18"/>
    </w:rPr>
  </w:style>
  <w:style w:type="character" w:customStyle="1" w:styleId="59">
    <w:name w:val="日期 字符"/>
    <w:basedOn w:val="39"/>
    <w:link w:val="18"/>
    <w:autoRedefine/>
    <w:qFormat/>
    <w:uiPriority w:val="0"/>
    <w:rPr>
      <w:rFonts w:ascii="Times New Roman" w:hAnsi="Times New Roman" w:eastAsia="宋体" w:cs="Times New Roman"/>
      <w:color w:val="000000"/>
      <w:kern w:val="1"/>
      <w:szCs w:val="24"/>
    </w:rPr>
  </w:style>
  <w:style w:type="character" w:customStyle="1" w:styleId="60">
    <w:name w:val="HTML 预设格式 字符"/>
    <w:basedOn w:val="39"/>
    <w:link w:val="32"/>
    <w:autoRedefine/>
    <w:qFormat/>
    <w:uiPriority w:val="0"/>
    <w:rPr>
      <w:rFonts w:ascii="Arial" w:hAnsi="Arial" w:eastAsia="宋体" w:cs="Arial"/>
      <w:color w:val="000000"/>
      <w:kern w:val="0"/>
      <w:szCs w:val="21"/>
    </w:rPr>
  </w:style>
  <w:style w:type="character" w:customStyle="1" w:styleId="61">
    <w:name w:val="正文文本 2 字符"/>
    <w:basedOn w:val="39"/>
    <w:link w:val="31"/>
    <w:autoRedefine/>
    <w:qFormat/>
    <w:uiPriority w:val="0"/>
    <w:rPr>
      <w:rFonts w:ascii="宋体" w:hAnsi="宋体" w:eastAsia="宋体" w:cs="宋体"/>
      <w:color w:val="000000"/>
      <w:kern w:val="1"/>
      <w:szCs w:val="24"/>
      <w:u w:val="single"/>
    </w:rPr>
  </w:style>
  <w:style w:type="character" w:customStyle="1" w:styleId="62">
    <w:name w:val="尾注文本 字符"/>
    <w:basedOn w:val="39"/>
    <w:link w:val="20"/>
    <w:autoRedefine/>
    <w:qFormat/>
    <w:uiPriority w:val="0"/>
    <w:rPr>
      <w:rFonts w:ascii="Times New Roman" w:hAnsi="Times New Roman" w:eastAsia="宋体" w:cs="Times New Roman"/>
      <w:color w:val="000000"/>
      <w:kern w:val="1"/>
      <w:szCs w:val="20"/>
    </w:rPr>
  </w:style>
  <w:style w:type="character" w:customStyle="1" w:styleId="63">
    <w:name w:val="页脚 字符"/>
    <w:basedOn w:val="39"/>
    <w:link w:val="22"/>
    <w:autoRedefine/>
    <w:qFormat/>
    <w:uiPriority w:val="0"/>
    <w:rPr>
      <w:rFonts w:ascii="Times New Roman" w:hAnsi="Times New Roman" w:eastAsia="宋体" w:cs="Times New Roman"/>
      <w:color w:val="000000"/>
      <w:kern w:val="1"/>
      <w:sz w:val="18"/>
      <w:szCs w:val="18"/>
    </w:rPr>
  </w:style>
  <w:style w:type="character" w:customStyle="1" w:styleId="64">
    <w:name w:val="脚注文本 字符"/>
    <w:basedOn w:val="39"/>
    <w:link w:val="28"/>
    <w:autoRedefine/>
    <w:qFormat/>
    <w:uiPriority w:val="0"/>
    <w:rPr>
      <w:rFonts w:ascii="Times New Roman" w:hAnsi="Times New Roman" w:eastAsia="宋体" w:cs="Times New Roman"/>
      <w:color w:val="000000"/>
      <w:kern w:val="1"/>
      <w:sz w:val="18"/>
      <w:szCs w:val="20"/>
    </w:rPr>
  </w:style>
  <w:style w:type="character" w:customStyle="1" w:styleId="65">
    <w:name w:val="正文文本缩进 2 字符"/>
    <w:basedOn w:val="39"/>
    <w:link w:val="19"/>
    <w:autoRedefine/>
    <w:qFormat/>
    <w:uiPriority w:val="0"/>
    <w:rPr>
      <w:rFonts w:ascii="Times New Roman" w:hAnsi="Times New Roman" w:eastAsia="宋体" w:cs="Times New Roman"/>
      <w:color w:val="000000"/>
      <w:kern w:val="1"/>
      <w:sz w:val="24"/>
      <w:szCs w:val="20"/>
    </w:rPr>
  </w:style>
  <w:style w:type="character" w:customStyle="1" w:styleId="66">
    <w:name w:val="正文文本 字符"/>
    <w:basedOn w:val="39"/>
    <w:link w:val="14"/>
    <w:autoRedefine/>
    <w:qFormat/>
    <w:uiPriority w:val="0"/>
    <w:rPr>
      <w:rFonts w:ascii="Times New Roman" w:hAnsi="Times New Roman" w:eastAsia="宋体" w:cs="Times New Roman"/>
      <w:color w:val="000000"/>
      <w:kern w:val="0"/>
      <w:szCs w:val="24"/>
    </w:rPr>
  </w:style>
  <w:style w:type="character" w:customStyle="1" w:styleId="67">
    <w:name w:val="正文文本首行缩进 字符"/>
    <w:basedOn w:val="66"/>
    <w:link w:val="36"/>
    <w:autoRedefine/>
    <w:qFormat/>
    <w:uiPriority w:val="0"/>
    <w:rPr>
      <w:rFonts w:ascii="Times New Roman" w:hAnsi="Times New Roman" w:eastAsia="楷体" w:cs="Times New Roman"/>
      <w:color w:val="000000"/>
      <w:kern w:val="1"/>
      <w:szCs w:val="20"/>
    </w:rPr>
  </w:style>
  <w:style w:type="character" w:customStyle="1" w:styleId="68">
    <w:name w:val="标题 字符"/>
    <w:basedOn w:val="39"/>
    <w:link w:val="34"/>
    <w:autoRedefine/>
    <w:qFormat/>
    <w:uiPriority w:val="0"/>
    <w:rPr>
      <w:rFonts w:ascii="Arial" w:hAnsi="Arial" w:eastAsia="宋体" w:cs="Arial"/>
      <w:b/>
      <w:color w:val="000000"/>
      <w:kern w:val="1"/>
      <w:sz w:val="44"/>
      <w:szCs w:val="20"/>
    </w:rPr>
  </w:style>
  <w:style w:type="character" w:customStyle="1" w:styleId="69">
    <w:name w:val="批注文字 字符"/>
    <w:basedOn w:val="39"/>
    <w:link w:val="13"/>
    <w:autoRedefine/>
    <w:qFormat/>
    <w:uiPriority w:val="99"/>
    <w:rPr>
      <w:rFonts w:ascii="Times New Roman" w:hAnsi="Times New Roman" w:eastAsia="宋体" w:cs="Times New Roman"/>
      <w:color w:val="000000"/>
      <w:kern w:val="0"/>
      <w:szCs w:val="24"/>
    </w:rPr>
  </w:style>
  <w:style w:type="character" w:customStyle="1" w:styleId="70">
    <w:name w:val="批注主题 字符"/>
    <w:basedOn w:val="69"/>
    <w:link w:val="35"/>
    <w:autoRedefine/>
    <w:qFormat/>
    <w:uiPriority w:val="0"/>
    <w:rPr>
      <w:rFonts w:ascii="Times New Roman" w:hAnsi="Times New Roman" w:eastAsia="宋体" w:cs="Times New Roman"/>
      <w:b/>
      <w:color w:val="000000"/>
      <w:kern w:val="1"/>
      <w:szCs w:val="24"/>
    </w:rPr>
  </w:style>
  <w:style w:type="character" w:customStyle="1" w:styleId="71">
    <w:name w:val="文档结构图 字符"/>
    <w:basedOn w:val="39"/>
    <w:link w:val="12"/>
    <w:autoRedefine/>
    <w:qFormat/>
    <w:uiPriority w:val="0"/>
    <w:rPr>
      <w:rFonts w:ascii="Times New Roman" w:hAnsi="Times New Roman" w:eastAsia="宋体" w:cs="Times New Roman"/>
      <w:color w:val="000000"/>
      <w:kern w:val="1"/>
      <w:szCs w:val="24"/>
      <w:shd w:val="clear" w:color="000000" w:fill="00007F"/>
    </w:rPr>
  </w:style>
  <w:style w:type="character" w:customStyle="1" w:styleId="72">
    <w:name w:val="正文文本缩进 字符"/>
    <w:basedOn w:val="39"/>
    <w:link w:val="15"/>
    <w:autoRedefine/>
    <w:qFormat/>
    <w:uiPriority w:val="0"/>
    <w:rPr>
      <w:rFonts w:ascii="Times New Roman" w:hAnsi="Times New Roman" w:eastAsia="宋体" w:cs="Times New Roman"/>
      <w:color w:val="000000"/>
      <w:kern w:val="1"/>
      <w:szCs w:val="24"/>
      <w:lang w:val="zh-CN"/>
    </w:rPr>
  </w:style>
  <w:style w:type="paragraph" w:customStyle="1" w:styleId="73">
    <w:name w:val="xl24"/>
    <w:basedOn w:val="1"/>
    <w:autoRedefine/>
    <w:qFormat/>
    <w:uiPriority w:val="0"/>
    <w:pPr>
      <w:widowControl/>
      <w:spacing w:before="100" w:after="100"/>
      <w:jc w:val="center"/>
    </w:pPr>
    <w:rPr>
      <w:rFonts w:ascii="宋体" w:hAnsi="宋体" w:cs="宋体"/>
      <w:sz w:val="24"/>
      <w:szCs w:val="20"/>
    </w:rPr>
  </w:style>
  <w:style w:type="paragraph" w:customStyle="1" w:styleId="74">
    <w:name w:val="表头"/>
    <w:basedOn w:val="1"/>
    <w:autoRedefine/>
    <w:qFormat/>
    <w:uiPriority w:val="0"/>
    <w:pPr>
      <w:spacing w:line="360" w:lineRule="auto"/>
      <w:jc w:val="center"/>
    </w:pPr>
    <w:rPr>
      <w:rFonts w:ascii="黑体" w:hAnsi="黑体" w:eastAsia="黑体"/>
      <w:sz w:val="24"/>
      <w:szCs w:val="20"/>
    </w:rPr>
  </w:style>
  <w:style w:type="paragraph" w:customStyle="1" w:styleId="75">
    <w:name w:val="CM5"/>
    <w:basedOn w:val="76"/>
    <w:next w:val="76"/>
    <w:autoRedefine/>
    <w:qFormat/>
    <w:uiPriority w:val="0"/>
    <w:pPr>
      <w:spacing w:line="313" w:lineRule="atLeast"/>
    </w:pPr>
    <w:rPr>
      <w:rFonts w:cs="Times New Roman"/>
    </w:rPr>
  </w:style>
  <w:style w:type="paragraph" w:customStyle="1" w:styleId="76">
    <w:name w:val="Default"/>
    <w:autoRedefine/>
    <w:qFormat/>
    <w:uiPriority w:val="0"/>
    <w:pPr>
      <w:widowControl w:val="0"/>
    </w:pPr>
    <w:rPr>
      <w:rFonts w:ascii="宋体" w:hAnsi="宋体" w:eastAsia="宋体" w:cs="宋体"/>
      <w:color w:val="000000"/>
      <w:sz w:val="24"/>
      <w:szCs w:val="24"/>
      <w:lang w:val="en-US" w:eastAsia="zh-CN" w:bidi="ar-SA"/>
    </w:rPr>
  </w:style>
  <w:style w:type="paragraph" w:customStyle="1" w:styleId="77">
    <w:name w:val="CM3"/>
    <w:basedOn w:val="76"/>
    <w:next w:val="76"/>
    <w:autoRedefine/>
    <w:qFormat/>
    <w:uiPriority w:val="0"/>
    <w:pPr>
      <w:spacing w:line="433" w:lineRule="atLeast"/>
    </w:pPr>
    <w:rPr>
      <w:rFonts w:cs="Times New Roman"/>
    </w:rPr>
  </w:style>
  <w:style w:type="paragraph" w:customStyle="1" w:styleId="78">
    <w:name w:val="CM110"/>
    <w:basedOn w:val="76"/>
    <w:next w:val="76"/>
    <w:autoRedefine/>
    <w:qFormat/>
    <w:uiPriority w:val="0"/>
    <w:rPr>
      <w:rFonts w:cs="Times New Roman"/>
    </w:rPr>
  </w:style>
  <w:style w:type="character" w:customStyle="1" w:styleId="79">
    <w:name w:val="纯文本 字符"/>
    <w:basedOn w:val="39"/>
    <w:link w:val="17"/>
    <w:autoRedefine/>
    <w:qFormat/>
    <w:uiPriority w:val="0"/>
    <w:rPr>
      <w:rFonts w:ascii="宋体" w:hAnsi="宋体" w:eastAsia="宋体" w:cs="Courier New"/>
      <w:color w:val="000000"/>
      <w:kern w:val="1"/>
      <w:szCs w:val="20"/>
    </w:rPr>
  </w:style>
  <w:style w:type="paragraph" w:customStyle="1" w:styleId="80">
    <w:name w:val="Char"/>
    <w:basedOn w:val="1"/>
    <w:autoRedefine/>
    <w:qFormat/>
    <w:uiPriority w:val="0"/>
    <w:rPr>
      <w:rFonts w:ascii="Tahoma" w:hAnsi="Tahoma" w:cs="仿宋"/>
      <w:kern w:val="1"/>
      <w:sz w:val="24"/>
      <w:szCs w:val="20"/>
    </w:rPr>
  </w:style>
  <w:style w:type="paragraph" w:customStyle="1" w:styleId="81">
    <w:name w:val="CM116"/>
    <w:basedOn w:val="76"/>
    <w:next w:val="76"/>
    <w:autoRedefine/>
    <w:qFormat/>
    <w:uiPriority w:val="0"/>
    <w:rPr>
      <w:rFonts w:cs="Times New Roman"/>
    </w:rPr>
  </w:style>
  <w:style w:type="paragraph" w:customStyle="1" w:styleId="82">
    <w:name w:val="CM18"/>
    <w:basedOn w:val="76"/>
    <w:next w:val="76"/>
    <w:autoRedefine/>
    <w:qFormat/>
    <w:uiPriority w:val="0"/>
    <w:pPr>
      <w:spacing w:line="400" w:lineRule="atLeast"/>
    </w:pPr>
    <w:rPr>
      <w:rFonts w:cs="Times New Roman"/>
    </w:rPr>
  </w:style>
  <w:style w:type="paragraph" w:customStyle="1" w:styleId="83">
    <w:name w:val="公文标题"/>
    <w:basedOn w:val="2"/>
    <w:autoRedefine/>
    <w:qFormat/>
    <w:uiPriority w:val="0"/>
    <w:pPr>
      <w:numPr>
        <w:ilvl w:val="0"/>
        <w:numId w:val="0"/>
      </w:numPr>
      <w:spacing w:line="240" w:lineRule="auto"/>
      <w:ind w:left="1469" w:right="1542"/>
      <w:jc w:val="center"/>
    </w:pPr>
    <w:rPr>
      <w:spacing w:val="0"/>
      <w:kern w:val="1"/>
      <w:sz w:val="44"/>
      <w:szCs w:val="24"/>
    </w:rPr>
  </w:style>
  <w:style w:type="paragraph" w:customStyle="1" w:styleId="84">
    <w:name w:val="CM1"/>
    <w:basedOn w:val="76"/>
    <w:next w:val="76"/>
    <w:autoRedefine/>
    <w:qFormat/>
    <w:uiPriority w:val="0"/>
    <w:rPr>
      <w:rFonts w:cs="Times New Roman"/>
    </w:rPr>
  </w:style>
  <w:style w:type="paragraph" w:customStyle="1" w:styleId="85">
    <w:name w:val="文一"/>
    <w:basedOn w:val="1"/>
    <w:link w:val="138"/>
    <w:autoRedefine/>
    <w:qFormat/>
    <w:uiPriority w:val="0"/>
    <w:pPr>
      <w:spacing w:line="360" w:lineRule="auto"/>
      <w:ind w:firstLine="200"/>
    </w:pPr>
    <w:rPr>
      <w:spacing w:val="4"/>
      <w:sz w:val="24"/>
    </w:rPr>
  </w:style>
  <w:style w:type="paragraph" w:customStyle="1" w:styleId="86">
    <w:name w:val="默认段落字体 Para Char"/>
    <w:basedOn w:val="1"/>
    <w:autoRedefine/>
    <w:qFormat/>
    <w:uiPriority w:val="0"/>
    <w:pPr>
      <w:spacing w:line="360" w:lineRule="auto"/>
      <w:jc w:val="left"/>
    </w:pPr>
    <w:rPr>
      <w:rFonts w:eastAsia="仿宋"/>
      <w:b/>
      <w:kern w:val="1"/>
      <w:sz w:val="32"/>
    </w:rPr>
  </w:style>
  <w:style w:type="paragraph" w:customStyle="1" w:styleId="87">
    <w:name w:val="CM2"/>
    <w:basedOn w:val="76"/>
    <w:next w:val="76"/>
    <w:autoRedefine/>
    <w:qFormat/>
    <w:uiPriority w:val="0"/>
    <w:pPr>
      <w:spacing w:line="500" w:lineRule="atLeast"/>
    </w:pPr>
    <w:rPr>
      <w:rFonts w:cs="Times New Roman"/>
    </w:rPr>
  </w:style>
  <w:style w:type="paragraph" w:customStyle="1" w:styleId="88">
    <w:name w:val="列出段落1"/>
    <w:basedOn w:val="1"/>
    <w:autoRedefine/>
    <w:qFormat/>
    <w:uiPriority w:val="0"/>
    <w:pPr>
      <w:ind w:firstLine="420"/>
    </w:pPr>
    <w:rPr>
      <w:kern w:val="1"/>
    </w:rPr>
  </w:style>
  <w:style w:type="paragraph" w:customStyle="1" w:styleId="89">
    <w:name w:val="Char Char Char Char Char Char Char"/>
    <w:basedOn w:val="1"/>
    <w:autoRedefine/>
    <w:qFormat/>
    <w:uiPriority w:val="0"/>
    <w:pPr>
      <w:tabs>
        <w:tab w:val="left" w:pos="425"/>
      </w:tabs>
      <w:ind w:left="425" w:hanging="425"/>
    </w:pPr>
    <w:rPr>
      <w:rFonts w:eastAsia="仿宋"/>
      <w:kern w:val="1"/>
      <w:sz w:val="24"/>
    </w:rPr>
  </w:style>
  <w:style w:type="paragraph" w:customStyle="1" w:styleId="90">
    <w:name w:val="Char Char Char1 Char"/>
    <w:basedOn w:val="12"/>
    <w:autoRedefine/>
    <w:qFormat/>
    <w:uiPriority w:val="0"/>
    <w:rPr>
      <w:rFonts w:ascii="Tahoma" w:hAnsi="Tahoma" w:cs="Tahoma"/>
      <w:sz w:val="24"/>
    </w:rPr>
  </w:style>
  <w:style w:type="paragraph" w:customStyle="1" w:styleId="91">
    <w:name w:val="样式2"/>
    <w:basedOn w:val="1"/>
    <w:autoRedefine/>
    <w:qFormat/>
    <w:uiPriority w:val="0"/>
    <w:pPr>
      <w:spacing w:before="120" w:after="120" w:line="312" w:lineRule="atLeast"/>
      <w:jc w:val="center"/>
    </w:pPr>
    <w:rPr>
      <w:sz w:val="24"/>
      <w:szCs w:val="20"/>
    </w:rPr>
  </w:style>
  <w:style w:type="paragraph" w:customStyle="1" w:styleId="92">
    <w:name w:val="Char1"/>
    <w:basedOn w:val="1"/>
    <w:autoRedefine/>
    <w:qFormat/>
    <w:uiPriority w:val="0"/>
    <w:pPr>
      <w:tabs>
        <w:tab w:val="left" w:pos="720"/>
      </w:tabs>
      <w:ind w:left="720" w:hanging="720"/>
    </w:pPr>
    <w:rPr>
      <w:kern w:val="1"/>
      <w:sz w:val="24"/>
    </w:rPr>
  </w:style>
  <w:style w:type="paragraph" w:customStyle="1" w:styleId="93">
    <w:name w:val="xl50"/>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sz w:val="20"/>
      <w:szCs w:val="20"/>
    </w:rPr>
  </w:style>
  <w:style w:type="paragraph" w:customStyle="1" w:styleId="94">
    <w:name w:val="Char Char Char Char Char Char Char Char1 Char"/>
    <w:basedOn w:val="1"/>
    <w:autoRedefine/>
    <w:qFormat/>
    <w:uiPriority w:val="0"/>
    <w:rPr>
      <w:kern w:val="1"/>
      <w:szCs w:val="20"/>
    </w:rPr>
  </w:style>
  <w:style w:type="paragraph" w:customStyle="1" w:styleId="95">
    <w:name w:val="Blockquote"/>
    <w:basedOn w:val="1"/>
    <w:autoRedefine/>
    <w:qFormat/>
    <w:uiPriority w:val="0"/>
    <w:pPr>
      <w:spacing w:before="100" w:after="100"/>
      <w:ind w:left="360" w:right="360"/>
      <w:jc w:val="left"/>
    </w:pPr>
    <w:rPr>
      <w:sz w:val="24"/>
      <w:szCs w:val="20"/>
    </w:rPr>
  </w:style>
  <w:style w:type="paragraph" w:customStyle="1" w:styleId="96">
    <w:name w:val="CM102"/>
    <w:basedOn w:val="76"/>
    <w:next w:val="76"/>
    <w:autoRedefine/>
    <w:qFormat/>
    <w:uiPriority w:val="0"/>
    <w:rPr>
      <w:rFonts w:cs="Times New Roman"/>
    </w:rPr>
  </w:style>
  <w:style w:type="paragraph" w:customStyle="1" w:styleId="97">
    <w:name w:val="CM103"/>
    <w:basedOn w:val="76"/>
    <w:next w:val="76"/>
    <w:autoRedefine/>
    <w:qFormat/>
    <w:uiPriority w:val="0"/>
    <w:rPr>
      <w:rFonts w:cs="Times New Roman"/>
    </w:rPr>
  </w:style>
  <w:style w:type="paragraph" w:customStyle="1" w:styleId="98">
    <w:name w:val="CM117"/>
    <w:basedOn w:val="76"/>
    <w:next w:val="76"/>
    <w:autoRedefine/>
    <w:qFormat/>
    <w:uiPriority w:val="0"/>
    <w:rPr>
      <w:rFonts w:cs="Times New Roman"/>
    </w:rPr>
  </w:style>
  <w:style w:type="paragraph" w:customStyle="1" w:styleId="99">
    <w:name w:val="CM114"/>
    <w:basedOn w:val="76"/>
    <w:next w:val="76"/>
    <w:autoRedefine/>
    <w:qFormat/>
    <w:uiPriority w:val="0"/>
    <w:rPr>
      <w:rFonts w:cs="Times New Roman"/>
    </w:rPr>
  </w:style>
  <w:style w:type="paragraph" w:customStyle="1" w:styleId="100">
    <w:name w:val="CM104"/>
    <w:basedOn w:val="76"/>
    <w:next w:val="76"/>
    <w:autoRedefine/>
    <w:qFormat/>
    <w:uiPriority w:val="0"/>
    <w:rPr>
      <w:rFonts w:cs="Times New Roman"/>
    </w:rPr>
  </w:style>
  <w:style w:type="paragraph" w:customStyle="1" w:styleId="101">
    <w:name w:val="CM16"/>
    <w:basedOn w:val="76"/>
    <w:next w:val="76"/>
    <w:autoRedefine/>
    <w:qFormat/>
    <w:uiPriority w:val="0"/>
    <w:pPr>
      <w:spacing w:line="440" w:lineRule="atLeast"/>
    </w:pPr>
    <w:rPr>
      <w:rFonts w:cs="Times New Roman"/>
    </w:rPr>
  </w:style>
  <w:style w:type="paragraph" w:customStyle="1" w:styleId="102">
    <w:name w:val="CM106"/>
    <w:basedOn w:val="76"/>
    <w:next w:val="76"/>
    <w:autoRedefine/>
    <w:qFormat/>
    <w:uiPriority w:val="0"/>
    <w:rPr>
      <w:rFonts w:cs="Times New Roman"/>
    </w:rPr>
  </w:style>
  <w:style w:type="paragraph" w:styleId="103">
    <w:name w:val="List Paragraph"/>
    <w:basedOn w:val="1"/>
    <w:autoRedefine/>
    <w:qFormat/>
    <w:uiPriority w:val="34"/>
    <w:pPr>
      <w:ind w:firstLine="420"/>
    </w:pPr>
    <w:rPr>
      <w:rFonts w:ascii="Calibri" w:hAnsi="Calibri" w:cs="Calibri"/>
      <w:kern w:val="1"/>
      <w:szCs w:val="22"/>
    </w:rPr>
  </w:style>
  <w:style w:type="paragraph" w:customStyle="1" w:styleId="104">
    <w:name w:val="CM21"/>
    <w:basedOn w:val="76"/>
    <w:next w:val="76"/>
    <w:autoRedefine/>
    <w:qFormat/>
    <w:uiPriority w:val="0"/>
    <w:pPr>
      <w:spacing w:line="400" w:lineRule="atLeast"/>
    </w:pPr>
    <w:rPr>
      <w:rFonts w:cs="Times New Roman"/>
    </w:rPr>
  </w:style>
  <w:style w:type="paragraph" w:customStyle="1" w:styleId="105">
    <w:name w:val="Char Char Char Char"/>
    <w:basedOn w:val="1"/>
    <w:autoRedefine/>
    <w:qFormat/>
    <w:uiPriority w:val="0"/>
    <w:rPr>
      <w:kern w:val="1"/>
      <w:sz w:val="30"/>
    </w:rPr>
  </w:style>
  <w:style w:type="paragraph" w:customStyle="1" w:styleId="106">
    <w:name w:val="1"/>
    <w:basedOn w:val="1"/>
    <w:autoRedefine/>
    <w:qFormat/>
    <w:uiPriority w:val="0"/>
    <w:pPr>
      <w:tabs>
        <w:tab w:val="left" w:pos="425"/>
      </w:tabs>
      <w:ind w:left="425" w:hanging="425"/>
    </w:pPr>
    <w:rPr>
      <w:rFonts w:eastAsia="仿宋"/>
      <w:kern w:val="1"/>
      <w:sz w:val="24"/>
    </w:rPr>
  </w:style>
  <w:style w:type="paragraph" w:customStyle="1" w:styleId="107">
    <w:name w:val="默认段落字体 Para Char Char"/>
    <w:basedOn w:val="1"/>
    <w:autoRedefine/>
    <w:qFormat/>
    <w:uiPriority w:val="0"/>
    <w:rPr>
      <w:kern w:val="1"/>
    </w:rPr>
  </w:style>
  <w:style w:type="paragraph" w:customStyle="1" w:styleId="108">
    <w:name w:val="CM111"/>
    <w:basedOn w:val="76"/>
    <w:next w:val="76"/>
    <w:autoRedefine/>
    <w:qFormat/>
    <w:uiPriority w:val="0"/>
    <w:rPr>
      <w:rFonts w:cs="Times New Roman"/>
    </w:rPr>
  </w:style>
  <w:style w:type="paragraph" w:customStyle="1" w:styleId="109">
    <w:name w:val="CM24"/>
    <w:basedOn w:val="76"/>
    <w:next w:val="76"/>
    <w:autoRedefine/>
    <w:qFormat/>
    <w:uiPriority w:val="0"/>
    <w:pPr>
      <w:spacing w:line="400" w:lineRule="atLeast"/>
    </w:pPr>
    <w:rPr>
      <w:rFonts w:cs="Times New Roman"/>
    </w:rPr>
  </w:style>
  <w:style w:type="paragraph" w:customStyle="1" w:styleId="110">
    <w:name w:val="CM107"/>
    <w:basedOn w:val="76"/>
    <w:next w:val="76"/>
    <w:autoRedefine/>
    <w:qFormat/>
    <w:uiPriority w:val="0"/>
    <w:rPr>
      <w:rFonts w:cs="Times New Roman"/>
    </w:rPr>
  </w:style>
  <w:style w:type="paragraph" w:customStyle="1" w:styleId="111">
    <w:name w:val="CM105"/>
    <w:basedOn w:val="76"/>
    <w:next w:val="76"/>
    <w:autoRedefine/>
    <w:qFormat/>
    <w:uiPriority w:val="0"/>
    <w:rPr>
      <w:rFonts w:cs="Times New Roman"/>
    </w:rPr>
  </w:style>
  <w:style w:type="paragraph" w:customStyle="1" w:styleId="112">
    <w:name w:val="正文A"/>
    <w:autoRedefine/>
    <w:qFormat/>
    <w:uiPriority w:val="0"/>
    <w:pPr>
      <w:tabs>
        <w:tab w:val="left" w:pos="0"/>
      </w:tabs>
      <w:spacing w:line="360" w:lineRule="auto"/>
      <w:ind w:firstLine="200"/>
      <w:jc w:val="both"/>
    </w:pPr>
    <w:rPr>
      <w:rFonts w:ascii="Times New Roman" w:hAnsi="Times New Roman" w:eastAsia="宋体" w:cs="Times New Roman"/>
      <w:color w:val="000000"/>
      <w:sz w:val="24"/>
      <w:lang w:val="en-US" w:eastAsia="zh-CN" w:bidi="ar-SA"/>
    </w:rPr>
  </w:style>
  <w:style w:type="paragraph" w:customStyle="1" w:styleId="113">
    <w:name w:val="CM23"/>
    <w:basedOn w:val="76"/>
    <w:next w:val="76"/>
    <w:autoRedefine/>
    <w:qFormat/>
    <w:uiPriority w:val="0"/>
    <w:pPr>
      <w:spacing w:line="400" w:lineRule="atLeast"/>
    </w:pPr>
    <w:rPr>
      <w:rFonts w:cs="Times New Roman"/>
    </w:rPr>
  </w:style>
  <w:style w:type="paragraph" w:customStyle="1" w:styleId="114">
    <w:name w:val="CM36"/>
    <w:basedOn w:val="76"/>
    <w:next w:val="76"/>
    <w:autoRedefine/>
    <w:qFormat/>
    <w:uiPriority w:val="0"/>
    <w:pPr>
      <w:spacing w:line="400" w:lineRule="atLeast"/>
    </w:pPr>
    <w:rPr>
      <w:rFonts w:cs="Times New Roman"/>
    </w:rPr>
  </w:style>
  <w:style w:type="paragraph" w:customStyle="1" w:styleId="115">
    <w:name w:val="文二"/>
    <w:basedOn w:val="1"/>
    <w:autoRedefine/>
    <w:qFormat/>
    <w:uiPriority w:val="0"/>
    <w:pPr>
      <w:jc w:val="left"/>
    </w:pPr>
    <w:rPr>
      <w:rFonts w:ascii="宋体" w:hAnsi="宋体" w:cs="宋体"/>
      <w:kern w:val="1"/>
      <w:szCs w:val="21"/>
    </w:rPr>
  </w:style>
  <w:style w:type="paragraph" w:customStyle="1" w:styleId="116">
    <w:name w:val="CM96"/>
    <w:basedOn w:val="76"/>
    <w:next w:val="76"/>
    <w:autoRedefine/>
    <w:qFormat/>
    <w:uiPriority w:val="0"/>
    <w:pPr>
      <w:spacing w:line="626" w:lineRule="atLeast"/>
    </w:pPr>
    <w:rPr>
      <w:rFonts w:cs="Times New Roman"/>
    </w:rPr>
  </w:style>
  <w:style w:type="paragraph" w:customStyle="1" w:styleId="117">
    <w:name w:val="Char Char1"/>
    <w:basedOn w:val="1"/>
    <w:autoRedefine/>
    <w:qFormat/>
    <w:uiPriority w:val="0"/>
    <w:pPr>
      <w:widowControl/>
      <w:spacing w:after="160" w:line="240" w:lineRule="exact"/>
      <w:jc w:val="left"/>
    </w:pPr>
    <w:rPr>
      <w:rFonts w:ascii="Verdana" w:hAnsi="Verdana" w:cs="Verdana"/>
      <w:b/>
      <w:sz w:val="20"/>
      <w:szCs w:val="20"/>
      <w:lang w:eastAsia="en-US"/>
    </w:rPr>
  </w:style>
  <w:style w:type="paragraph" w:customStyle="1" w:styleId="118">
    <w:name w:val="正文(仿)首缩"/>
    <w:basedOn w:val="1"/>
    <w:autoRedefine/>
    <w:qFormat/>
    <w:uiPriority w:val="0"/>
    <w:pPr>
      <w:ind w:firstLine="554"/>
    </w:pPr>
    <w:rPr>
      <w:rFonts w:ascii="仿宋_GB2312" w:hAnsi="仿宋_GB2312" w:eastAsia="仿宋"/>
      <w:sz w:val="28"/>
      <w:szCs w:val="28"/>
      <w:lang w:val="zh-CN"/>
    </w:rPr>
  </w:style>
  <w:style w:type="paragraph" w:customStyle="1" w:styleId="119">
    <w:name w:val="公文正文"/>
    <w:autoRedefine/>
    <w:qFormat/>
    <w:uiPriority w:val="0"/>
    <w:pPr>
      <w:widowControl w:val="0"/>
      <w:spacing w:line="360" w:lineRule="auto"/>
      <w:ind w:firstLine="629"/>
      <w:jc w:val="both"/>
    </w:pPr>
    <w:rPr>
      <w:rFonts w:ascii="仿宋_GB2312" w:hAnsi="仿宋_GB2312" w:eastAsia="仿宋" w:cs="Calisto MT"/>
      <w:color w:val="000000"/>
      <w:sz w:val="32"/>
      <w:lang w:val="en-US" w:eastAsia="zh-CN" w:bidi="ar-SA"/>
    </w:rPr>
  </w:style>
  <w:style w:type="paragraph" w:customStyle="1" w:styleId="120">
    <w:name w:val="公文抬头"/>
    <w:basedOn w:val="7"/>
    <w:autoRedefine/>
    <w:qFormat/>
    <w:uiPriority w:val="0"/>
    <w:pPr>
      <w:ind w:firstLine="0"/>
    </w:pPr>
    <w:rPr>
      <w:rFonts w:ascii="仿宋_GB2312" w:hAnsi="仿宋_GB2312" w:eastAsia="仿宋"/>
      <w:sz w:val="30"/>
    </w:rPr>
  </w:style>
  <w:style w:type="paragraph" w:customStyle="1" w:styleId="121">
    <w:name w:val="发文落款"/>
    <w:basedOn w:val="119"/>
    <w:autoRedefine/>
    <w:qFormat/>
    <w:uiPriority w:val="0"/>
    <w:pPr>
      <w:ind w:left="4094" w:right="607" w:firstLine="0"/>
      <w:jc w:val="center"/>
    </w:pPr>
  </w:style>
  <w:style w:type="paragraph" w:customStyle="1" w:styleId="122">
    <w:name w:val="TOC 标题1"/>
    <w:basedOn w:val="3"/>
    <w:next w:val="1"/>
    <w:autoRedefine/>
    <w:qFormat/>
    <w:uiPriority w:val="0"/>
    <w:pPr>
      <w:widowControl/>
      <w:numPr>
        <w:numId w:val="0"/>
      </w:numPr>
      <w:spacing w:before="480" w:after="0" w:line="276" w:lineRule="auto"/>
      <w:jc w:val="left"/>
      <w:outlineLvl w:val="9"/>
    </w:pPr>
    <w:rPr>
      <w:rFonts w:ascii="Cambria" w:hAnsi="Cambria" w:cs="Cambria"/>
      <w:color w:val="365F91"/>
      <w:sz w:val="28"/>
      <w:szCs w:val="28"/>
    </w:rPr>
  </w:style>
  <w:style w:type="paragraph" w:customStyle="1" w:styleId="123">
    <w:name w:val="图"/>
    <w:basedOn w:val="1"/>
    <w:autoRedefine/>
    <w:qFormat/>
    <w:uiPriority w:val="0"/>
    <w:pPr>
      <w:keepNext/>
      <w:spacing w:before="60" w:after="60" w:line="300" w:lineRule="auto"/>
      <w:jc w:val="center"/>
    </w:pPr>
    <w:rPr>
      <w:spacing w:val="20"/>
      <w:sz w:val="24"/>
      <w:szCs w:val="20"/>
    </w:rPr>
  </w:style>
  <w:style w:type="paragraph" w:customStyle="1" w:styleId="124">
    <w:name w:val="样式 样式 行距: 多倍行距 1.25 字行 + 首行缩进:  2 字符"/>
    <w:basedOn w:val="1"/>
    <w:autoRedefine/>
    <w:qFormat/>
    <w:uiPriority w:val="0"/>
    <w:pPr>
      <w:spacing w:line="300" w:lineRule="auto"/>
      <w:ind w:firstLine="200"/>
    </w:pPr>
    <w:rPr>
      <w:rFonts w:eastAsia="华文细黑" w:cs="宋体"/>
      <w:kern w:val="1"/>
      <w:sz w:val="24"/>
      <w:szCs w:val="20"/>
    </w:rPr>
  </w:style>
  <w:style w:type="paragraph" w:customStyle="1" w:styleId="125">
    <w:name w:val="样式 标题 2 + Times New Roman 四号 非加粗 段前: 5 磅 段后: 0 磅 行距: 固定值 20..."/>
    <w:basedOn w:val="4"/>
    <w:autoRedefine/>
    <w:qFormat/>
    <w:uiPriority w:val="0"/>
    <w:pPr>
      <w:numPr>
        <w:ilvl w:val="0"/>
        <w:numId w:val="0"/>
      </w:numPr>
      <w:spacing w:before="100" w:after="0" w:line="400" w:lineRule="exact"/>
    </w:pPr>
    <w:rPr>
      <w:rFonts w:ascii="Times New Roman" w:hAnsi="Times New Roman" w:cs="宋体"/>
      <w:kern w:val="1"/>
      <w:szCs w:val="20"/>
      <w:lang w:val="zh-CN"/>
    </w:rPr>
  </w:style>
  <w:style w:type="paragraph" w:customStyle="1" w:styleId="126">
    <w:name w:val="List Paragraph*"/>
    <w:basedOn w:val="1"/>
    <w:autoRedefine/>
    <w:qFormat/>
    <w:uiPriority w:val="0"/>
    <w:pPr>
      <w:ind w:firstLine="420"/>
    </w:pPr>
    <w:rPr>
      <w:rFonts w:ascii="Calibri" w:hAnsi="Calibri" w:cs="Calibri"/>
      <w:kern w:val="1"/>
      <w:szCs w:val="22"/>
    </w:rPr>
  </w:style>
  <w:style w:type="paragraph" w:customStyle="1" w:styleId="127">
    <w:name w:val="Char2"/>
    <w:basedOn w:val="1"/>
    <w:autoRedefine/>
    <w:qFormat/>
    <w:uiPriority w:val="0"/>
    <w:pPr>
      <w:tabs>
        <w:tab w:val="left" w:pos="1080"/>
      </w:tabs>
      <w:ind w:left="425" w:hanging="425"/>
    </w:pPr>
    <w:rPr>
      <w:kern w:val="1"/>
      <w:sz w:val="24"/>
    </w:rPr>
  </w:style>
  <w:style w:type="paragraph" w:customStyle="1" w:styleId="128">
    <w:name w:val="纯文本_0"/>
    <w:basedOn w:val="129"/>
    <w:autoRedefine/>
    <w:qFormat/>
    <w:uiPriority w:val="0"/>
    <w:rPr>
      <w:rFonts w:ascii="宋体" w:hAnsi="宋体" w:cs="Courier New"/>
      <w:szCs w:val="20"/>
    </w:rPr>
  </w:style>
  <w:style w:type="paragraph" w:customStyle="1" w:styleId="129">
    <w:name w:val="正文_0"/>
    <w:autoRedefine/>
    <w:qFormat/>
    <w:uiPriority w:val="0"/>
    <w:pPr>
      <w:widowControl w:val="0"/>
      <w:jc w:val="both"/>
    </w:pPr>
    <w:rPr>
      <w:rFonts w:ascii="Calibri" w:hAnsi="Calibri" w:eastAsia="宋体" w:cs="Calibri"/>
      <w:color w:val="000000"/>
      <w:kern w:val="1"/>
      <w:sz w:val="21"/>
      <w:szCs w:val="24"/>
      <w:lang w:val="en-US" w:eastAsia="zh-CN" w:bidi="ar-SA"/>
    </w:rPr>
  </w:style>
  <w:style w:type="paragraph" w:customStyle="1" w:styleId="130">
    <w:name w:val="_Style 126"/>
    <w:autoRedefine/>
    <w:qFormat/>
    <w:uiPriority w:val="0"/>
    <w:pPr>
      <w:widowControl w:val="0"/>
      <w:jc w:val="both"/>
    </w:pPr>
    <w:rPr>
      <w:rFonts w:ascii="Times New Roman" w:hAnsi="Times New Roman" w:eastAsia="宋体" w:cs="Times New Roman"/>
      <w:color w:val="000000"/>
      <w:sz w:val="21"/>
      <w:szCs w:val="24"/>
      <w:lang w:val="en-US" w:eastAsia="zh-CN" w:bidi="ar-SA"/>
    </w:rPr>
  </w:style>
  <w:style w:type="character" w:customStyle="1" w:styleId="131">
    <w:name w:val="普通文字 Char1"/>
    <w:autoRedefine/>
    <w:qFormat/>
    <w:uiPriority w:val="0"/>
    <w:rPr>
      <w:rFonts w:ascii="宋体" w:hAnsi="宋体" w:eastAsia="宋体" w:cs="Times New Roman"/>
      <w:szCs w:val="20"/>
    </w:rPr>
  </w:style>
  <w:style w:type="character" w:customStyle="1" w:styleId="132">
    <w:name w:val="Char Char8"/>
    <w:autoRedefine/>
    <w:qFormat/>
    <w:uiPriority w:val="0"/>
    <w:rPr>
      <w:rFonts w:ascii="宋体" w:hAnsi="宋体" w:eastAsia="宋体"/>
      <w:kern w:val="1"/>
      <w:sz w:val="21"/>
      <w:lang w:val="en-US" w:eastAsia="zh-CN" w:bidi="ar-SA"/>
    </w:rPr>
  </w:style>
  <w:style w:type="character" w:customStyle="1" w:styleId="133">
    <w:name w:val="2 Char Char Char"/>
    <w:autoRedefine/>
    <w:qFormat/>
    <w:uiPriority w:val="0"/>
    <w:rPr>
      <w:rFonts w:ascii="仿宋_GB2312" w:hAnsi="仿宋_GB2312" w:eastAsia="仿宋"/>
      <w:sz w:val="28"/>
      <w:szCs w:val="28"/>
      <w:lang w:bidi="ar-SA"/>
    </w:rPr>
  </w:style>
  <w:style w:type="character" w:customStyle="1" w:styleId="134">
    <w:name w:val="文一 Char"/>
    <w:autoRedefine/>
    <w:qFormat/>
    <w:uiPriority w:val="0"/>
    <w:rPr>
      <w:rFonts w:eastAsia="宋体"/>
      <w:spacing w:val="4"/>
      <w:sz w:val="24"/>
      <w:szCs w:val="24"/>
      <w:lang w:val="en-US" w:eastAsia="zh-CN" w:bidi="ar-SA"/>
    </w:rPr>
  </w:style>
  <w:style w:type="character" w:customStyle="1" w:styleId="135">
    <w:name w:val="标题 1 Char1"/>
    <w:autoRedefine/>
    <w:qFormat/>
    <w:uiPriority w:val="0"/>
    <w:rPr>
      <w:rFonts w:ascii="Arial" w:hAnsi="Arial" w:eastAsia="宋体"/>
      <w:b/>
      <w:kern w:val="0"/>
      <w:sz w:val="30"/>
      <w:szCs w:val="44"/>
      <w:lang w:val="en-US" w:eastAsia="zh-CN" w:bidi="ar-SA"/>
    </w:rPr>
  </w:style>
  <w:style w:type="character" w:customStyle="1" w:styleId="136">
    <w:name w:val="填空正文"/>
    <w:autoRedefine/>
    <w:qFormat/>
    <w:uiPriority w:val="0"/>
    <w:rPr>
      <w:rFonts w:ascii="宋体" w:hAnsi="宋体" w:eastAsia="宋体"/>
      <w:sz w:val="24"/>
      <w:u w:val="single"/>
    </w:rPr>
  </w:style>
  <w:style w:type="paragraph" w:customStyle="1" w:styleId="137">
    <w:name w:val="章节一"/>
    <w:basedOn w:val="85"/>
    <w:next w:val="85"/>
    <w:autoRedefine/>
    <w:qFormat/>
    <w:uiPriority w:val="99"/>
    <w:pPr>
      <w:topLinePunct/>
      <w:adjustRightInd w:val="0"/>
      <w:snapToGrid w:val="0"/>
      <w:spacing w:beforeLines="50" w:afterLines="50" w:line="240" w:lineRule="auto"/>
      <w:ind w:firstLine="0"/>
      <w:jc w:val="center"/>
      <w:outlineLvl w:val="0"/>
    </w:pPr>
    <w:rPr>
      <w:rFonts w:eastAsia="黑体"/>
      <w:b/>
      <w:snapToGrid w:val="0"/>
      <w:color w:val="auto"/>
      <w:sz w:val="36"/>
      <w:szCs w:val="36"/>
    </w:rPr>
  </w:style>
  <w:style w:type="character" w:customStyle="1" w:styleId="138">
    <w:name w:val="文一 Char Char"/>
    <w:link w:val="85"/>
    <w:autoRedefine/>
    <w:qFormat/>
    <w:uiPriority w:val="0"/>
    <w:rPr>
      <w:rFonts w:ascii="Times New Roman" w:hAnsi="Times New Roman" w:eastAsia="宋体" w:cs="Times New Roman"/>
      <w:color w:val="000000"/>
      <w:spacing w:val="4"/>
      <w:sz w:val="24"/>
      <w:szCs w:val="24"/>
    </w:rPr>
  </w:style>
  <w:style w:type="paragraph" w:customStyle="1" w:styleId="139">
    <w:name w:val="章节三"/>
    <w:basedOn w:val="85"/>
    <w:next w:val="85"/>
    <w:autoRedefine/>
    <w:qFormat/>
    <w:uiPriority w:val="0"/>
    <w:pPr>
      <w:topLinePunct/>
      <w:adjustRightInd w:val="0"/>
      <w:snapToGrid w:val="0"/>
      <w:spacing w:beforeLines="50" w:afterLines="50" w:line="240" w:lineRule="auto"/>
      <w:ind w:firstLine="0"/>
      <w:jc w:val="left"/>
      <w:outlineLvl w:val="2"/>
    </w:pPr>
    <w:rPr>
      <w:rFonts w:ascii="黑体" w:hAnsi="宋体" w:eastAsia="黑体" w:cs="黑体"/>
      <w:b/>
      <w:bCs/>
      <w:color w:val="auto"/>
    </w:rPr>
  </w:style>
  <w:style w:type="paragraph" w:customStyle="1" w:styleId="140">
    <w:name w:val="修订1"/>
    <w:autoRedefine/>
    <w:hidden/>
    <w:semiHidden/>
    <w:qFormat/>
    <w:uiPriority w:val="99"/>
    <w:rPr>
      <w:rFonts w:ascii="Times New Roman" w:hAnsi="Times New Roman" w:eastAsia="宋体" w:cs="Times New Roman"/>
      <w:color w:val="000000"/>
      <w:sz w:val="21"/>
      <w:szCs w:val="24"/>
      <w:lang w:val="en-US" w:eastAsia="zh-CN" w:bidi="ar-SA"/>
    </w:rPr>
  </w:style>
  <w:style w:type="paragraph" w:customStyle="1" w:styleId="141">
    <w:name w:val="正题"/>
    <w:basedOn w:val="85"/>
    <w:next w:val="85"/>
    <w:autoRedefine/>
    <w:qFormat/>
    <w:uiPriority w:val="0"/>
    <w:pPr>
      <w:topLinePunct/>
      <w:adjustRightInd w:val="0"/>
      <w:snapToGrid w:val="0"/>
      <w:ind w:firstLine="0"/>
      <w:jc w:val="center"/>
    </w:pPr>
    <w:rPr>
      <w:rFonts w:eastAsia="黑体"/>
      <w:b/>
      <w:snapToGrid w:val="0"/>
      <w:color w:val="auto"/>
      <w:sz w:val="36"/>
      <w:szCs w:val="36"/>
    </w:rPr>
  </w:style>
  <w:style w:type="paragraph" w:customStyle="1" w:styleId="142">
    <w:name w:val="正文1"/>
    <w:autoRedefine/>
    <w:qFormat/>
    <w:uiPriority w:val="0"/>
    <w:pPr>
      <w:spacing w:line="360" w:lineRule="auto"/>
      <w:jc w:val="both"/>
    </w:pPr>
    <w:rPr>
      <w:rFonts w:ascii="Times New Roman" w:hAnsi="Times New Roman" w:eastAsia="宋体" w:cs="Times New Roman"/>
      <w:sz w:val="24"/>
      <w:szCs w:val="24"/>
      <w:lang w:val="en-US" w:eastAsia="zh-CN" w:bidi="ar-SA"/>
    </w:rPr>
  </w:style>
  <w:style w:type="paragraph" w:customStyle="1" w:styleId="143">
    <w:name w:val="修订2"/>
    <w:autoRedefine/>
    <w:hidden/>
    <w:semiHidden/>
    <w:qFormat/>
    <w:uiPriority w:val="99"/>
    <w:rPr>
      <w:rFonts w:ascii="Times New Roman" w:hAnsi="Times New Roman" w:eastAsia="宋体" w:cs="Times New Roman"/>
      <w:color w:val="000000"/>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6E3D4-4D5A-4ACA-B101-8A28965E820C}">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132</Pages>
  <Words>30148</Words>
  <Characters>31239</Characters>
  <Lines>510</Lines>
  <Paragraphs>143</Paragraphs>
  <TotalTime>12</TotalTime>
  <ScaleCrop>false</ScaleCrop>
  <LinksUpToDate>false</LinksUpToDate>
  <CharactersWithSpaces>31557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2025-08-18T03:49:00Z</dcterms:created>
  <dc:creator>邓恺霖</dc:creator>
  <cp:lastModifiedBy>brian</cp:lastModifiedBy>
  <cp:lastPrinted>2023-09-12T07:26:00Z</cp:lastPrinted>
  <dcterms:modified xsi:type="dcterms:W3CDTF">2025-08-21T01:49:35Z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40EB88F2C7D84AC79EA05E89D93C8AFC_13</vt:lpwstr>
  </property>
  <property fmtid="{D5CDD505-2E9C-101B-9397-08002B2CF9AE}" pid="4" name="KSOTemplateDocerSaveRecord">
    <vt:lpwstr>eyJoZGlkIjoiMjdhNWNlMDJkOWYxMWRjNWU2YTNhNjU2MmU3NTcwOWQiLCJ1c2VySWQiOiIzOTE5NDQwNzUifQ==</vt:lpwstr>
  </property>
</Properties>
</file>