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rPr>
          <w:rFonts w:ascii="宋体" w:hAnsi="宋体" w:eastAsia="宋体" w:cs="宋体"/>
          <w:b/>
          <w:color w:val="auto"/>
          <w:sz w:val="48"/>
          <w:szCs w:val="48"/>
          <w:highlight w:val="none"/>
        </w:rPr>
      </w:pPr>
    </w:p>
    <w:p>
      <w:pPr>
        <w:wordWrap w:val="0"/>
        <w:spacing w:line="360" w:lineRule="auto"/>
        <w:rPr>
          <w:rFonts w:ascii="宋体" w:hAnsi="宋体" w:eastAsia="宋体" w:cs="宋体"/>
          <w:b/>
          <w:color w:val="auto"/>
          <w:sz w:val="48"/>
          <w:szCs w:val="48"/>
          <w:highlight w:val="none"/>
        </w:rPr>
      </w:pPr>
    </w:p>
    <w:p>
      <w:pPr>
        <w:spacing w:line="360" w:lineRule="auto"/>
        <w:jc w:val="center"/>
        <w:rPr>
          <w:rFonts w:ascii="宋体" w:hAnsi="宋体" w:eastAsia="宋体" w:cs="宋体"/>
          <w:color w:val="auto"/>
          <w:sz w:val="48"/>
          <w:szCs w:val="48"/>
          <w:highlight w:val="none"/>
        </w:rPr>
      </w:pPr>
      <w:r>
        <w:rPr>
          <w:rFonts w:hint="eastAsia" w:ascii="宋体" w:hAnsi="宋体" w:eastAsia="宋体" w:cs="宋体"/>
          <w:b/>
          <w:color w:val="auto"/>
          <w:sz w:val="48"/>
          <w:szCs w:val="48"/>
          <w:highlight w:val="none"/>
        </w:rPr>
        <w:t>乌涌流域排涝体系提升工程勘察设计</w:t>
      </w:r>
    </w:p>
    <w:p>
      <w:pPr>
        <w:wordWrap w:val="0"/>
        <w:spacing w:line="360" w:lineRule="auto"/>
        <w:jc w:val="center"/>
        <w:rPr>
          <w:rFonts w:ascii="宋体" w:hAnsi="宋体" w:eastAsia="宋体" w:cs="宋体"/>
          <w:b/>
          <w:color w:val="auto"/>
          <w:spacing w:val="40"/>
          <w:sz w:val="44"/>
          <w:szCs w:val="44"/>
          <w:highlight w:val="none"/>
        </w:rPr>
      </w:pPr>
    </w:p>
    <w:p>
      <w:pPr>
        <w:wordWrap w:val="0"/>
        <w:spacing w:line="360" w:lineRule="auto"/>
        <w:jc w:val="center"/>
        <w:rPr>
          <w:rFonts w:ascii="宋体" w:hAnsi="宋体" w:eastAsia="宋体" w:cs="宋体"/>
          <w:color w:val="auto"/>
          <w:sz w:val="36"/>
          <w:szCs w:val="36"/>
          <w:highlight w:val="none"/>
          <w:u w:val="single"/>
        </w:rPr>
      </w:pPr>
    </w:p>
    <w:p>
      <w:pPr>
        <w:wordWrap w:val="0"/>
        <w:spacing w:line="360" w:lineRule="auto"/>
        <w:jc w:val="center"/>
        <w:rPr>
          <w:rFonts w:ascii="宋体" w:hAnsi="宋体" w:eastAsia="宋体" w:cs="宋体"/>
          <w:color w:val="auto"/>
          <w:sz w:val="36"/>
          <w:szCs w:val="36"/>
          <w:highlight w:val="none"/>
          <w:u w:val="single"/>
        </w:rPr>
      </w:pPr>
    </w:p>
    <w:p>
      <w:pPr>
        <w:wordWrap w:val="0"/>
        <w:spacing w:line="360" w:lineRule="auto"/>
        <w:jc w:val="center"/>
        <w:rPr>
          <w:rFonts w:ascii="宋体" w:hAnsi="宋体" w:eastAsia="宋体" w:cs="宋体"/>
          <w:color w:val="auto"/>
          <w:sz w:val="36"/>
          <w:szCs w:val="36"/>
          <w:highlight w:val="none"/>
          <w:u w:val="single"/>
        </w:rPr>
      </w:pPr>
    </w:p>
    <w:p>
      <w:pPr>
        <w:wordWrap w:val="0"/>
        <w:spacing w:line="360" w:lineRule="auto"/>
        <w:jc w:val="center"/>
        <w:rPr>
          <w:rFonts w:ascii="宋体" w:hAnsi="宋体" w:eastAsia="宋体" w:cs="宋体"/>
          <w:color w:val="auto"/>
          <w:sz w:val="36"/>
          <w:szCs w:val="36"/>
          <w:highlight w:val="none"/>
          <w:u w:val="single"/>
        </w:rPr>
      </w:pPr>
    </w:p>
    <w:p>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rPr>
        <w:t>招标公告</w:t>
      </w:r>
    </w:p>
    <w:p>
      <w:pPr>
        <w:wordWrap w:val="0"/>
        <w:spacing w:line="360" w:lineRule="auto"/>
        <w:rPr>
          <w:rFonts w:ascii="宋体" w:hAnsi="宋体" w:eastAsia="宋体" w:cs="宋体"/>
          <w:color w:val="auto"/>
          <w:sz w:val="32"/>
          <w:szCs w:val="32"/>
          <w:highlight w:val="none"/>
        </w:rPr>
      </w:pPr>
    </w:p>
    <w:p>
      <w:pPr>
        <w:wordWrap w:val="0"/>
        <w:spacing w:line="360" w:lineRule="auto"/>
        <w:rPr>
          <w:rFonts w:ascii="宋体" w:hAnsi="宋体" w:eastAsia="宋体" w:cs="宋体"/>
          <w:color w:val="auto"/>
          <w:sz w:val="52"/>
          <w:szCs w:val="52"/>
          <w:highlight w:val="none"/>
        </w:rPr>
      </w:pPr>
    </w:p>
    <w:p>
      <w:pPr>
        <w:wordWrap w:val="0"/>
        <w:spacing w:line="360" w:lineRule="auto"/>
        <w:rPr>
          <w:rFonts w:ascii="宋体" w:hAnsi="宋体" w:eastAsia="宋体" w:cs="宋体"/>
          <w:color w:val="auto"/>
          <w:sz w:val="52"/>
          <w:szCs w:val="52"/>
          <w:highlight w:val="none"/>
        </w:rPr>
      </w:pPr>
    </w:p>
    <w:p>
      <w:pPr>
        <w:wordWrap w:val="0"/>
        <w:spacing w:line="360" w:lineRule="auto"/>
        <w:rPr>
          <w:rFonts w:ascii="宋体" w:hAnsi="宋体" w:eastAsia="宋体" w:cs="宋体"/>
          <w:color w:val="auto"/>
          <w:sz w:val="52"/>
          <w:szCs w:val="52"/>
          <w:highlight w:val="none"/>
        </w:rPr>
      </w:pPr>
    </w:p>
    <w:p>
      <w:pPr>
        <w:wordWrap w:val="0"/>
        <w:spacing w:line="360" w:lineRule="auto"/>
        <w:ind w:firstLine="707" w:firstLineChars="221"/>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 标 单  位：</w:t>
      </w:r>
      <w:r>
        <w:rPr>
          <w:rFonts w:hint="eastAsia" w:ascii="宋体" w:hAnsi="宋体" w:eastAsia="宋体" w:cs="宋体"/>
          <w:color w:val="auto"/>
          <w:sz w:val="32"/>
          <w:szCs w:val="32"/>
          <w:highlight w:val="none"/>
          <w:u w:val="single"/>
        </w:rPr>
        <w:t>广州开发区财政投资建设项目管理中心</w:t>
      </w:r>
    </w:p>
    <w:p>
      <w:pPr>
        <w:wordWrap w:val="0"/>
        <w:spacing w:line="360" w:lineRule="auto"/>
        <w:ind w:firstLine="707" w:firstLineChars="221"/>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single"/>
        </w:rPr>
        <w:t>广州市市政工程监理有限公司</w:t>
      </w:r>
    </w:p>
    <w:p>
      <w:pPr>
        <w:wordWrap w:val="0"/>
        <w:spacing w:line="360" w:lineRule="auto"/>
        <w:ind w:firstLine="707" w:firstLineChars="221"/>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日        期：2025年</w:t>
      </w:r>
      <w:r>
        <w:rPr>
          <w:rFonts w:hint="eastAsia" w:ascii="宋体" w:hAnsi="宋体" w:eastAsia="宋体" w:cs="宋体"/>
          <w:color w:val="auto"/>
          <w:sz w:val="32"/>
          <w:szCs w:val="32"/>
          <w:highlight w:val="none"/>
          <w:u w:val="single"/>
          <w:lang w:val="en-US" w:eastAsia="zh-CN"/>
        </w:rPr>
        <w:t>8</w:t>
      </w:r>
      <w:r>
        <w:rPr>
          <w:rFonts w:hint="eastAsia" w:ascii="宋体" w:hAnsi="宋体" w:eastAsia="宋体" w:cs="宋体"/>
          <w:color w:val="auto"/>
          <w:sz w:val="32"/>
          <w:szCs w:val="32"/>
          <w:highlight w:val="none"/>
        </w:rPr>
        <w:t>月</w:t>
      </w:r>
    </w:p>
    <w:p>
      <w:pPr>
        <w:wordWrap w:val="0"/>
        <w:rPr>
          <w:rFonts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pPr>
        <w:autoSpaceDE w:val="0"/>
        <w:autoSpaceDN w:val="0"/>
        <w:spacing w:line="360" w:lineRule="auto"/>
        <w:jc w:val="center"/>
        <w:rPr>
          <w:rFonts w:ascii="宋体" w:hAnsi="宋体" w:eastAsia="宋体" w:cs="Times New Roman"/>
          <w:b/>
          <w:color w:val="auto"/>
          <w:kern w:val="0"/>
          <w:position w:val="-5"/>
          <w:sz w:val="28"/>
          <w:szCs w:val="28"/>
          <w:highlight w:val="none"/>
          <w:u w:val="single"/>
        </w:rPr>
      </w:pPr>
      <w:r>
        <w:rPr>
          <w:rFonts w:hint="eastAsia" w:ascii="宋体" w:hAnsi="宋体" w:eastAsia="宋体" w:cs="Times New Roman"/>
          <w:b/>
          <w:color w:val="auto"/>
          <w:kern w:val="0"/>
          <w:position w:val="-5"/>
          <w:sz w:val="28"/>
          <w:szCs w:val="28"/>
          <w:highlight w:val="none"/>
        </w:rPr>
        <w:t>招标</w:t>
      </w:r>
      <w:r>
        <w:rPr>
          <w:rFonts w:hint="eastAsia" w:ascii="宋体" w:hAnsi="宋体" w:eastAsia="宋体" w:cs="Times New Roman"/>
          <w:b/>
          <w:color w:val="auto"/>
          <w:spacing w:val="-2"/>
          <w:kern w:val="0"/>
          <w:position w:val="-5"/>
          <w:sz w:val="28"/>
          <w:szCs w:val="28"/>
          <w:highlight w:val="none"/>
        </w:rPr>
        <w:t>公</w:t>
      </w:r>
      <w:r>
        <w:rPr>
          <w:rFonts w:hint="eastAsia" w:ascii="宋体" w:hAnsi="宋体" w:eastAsia="宋体" w:cs="Times New Roman"/>
          <w:b/>
          <w:color w:val="auto"/>
          <w:kern w:val="0"/>
          <w:position w:val="-5"/>
          <w:sz w:val="28"/>
          <w:szCs w:val="28"/>
          <w:highlight w:val="none"/>
        </w:rPr>
        <w:t>告</w:t>
      </w:r>
    </w:p>
    <w:p>
      <w:pPr>
        <w:pStyle w:val="2"/>
        <w:rPr>
          <w:color w:val="auto"/>
          <w:highlight w:val="none"/>
        </w:rPr>
      </w:pPr>
      <w:bookmarkStart w:id="0" w:name="_Toc25072048"/>
      <w:r>
        <w:rPr>
          <w:rFonts w:hint="eastAsia"/>
          <w:color w:val="auto"/>
          <w:highlight w:val="none"/>
        </w:rPr>
        <w:t>1.</w:t>
      </w:r>
      <w:r>
        <w:rPr>
          <w:color w:val="auto"/>
          <w:highlight w:val="none"/>
        </w:rPr>
        <w:t xml:space="preserve"> </w:t>
      </w:r>
      <w:r>
        <w:rPr>
          <w:rFonts w:hint="eastAsia"/>
          <w:color w:val="auto"/>
          <w:highlight w:val="none"/>
        </w:rPr>
        <w:t>招标条件</w:t>
      </w:r>
      <w:bookmarkEnd w:id="0"/>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乌涌流域排涝体系提升工程（项目代码：2502-440112-04-01-966591）</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广州开发区发展和改革局</w:t>
      </w:r>
      <w:r>
        <w:rPr>
          <w:rFonts w:ascii="宋体" w:hAnsi="宋体" w:eastAsia="宋体" w:cs="宋体"/>
          <w:color w:val="auto"/>
          <w:sz w:val="24"/>
          <w:szCs w:val="24"/>
          <w:highlight w:val="none"/>
          <w:u w:val="single"/>
        </w:rPr>
        <w:t xml:space="preserve"> 广州市黄埔区发展和改革局</w:t>
      </w:r>
      <w:r>
        <w:rPr>
          <w:rFonts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《广州开发区发展改革局</w:t>
      </w:r>
      <w:r>
        <w:rPr>
          <w:rFonts w:ascii="宋体" w:hAnsi="宋体" w:eastAsia="宋体" w:cs="宋体"/>
          <w:color w:val="auto"/>
          <w:sz w:val="24"/>
          <w:szCs w:val="24"/>
          <w:highlight w:val="none"/>
          <w:u w:val="single"/>
        </w:rPr>
        <w:t xml:space="preserve"> 黄埔区发展改革局 关于申报纳入2025年新建项目实施计划（第一批）项目的的复函（穗开发改函〔2025〕95号》</w:t>
      </w:r>
      <w:r>
        <w:rPr>
          <w:rFonts w:hint="eastAsia" w:ascii="宋体" w:hAnsi="宋体" w:eastAsia="宋体" w:cs="宋体"/>
          <w:color w:val="auto"/>
          <w:sz w:val="24"/>
          <w:szCs w:val="24"/>
          <w:highlight w:val="none"/>
        </w:rPr>
        <w:t>纳入实施计划，项目业主为</w:t>
      </w:r>
      <w:r>
        <w:rPr>
          <w:rFonts w:hint="eastAsia" w:ascii="宋体" w:hAnsi="宋体" w:eastAsia="宋体" w:cs="宋体"/>
          <w:color w:val="auto"/>
          <w:sz w:val="24"/>
          <w:szCs w:val="24"/>
          <w:highlight w:val="none"/>
          <w:u w:val="single"/>
        </w:rPr>
        <w:t>黄埔区水务局</w:t>
      </w:r>
      <w:r>
        <w:rPr>
          <w:rFonts w:hint="eastAsia" w:ascii="宋体" w:hAnsi="宋体" w:eastAsia="宋体" w:cs="宋体"/>
          <w:color w:val="auto"/>
          <w:sz w:val="24"/>
          <w:szCs w:val="24"/>
          <w:highlight w:val="none"/>
        </w:rPr>
        <w:t>，建设资金为</w:t>
      </w:r>
      <w:r>
        <w:rPr>
          <w:rFonts w:hint="eastAsia" w:ascii="宋体" w:hAnsi="宋体" w:eastAsia="宋体" w:cs="宋体"/>
          <w:color w:val="auto"/>
          <w:sz w:val="24"/>
          <w:szCs w:val="24"/>
          <w:highlight w:val="none"/>
          <w:u w:val="single"/>
        </w:rPr>
        <w:t>区财政资金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rPr>
        <w:t>广州开发区财政投资建设项目管理中心</w:t>
      </w:r>
      <w:r>
        <w:rPr>
          <w:rFonts w:hint="eastAsia" w:ascii="宋体" w:hAnsi="宋体" w:eastAsia="宋体" w:cs="宋体"/>
          <w:color w:val="auto"/>
          <w:sz w:val="24"/>
          <w:szCs w:val="24"/>
          <w:highlight w:val="none"/>
        </w:rPr>
        <w:t>。项目已具备招标条件，现对该项目的勘察设计进行公开招标。</w:t>
      </w:r>
    </w:p>
    <w:p>
      <w:pPr>
        <w:pStyle w:val="2"/>
        <w:rPr>
          <w:color w:val="auto"/>
          <w:highlight w:val="none"/>
        </w:rPr>
      </w:pPr>
      <w:bookmarkStart w:id="1" w:name="_Toc25072049"/>
      <w:r>
        <w:rPr>
          <w:rFonts w:hint="eastAsia"/>
          <w:color w:val="auto"/>
          <w:highlight w:val="none"/>
        </w:rPr>
        <w:t>2.</w:t>
      </w:r>
      <w:r>
        <w:rPr>
          <w:color w:val="auto"/>
          <w:highlight w:val="none"/>
        </w:rPr>
        <w:t xml:space="preserve"> </w:t>
      </w:r>
      <w:r>
        <w:rPr>
          <w:rFonts w:hint="eastAsia"/>
          <w:color w:val="auto"/>
          <w:highlight w:val="none"/>
        </w:rPr>
        <w:t>项目概况与招标范围</w:t>
      </w:r>
      <w:bookmarkEnd w:id="1"/>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 招标项目名称：</w:t>
      </w:r>
      <w:r>
        <w:rPr>
          <w:rFonts w:hint="eastAsia" w:ascii="宋体" w:hAnsi="宋体" w:eastAsia="宋体" w:cs="宋体"/>
          <w:color w:val="auto"/>
          <w:sz w:val="24"/>
          <w:szCs w:val="24"/>
          <w:highlight w:val="none"/>
          <w:u w:val="single"/>
        </w:rPr>
        <w:t>乌涌流域排涝体系提升工程勘察设计</w:t>
      </w:r>
    </w:p>
    <w:p>
      <w:pPr>
        <w:wordWrap w:val="0"/>
        <w:spacing w:line="360" w:lineRule="auto"/>
        <w:ind w:firstLine="482" w:firstLineChars="201"/>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2.2 建设地点：</w:t>
      </w:r>
      <w:r>
        <w:rPr>
          <w:rFonts w:hint="eastAsia" w:ascii="宋体" w:hAnsi="宋体" w:eastAsia="宋体" w:cs="宋体"/>
          <w:color w:val="auto"/>
          <w:sz w:val="24"/>
          <w:szCs w:val="24"/>
          <w:highlight w:val="none"/>
          <w:u w:val="single"/>
        </w:rPr>
        <w:t>广州市黄埔区</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2.3 建设规模：</w:t>
      </w:r>
      <w:r>
        <w:rPr>
          <w:rFonts w:hint="eastAsia" w:ascii="宋体" w:hAnsi="宋体" w:eastAsia="宋体" w:cs="宋体"/>
          <w:color w:val="auto"/>
          <w:sz w:val="24"/>
          <w:szCs w:val="24"/>
          <w:highlight w:val="none"/>
          <w:u w:val="single"/>
          <w:lang w:val="en-US" w:eastAsia="zh-CN"/>
        </w:rPr>
        <w:t xml:space="preserve">工程通过河床平整、堤岸加固、沿线水陂改造、新建跌水、新建三戽涌排涝泵闸等措施，提升乌涌流域排涝能力。主要工程规模如下： </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w:t>
      </w:r>
      <w:r>
        <w:rPr>
          <w:rFonts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 xml:space="preserve">）河床平整：对乌涌干流广园路至广汕二路段（桩号 </w:t>
      </w:r>
      <w:r>
        <w:rPr>
          <w:rFonts w:hint="default" w:ascii="宋体" w:hAnsi="宋体" w:eastAsia="宋体" w:cs="宋体"/>
          <w:color w:val="auto"/>
          <w:sz w:val="24"/>
          <w:szCs w:val="24"/>
          <w:highlight w:val="none"/>
          <w:u w:val="single"/>
          <w:lang w:val="en-US" w:eastAsia="zh-CN"/>
        </w:rPr>
        <w:t>WC3+400~WC13+550</w:t>
      </w:r>
      <w:r>
        <w:rPr>
          <w:rFonts w:hint="eastAsia" w:ascii="宋体" w:hAnsi="宋体" w:eastAsia="宋体" w:cs="宋体"/>
          <w:color w:val="auto"/>
          <w:sz w:val="24"/>
          <w:szCs w:val="24"/>
          <w:highlight w:val="none"/>
          <w:u w:val="single"/>
          <w:lang w:val="en-US" w:eastAsia="zh-CN"/>
        </w:rPr>
        <w:t xml:space="preserve">）河床进行平整，长度 </w:t>
      </w:r>
      <w:r>
        <w:rPr>
          <w:rFonts w:hint="default" w:ascii="宋体" w:hAnsi="宋体" w:eastAsia="宋体" w:cs="宋体"/>
          <w:color w:val="auto"/>
          <w:sz w:val="24"/>
          <w:szCs w:val="24"/>
          <w:highlight w:val="none"/>
          <w:u w:val="single"/>
          <w:lang w:val="en-US" w:eastAsia="zh-CN"/>
        </w:rPr>
        <w:t>10.15km</w:t>
      </w:r>
      <w:r>
        <w:rPr>
          <w:rFonts w:hint="eastAsia" w:ascii="宋体" w:hAnsi="宋体" w:eastAsia="宋体" w:cs="宋体"/>
          <w:color w:val="auto"/>
          <w:sz w:val="24"/>
          <w:szCs w:val="24"/>
          <w:highlight w:val="none"/>
          <w:u w:val="single"/>
          <w:lang w:val="en-US" w:eastAsia="zh-CN"/>
        </w:rPr>
        <w:t xml:space="preserve">。 </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）堤岸加固：对 </w:t>
      </w:r>
      <w:r>
        <w:rPr>
          <w:rFonts w:hint="default" w:ascii="宋体" w:hAnsi="宋体" w:eastAsia="宋体" w:cs="宋体"/>
          <w:color w:val="auto"/>
          <w:sz w:val="24"/>
          <w:szCs w:val="24"/>
          <w:highlight w:val="none"/>
          <w:u w:val="single"/>
          <w:lang w:val="en-US" w:eastAsia="zh-CN"/>
        </w:rPr>
        <w:t xml:space="preserve">WC4+900~WC6+200 </w:t>
      </w:r>
      <w:r>
        <w:rPr>
          <w:rFonts w:hint="eastAsia" w:ascii="宋体" w:hAnsi="宋体" w:eastAsia="宋体" w:cs="宋体"/>
          <w:color w:val="auto"/>
          <w:sz w:val="24"/>
          <w:szCs w:val="24"/>
          <w:highlight w:val="none"/>
          <w:u w:val="single"/>
          <w:lang w:val="en-US" w:eastAsia="zh-CN"/>
        </w:rPr>
        <w:t xml:space="preserve">段和 </w:t>
      </w:r>
      <w:r>
        <w:rPr>
          <w:rFonts w:hint="default" w:ascii="宋体" w:hAnsi="宋体" w:eastAsia="宋体" w:cs="宋体"/>
          <w:color w:val="auto"/>
          <w:sz w:val="24"/>
          <w:szCs w:val="24"/>
          <w:highlight w:val="none"/>
          <w:u w:val="single"/>
          <w:lang w:val="en-US" w:eastAsia="zh-CN"/>
        </w:rPr>
        <w:t xml:space="preserve">WC8+000~WC8+600 </w:t>
      </w:r>
      <w:r>
        <w:rPr>
          <w:rFonts w:hint="eastAsia" w:ascii="宋体" w:hAnsi="宋体" w:eastAsia="宋体" w:cs="宋体"/>
          <w:color w:val="auto"/>
          <w:sz w:val="24"/>
          <w:szCs w:val="24"/>
          <w:highlight w:val="none"/>
          <w:u w:val="single"/>
          <w:lang w:val="en-US" w:eastAsia="zh-CN"/>
        </w:rPr>
        <w:t xml:space="preserve">段堤岸进行加固，长度 </w:t>
      </w:r>
      <w:r>
        <w:rPr>
          <w:rFonts w:hint="default" w:ascii="宋体" w:hAnsi="宋体" w:eastAsia="宋体" w:cs="宋体"/>
          <w:color w:val="auto"/>
          <w:sz w:val="24"/>
          <w:szCs w:val="24"/>
          <w:highlight w:val="none"/>
          <w:u w:val="single"/>
          <w:lang w:val="en-US" w:eastAsia="zh-CN"/>
        </w:rPr>
        <w:t>1.90km</w:t>
      </w:r>
      <w:r>
        <w:rPr>
          <w:rFonts w:hint="eastAsia" w:ascii="宋体" w:hAnsi="宋体" w:eastAsia="宋体" w:cs="宋体"/>
          <w:color w:val="auto"/>
          <w:sz w:val="24"/>
          <w:szCs w:val="24"/>
          <w:highlight w:val="none"/>
          <w:u w:val="single"/>
          <w:lang w:val="en-US" w:eastAsia="zh-CN"/>
        </w:rPr>
        <w:t xml:space="preserve">。 </w:t>
      </w:r>
    </w:p>
    <w:p>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）水陂改造：将 </w:t>
      </w:r>
      <w:r>
        <w:rPr>
          <w:rFonts w:hint="default" w:ascii="宋体" w:hAnsi="宋体" w:eastAsia="宋体" w:cs="宋体"/>
          <w:color w:val="auto"/>
          <w:sz w:val="24"/>
          <w:szCs w:val="24"/>
          <w:highlight w:val="none"/>
          <w:u w:val="single"/>
          <w:lang w:val="en-US" w:eastAsia="zh-CN"/>
        </w:rPr>
        <w:t xml:space="preserve">WC4+896 </w:t>
      </w:r>
      <w:r>
        <w:rPr>
          <w:rFonts w:hint="eastAsia" w:ascii="宋体" w:hAnsi="宋体" w:eastAsia="宋体" w:cs="宋体"/>
          <w:color w:val="auto"/>
          <w:sz w:val="24"/>
          <w:szCs w:val="24"/>
          <w:highlight w:val="none"/>
          <w:u w:val="single"/>
          <w:lang w:val="en-US" w:eastAsia="zh-CN"/>
        </w:rPr>
        <w:t xml:space="preserve">和 </w:t>
      </w:r>
      <w:r>
        <w:rPr>
          <w:rFonts w:hint="default" w:ascii="宋体" w:hAnsi="宋体" w:eastAsia="宋体" w:cs="宋体"/>
          <w:color w:val="auto"/>
          <w:sz w:val="24"/>
          <w:szCs w:val="24"/>
          <w:highlight w:val="none"/>
          <w:u w:val="single"/>
          <w:lang w:val="en-US" w:eastAsia="zh-CN"/>
        </w:rPr>
        <w:t xml:space="preserve">WC6+284 </w:t>
      </w:r>
      <w:r>
        <w:rPr>
          <w:rFonts w:hint="eastAsia" w:ascii="宋体" w:hAnsi="宋体" w:eastAsia="宋体" w:cs="宋体"/>
          <w:color w:val="auto"/>
          <w:sz w:val="24"/>
          <w:szCs w:val="24"/>
          <w:highlight w:val="none"/>
          <w:u w:val="single"/>
          <w:lang w:val="en-US" w:eastAsia="zh-CN"/>
        </w:rPr>
        <w:t xml:space="preserve">处固定水陂改造成可活动的翻板闸，在上游 </w:t>
      </w:r>
      <w:r>
        <w:rPr>
          <w:rFonts w:hint="default" w:ascii="宋体" w:hAnsi="宋体" w:eastAsia="宋体" w:cs="宋体"/>
          <w:color w:val="auto"/>
          <w:sz w:val="24"/>
          <w:szCs w:val="24"/>
          <w:highlight w:val="none"/>
          <w:u w:val="single"/>
          <w:lang w:val="en-US" w:eastAsia="zh-CN"/>
        </w:rPr>
        <w:t xml:space="preserve">WC13+035 </w:t>
      </w:r>
      <w:r>
        <w:rPr>
          <w:rFonts w:hint="eastAsia" w:ascii="宋体" w:hAnsi="宋体" w:eastAsia="宋体" w:cs="宋体"/>
          <w:color w:val="auto"/>
          <w:sz w:val="24"/>
          <w:szCs w:val="24"/>
          <w:highlight w:val="none"/>
          <w:u w:val="single"/>
          <w:lang w:val="en-US" w:eastAsia="zh-CN"/>
        </w:rPr>
        <w:t>处新建翻板闸。</w:t>
      </w:r>
    </w:p>
    <w:p>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（4）新建跌水：在桩号 </w:t>
      </w:r>
      <w:r>
        <w:rPr>
          <w:rFonts w:hint="default" w:ascii="宋体" w:hAnsi="宋体" w:eastAsia="宋体" w:cs="宋体"/>
          <w:color w:val="auto"/>
          <w:sz w:val="24"/>
          <w:szCs w:val="24"/>
          <w:highlight w:val="none"/>
          <w:u w:val="single"/>
          <w:lang w:val="en-US" w:eastAsia="zh-CN"/>
        </w:rPr>
        <w:t>WC5+170</w:t>
      </w: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WC5+500</w:t>
      </w: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 xml:space="preserve">WC5+850 </w:t>
      </w:r>
      <w:r>
        <w:rPr>
          <w:rFonts w:hint="eastAsia" w:ascii="宋体" w:hAnsi="宋体" w:eastAsia="宋体" w:cs="宋体"/>
          <w:color w:val="auto"/>
          <w:sz w:val="24"/>
          <w:szCs w:val="24"/>
          <w:highlight w:val="none"/>
          <w:u w:val="single"/>
          <w:lang w:val="en-US" w:eastAsia="zh-CN"/>
        </w:rPr>
        <w:t xml:space="preserve">处新建 </w:t>
      </w:r>
      <w:r>
        <w:rPr>
          <w:rFonts w:hint="default"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u w:val="single"/>
          <w:lang w:val="en-US" w:eastAsia="zh-CN"/>
        </w:rPr>
        <w:t>座跌水。</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w:t>
      </w:r>
      <w:r>
        <w:rPr>
          <w:rFonts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）新建三戽涌排涝泵闸：在现状三戽涌气盾闸处新建排涝泵闸，水闸设计流量为 </w:t>
      </w:r>
      <w:r>
        <w:rPr>
          <w:rFonts w:hint="default" w:ascii="宋体" w:hAnsi="宋体" w:eastAsia="宋体" w:cs="宋体"/>
          <w:color w:val="auto"/>
          <w:sz w:val="24"/>
          <w:szCs w:val="24"/>
          <w:highlight w:val="none"/>
          <w:u w:val="single"/>
          <w:lang w:val="en-US" w:eastAsia="zh-CN"/>
        </w:rPr>
        <w:t>26.50m3/s</w:t>
      </w:r>
      <w:r>
        <w:rPr>
          <w:rFonts w:hint="eastAsia" w:ascii="宋体" w:hAnsi="宋体" w:eastAsia="宋体" w:cs="宋体"/>
          <w:color w:val="auto"/>
          <w:sz w:val="24"/>
          <w:szCs w:val="24"/>
          <w:highlight w:val="none"/>
          <w:u w:val="single"/>
          <w:lang w:val="en-US" w:eastAsia="zh-CN"/>
        </w:rPr>
        <w:t xml:space="preserve">，泵站设计流量 </w:t>
      </w:r>
      <w:r>
        <w:rPr>
          <w:rFonts w:hint="default" w:ascii="宋体" w:hAnsi="宋体" w:eastAsia="宋体" w:cs="宋体"/>
          <w:color w:val="auto"/>
          <w:sz w:val="24"/>
          <w:szCs w:val="24"/>
          <w:highlight w:val="none"/>
          <w:u w:val="single"/>
          <w:lang w:val="en-US" w:eastAsia="zh-CN"/>
        </w:rPr>
        <w:t>12m3 /s</w:t>
      </w:r>
      <w:r>
        <w:rPr>
          <w:rFonts w:hint="eastAsia" w:ascii="宋体" w:hAnsi="宋体" w:eastAsia="宋体" w:cs="宋体"/>
          <w:color w:val="auto"/>
          <w:sz w:val="24"/>
          <w:szCs w:val="24"/>
          <w:highlight w:val="none"/>
          <w:u w:val="single"/>
          <w:lang w:val="en-US" w:eastAsia="zh-CN"/>
        </w:rPr>
        <w:t>。</w:t>
      </w:r>
    </w:p>
    <w:p>
      <w:pPr>
        <w:wordWrap w:val="0"/>
        <w:spacing w:line="360" w:lineRule="auto"/>
        <w:ind w:firstLine="482" w:firstLineChars="20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本工程乌涌干流治涝标准为50年一遇，堤防、气盾闸等主要建筑物级别为2级，次要建筑物级别为 3 级，临时建筑物级别为 4 级。</w:t>
      </w:r>
      <w:r>
        <w:rPr>
          <w:rFonts w:hint="eastAsia" w:ascii="宋体" w:hAnsi="宋体" w:eastAsia="宋体" w:cs="宋体"/>
          <w:color w:val="auto"/>
          <w:sz w:val="24"/>
          <w:szCs w:val="24"/>
          <w:highlight w:val="none"/>
          <w:u w:val="single"/>
          <w:lang w:val="en-US" w:eastAsia="zh-CN"/>
        </w:rPr>
        <w:t>三戽涌治涝标准为20</w:t>
      </w:r>
      <w:r>
        <w:rPr>
          <w:rFonts w:hint="eastAsia" w:ascii="宋体" w:hAnsi="宋体" w:eastAsia="宋体" w:cs="宋体"/>
          <w:color w:val="auto"/>
          <w:sz w:val="24"/>
          <w:szCs w:val="24"/>
          <w:highlight w:val="none"/>
          <w:u w:val="single"/>
          <w:lang w:val="en-US" w:eastAsia="zh-CN"/>
        </w:rPr>
        <w:t>年一遇，</w:t>
      </w:r>
      <w:r>
        <w:rPr>
          <w:rFonts w:hint="eastAsia" w:ascii="宋体" w:hAnsi="宋体" w:eastAsia="宋体" w:cs="宋体"/>
          <w:color w:val="auto"/>
          <w:sz w:val="24"/>
          <w:szCs w:val="24"/>
          <w:highlight w:val="none"/>
          <w:u w:val="single"/>
        </w:rPr>
        <w:t>三戽涌工程设计单站装机流量为 12.00m3/s，排涝流量大于 10m3/s，</w:t>
      </w:r>
      <w:r>
        <w:rPr>
          <w:rFonts w:hint="eastAsia" w:ascii="宋体" w:hAnsi="宋体" w:eastAsia="宋体" w:cs="宋体"/>
          <w:color w:val="auto"/>
          <w:sz w:val="24"/>
          <w:szCs w:val="24"/>
          <w:highlight w:val="none"/>
          <w:u w:val="single"/>
          <w:lang w:val="en-US" w:eastAsia="zh-CN"/>
        </w:rPr>
        <w:t>泵站工程主要建筑物级别为 3 级，次要建筑物级别为 4 级，临时建筑物级别为 5 级。</w:t>
      </w:r>
    </w:p>
    <w:p>
      <w:pPr>
        <w:wordWrap w:val="0"/>
        <w:spacing w:line="360" w:lineRule="auto"/>
        <w:ind w:firstLine="482" w:firstLineChars="201"/>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本工程总投资为 13500.05 万元，其中：建安工程费为 10864.7 万元。</w:t>
      </w:r>
      <w:r>
        <w:rPr>
          <w:rFonts w:hint="eastAsia" w:ascii="宋体" w:hAnsi="宋体" w:eastAsia="宋体" w:cs="宋体"/>
          <w:color w:val="auto"/>
          <w:sz w:val="24"/>
          <w:szCs w:val="24"/>
          <w:highlight w:val="none"/>
          <w:u w:val="single"/>
        </w:rPr>
        <w:t>(具体建设规模以政府主管部门批准和实际实施为准)。</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 勘察设计工期：</w:t>
      </w:r>
      <w:r>
        <w:rPr>
          <w:rFonts w:hint="eastAsia" w:ascii="宋体" w:hAnsi="宋体" w:eastAsia="宋体" w:cs="宋体"/>
          <w:color w:val="auto"/>
          <w:sz w:val="24"/>
          <w:szCs w:val="24"/>
          <w:highlight w:val="none"/>
          <w:u w:val="single"/>
        </w:rPr>
        <w:t>勘察设计合同生效之日起至合同工程完工验收合格满</w:t>
      </w:r>
      <w:r>
        <w:rPr>
          <w:rFonts w:ascii="宋体" w:hAnsi="宋体" w:eastAsia="宋体" w:cs="宋体"/>
          <w:color w:val="auto"/>
          <w:sz w:val="24"/>
          <w:szCs w:val="24"/>
          <w:highlight w:val="none"/>
          <w:u w:val="single"/>
        </w:rPr>
        <w:t>2年为止为服务期限。（各阶段勘察设计成果提交需根据发包人要求及实际勘察设计进度调整）</w:t>
      </w:r>
    </w:p>
    <w:p>
      <w:pPr>
        <w:wordWrap w:val="0"/>
        <w:spacing w:line="360" w:lineRule="auto"/>
        <w:ind w:firstLine="482" w:firstLineChars="201"/>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设计工期：中标人应在设计合同签订后10工作日内完成方案修改，方案确定后15工作日内完成初步设计，初步设计审查批准后25工作日内完成施工图设计，施工图设计文件经审查发现问题后3工作日内完成补充、修改。如果延误工期，承包人向发包人支付的误期损害赔偿费每天为最终设计合同价格的0.3%；误期损害赔偿费的最高限额为最终设计合同价格的30%。</w:t>
      </w:r>
    </w:p>
    <w:p>
      <w:pPr>
        <w:wordWrap w:val="0"/>
        <w:spacing w:line="360" w:lineRule="auto"/>
        <w:ind w:firstLine="482" w:firstLineChars="201"/>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勘察工期：合同签订后，承包人收到发包人对该项目勘察工作大纲批复之日起计30日内提交勘察成果文件。如果延误工期，承包人向发包人支付的误期损害赔偿费每天为最终勘察合同价格的0.3%；误期损害赔偿费的最高限额为最终勘察合同价格的30%。</w:t>
      </w:r>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 招标范围：</w:t>
      </w:r>
    </w:p>
    <w:p>
      <w:pPr>
        <w:shd w:val="clear" w:color="auto" w:fill="FFFFFF"/>
        <w:wordWrap w:val="0"/>
        <w:spacing w:line="360" w:lineRule="auto"/>
        <w:ind w:firstLine="482" w:firstLineChars="201"/>
        <w:rPr>
          <w:rFonts w:ascii="宋体" w:hAnsi="宋体" w:eastAsia="宋体" w:cs="宋体"/>
          <w:color w:val="auto"/>
          <w:kern w:val="0"/>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2.5.1 标段划分：</w:t>
      </w:r>
      <w:r>
        <w:rPr>
          <w:rFonts w:hint="eastAsia" w:ascii="宋体" w:hAnsi="宋体" w:eastAsia="宋体" w:cs="宋体"/>
          <w:color w:val="auto"/>
          <w:kern w:val="0"/>
          <w:sz w:val="24"/>
          <w:szCs w:val="24"/>
          <w:highlight w:val="none"/>
          <w:u w:val="single"/>
          <w:shd w:val="clear" w:color="auto" w:fill="FFFFFF"/>
        </w:rPr>
        <w:t>本项目划分为</w:t>
      </w:r>
      <w:r>
        <w:rPr>
          <w:rFonts w:ascii="宋体" w:hAnsi="宋体" w:eastAsia="宋体" w:cs="宋体"/>
          <w:color w:val="auto"/>
          <w:kern w:val="0"/>
          <w:sz w:val="24"/>
          <w:szCs w:val="24"/>
          <w:highlight w:val="none"/>
          <w:u w:val="single"/>
          <w:shd w:val="clear" w:color="auto" w:fill="FFFFFF"/>
        </w:rPr>
        <w:t>1</w:t>
      </w:r>
      <w:r>
        <w:rPr>
          <w:rFonts w:hint="eastAsia" w:ascii="宋体" w:hAnsi="宋体" w:eastAsia="宋体" w:cs="宋体"/>
          <w:color w:val="auto"/>
          <w:kern w:val="0"/>
          <w:sz w:val="24"/>
          <w:szCs w:val="24"/>
          <w:highlight w:val="none"/>
          <w:u w:val="single"/>
          <w:shd w:val="clear" w:color="auto" w:fill="FFFFFF"/>
        </w:rPr>
        <w:t>个标段。</w:t>
      </w:r>
    </w:p>
    <w:p>
      <w:pPr>
        <w:widowControl/>
        <w:wordWrap w:val="0"/>
        <w:autoSpaceDE w:val="0"/>
        <w:autoSpaceDN w:val="0"/>
        <w:spacing w:line="360" w:lineRule="auto"/>
        <w:ind w:firstLine="482" w:firstLineChars="201"/>
        <w:textAlignment w:val="baseline"/>
        <w:rPr>
          <w:rFonts w:ascii="宋体" w:hAnsi="宋体" w:eastAsia="宋体" w:cs="微软雅黑"/>
          <w:color w:val="auto"/>
          <w:sz w:val="24"/>
          <w:szCs w:val="21"/>
          <w:highlight w:val="none"/>
          <w:u w:val="single"/>
        </w:rPr>
      </w:pPr>
      <w:r>
        <w:rPr>
          <w:rFonts w:hint="eastAsia" w:ascii="宋体" w:hAnsi="宋体" w:eastAsia="宋体" w:cs="宋体"/>
          <w:color w:val="auto"/>
          <w:sz w:val="24"/>
          <w:szCs w:val="24"/>
          <w:highlight w:val="none"/>
          <w:shd w:val="clear" w:color="auto" w:fill="FFFFFF"/>
        </w:rPr>
        <w:t>2.5.</w:t>
      </w:r>
      <w:r>
        <w:rPr>
          <w:rFonts w:hint="eastAsia" w:ascii="宋体" w:hAnsi="宋体" w:eastAsia="宋体" w:cs="宋体"/>
          <w:color w:val="auto"/>
          <w:kern w:val="0"/>
          <w:sz w:val="24"/>
          <w:szCs w:val="24"/>
          <w:highlight w:val="none"/>
          <w:shd w:val="clear" w:color="auto" w:fill="FFFFFF"/>
        </w:rPr>
        <w:t>2 招标内容：</w:t>
      </w:r>
      <w:r>
        <w:rPr>
          <w:rFonts w:hint="eastAsia" w:ascii="宋体" w:hAnsi="宋体" w:eastAsia="宋体" w:cs="宋体"/>
          <w:color w:val="auto"/>
          <w:kern w:val="0"/>
          <w:sz w:val="24"/>
          <w:szCs w:val="24"/>
          <w:highlight w:val="none"/>
          <w:u w:val="single"/>
          <w:shd w:val="clear" w:color="auto" w:fill="FFFFFF"/>
        </w:rPr>
        <w:t>①勘察部分：负责本项目规划用地红线范围内，及经招标人审批同意用于辅助项目建设所需的红线范围外的勘察工作，包括但不限于以下内容：工程勘察</w:t>
      </w:r>
      <w:r>
        <w:rPr>
          <w:rFonts w:ascii="宋体" w:hAnsi="宋体" w:eastAsia="宋体" w:cs="宋体"/>
          <w:color w:val="auto"/>
          <w:kern w:val="0"/>
          <w:sz w:val="24"/>
          <w:szCs w:val="24"/>
          <w:highlight w:val="none"/>
          <w:u w:val="single"/>
          <w:shd w:val="clear" w:color="auto" w:fill="FFFFFF"/>
        </w:rPr>
        <w:t>[岩土工程勘察、工程测量、工程物探等勘察工作]；②设计部分：负责本项目方案设计、初步设计及概算、施工图设计、现场服务、施工过程中的方案优化及设计变更、施工及验收过程的配合、配合编制及审核竣工图等；全过程设计服务及协调工作；协助招标人办理规划报建、各专业报建及初步设计审查、办理建设工程规划许可证等报批报建工作。</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shd w:val="clear" w:color="auto" w:fill="FFFFFF"/>
        </w:rPr>
        <w:t>2.5.</w:t>
      </w:r>
      <w:r>
        <w:rPr>
          <w:rFonts w:hint="eastAsia" w:ascii="宋体" w:hAnsi="宋体" w:eastAsia="宋体" w:cs="宋体"/>
          <w:color w:val="auto"/>
          <w:kern w:val="0"/>
          <w:sz w:val="24"/>
          <w:szCs w:val="24"/>
          <w:highlight w:val="none"/>
          <w:shd w:val="clear" w:color="auto" w:fill="FFFFFF"/>
        </w:rPr>
        <w:t xml:space="preserve">3 </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u w:val="single"/>
          <w:lang w:val="en-US" w:eastAsia="zh-CN"/>
        </w:rPr>
        <w:t>2943536.66</w:t>
      </w:r>
      <w:r>
        <w:rPr>
          <w:rFonts w:hint="eastAsia" w:ascii="宋体" w:hAnsi="宋体" w:eastAsia="宋体" w:cs="宋体"/>
          <w:color w:val="auto"/>
          <w:sz w:val="24"/>
          <w:szCs w:val="24"/>
          <w:highlight w:val="none"/>
          <w:u w:val="single"/>
        </w:rPr>
        <w:t>元，其中：勘察费最高投标限价：</w:t>
      </w:r>
      <w:r>
        <w:rPr>
          <w:rFonts w:hint="eastAsia" w:ascii="宋体" w:hAnsi="宋体" w:eastAsia="宋体" w:cs="宋体"/>
          <w:color w:val="auto"/>
          <w:sz w:val="24"/>
          <w:szCs w:val="24"/>
          <w:highlight w:val="none"/>
          <w:u w:val="single"/>
          <w:lang w:val="en-US" w:eastAsia="zh-CN"/>
        </w:rPr>
        <w:t>823728.74</w:t>
      </w:r>
      <w:r>
        <w:rPr>
          <w:rFonts w:ascii="宋体" w:hAnsi="宋体" w:eastAsia="宋体" w:cs="宋体"/>
          <w:color w:val="auto"/>
          <w:sz w:val="24"/>
          <w:szCs w:val="24"/>
          <w:highlight w:val="none"/>
          <w:u w:val="single"/>
        </w:rPr>
        <w:t>元，设计费最高投标限价：</w:t>
      </w:r>
      <w:r>
        <w:rPr>
          <w:rFonts w:hint="eastAsia" w:ascii="宋体" w:hAnsi="宋体" w:eastAsia="宋体" w:cs="宋体"/>
          <w:color w:val="auto"/>
          <w:sz w:val="24"/>
          <w:szCs w:val="24"/>
          <w:highlight w:val="none"/>
          <w:u w:val="single"/>
          <w:lang w:val="en-US" w:eastAsia="zh-CN"/>
        </w:rPr>
        <w:t>2119807.92</w:t>
      </w:r>
      <w:r>
        <w:rPr>
          <w:rFonts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rPr>
        <w:t>。</w:t>
      </w:r>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 前期服务机构名称：</w:t>
      </w:r>
      <w:r>
        <w:rPr>
          <w:rFonts w:ascii="宋体" w:hAnsi="宋体" w:eastAsia="宋体" w:cs="宋体"/>
          <w:color w:val="auto"/>
          <w:sz w:val="24"/>
          <w:szCs w:val="24"/>
          <w:highlight w:val="none"/>
          <w:u w:val="single"/>
        </w:rPr>
        <w:t>珠江水利委员会珠江水利科学研究院（</w:t>
      </w:r>
      <w:r>
        <w:rPr>
          <w:rFonts w:hint="eastAsia" w:ascii="宋体" w:hAnsi="宋体" w:eastAsia="宋体" w:cs="宋体"/>
          <w:color w:val="auto"/>
          <w:sz w:val="24"/>
          <w:szCs w:val="24"/>
          <w:highlight w:val="none"/>
          <w:u w:val="single"/>
        </w:rPr>
        <w:t>建设方案编制单位</w:t>
      </w:r>
      <w:r>
        <w:rPr>
          <w:rFonts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注：如果前期服务机构参加本次投标，应将本公告发布前最终完成的工作成果（含电子文件）在投标人获取招标文件的同时提供给所有投标人参考，否则前期参与的服务机构中标无效。</w:t>
      </w:r>
    </w:p>
    <w:p>
      <w:pPr>
        <w:pStyle w:val="2"/>
        <w:rPr>
          <w:color w:val="auto"/>
          <w:highlight w:val="none"/>
        </w:rPr>
      </w:pPr>
      <w:bookmarkStart w:id="2" w:name="_Toc60344354"/>
      <w:r>
        <w:rPr>
          <w:rFonts w:hint="eastAsia"/>
          <w:color w:val="auto"/>
          <w:highlight w:val="none"/>
        </w:rPr>
        <w:t>3. 投标人资格要求</w:t>
      </w:r>
      <w:bookmarkEnd w:id="2"/>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投标人参加投标的意思表达清楚，投标人代表被授权有效。</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投标人</w:t>
      </w:r>
      <w:r>
        <w:rPr>
          <w:rFonts w:hint="eastAsia" w:ascii="宋体" w:hAnsi="宋体" w:eastAsia="宋体" w:cs="宋体"/>
          <w:color w:val="auto"/>
          <w:kern w:val="0"/>
          <w:sz w:val="24"/>
          <w:szCs w:val="24"/>
          <w:highlight w:val="none"/>
          <w:u w:val="single"/>
        </w:rPr>
        <w:t>（若联合体投标，指联合体各方）</w:t>
      </w:r>
      <w:r>
        <w:rPr>
          <w:rFonts w:hint="eastAsia" w:ascii="宋体" w:hAnsi="宋体" w:eastAsia="宋体" w:cs="宋体"/>
          <w:color w:val="auto"/>
          <w:kern w:val="0"/>
          <w:sz w:val="24"/>
          <w:szCs w:val="24"/>
          <w:highlight w:val="none"/>
        </w:rPr>
        <w:t>是法人或其他组织，按国家法律经营。</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投标人须具备建设行政主管部门颁发的以下</w:t>
      </w:r>
      <w:r>
        <w:rPr>
          <w:rFonts w:hint="eastAsia" w:ascii="宋体" w:hAnsi="宋体" w:eastAsia="宋体" w:cs="宋体"/>
          <w:b/>
          <w:bCs/>
          <w:color w:val="auto"/>
          <w:kern w:val="0"/>
          <w:sz w:val="24"/>
          <w:szCs w:val="24"/>
          <w:highlight w:val="none"/>
          <w:u w:val="single"/>
        </w:rPr>
        <w:t>（1）、（2）</w:t>
      </w:r>
      <w:r>
        <w:rPr>
          <w:rFonts w:hint="eastAsia" w:ascii="宋体" w:hAnsi="宋体" w:eastAsia="宋体" w:cs="宋体"/>
          <w:color w:val="auto"/>
          <w:kern w:val="0"/>
          <w:sz w:val="24"/>
          <w:szCs w:val="24"/>
          <w:highlight w:val="none"/>
          <w:u w:val="single"/>
        </w:rPr>
        <w:t>项</w:t>
      </w:r>
      <w:r>
        <w:rPr>
          <w:rFonts w:hint="eastAsia" w:ascii="宋体" w:hAnsi="宋体" w:eastAsia="宋体" w:cs="宋体"/>
          <w:color w:val="auto"/>
          <w:kern w:val="0"/>
          <w:sz w:val="24"/>
          <w:szCs w:val="24"/>
          <w:highlight w:val="none"/>
        </w:rPr>
        <w:t>资质：</w:t>
      </w:r>
    </w:p>
    <w:p>
      <w:pPr>
        <w:wordWrap w:val="0"/>
        <w:autoSpaceDE w:val="0"/>
        <w:autoSpaceDN w:val="0"/>
        <w:spacing w:line="360" w:lineRule="auto"/>
        <w:ind w:firstLine="484" w:firstLineChars="201"/>
        <w:rPr>
          <w:rFonts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rPr>
        <w:t>（1）工程勘察资质：</w:t>
      </w:r>
      <w:r>
        <w:rPr>
          <w:rFonts w:hint="eastAsia" w:ascii="宋体" w:hAnsi="宋体" w:eastAsia="宋体" w:cs="宋体"/>
          <w:color w:val="auto"/>
          <w:kern w:val="0"/>
          <w:sz w:val="24"/>
          <w:szCs w:val="24"/>
          <w:highlight w:val="none"/>
          <w:u w:val="single"/>
        </w:rPr>
        <w:t>具有工程勘察综合甲级资质，或同时具有工程勘察</w:t>
      </w:r>
      <w:r>
        <w:rPr>
          <w:rFonts w:ascii="宋体" w:hAnsi="宋体" w:eastAsia="宋体" w:cs="宋体"/>
          <w:color w:val="auto"/>
          <w:kern w:val="0"/>
          <w:sz w:val="24"/>
          <w:szCs w:val="24"/>
          <w:highlight w:val="none"/>
          <w:u w:val="single"/>
        </w:rPr>
        <w:t xml:space="preserve"> (岩土工程）专业类</w:t>
      </w:r>
      <w:r>
        <w:rPr>
          <w:rFonts w:hint="eastAsia" w:ascii="宋体" w:hAnsi="宋体" w:eastAsia="宋体" w:cs="宋体"/>
          <w:color w:val="auto"/>
          <w:kern w:val="0"/>
          <w:sz w:val="24"/>
          <w:szCs w:val="24"/>
          <w:highlight w:val="none"/>
          <w:u w:val="single"/>
        </w:rPr>
        <w:t>乙级或以上</w:t>
      </w:r>
      <w:r>
        <w:rPr>
          <w:rFonts w:ascii="宋体" w:hAnsi="宋体" w:eastAsia="宋体" w:cs="宋体"/>
          <w:color w:val="auto"/>
          <w:kern w:val="0"/>
          <w:sz w:val="24"/>
          <w:szCs w:val="24"/>
          <w:highlight w:val="none"/>
          <w:u w:val="single"/>
        </w:rPr>
        <w:t>资质</w:t>
      </w:r>
      <w:r>
        <w:rPr>
          <w:rFonts w:hint="eastAsia" w:ascii="宋体" w:hAnsi="宋体" w:eastAsia="宋体" w:cs="宋体"/>
          <w:color w:val="auto"/>
          <w:kern w:val="0"/>
          <w:sz w:val="24"/>
          <w:szCs w:val="24"/>
          <w:highlight w:val="none"/>
          <w:u w:val="single"/>
        </w:rPr>
        <w:t>和</w:t>
      </w:r>
      <w:r>
        <w:rPr>
          <w:rFonts w:ascii="宋体" w:hAnsi="宋体" w:eastAsia="宋体" w:cs="宋体"/>
          <w:color w:val="auto"/>
          <w:kern w:val="0"/>
          <w:sz w:val="24"/>
          <w:szCs w:val="24"/>
          <w:highlight w:val="none"/>
          <w:u w:val="single"/>
        </w:rPr>
        <w:t>工程勘察（工程测量）专业类</w:t>
      </w:r>
      <w:r>
        <w:rPr>
          <w:rFonts w:hint="eastAsia" w:ascii="宋体" w:hAnsi="宋体" w:eastAsia="宋体" w:cs="宋体"/>
          <w:color w:val="auto"/>
          <w:kern w:val="0"/>
          <w:sz w:val="24"/>
          <w:szCs w:val="24"/>
          <w:highlight w:val="none"/>
          <w:u w:val="single"/>
        </w:rPr>
        <w:t>甲级</w:t>
      </w:r>
      <w:r>
        <w:rPr>
          <w:rFonts w:ascii="宋体" w:hAnsi="宋体" w:eastAsia="宋体" w:cs="宋体"/>
          <w:color w:val="auto"/>
          <w:kern w:val="0"/>
          <w:sz w:val="24"/>
          <w:szCs w:val="24"/>
          <w:highlight w:val="none"/>
          <w:u w:val="single"/>
        </w:rPr>
        <w:t>资质；香港企业参加投标的，须在广东省住房和城乡建设主管部门备案且备案的业务范围应符合本招标项目对工程勘察资质的要求。</w:t>
      </w:r>
    </w:p>
    <w:p>
      <w:pPr>
        <w:wordWrap w:val="0"/>
        <w:autoSpaceDE w:val="0"/>
        <w:autoSpaceDN w:val="0"/>
        <w:spacing w:line="360" w:lineRule="auto"/>
        <w:ind w:firstLine="484" w:firstLineChars="201"/>
        <w:rPr>
          <w:rFonts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rPr>
        <w:t>（2）工程设计资质：</w:t>
      </w:r>
      <w:r>
        <w:rPr>
          <w:rFonts w:hint="eastAsia" w:ascii="宋体" w:hAnsi="宋体" w:eastAsia="宋体" w:cs="宋体"/>
          <w:color w:val="auto"/>
          <w:kern w:val="0"/>
          <w:sz w:val="24"/>
          <w:szCs w:val="24"/>
          <w:highlight w:val="none"/>
          <w:u w:val="single"/>
        </w:rPr>
        <w:t>具有工程设计综合甲级资质，或具有水利行业工程设计乙级或以上资质，或同时具有水利行业（河道整治）专业设计乙级或以上资质；香港企业独立参加投标的，须在广东省住房和城乡建设主管部门备案且备案的业务范围应符合本招标项目对工程资质的要求。</w:t>
      </w:r>
    </w:p>
    <w:p>
      <w:pPr>
        <w:wordWrap w:val="0"/>
        <w:autoSpaceDE w:val="0"/>
        <w:autoSpaceDN w:val="0"/>
        <w:spacing w:line="360" w:lineRule="auto"/>
        <w:ind w:firstLine="482" w:firstLineChars="201"/>
        <w:rPr>
          <w:rFonts w:ascii="宋体" w:hAnsi="宋体" w:eastAsia="宋体" w:cs="宋体"/>
          <w:color w:val="auto"/>
          <w:kern w:val="0"/>
          <w:sz w:val="24"/>
          <w:szCs w:val="24"/>
          <w:highlight w:val="none"/>
          <w:u w:val="single"/>
        </w:rPr>
      </w:pPr>
      <w:r>
        <w:rPr>
          <w:rFonts w:hint="eastAsia" w:ascii="宋体" w:hAnsi="宋体" w:eastAsia="宋体"/>
          <w:color w:val="auto"/>
          <w:sz w:val="24"/>
          <w:szCs w:val="24"/>
          <w:highlight w:val="none"/>
        </w:rPr>
        <w:t>对应所设置资质要求的勘察设计规模指标：</w:t>
      </w:r>
      <w:r>
        <w:rPr>
          <w:rFonts w:hint="eastAsia" w:ascii="宋体" w:hAnsi="宋体" w:eastAsia="宋体"/>
          <w:color w:val="auto"/>
          <w:sz w:val="24"/>
          <w:szCs w:val="24"/>
          <w:highlight w:val="none"/>
          <w:u w:val="single"/>
        </w:rPr>
        <w:t>■河道整治（</w:t>
      </w:r>
      <w:r>
        <w:rPr>
          <w:rFonts w:ascii="宋体" w:hAnsi="宋体" w:eastAsia="宋体"/>
          <w:color w:val="auto"/>
          <w:sz w:val="24"/>
          <w:szCs w:val="24"/>
          <w:highlight w:val="none"/>
          <w:u w:val="single"/>
        </w:rPr>
        <w:t>2级</w:t>
      </w:r>
      <w:r>
        <w:rPr>
          <w:rFonts w:hint="eastAsia" w:ascii="宋体" w:hAnsi="宋体" w:eastAsia="宋体"/>
          <w:color w:val="auto"/>
          <w:sz w:val="24"/>
          <w:szCs w:val="24"/>
          <w:highlight w:val="none"/>
          <w:u w:val="single"/>
        </w:rPr>
        <w:t>堤防）, ■中型水利水电工程测量。</w:t>
      </w:r>
    </w:p>
    <w:p>
      <w:pPr>
        <w:wordWrap w:val="0"/>
        <w:autoSpaceDE w:val="0"/>
        <w:autoSpaceDN w:val="0"/>
        <w:spacing w:line="360" w:lineRule="auto"/>
        <w:ind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投标人</w:t>
      </w:r>
      <w:r>
        <w:rPr>
          <w:rFonts w:hint="eastAsia" w:ascii="宋体" w:hAnsi="宋体" w:eastAsia="宋体" w:cs="宋体"/>
          <w:color w:val="auto"/>
          <w:kern w:val="0"/>
          <w:sz w:val="24"/>
          <w:szCs w:val="24"/>
          <w:highlight w:val="none"/>
          <w:u w:val="single"/>
        </w:rPr>
        <w:t>（若联合体投标，指联合体各方）</w:t>
      </w:r>
      <w:r>
        <w:rPr>
          <w:rFonts w:hint="eastAsia" w:ascii="宋体" w:hAnsi="宋体" w:eastAsia="宋体" w:cs="宋体"/>
          <w:color w:val="auto"/>
          <w:kern w:val="0"/>
          <w:sz w:val="24"/>
          <w:szCs w:val="24"/>
          <w:highlight w:val="none"/>
        </w:rPr>
        <w:t>已在广州交易集团有限公司（广州公共资源交易中心）办理企业信息登记，本项目负责人是本企业</w:t>
      </w:r>
      <w:r>
        <w:rPr>
          <w:rFonts w:hint="eastAsia" w:ascii="宋体" w:hAnsi="宋体" w:eastAsia="宋体" w:cs="宋体"/>
          <w:color w:val="auto"/>
          <w:kern w:val="0"/>
          <w:sz w:val="24"/>
          <w:szCs w:val="24"/>
          <w:highlight w:val="none"/>
          <w:u w:val="single"/>
        </w:rPr>
        <w:t>（联合体主办方）</w:t>
      </w:r>
      <w:r>
        <w:rPr>
          <w:rFonts w:hint="eastAsia" w:ascii="宋体" w:hAnsi="宋体" w:eastAsia="宋体" w:cs="宋体"/>
          <w:color w:val="auto"/>
          <w:kern w:val="0"/>
          <w:sz w:val="24"/>
          <w:szCs w:val="24"/>
          <w:highlight w:val="none"/>
        </w:rPr>
        <w:t>在广州交易集团有限公司（广州公共资源交易中心）企业信息登记中的在册人员。</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.5 </w:t>
      </w:r>
      <w:r>
        <w:rPr>
          <w:rFonts w:hint="eastAsia" w:ascii="宋体" w:hAnsi="宋体" w:eastAsia="宋体" w:cs="宋体"/>
          <w:color w:val="auto"/>
          <w:kern w:val="0"/>
          <w:sz w:val="24"/>
          <w:szCs w:val="24"/>
          <w:highlight w:val="none"/>
        </w:rPr>
        <w:t>投标人委派的项目负责人须具备</w:t>
      </w:r>
      <w:r>
        <w:rPr>
          <w:rFonts w:hint="eastAsia" w:ascii="宋体" w:hAnsi="宋体" w:eastAsia="宋体" w:cs="宋体"/>
          <w:color w:val="auto"/>
          <w:kern w:val="0"/>
          <w:sz w:val="24"/>
          <w:szCs w:val="24"/>
          <w:highlight w:val="none"/>
          <w:u w:val="single"/>
        </w:rPr>
        <w:t>水利工程专业（含相近专业）高级（或以上）工程师，或从事本专业</w:t>
      </w:r>
      <w:r>
        <w:rPr>
          <w:rFonts w:ascii="宋体" w:hAnsi="宋体" w:eastAsia="宋体" w:cs="宋体"/>
          <w:color w:val="auto"/>
          <w:kern w:val="0"/>
          <w:sz w:val="24"/>
          <w:szCs w:val="24"/>
          <w:highlight w:val="none"/>
          <w:u w:val="single"/>
        </w:rPr>
        <w:t>10年以上的工程师资格，或在广东省住房和城乡建设主管部门备案且备案的业务范围符合本招标项目对项目负责人要求的香港专业人士。</w:t>
      </w:r>
      <w:r>
        <w:rPr>
          <w:rFonts w:hint="eastAsia" w:ascii="宋体" w:hAnsi="宋体" w:eastAsia="宋体" w:cs="宋体"/>
          <w:color w:val="auto"/>
          <w:kern w:val="0"/>
          <w:sz w:val="24"/>
          <w:szCs w:val="24"/>
          <w:highlight w:val="none"/>
          <w:u w:val="single"/>
        </w:rPr>
        <w:t>【须提供本项目投标截止时间最近的至少</w:t>
      </w:r>
      <w:r>
        <w:rPr>
          <w:rFonts w:ascii="宋体" w:hAnsi="宋体" w:eastAsia="宋体" w:cs="宋体"/>
          <w:color w:val="auto"/>
          <w:kern w:val="0"/>
          <w:sz w:val="24"/>
          <w:szCs w:val="24"/>
          <w:highlight w:val="none"/>
          <w:u w:val="single"/>
        </w:rPr>
        <w:t>1个月（时间为：2025年0</w:t>
      </w:r>
      <w:r>
        <w:rPr>
          <w:rFonts w:hint="eastAsia" w:ascii="宋体" w:hAnsi="宋体" w:eastAsia="宋体" w:cs="宋体"/>
          <w:color w:val="auto"/>
          <w:kern w:val="0"/>
          <w:sz w:val="24"/>
          <w:szCs w:val="24"/>
          <w:highlight w:val="none"/>
          <w:u w:val="single"/>
          <w:lang w:val="en-US" w:eastAsia="zh-CN"/>
        </w:rPr>
        <w:t>7</w:t>
      </w:r>
      <w:r>
        <w:rPr>
          <w:rFonts w:ascii="宋体" w:hAnsi="宋体" w:eastAsia="宋体" w:cs="宋体"/>
          <w:color w:val="auto"/>
          <w:kern w:val="0"/>
          <w:sz w:val="24"/>
          <w:szCs w:val="24"/>
          <w:highlight w:val="none"/>
          <w:u w:val="single"/>
        </w:rPr>
        <w:t>月或0</w:t>
      </w:r>
      <w:r>
        <w:rPr>
          <w:rFonts w:hint="eastAsia" w:ascii="宋体" w:hAnsi="宋体" w:eastAsia="宋体" w:cs="宋体"/>
          <w:color w:val="auto"/>
          <w:kern w:val="0"/>
          <w:sz w:val="24"/>
          <w:szCs w:val="24"/>
          <w:highlight w:val="none"/>
          <w:u w:val="single"/>
          <w:lang w:val="en-US" w:eastAsia="zh-CN"/>
        </w:rPr>
        <w:t>8</w:t>
      </w:r>
      <w:r>
        <w:rPr>
          <w:rFonts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rPr>
        <w:t>在本单位缴纳的</w:t>
      </w:r>
      <w:bookmarkStart w:id="9" w:name="_GoBack"/>
      <w:bookmarkEnd w:id="9"/>
      <w:r>
        <w:rPr>
          <w:rFonts w:hint="eastAsia" w:ascii="宋体" w:hAnsi="宋体" w:eastAsia="宋体" w:cs="宋体"/>
          <w:color w:val="auto"/>
          <w:kern w:val="0"/>
          <w:sz w:val="24"/>
          <w:szCs w:val="24"/>
          <w:highlight w:val="none"/>
          <w:u w:val="single"/>
        </w:rPr>
        <w:t>社保证明文件】</w:t>
      </w:r>
    </w:p>
    <w:p>
      <w:pPr>
        <w:wordWrap w:val="0"/>
        <w:autoSpaceDE w:val="0"/>
        <w:autoSpaceDN w:val="0"/>
        <w:spacing w:line="360" w:lineRule="auto"/>
        <w:ind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注：若拟委派的项目负责人为香港专业人士，则须已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建规范〔2020〕1号）确定]。</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 xml:space="preserve"> 投标申请人业绩要求（</w:t>
      </w:r>
      <w:r>
        <w:rPr>
          <w:rFonts w:hint="eastAsia" w:ascii="宋体" w:hAnsi="宋体" w:eastAsia="宋体"/>
          <w:color w:val="auto"/>
          <w:sz w:val="24"/>
          <w:szCs w:val="24"/>
          <w:highlight w:val="none"/>
        </w:rPr>
        <w:sym w:font="Wingdings 2" w:char="00A3"/>
      </w:r>
      <w:r>
        <w:rPr>
          <w:rFonts w:hint="eastAsia" w:ascii="宋体" w:hAnsi="宋体" w:eastAsia="宋体" w:cs="宋体"/>
          <w:color w:val="auto"/>
          <w:kern w:val="0"/>
          <w:sz w:val="24"/>
          <w:szCs w:val="24"/>
          <w:highlight w:val="none"/>
        </w:rPr>
        <w:t>需要/■不需要）。</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 xml:space="preserve"> 关于联合体投标：</w:t>
      </w:r>
      <w:r>
        <w:rPr>
          <w:rFonts w:hint="eastAsia" w:ascii="宋体" w:hAnsi="宋体" w:eastAsia="宋体" w:cs="宋体"/>
          <w:color w:val="auto"/>
          <w:kern w:val="0"/>
          <w:sz w:val="24"/>
          <w:szCs w:val="24"/>
          <w:highlight w:val="none"/>
          <w:u w:val="single"/>
        </w:rPr>
        <w:t>本项目接受联合体投标。</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如不同时具备设计或勘察专业（或专项）资质，也允许组成联合体。</w:t>
      </w:r>
      <w:r>
        <w:rPr>
          <w:rFonts w:hint="eastAsia" w:ascii="宋体" w:hAnsi="宋体" w:eastAsia="宋体" w:cs="宋体"/>
          <w:color w:val="auto"/>
          <w:kern w:val="0"/>
          <w:sz w:val="24"/>
          <w:szCs w:val="24"/>
          <w:highlight w:val="none"/>
        </w:rPr>
        <w:t>如投标人组成联合体，应以</w:t>
      </w:r>
      <w:r>
        <w:rPr>
          <w:rFonts w:hint="eastAsia" w:ascii="宋体" w:hAnsi="宋体" w:eastAsia="宋体"/>
          <w:color w:val="auto"/>
          <w:sz w:val="24"/>
          <w:szCs w:val="24"/>
          <w:highlight w:val="none"/>
          <w:u w:val="single"/>
        </w:rPr>
        <w:t>具备相应设计资质且承接设计任务的一方</w:t>
      </w:r>
      <w:r>
        <w:rPr>
          <w:rFonts w:hint="eastAsia" w:ascii="宋体" w:hAnsi="宋体" w:eastAsia="宋体" w:cs="宋体"/>
          <w:color w:val="auto"/>
          <w:kern w:val="0"/>
          <w:sz w:val="24"/>
          <w:szCs w:val="24"/>
          <w:highlight w:val="none"/>
        </w:rPr>
        <w:t>为主办方，并签定联合体共同投标协议。投标人拟任本工程项目负责人应为主办方正式员工。联合体共同投标协议应明确约定各方拟承担的工作和责任。投标登记截止后联合体增减、更换成员的，其投标无效。</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注：</w:t>
      </w:r>
      <w:r>
        <w:rPr>
          <w:rFonts w:hint="eastAsia" w:ascii="宋体" w:hAnsi="宋体" w:eastAsia="宋体"/>
          <w:color w:val="auto"/>
          <w:sz w:val="24"/>
          <w:szCs w:val="24"/>
          <w:highlight w:val="none"/>
          <w:u w:val="single"/>
        </w:rPr>
        <w:t>①</w:t>
      </w:r>
      <w:r>
        <w:rPr>
          <w:rFonts w:ascii="宋体" w:hAnsi="宋体" w:eastAsia="宋体"/>
          <w:color w:val="auto"/>
          <w:sz w:val="24"/>
          <w:szCs w:val="24"/>
          <w:highlight w:val="none"/>
          <w:u w:val="single"/>
        </w:rPr>
        <w:t>由同一专业的单位组成的联合体，按照资质等级较低的单位确定资质等级。</w:t>
      </w:r>
      <w:r>
        <w:rPr>
          <w:rFonts w:hint="eastAsia" w:ascii="宋体" w:hAnsi="宋体" w:eastAsia="宋体"/>
          <w:color w:val="auto"/>
          <w:sz w:val="24"/>
          <w:szCs w:val="24"/>
          <w:highlight w:val="none"/>
          <w:u w:val="single"/>
        </w:rPr>
        <w:t>②</w:t>
      </w:r>
      <w:r>
        <w:rPr>
          <w:rFonts w:ascii="宋体" w:hAnsi="宋体" w:eastAsia="宋体"/>
          <w:color w:val="auto"/>
          <w:sz w:val="24"/>
          <w:szCs w:val="24"/>
          <w:highlight w:val="none"/>
          <w:u w:val="single"/>
        </w:rPr>
        <w:t>联合体各方不得再以自己名义单独或参加其他联合体在同一标段中投标。出现上述情况者，其投标和与此有关的联合体的投标将被拒绝。</w:t>
      </w:r>
      <w:r>
        <w:rPr>
          <w:rFonts w:hint="eastAsia" w:ascii="宋体" w:hAnsi="宋体" w:eastAsia="宋体"/>
          <w:color w:val="auto"/>
          <w:sz w:val="24"/>
          <w:szCs w:val="24"/>
          <w:highlight w:val="none"/>
          <w:u w:val="single"/>
        </w:rPr>
        <w:t>③</w:t>
      </w:r>
      <w:r>
        <w:rPr>
          <w:rFonts w:ascii="宋体" w:hAnsi="宋体" w:eastAsia="宋体"/>
          <w:color w:val="auto"/>
          <w:sz w:val="24"/>
          <w:szCs w:val="24"/>
          <w:highlight w:val="none"/>
          <w:u w:val="single"/>
        </w:rPr>
        <w:t>按资质标准划分为多个资质的，应在联合体协议中明确承接每一个资质类别的成员单位；若联合体协议约定同一专业分工由两个及以上单位共同承担的，按照就低不就高的原则确定联合体的资质；不同专业分工由不同单位分别承担的，按照各自的专业资质确定联合体的资质。</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 xml:space="preserve"> 投标人</w:t>
      </w:r>
      <w:r>
        <w:rPr>
          <w:rFonts w:hint="eastAsia" w:ascii="宋体" w:hAnsi="宋体" w:eastAsia="宋体" w:cs="宋体"/>
          <w:color w:val="auto"/>
          <w:kern w:val="0"/>
          <w:sz w:val="24"/>
          <w:szCs w:val="24"/>
          <w:highlight w:val="none"/>
          <w:u w:val="single"/>
        </w:rPr>
        <w:t>（若联合体投标，指联合体各方）</w:t>
      </w:r>
      <w:r>
        <w:rPr>
          <w:rFonts w:hint="eastAsia" w:ascii="宋体" w:hAnsi="宋体" w:eastAsia="宋体" w:cs="宋体"/>
          <w:color w:val="auto"/>
          <w:kern w:val="0"/>
          <w:sz w:val="24"/>
          <w:szCs w:val="24"/>
          <w:highlight w:val="none"/>
        </w:rPr>
        <w:t>未被列入“在一定期限内依法取消参加依法必须进行招标的项目的投标资格”，具体名单以递交投标文件截止时间“信用广州”网站公布的“黑名单”为准。</w:t>
      </w:r>
      <w:r>
        <w:rPr>
          <w:rFonts w:hint="eastAsia" w:ascii="宋体" w:hAnsi="宋体" w:eastAsia="宋体" w:cs="宋体"/>
          <w:color w:val="auto"/>
          <w:kern w:val="0"/>
          <w:sz w:val="24"/>
          <w:szCs w:val="24"/>
          <w:highlight w:val="none"/>
          <w:u w:val="single"/>
        </w:rPr>
        <w:t>（提供查询结果网页截图）</w:t>
      </w:r>
    </w:p>
    <w:p>
      <w:pPr>
        <w:wordWrap w:val="0"/>
        <w:autoSpaceDE w:val="0"/>
        <w:autoSpaceDN w:val="0"/>
        <w:spacing w:line="360" w:lineRule="auto"/>
        <w:ind w:firstLine="482" w:firstLineChars="201"/>
        <w:rPr>
          <w:rFonts w:ascii="宋体" w:hAnsi="宋体" w:eastAsia="宋体"/>
          <w:color w:val="auto"/>
          <w:sz w:val="24"/>
          <w:szCs w:val="24"/>
          <w:highlight w:val="none"/>
          <w:u w:val="single"/>
        </w:rPr>
      </w:pPr>
      <w:r>
        <w:rPr>
          <w:rFonts w:hint="eastAsia" w:ascii="宋体" w:hAnsi="宋体" w:eastAsia="宋体" w:cs="宋体"/>
          <w:color w:val="auto"/>
          <w:kern w:val="0"/>
          <w:sz w:val="24"/>
          <w:szCs w:val="24"/>
          <w:highlight w:val="none"/>
          <w:u w:val="single"/>
        </w:rPr>
        <w:t>注：</w:t>
      </w:r>
      <w:r>
        <w:rPr>
          <w:rFonts w:hint="eastAsia" w:ascii="宋体" w:hAnsi="宋体" w:eastAsia="宋体"/>
          <w:color w:val="auto"/>
          <w:sz w:val="24"/>
          <w:szCs w:val="24"/>
          <w:highlight w:val="none"/>
          <w:u w:val="single"/>
        </w:rPr>
        <w:t>按《全国失信惩戒措施基础清单（202</w:t>
      </w:r>
      <w:r>
        <w:rPr>
          <w:rFonts w:ascii="宋体" w:hAnsi="宋体" w:eastAsia="宋体"/>
          <w:color w:val="auto"/>
          <w:sz w:val="24"/>
          <w:szCs w:val="24"/>
          <w:highlight w:val="none"/>
          <w:u w:val="single"/>
        </w:rPr>
        <w:t>5</w:t>
      </w:r>
      <w:r>
        <w:rPr>
          <w:rFonts w:hint="eastAsia" w:ascii="宋体" w:hAnsi="宋体" w:eastAsia="宋体"/>
          <w:color w:val="auto"/>
          <w:sz w:val="24"/>
          <w:szCs w:val="24"/>
          <w:highlight w:val="none"/>
          <w:u w:val="single"/>
        </w:rPr>
        <w:t>年版）》的有关规定执行。</w:t>
      </w:r>
    </w:p>
    <w:p>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u w:val="single"/>
        </w:rPr>
        <w:t>3</w:t>
      </w:r>
      <w:r>
        <w:rPr>
          <w:rFonts w:ascii="宋体" w:hAnsi="宋体" w:eastAsia="宋体"/>
          <w:color w:val="auto"/>
          <w:sz w:val="24"/>
          <w:szCs w:val="24"/>
          <w:highlight w:val="none"/>
          <w:u w:val="single"/>
        </w:rPr>
        <w:t xml:space="preserve">.9 </w:t>
      </w:r>
      <w:r>
        <w:rPr>
          <w:rFonts w:hint="eastAsia" w:ascii="宋体" w:hAnsi="宋体" w:eastAsia="宋体"/>
          <w:color w:val="auto"/>
          <w:sz w:val="24"/>
          <w:szCs w:val="24"/>
          <w:highlight w:val="none"/>
          <w:u w:val="single"/>
        </w:rPr>
        <w:t>投标人</w:t>
      </w:r>
      <w:r>
        <w:rPr>
          <w:rFonts w:hint="eastAsia" w:ascii="宋体" w:hAnsi="宋体" w:eastAsia="宋体" w:cs="宋体"/>
          <w:color w:val="auto"/>
          <w:kern w:val="0"/>
          <w:sz w:val="24"/>
          <w:szCs w:val="24"/>
          <w:highlight w:val="none"/>
          <w:u w:val="single"/>
        </w:rPr>
        <w:t>（若联合体投标，指联合体各方）</w:t>
      </w:r>
      <w:r>
        <w:rPr>
          <w:rFonts w:hint="eastAsia" w:ascii="宋体" w:hAnsi="宋体" w:eastAsia="宋体"/>
          <w:color w:val="auto"/>
          <w:sz w:val="24"/>
          <w:szCs w:val="24"/>
          <w:highlight w:val="none"/>
          <w:u w:val="single"/>
        </w:rPr>
        <w:t>未在以往工程中因不充分履约行为被本项目招标人书面拒绝投标的（名单详见本项目招标公告附件一《被招标人拒绝投标的企业名单》）。</w:t>
      </w:r>
    </w:p>
    <w:p>
      <w:pPr>
        <w:pStyle w:val="2"/>
        <w:rPr>
          <w:color w:val="auto"/>
          <w:highlight w:val="none"/>
        </w:rPr>
      </w:pPr>
      <w:bookmarkStart w:id="3" w:name="_Toc60344355"/>
      <w:r>
        <w:rPr>
          <w:rFonts w:hint="eastAsia"/>
          <w:color w:val="auto"/>
          <w:highlight w:val="none"/>
        </w:rPr>
        <w:t>4. 技术成果经济补偿</w:t>
      </w:r>
      <w:bookmarkEnd w:id="3"/>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本次招标对未中标人投标文件中的技术成果</w:t>
      </w:r>
      <w:r>
        <w:rPr>
          <w:rFonts w:hint="eastAsia" w:ascii="宋体" w:hAnsi="宋体" w:eastAsia="宋体" w:cs="宋体"/>
          <w:b/>
          <w:bCs/>
          <w:color w:val="auto"/>
          <w:kern w:val="0"/>
          <w:sz w:val="24"/>
          <w:szCs w:val="24"/>
          <w:highlight w:val="none"/>
          <w:u w:val="single"/>
        </w:rPr>
        <w:t>给予</w:t>
      </w:r>
      <w:r>
        <w:rPr>
          <w:rFonts w:hint="eastAsia" w:ascii="宋体" w:hAnsi="宋体" w:eastAsia="宋体" w:cs="宋体"/>
          <w:color w:val="auto"/>
          <w:kern w:val="0"/>
          <w:sz w:val="24"/>
          <w:szCs w:val="24"/>
          <w:highlight w:val="none"/>
        </w:rPr>
        <w:t>经济补偿。</w:t>
      </w:r>
    </w:p>
    <w:p>
      <w:pPr>
        <w:wordWrap w:val="0"/>
        <w:autoSpaceDE w:val="0"/>
        <w:autoSpaceDN w:val="0"/>
        <w:spacing w:line="360" w:lineRule="auto"/>
        <w:ind w:right="142" w:firstLine="482" w:firstLineChars="201"/>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本工程对进入定标环节的各合格中标候选人按如下标准支付方案设计补偿费（该费用包含在中标价内，含税金等），经济补偿金共</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万元：</w:t>
      </w:r>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中标人</w:t>
      </w:r>
      <w:r>
        <w:rPr>
          <w:rFonts w:hint="eastAsia" w:ascii="宋体" w:hAnsi="宋体" w:eastAsia="宋体" w:cs="宋体"/>
          <w:color w:val="auto"/>
          <w:kern w:val="0"/>
          <w:sz w:val="24"/>
          <w:szCs w:val="24"/>
          <w:highlight w:val="none"/>
          <w:u w:val="single"/>
          <w:lang w:val="en-US" w:eastAsia="zh-CN"/>
        </w:rPr>
        <w:t>2</w:t>
      </w:r>
      <w:r>
        <w:rPr>
          <w:rFonts w:ascii="宋体" w:hAnsi="宋体" w:eastAsia="宋体" w:cs="宋体"/>
          <w:color w:val="auto"/>
          <w:kern w:val="0"/>
          <w:sz w:val="24"/>
          <w:szCs w:val="24"/>
          <w:highlight w:val="none"/>
          <w:u w:val="single"/>
        </w:rPr>
        <w:t>万元，其余各合格中标候选人每家</w:t>
      </w:r>
      <w:r>
        <w:rPr>
          <w:rFonts w:hint="eastAsia" w:ascii="宋体" w:hAnsi="宋体" w:eastAsia="宋体" w:cs="宋体"/>
          <w:color w:val="auto"/>
          <w:kern w:val="0"/>
          <w:sz w:val="24"/>
          <w:szCs w:val="24"/>
          <w:highlight w:val="none"/>
          <w:u w:val="single"/>
          <w:lang w:val="en-US" w:eastAsia="zh-CN"/>
        </w:rPr>
        <w:t>1</w:t>
      </w:r>
      <w:r>
        <w:rPr>
          <w:rFonts w:ascii="宋体" w:hAnsi="宋体" w:eastAsia="宋体" w:cs="宋体"/>
          <w:color w:val="auto"/>
          <w:kern w:val="0"/>
          <w:sz w:val="24"/>
          <w:szCs w:val="24"/>
          <w:highlight w:val="none"/>
          <w:u w:val="single"/>
        </w:rPr>
        <w:t>万元。</w:t>
      </w:r>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其余投标人费用自理。</w:t>
      </w:r>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注：①如果招标失败，则当次不向上述单位支付经济补偿。</w:t>
      </w:r>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②方案设计补偿费由中标人在收到招标人的第一笔预付款后一个月内分别向上述单位支付。</w:t>
      </w:r>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③如因规划建设原因取消本项目实施，中标人未开展实际性工作，上述设计方案经济补偿由招标人支付给相应中标候选人，即该种情形下设计合同结算价为上述设计方案经济补偿总额。中标人收取相关费用后及时支付投标补偿费给其余中标候选人。除了上述设计方案经济补偿，招标人不再补偿其他费用。</w:t>
      </w:r>
    </w:p>
    <w:p>
      <w:pPr>
        <w:wordWrap w:val="0"/>
        <w:autoSpaceDE w:val="0"/>
        <w:autoSpaceDN w:val="0"/>
        <w:spacing w:line="360" w:lineRule="auto"/>
        <w:ind w:right="142"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④招标人和中标人有权在实施方案中参考使用获得经济补偿的所有投标方案成果的部分内容。</w:t>
      </w:r>
    </w:p>
    <w:p>
      <w:pPr>
        <w:pStyle w:val="2"/>
        <w:rPr>
          <w:color w:val="auto"/>
          <w:highlight w:val="none"/>
        </w:rPr>
      </w:pPr>
      <w:bookmarkStart w:id="4" w:name="_Toc60344356"/>
      <w:r>
        <w:rPr>
          <w:rFonts w:hint="eastAsia"/>
          <w:color w:val="auto"/>
          <w:highlight w:val="none"/>
        </w:rPr>
        <w:t xml:space="preserve">5. </w:t>
      </w:r>
      <w:bookmarkEnd w:id="4"/>
      <w:r>
        <w:rPr>
          <w:rFonts w:hint="eastAsia"/>
          <w:color w:val="auto"/>
          <w:highlight w:val="none"/>
        </w:rPr>
        <w:t>招标文件的获取</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发布招标公告的时间：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分至</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分（北京时间，下同），凡有意参加投标者，请登录广州交易集团有限公司（广州公共资源交易中心）网站下载电子招标文件。</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注：发布招标公告的时间为招标公告发出之日起至递交投标文件截止时间止。</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pPr>
        <w:pStyle w:val="2"/>
        <w:rPr>
          <w:color w:val="auto"/>
          <w:highlight w:val="none"/>
        </w:rPr>
      </w:pPr>
      <w:bookmarkStart w:id="5" w:name="_Toc60344357"/>
      <w:r>
        <w:rPr>
          <w:rFonts w:hint="eastAsia"/>
          <w:color w:val="auto"/>
          <w:highlight w:val="none"/>
        </w:rPr>
        <w:t>6. 投标文件的递交、开标时间及办理投标登记手续</w:t>
      </w:r>
      <w:bookmarkEnd w:id="5"/>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投标截止时间为</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在投标截止时间后</w:t>
      </w:r>
      <w:r>
        <w:rPr>
          <w:rFonts w:hint="eastAsia" w:ascii="宋体" w:hAnsi="宋体" w:eastAsia="宋体" w:cs="宋体"/>
          <w:b/>
          <w:bCs/>
          <w:color w:val="auto"/>
          <w:kern w:val="0"/>
          <w:sz w:val="24"/>
          <w:szCs w:val="24"/>
          <w:highlight w:val="none"/>
          <w:u w:val="single"/>
        </w:rPr>
        <w:t>1小时</w:t>
      </w:r>
      <w:r>
        <w:rPr>
          <w:rFonts w:hint="eastAsia" w:ascii="宋体" w:hAnsi="宋体" w:eastAsia="宋体" w:cs="宋体"/>
          <w:color w:val="auto"/>
          <w:kern w:val="0"/>
          <w:sz w:val="24"/>
          <w:szCs w:val="24"/>
          <w:highlight w:val="none"/>
        </w:rPr>
        <w:t>内，投标人通过广州交易集团有限公司（广州公共资源交易中心）网站对已递交的电子投标文件进行解密。</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 开标开始时间：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 递交投标文件截止时间与开标时间是否有变化，请密切留意招标答疑中的相关信息。递交投标文件截止时间后，开标时间因故推迟的，相关评标信息仍以原递交投标文件截止时间的信息为准。</w:t>
      </w:r>
    </w:p>
    <w:p>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 逾期送达的电子投标文件，广州交易集团有限公司（广州公共资源交易中心）网站交易平台将予以拒收。</w:t>
      </w:r>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pPr>
        <w:pStyle w:val="2"/>
        <w:rPr>
          <w:color w:val="auto"/>
          <w:highlight w:val="none"/>
        </w:rPr>
      </w:pPr>
      <w:bookmarkStart w:id="6" w:name="_Toc60344358"/>
      <w:r>
        <w:rPr>
          <w:rFonts w:hint="eastAsia"/>
          <w:color w:val="auto"/>
          <w:highlight w:val="none"/>
        </w:rPr>
        <w:t>7. 发布公告的媒介</w:t>
      </w:r>
      <w:bookmarkEnd w:id="6"/>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本公告在广州交易集团有限公司（广州公共资源交易中心）网（网址：http://www.gzggzy.cn）、广东省招标投标监管网（网址： http://zbtb.gd.gov.cn/）和中国招标投标公共服务平台（网址：http://www.cebpubservice.com/）发布，本公告的修改、补充，在</w:t>
      </w:r>
      <w:r>
        <w:rPr>
          <w:rFonts w:hint="eastAsia" w:ascii="宋体" w:hAnsi="宋体" w:eastAsia="宋体" w:cs="宋体"/>
          <w:color w:val="auto"/>
          <w:sz w:val="24"/>
          <w:szCs w:val="24"/>
          <w:highlight w:val="none"/>
          <w:u w:val="single"/>
        </w:rPr>
        <w:t>上述网站</w:t>
      </w:r>
      <w:r>
        <w:rPr>
          <w:rFonts w:hint="eastAsia" w:ascii="宋体" w:hAnsi="宋体" w:eastAsia="宋体" w:cs="宋体"/>
          <w:color w:val="auto"/>
          <w:sz w:val="24"/>
          <w:szCs w:val="24"/>
          <w:highlight w:val="none"/>
        </w:rPr>
        <w:t>发布。</w:t>
      </w:r>
    </w:p>
    <w:p>
      <w:pPr>
        <w:pStyle w:val="2"/>
        <w:rPr>
          <w:color w:val="auto"/>
          <w:highlight w:val="none"/>
        </w:rPr>
      </w:pPr>
      <w:bookmarkStart w:id="7" w:name="_Toc60344359"/>
      <w:r>
        <w:rPr>
          <w:rFonts w:hint="eastAsia"/>
          <w:color w:val="auto"/>
          <w:highlight w:val="none"/>
        </w:rPr>
        <w:t xml:space="preserve">8. </w:t>
      </w:r>
      <w:bookmarkEnd w:id="7"/>
      <w:r>
        <w:rPr>
          <w:rFonts w:hint="eastAsia"/>
          <w:color w:val="auto"/>
          <w:highlight w:val="none"/>
        </w:rPr>
        <w:t>资格审查方式</w:t>
      </w:r>
    </w:p>
    <w:p>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本工程采用资格后审方式，由评标委员会负责资格审查。</w:t>
      </w:r>
      <w:r>
        <w:rPr>
          <w:rFonts w:hint="eastAsia" w:ascii="宋体" w:hAnsi="宋体" w:eastAsia="宋体" w:cs="宋体"/>
          <w:color w:val="auto"/>
          <w:sz w:val="24"/>
          <w:szCs w:val="24"/>
          <w:highlight w:val="none"/>
          <w:u w:val="single"/>
        </w:rPr>
        <w:t>本项目采用评定分离方式确定中标人。</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资格审查结果将在广州交易集团有限公司（广州公共资源交易中心）网站和广东省招标投标监管网公示，公示时间不得少于3日，最后一天应为工作日。</w:t>
      </w:r>
    </w:p>
    <w:p>
      <w:pPr>
        <w:pStyle w:val="2"/>
        <w:rPr>
          <w:color w:val="auto"/>
          <w:highlight w:val="none"/>
        </w:rPr>
      </w:pPr>
      <w:bookmarkStart w:id="8" w:name="_Toc25072056"/>
      <w:r>
        <w:rPr>
          <w:rFonts w:hint="eastAsia"/>
          <w:color w:val="auto"/>
          <w:highlight w:val="none"/>
        </w:rPr>
        <w:t xml:space="preserve">9. </w:t>
      </w:r>
      <w:bookmarkEnd w:id="8"/>
      <w:r>
        <w:rPr>
          <w:rFonts w:hint="eastAsia"/>
          <w:color w:val="auto"/>
          <w:highlight w:val="none"/>
        </w:rPr>
        <w:t>疑问、异议、投诉处理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2"/>
        <w:rPr>
          <w:color w:val="auto"/>
          <w:highlight w:val="none"/>
        </w:rPr>
      </w:pPr>
      <w:r>
        <w:rPr>
          <w:rFonts w:hint="eastAsia"/>
          <w:color w:val="auto"/>
          <w:highlight w:val="none"/>
        </w:rPr>
        <w:t>10. 投标人和中标候选人的重大变化告知义务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pStyle w:val="2"/>
        <w:rPr>
          <w:color w:val="auto"/>
          <w:highlight w:val="none"/>
        </w:rPr>
      </w:pPr>
      <w:r>
        <w:rPr>
          <w:rFonts w:hint="eastAsia"/>
          <w:color w:val="auto"/>
          <w:highlight w:val="none"/>
        </w:rPr>
        <w:t>11. 联系方式</w:t>
      </w:r>
    </w:p>
    <w:p>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u w:val="single"/>
        </w:rPr>
        <w:t>广州开发区财政投资建设项目管理中心</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kern w:val="0"/>
          <w:sz w:val="24"/>
          <w:szCs w:val="24"/>
          <w:highlight w:val="none"/>
          <w:u w:val="single"/>
        </w:rPr>
        <w:t>广州市黄埔区科学大道</w:t>
      </w:r>
      <w:r>
        <w:rPr>
          <w:rFonts w:ascii="宋体" w:hAnsi="宋体" w:eastAsia="宋体" w:cs="宋体"/>
          <w:color w:val="auto"/>
          <w:kern w:val="0"/>
          <w:sz w:val="24"/>
          <w:szCs w:val="24"/>
          <w:highlight w:val="none"/>
          <w:u w:val="single"/>
        </w:rPr>
        <w:t>162号创意大厦B2主楼三楼</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kern w:val="0"/>
          <w:sz w:val="24"/>
          <w:szCs w:val="24"/>
          <w:highlight w:val="none"/>
          <w:u w:val="single"/>
        </w:rPr>
        <w:t>曾工</w:t>
      </w:r>
    </w:p>
    <w:p>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ascii="宋体" w:hAnsi="宋体" w:eastAsia="宋体" w:cs="宋体"/>
          <w:bCs/>
          <w:color w:val="auto"/>
          <w:sz w:val="24"/>
          <w:szCs w:val="24"/>
          <w:highlight w:val="none"/>
          <w:u w:val="single"/>
        </w:rPr>
        <w:t>020-28068066</w:t>
      </w:r>
    </w:p>
    <w:p>
      <w:pPr>
        <w:wordWrap w:val="0"/>
        <w:spacing w:line="360" w:lineRule="auto"/>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广州市市政工程监理有限公司</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广州市越秀区东风中路437号越秀城市广场南塔38楼</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kern w:val="0"/>
          <w:sz w:val="24"/>
          <w:szCs w:val="24"/>
          <w:highlight w:val="none"/>
          <w:u w:val="single"/>
        </w:rPr>
        <w:t>梁工</w:t>
      </w:r>
    </w:p>
    <w:p>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ascii="宋体" w:hAnsi="宋体" w:eastAsia="宋体" w:cs="宋体"/>
          <w:color w:val="auto"/>
          <w:sz w:val="24"/>
          <w:szCs w:val="24"/>
          <w:highlight w:val="none"/>
          <w:u w:val="single"/>
        </w:rPr>
        <w:t>020-83313605</w:t>
      </w:r>
    </w:p>
    <w:p>
      <w:pPr>
        <w:wordWrap w:val="0"/>
        <w:rPr>
          <w:rFonts w:ascii="宋体" w:hAnsi="宋体" w:eastAsia="宋体" w:cs="Times New Roman"/>
          <w:color w:val="auto"/>
          <w:szCs w:val="24"/>
          <w:highlight w:val="none"/>
        </w:rPr>
      </w:pPr>
    </w:p>
    <w:p>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Times New Roman"/>
          <w:color w:val="auto"/>
          <w:sz w:val="24"/>
          <w:szCs w:val="24"/>
          <w:highlight w:val="none"/>
          <w:u w:val="single"/>
        </w:rPr>
        <w:t>广州市黄埔区水务局</w:t>
      </w:r>
    </w:p>
    <w:p>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广州市黄埔区水西路</w:t>
      </w:r>
      <w:r>
        <w:rPr>
          <w:rFonts w:ascii="宋体" w:hAnsi="宋体" w:eastAsia="宋体" w:cs="宋体"/>
          <w:color w:val="auto"/>
          <w:sz w:val="24"/>
          <w:szCs w:val="24"/>
          <w:highlight w:val="none"/>
          <w:u w:val="single"/>
        </w:rPr>
        <w:t>12号凯达楼B栋2楼210室</w:t>
      </w:r>
    </w:p>
    <w:p>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ascii="宋体" w:hAnsi="宋体" w:eastAsia="宋体" w:cs="宋体"/>
          <w:color w:val="auto"/>
          <w:sz w:val="24"/>
          <w:szCs w:val="24"/>
          <w:highlight w:val="none"/>
          <w:u w:val="single"/>
        </w:rPr>
        <w:t>020-82111879</w:t>
      </w:r>
    </w:p>
    <w:p>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附件一：</w:t>
      </w:r>
    </w:p>
    <w:p>
      <w:pPr>
        <w:wordWrap w:val="0"/>
        <w:spacing w:line="360"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被招标人拒绝投标的企业名单</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754"/>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8" w:type="dxa"/>
            <w:vAlign w:val="center"/>
          </w:tcPr>
          <w:p>
            <w:pPr>
              <w:wordWrap w:val="0"/>
              <w:topLinePunct/>
              <w:spacing w:line="360" w:lineRule="auto"/>
              <w:ind w:left="-149" w:leftChars="-71" w:right="-108"/>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54" w:type="dxa"/>
            <w:vAlign w:val="center"/>
          </w:tcPr>
          <w:p>
            <w:pPr>
              <w:wordWrap w:val="0"/>
              <w:topLinePunct/>
              <w:spacing w:line="360" w:lineRule="auto"/>
              <w:ind w:right="24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3917" w:type="dxa"/>
            <w:vAlign w:val="center"/>
          </w:tcPr>
          <w:p>
            <w:pPr>
              <w:wordWrap w:val="0"/>
              <w:topLinePunct/>
              <w:spacing w:line="360" w:lineRule="auto"/>
              <w:ind w:right="24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限制投标期限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pPr>
              <w:tabs>
                <w:tab w:val="left" w:pos="735"/>
              </w:tabs>
              <w:wordWrap w:val="0"/>
              <w:topLinePunct/>
              <w:spacing w:line="360" w:lineRule="auto"/>
              <w:ind w:left="-149" w:leftChars="-71" w:right="-108"/>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3754" w:type="dxa"/>
            <w:vAlign w:val="center"/>
          </w:tcPr>
          <w:p>
            <w:pPr>
              <w:tabs>
                <w:tab w:val="left" w:pos="3469"/>
              </w:tabs>
              <w:wordWrap w:val="0"/>
              <w:topLinePunct/>
              <w:spacing w:line="360" w:lineRule="auto"/>
              <w:ind w:left="13" w:leftChars="-51" w:right="-108" w:hanging="120" w:hanging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917" w:type="dxa"/>
            <w:vAlign w:val="center"/>
          </w:tcPr>
          <w:p>
            <w:pPr>
              <w:tabs>
                <w:tab w:val="left" w:pos="4570"/>
              </w:tabs>
              <w:wordWrap w:val="0"/>
              <w:topLinePunct/>
              <w:spacing w:line="360" w:lineRule="auto"/>
              <w:ind w:left="-106" w:leftChars="-51" w:right="-59" w:rightChars="-28" w:hang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注：以上限制投标时间期限以截标时间为准。</w:t>
      </w:r>
    </w:p>
    <w:p>
      <w:pPr>
        <w:wordWrap w:val="0"/>
        <w:spacing w:line="360" w:lineRule="auto"/>
        <w:rPr>
          <w:rFonts w:ascii="宋体" w:hAnsi="宋体" w:eastAsia="宋体" w:cs="宋体"/>
          <w:color w:val="auto"/>
          <w:sz w:val="24"/>
          <w:szCs w:val="24"/>
          <w:highlight w:val="none"/>
          <w:u w:val="single"/>
        </w:rPr>
      </w:pP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70"/>
    <w:rsid w:val="000227F6"/>
    <w:rsid w:val="00054697"/>
    <w:rsid w:val="00057DC1"/>
    <w:rsid w:val="0008198A"/>
    <w:rsid w:val="00084D79"/>
    <w:rsid w:val="000A46CD"/>
    <w:rsid w:val="000B163A"/>
    <w:rsid w:val="000C2D5A"/>
    <w:rsid w:val="000C42BB"/>
    <w:rsid w:val="000C6B87"/>
    <w:rsid w:val="000E00E1"/>
    <w:rsid w:val="000E1995"/>
    <w:rsid w:val="000E3417"/>
    <w:rsid w:val="000F3237"/>
    <w:rsid w:val="00111CFA"/>
    <w:rsid w:val="00124259"/>
    <w:rsid w:val="00127136"/>
    <w:rsid w:val="00127506"/>
    <w:rsid w:val="00137E13"/>
    <w:rsid w:val="001A66A0"/>
    <w:rsid w:val="001B1748"/>
    <w:rsid w:val="001D50A7"/>
    <w:rsid w:val="001E7B51"/>
    <w:rsid w:val="001F191F"/>
    <w:rsid w:val="00221988"/>
    <w:rsid w:val="00231213"/>
    <w:rsid w:val="00234EA9"/>
    <w:rsid w:val="0024740E"/>
    <w:rsid w:val="00257BC5"/>
    <w:rsid w:val="002645C1"/>
    <w:rsid w:val="00274C0D"/>
    <w:rsid w:val="002919A4"/>
    <w:rsid w:val="0029243A"/>
    <w:rsid w:val="00294619"/>
    <w:rsid w:val="002A1E0F"/>
    <w:rsid w:val="002A1E93"/>
    <w:rsid w:val="002B062F"/>
    <w:rsid w:val="002B0D1E"/>
    <w:rsid w:val="002F399A"/>
    <w:rsid w:val="002F502D"/>
    <w:rsid w:val="002F67A7"/>
    <w:rsid w:val="00313EF9"/>
    <w:rsid w:val="00326737"/>
    <w:rsid w:val="00330B87"/>
    <w:rsid w:val="003318F0"/>
    <w:rsid w:val="00341323"/>
    <w:rsid w:val="00347AF7"/>
    <w:rsid w:val="00351509"/>
    <w:rsid w:val="00362B9D"/>
    <w:rsid w:val="0036365E"/>
    <w:rsid w:val="00367583"/>
    <w:rsid w:val="00373015"/>
    <w:rsid w:val="003741AA"/>
    <w:rsid w:val="003769A6"/>
    <w:rsid w:val="00377882"/>
    <w:rsid w:val="00396338"/>
    <w:rsid w:val="003A5A21"/>
    <w:rsid w:val="003B7F8E"/>
    <w:rsid w:val="003F2D75"/>
    <w:rsid w:val="00405470"/>
    <w:rsid w:val="00406E00"/>
    <w:rsid w:val="00430485"/>
    <w:rsid w:val="00436EB7"/>
    <w:rsid w:val="00437617"/>
    <w:rsid w:val="004469B2"/>
    <w:rsid w:val="004471A7"/>
    <w:rsid w:val="0045474F"/>
    <w:rsid w:val="00471F16"/>
    <w:rsid w:val="00487DF9"/>
    <w:rsid w:val="00497CAE"/>
    <w:rsid w:val="004F3705"/>
    <w:rsid w:val="004F4F34"/>
    <w:rsid w:val="005018B0"/>
    <w:rsid w:val="0052348E"/>
    <w:rsid w:val="00523668"/>
    <w:rsid w:val="00531CCE"/>
    <w:rsid w:val="005465C1"/>
    <w:rsid w:val="0056771B"/>
    <w:rsid w:val="00577E3B"/>
    <w:rsid w:val="00582378"/>
    <w:rsid w:val="00583E2B"/>
    <w:rsid w:val="00591153"/>
    <w:rsid w:val="00591CAC"/>
    <w:rsid w:val="0059481A"/>
    <w:rsid w:val="005A5152"/>
    <w:rsid w:val="005A7DCB"/>
    <w:rsid w:val="005B3D4A"/>
    <w:rsid w:val="005C339E"/>
    <w:rsid w:val="005D52AD"/>
    <w:rsid w:val="005D5469"/>
    <w:rsid w:val="005E4CAA"/>
    <w:rsid w:val="005F0F62"/>
    <w:rsid w:val="0060222E"/>
    <w:rsid w:val="0061190B"/>
    <w:rsid w:val="00615D03"/>
    <w:rsid w:val="00620090"/>
    <w:rsid w:val="00633136"/>
    <w:rsid w:val="00634959"/>
    <w:rsid w:val="006446C3"/>
    <w:rsid w:val="006470D0"/>
    <w:rsid w:val="00656A76"/>
    <w:rsid w:val="00685544"/>
    <w:rsid w:val="00690DF0"/>
    <w:rsid w:val="00692808"/>
    <w:rsid w:val="006970E2"/>
    <w:rsid w:val="006A7227"/>
    <w:rsid w:val="006B6258"/>
    <w:rsid w:val="006C22FC"/>
    <w:rsid w:val="00703D4B"/>
    <w:rsid w:val="00715D29"/>
    <w:rsid w:val="00751F96"/>
    <w:rsid w:val="00770DDD"/>
    <w:rsid w:val="00772CC7"/>
    <w:rsid w:val="00783405"/>
    <w:rsid w:val="007A08D5"/>
    <w:rsid w:val="007A0EB0"/>
    <w:rsid w:val="007A3D11"/>
    <w:rsid w:val="007A4D74"/>
    <w:rsid w:val="007B0C08"/>
    <w:rsid w:val="007C40AC"/>
    <w:rsid w:val="007E109B"/>
    <w:rsid w:val="00806ADC"/>
    <w:rsid w:val="00810D44"/>
    <w:rsid w:val="00823606"/>
    <w:rsid w:val="00824EF1"/>
    <w:rsid w:val="0082732D"/>
    <w:rsid w:val="00844323"/>
    <w:rsid w:val="00846E00"/>
    <w:rsid w:val="00893145"/>
    <w:rsid w:val="008A4157"/>
    <w:rsid w:val="008B0A72"/>
    <w:rsid w:val="008B0F0F"/>
    <w:rsid w:val="008E2104"/>
    <w:rsid w:val="008F1BDE"/>
    <w:rsid w:val="008F7C8A"/>
    <w:rsid w:val="00960368"/>
    <w:rsid w:val="009612B9"/>
    <w:rsid w:val="009701E3"/>
    <w:rsid w:val="00994381"/>
    <w:rsid w:val="00996BBE"/>
    <w:rsid w:val="009A2B80"/>
    <w:rsid w:val="009D4A99"/>
    <w:rsid w:val="009D67DC"/>
    <w:rsid w:val="009F33DB"/>
    <w:rsid w:val="00A126A3"/>
    <w:rsid w:val="00A2589E"/>
    <w:rsid w:val="00A3246F"/>
    <w:rsid w:val="00A32DB0"/>
    <w:rsid w:val="00A41569"/>
    <w:rsid w:val="00A64DE4"/>
    <w:rsid w:val="00A917C8"/>
    <w:rsid w:val="00A9508A"/>
    <w:rsid w:val="00A97645"/>
    <w:rsid w:val="00AA658A"/>
    <w:rsid w:val="00AA7097"/>
    <w:rsid w:val="00AB7CA2"/>
    <w:rsid w:val="00AC627D"/>
    <w:rsid w:val="00AE6CD3"/>
    <w:rsid w:val="00AF289A"/>
    <w:rsid w:val="00B04496"/>
    <w:rsid w:val="00B13B77"/>
    <w:rsid w:val="00B44157"/>
    <w:rsid w:val="00B614E8"/>
    <w:rsid w:val="00B67594"/>
    <w:rsid w:val="00B7701B"/>
    <w:rsid w:val="00B8464D"/>
    <w:rsid w:val="00B95687"/>
    <w:rsid w:val="00B95ECD"/>
    <w:rsid w:val="00BA4542"/>
    <w:rsid w:val="00BB2719"/>
    <w:rsid w:val="00BE1C97"/>
    <w:rsid w:val="00BE3F42"/>
    <w:rsid w:val="00BF3FCA"/>
    <w:rsid w:val="00BF46D9"/>
    <w:rsid w:val="00C341F6"/>
    <w:rsid w:val="00C4087A"/>
    <w:rsid w:val="00C45DF3"/>
    <w:rsid w:val="00C54F15"/>
    <w:rsid w:val="00C56AC2"/>
    <w:rsid w:val="00C57316"/>
    <w:rsid w:val="00C740FD"/>
    <w:rsid w:val="00C82873"/>
    <w:rsid w:val="00C83B5B"/>
    <w:rsid w:val="00C90EF0"/>
    <w:rsid w:val="00C96978"/>
    <w:rsid w:val="00CA65EF"/>
    <w:rsid w:val="00CB1988"/>
    <w:rsid w:val="00CC3CD8"/>
    <w:rsid w:val="00CC7C5A"/>
    <w:rsid w:val="00D023B9"/>
    <w:rsid w:val="00D041C9"/>
    <w:rsid w:val="00D10544"/>
    <w:rsid w:val="00D15060"/>
    <w:rsid w:val="00D20CCC"/>
    <w:rsid w:val="00D60AF9"/>
    <w:rsid w:val="00D6415C"/>
    <w:rsid w:val="00D702C7"/>
    <w:rsid w:val="00DB01DE"/>
    <w:rsid w:val="00DB20A8"/>
    <w:rsid w:val="00DB4219"/>
    <w:rsid w:val="00DC2B8C"/>
    <w:rsid w:val="00DE09C8"/>
    <w:rsid w:val="00DF78C4"/>
    <w:rsid w:val="00E20458"/>
    <w:rsid w:val="00E241C5"/>
    <w:rsid w:val="00E330C3"/>
    <w:rsid w:val="00E43545"/>
    <w:rsid w:val="00E6464F"/>
    <w:rsid w:val="00E805DF"/>
    <w:rsid w:val="00E9534B"/>
    <w:rsid w:val="00EB5352"/>
    <w:rsid w:val="00EB6BE5"/>
    <w:rsid w:val="00ED1984"/>
    <w:rsid w:val="00ED679A"/>
    <w:rsid w:val="00EF44C0"/>
    <w:rsid w:val="00EF53EC"/>
    <w:rsid w:val="00F14964"/>
    <w:rsid w:val="00F439A1"/>
    <w:rsid w:val="00F52860"/>
    <w:rsid w:val="00F54AFC"/>
    <w:rsid w:val="00F56CCE"/>
    <w:rsid w:val="00F669AA"/>
    <w:rsid w:val="00F747DF"/>
    <w:rsid w:val="00F863F3"/>
    <w:rsid w:val="00F923D9"/>
    <w:rsid w:val="00F92D7B"/>
    <w:rsid w:val="00F9598A"/>
    <w:rsid w:val="00FD0A12"/>
    <w:rsid w:val="00FD2A05"/>
    <w:rsid w:val="00FE01C6"/>
    <w:rsid w:val="00FE0429"/>
    <w:rsid w:val="00FF1B5B"/>
    <w:rsid w:val="00FF2804"/>
    <w:rsid w:val="00FF5947"/>
    <w:rsid w:val="00FF7309"/>
    <w:rsid w:val="22E12AC2"/>
    <w:rsid w:val="2E463880"/>
    <w:rsid w:val="344E59FE"/>
    <w:rsid w:val="664B12E5"/>
    <w:rsid w:val="7664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wordWrap w:val="0"/>
      <w:spacing w:line="360" w:lineRule="auto"/>
      <w:outlineLvl w:val="0"/>
    </w:pPr>
    <w:rPr>
      <w:rFonts w:ascii="宋体" w:hAnsi="宋体" w:eastAsia="宋体" w:cs="Times New Roman"/>
      <w:b/>
      <w:bCs/>
      <w:kern w:val="44"/>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9"/>
    <w:rPr>
      <w:rFonts w:ascii="宋体" w:hAnsi="宋体" w:eastAsia="宋体" w:cs="Times New Roman"/>
      <w:b/>
      <w:bCs/>
      <w:kern w:val="44"/>
      <w:sz w:val="28"/>
      <w:szCs w:val="28"/>
    </w:rPr>
  </w:style>
  <w:style w:type="character" w:customStyle="1" w:styleId="17">
    <w:name w:val="批注文字 Char"/>
    <w:basedOn w:val="11"/>
    <w:link w:val="3"/>
    <w:semiHidden/>
    <w:qFormat/>
    <w:uiPriority w:val="99"/>
  </w:style>
  <w:style w:type="character" w:customStyle="1" w:styleId="18">
    <w:name w:val="批注主题 Char"/>
    <w:basedOn w:val="17"/>
    <w:link w:val="8"/>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11"/>
    <w:link w:val="5"/>
    <w:semiHidden/>
    <w:qFormat/>
    <w:uiPriority w:val="99"/>
    <w:rPr>
      <w:kern w:val="2"/>
      <w:sz w:val="18"/>
      <w:szCs w:val="18"/>
    </w:rPr>
  </w:style>
  <w:style w:type="character" w:customStyle="1" w:styleId="21">
    <w:name w:val="日期 Char"/>
    <w:basedOn w:val="11"/>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5865</Words>
  <Characters>643</Characters>
  <Lines>5</Lines>
  <Paragraphs>12</Paragraphs>
  <TotalTime>9</TotalTime>
  <ScaleCrop>false</ScaleCrop>
  <LinksUpToDate>false</LinksUpToDate>
  <CharactersWithSpaces>6496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2025-07-08T02:45:00Z</dcterms:created>
  <dc:creator>arnoldliang</dc:creator>
  <cp:lastModifiedBy>C-言诺</cp:lastModifiedBy>
  <dcterms:modified xsi:type="dcterms:W3CDTF">2025-08-20T03:39:34Z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eyJoZGlkIjoiN2YzNjBkOTgyNWQ1YTMxYzM3MzMwNWFiODNmOWIzYWMiLCJ1c2VySWQiOiI1NjY5NzQ3MjEifQ==</vt:lpwstr>
  </property>
  <property fmtid="{D5CDD505-2E9C-101B-9397-08002B2CF9AE}" pid="3" name="KSOProductBuildVer">
    <vt:lpwstr>2052-11.1.0.10314</vt:lpwstr>
  </property>
  <property fmtid="{D5CDD505-2E9C-101B-9397-08002B2CF9AE}" pid="4" name="ICV">
    <vt:lpwstr>F6565F9F3E7E47AB93030D68396356CA_12</vt:lpwstr>
  </property>
</Properties>
</file>