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hint="eastAsia" w:ascii="宋体" w:hAnsi="宋体" w:eastAsia="宋体" w:cs="宋体"/>
          <w:b/>
          <w:color w:val="auto"/>
          <w:sz w:val="48"/>
          <w:szCs w:val="48"/>
          <w:highlight w:val="none"/>
        </w:rPr>
      </w:pPr>
    </w:p>
    <w:p>
      <w:pPr>
        <w:wordWrap w:val="0"/>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乌涌流域排涝体系提升工程勘察设计</w:t>
      </w:r>
    </w:p>
    <w:p>
      <w:pPr>
        <w:wordWrap w:val="0"/>
        <w:spacing w:line="360" w:lineRule="auto"/>
        <w:rPr>
          <w:rFonts w:hint="eastAsia" w:ascii="宋体" w:hAnsi="宋体" w:eastAsia="宋体" w:cs="宋体"/>
          <w:b/>
          <w:color w:val="auto"/>
          <w:spacing w:val="40"/>
          <w:sz w:val="44"/>
          <w:szCs w:val="44"/>
          <w:highlight w:val="none"/>
        </w:rPr>
      </w:pPr>
    </w:p>
    <w:p>
      <w:pPr>
        <w:wordWrap w:val="0"/>
        <w:spacing w:line="360" w:lineRule="auto"/>
        <w:jc w:val="left"/>
        <w:rPr>
          <w:rFonts w:hint="eastAsia" w:ascii="宋体" w:hAnsi="宋体" w:eastAsia="宋体" w:cs="宋体"/>
          <w:color w:val="auto"/>
          <w:sz w:val="36"/>
          <w:szCs w:val="36"/>
          <w:highlight w:val="none"/>
          <w:u w:val="single"/>
        </w:rPr>
      </w:pPr>
    </w:p>
    <w:p>
      <w:pPr>
        <w:wordWrap w:val="0"/>
        <w:spacing w:line="360" w:lineRule="auto"/>
        <w:jc w:val="left"/>
        <w:rPr>
          <w:rFonts w:hint="eastAsia" w:ascii="宋体" w:hAnsi="宋体" w:eastAsia="宋体" w:cs="宋体"/>
          <w:color w:val="auto"/>
          <w:sz w:val="36"/>
          <w:szCs w:val="36"/>
          <w:highlight w:val="none"/>
          <w:u w:val="single"/>
        </w:rPr>
      </w:pPr>
    </w:p>
    <w:p>
      <w:pPr>
        <w:wordWrap w:val="0"/>
        <w:spacing w:line="360" w:lineRule="auto"/>
        <w:jc w:val="left"/>
        <w:rPr>
          <w:rFonts w:hint="eastAsia" w:ascii="宋体" w:hAnsi="宋体" w:eastAsia="宋体" w:cs="宋体"/>
          <w:color w:val="auto"/>
          <w:sz w:val="36"/>
          <w:szCs w:val="36"/>
          <w:highlight w:val="none"/>
          <w:u w:val="single"/>
        </w:rPr>
      </w:pPr>
    </w:p>
    <w:p>
      <w:pPr>
        <w:wordWrap w:val="0"/>
        <w:spacing w:line="360" w:lineRule="auto"/>
        <w:jc w:val="center"/>
        <w:rPr>
          <w:rFonts w:hint="eastAsia"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rPr>
        <w:t>招标文件</w:t>
      </w:r>
    </w:p>
    <w:p>
      <w:pPr>
        <w:wordWrap w:val="0"/>
        <w:spacing w:line="360" w:lineRule="auto"/>
        <w:rPr>
          <w:rFonts w:hint="eastAsia" w:ascii="宋体" w:hAnsi="宋体" w:eastAsia="宋体" w:cs="宋体"/>
          <w:color w:val="auto"/>
          <w:sz w:val="32"/>
          <w:szCs w:val="32"/>
          <w:highlight w:val="none"/>
        </w:rPr>
      </w:pPr>
    </w:p>
    <w:p>
      <w:pPr>
        <w:wordWrap w:val="0"/>
        <w:spacing w:line="360" w:lineRule="auto"/>
        <w:rPr>
          <w:rFonts w:hint="eastAsia" w:ascii="宋体" w:hAnsi="宋体" w:eastAsia="宋体" w:cs="宋体"/>
          <w:color w:val="auto"/>
          <w:sz w:val="52"/>
          <w:szCs w:val="52"/>
          <w:highlight w:val="none"/>
        </w:rPr>
      </w:pPr>
    </w:p>
    <w:p>
      <w:pPr>
        <w:wordWrap w:val="0"/>
        <w:spacing w:line="360" w:lineRule="auto"/>
        <w:rPr>
          <w:rFonts w:hint="eastAsia" w:ascii="宋体" w:hAnsi="宋体" w:eastAsia="宋体" w:cs="宋体"/>
          <w:color w:val="auto"/>
          <w:sz w:val="52"/>
          <w:szCs w:val="52"/>
          <w:highlight w:val="none"/>
        </w:rPr>
      </w:pPr>
    </w:p>
    <w:p>
      <w:pPr>
        <w:wordWrap w:val="0"/>
        <w:spacing w:line="360" w:lineRule="auto"/>
        <w:rPr>
          <w:rFonts w:hint="eastAsia" w:ascii="宋体" w:hAnsi="宋体" w:eastAsia="宋体" w:cs="宋体"/>
          <w:color w:val="auto"/>
          <w:sz w:val="52"/>
          <w:szCs w:val="52"/>
          <w:highlight w:val="none"/>
        </w:rPr>
      </w:pPr>
    </w:p>
    <w:p>
      <w:pPr>
        <w:wordWrap w:val="0"/>
        <w:spacing w:line="360" w:lineRule="auto"/>
        <w:ind w:firstLine="566" w:firstLineChars="177"/>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招 标 单  位：</w:t>
      </w:r>
      <w:r>
        <w:rPr>
          <w:rFonts w:hint="eastAsia" w:ascii="宋体" w:hAnsi="宋体" w:eastAsia="宋体" w:cs="宋体"/>
          <w:color w:val="auto"/>
          <w:sz w:val="32"/>
          <w:szCs w:val="32"/>
          <w:highlight w:val="none"/>
          <w:u w:val="single"/>
        </w:rPr>
        <w:t>广州开发区财政投资建设项目管理中心</w:t>
      </w:r>
    </w:p>
    <w:p>
      <w:pPr>
        <w:wordWrap w:val="0"/>
        <w:spacing w:line="360" w:lineRule="auto"/>
        <w:ind w:firstLine="566" w:firstLineChars="177"/>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u w:val="single"/>
        </w:rPr>
        <w:t>广州市市政工程监理有限公司</w:t>
      </w:r>
    </w:p>
    <w:p>
      <w:pPr>
        <w:wordWrap w:val="0"/>
        <w:spacing w:line="360" w:lineRule="auto"/>
        <w:ind w:firstLine="566" w:firstLineChars="177"/>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        期：2025年</w:t>
      </w:r>
      <w:r>
        <w:rPr>
          <w:rFonts w:hint="eastAsia" w:ascii="宋体" w:hAnsi="宋体" w:eastAsia="宋体" w:cs="宋体"/>
          <w:color w:val="auto"/>
          <w:sz w:val="32"/>
          <w:szCs w:val="32"/>
          <w:highlight w:val="none"/>
          <w:u w:val="single"/>
        </w:rPr>
        <w:t>8</w:t>
      </w:r>
      <w:r>
        <w:rPr>
          <w:rFonts w:hint="eastAsia" w:ascii="宋体" w:hAnsi="宋体" w:eastAsia="宋体" w:cs="宋体"/>
          <w:color w:val="auto"/>
          <w:sz w:val="32"/>
          <w:szCs w:val="32"/>
          <w:highlight w:val="none"/>
        </w:rPr>
        <w:t>月</w:t>
      </w:r>
    </w:p>
    <w:p>
      <w:pPr>
        <w:wordWrap w:val="0"/>
        <w:spacing w:line="360" w:lineRule="auto"/>
        <w:rPr>
          <w:rFonts w:hint="eastAsia" w:ascii="宋体" w:hAnsi="宋体" w:eastAsia="宋体" w:cs="Times New Roman"/>
          <w:b/>
          <w:color w:val="auto"/>
          <w:sz w:val="36"/>
          <w:szCs w:val="36"/>
          <w:highlight w:val="none"/>
        </w:rPr>
        <w:sectPr>
          <w:footerReference r:id="rId3" w:type="default"/>
          <w:type w:val="continuous"/>
          <w:pgSz w:w="11905" w:h="16838"/>
          <w:pgMar w:top="1440" w:right="1800" w:bottom="1440" w:left="1800" w:header="720" w:footer="720" w:gutter="0"/>
          <w:pgNumType w:start="0"/>
          <w:cols w:space="425" w:num="1"/>
          <w:titlePg/>
          <w:docGrid w:type="lines" w:linePitch="312" w:charSpace="0"/>
        </w:sectPr>
      </w:pPr>
    </w:p>
    <w:p>
      <w:pPr>
        <w:widowControl/>
        <w:wordWrap w:val="0"/>
        <w:jc w:val="left"/>
        <w:rPr>
          <w:rFonts w:hint="eastAsia" w:ascii="宋体" w:hAnsi="宋体" w:eastAsia="宋体" w:cs="Times New Roman"/>
          <w:color w:val="auto"/>
          <w:kern w:val="0"/>
          <w:sz w:val="20"/>
          <w:szCs w:val="20"/>
          <w:highlight w:val="none"/>
        </w:rPr>
      </w:pPr>
      <w:r>
        <w:rPr>
          <w:rFonts w:ascii="宋体" w:hAnsi="宋体" w:eastAsia="宋体" w:cs="Times New Roman"/>
          <w:color w:val="auto"/>
          <w:kern w:val="0"/>
          <w:sz w:val="20"/>
          <w:szCs w:val="20"/>
          <w:highlight w:val="none"/>
        </w:rPr>
        <w:br w:type="page"/>
      </w:r>
    </w:p>
    <w:p>
      <w:pPr>
        <w:wordWrap w:val="0"/>
        <w:spacing w:after="120"/>
        <w:ind w:firstLine="200" w:firstLineChars="100"/>
        <w:rPr>
          <w:rFonts w:hint="eastAsia" w:ascii="宋体" w:hAnsi="宋体" w:eastAsia="宋体" w:cs="Times New Roman"/>
          <w:color w:val="auto"/>
          <w:kern w:val="0"/>
          <w:sz w:val="20"/>
          <w:szCs w:val="20"/>
          <w:highlight w:val="none"/>
        </w:rPr>
      </w:pPr>
    </w:p>
    <w:p>
      <w:pPr>
        <w:keepNext/>
        <w:keepLines/>
        <w:widowControl/>
        <w:wordWrap w:val="0"/>
        <w:spacing w:before="480" w:line="276"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zh-CN"/>
        </w:rPr>
        <w:t>目</w:t>
      </w:r>
      <w:r>
        <w:rPr>
          <w:rFonts w:ascii="宋体" w:hAnsi="宋体" w:eastAsia="宋体" w:cs="宋体"/>
          <w:b/>
          <w:bCs/>
          <w:color w:val="auto"/>
          <w:kern w:val="0"/>
          <w:sz w:val="28"/>
          <w:szCs w:val="28"/>
          <w:highlight w:val="none"/>
          <w:lang w:val="zh-CN"/>
        </w:rPr>
        <w:t xml:space="preserve"> </w:t>
      </w:r>
      <w:r>
        <w:rPr>
          <w:rFonts w:hint="eastAsia" w:ascii="宋体" w:hAnsi="宋体" w:eastAsia="宋体" w:cs="宋体"/>
          <w:b/>
          <w:bCs/>
          <w:color w:val="auto"/>
          <w:kern w:val="0"/>
          <w:sz w:val="28"/>
          <w:szCs w:val="28"/>
          <w:highlight w:val="none"/>
          <w:lang w:val="zh-CN"/>
        </w:rPr>
        <w:t>录</w:t>
      </w:r>
    </w:p>
    <w:p>
      <w:pPr>
        <w:pStyle w:val="32"/>
        <w:tabs>
          <w:tab w:val="right" w:leader="dot" w:pos="8289"/>
        </w:tabs>
        <w:wordWrap w:val="0"/>
        <w:rPr>
          <w:rFonts w:hint="eastAsia" w:ascii="宋体" w:hAnsi="宋体" w:cstheme="minorBidi"/>
          <w:b w:val="0"/>
          <w:bCs w:val="0"/>
          <w:caps w:val="0"/>
          <w:color w:val="auto"/>
          <w:sz w:val="21"/>
          <w:szCs w:val="22"/>
          <w:highlight w:val="none"/>
        </w:rPr>
      </w:pPr>
      <w:r>
        <w:rPr>
          <w:rFonts w:hint="eastAsia" w:ascii="宋体" w:hAnsi="宋体" w:cs="宋体"/>
          <w:bCs w:val="0"/>
          <w:caps w:val="0"/>
          <w:color w:val="auto"/>
          <w:sz w:val="24"/>
          <w:szCs w:val="24"/>
          <w:highlight w:val="none"/>
        </w:rPr>
        <w:fldChar w:fldCharType="begin"/>
      </w:r>
      <w:r>
        <w:rPr>
          <w:rFonts w:ascii="宋体" w:hAnsi="宋体" w:cs="宋体"/>
          <w:bCs w:val="0"/>
          <w:caps w:val="0"/>
          <w:color w:val="auto"/>
          <w:sz w:val="24"/>
          <w:szCs w:val="24"/>
          <w:highlight w:val="none"/>
        </w:rPr>
        <w:instrText xml:space="preserve"> TOC \o "1-3" \h \z \u </w:instrText>
      </w:r>
      <w:r>
        <w:rPr>
          <w:rFonts w:hint="eastAsia" w:ascii="宋体" w:hAnsi="宋体" w:cs="宋体"/>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\l "_Toc193357935" </w:instrText>
      </w:r>
      <w:r>
        <w:rPr>
          <w:color w:val="auto"/>
          <w:highlight w:val="none"/>
        </w:rPr>
        <w:fldChar w:fldCharType="separate"/>
      </w:r>
      <w:r>
        <w:rPr>
          <w:rStyle w:val="52"/>
          <w:rFonts w:hint="eastAsia" w:ascii="宋体" w:hAnsi="宋体"/>
          <w:color w:val="auto"/>
          <w:highlight w:val="none"/>
        </w:rPr>
        <w:t>第一卷</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_Toc193357935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ascii="宋体" w:hAnsi="宋体"/>
          <w:color w:val="auto"/>
          <w:highlight w:val="none"/>
        </w:rPr>
        <w:fldChar w:fldCharType="end"/>
      </w:r>
    </w:p>
    <w:p>
      <w:pPr>
        <w:pStyle w:val="32"/>
        <w:tabs>
          <w:tab w:val="right" w:leader="dot" w:pos="8289"/>
        </w:tabs>
        <w:wordWrap w:val="0"/>
        <w:rPr>
          <w:rFonts w:hint="eastAsia" w:ascii="宋体" w:hAnsi="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"_Toc193357936" </w:instrText>
      </w:r>
      <w:r>
        <w:rPr>
          <w:color w:val="auto"/>
          <w:highlight w:val="none"/>
        </w:rPr>
        <w:fldChar w:fldCharType="separate"/>
      </w:r>
      <w:r>
        <w:rPr>
          <w:rStyle w:val="52"/>
          <w:rFonts w:hint="eastAsia" w:ascii="宋体" w:hAnsi="宋体"/>
          <w:color w:val="auto"/>
          <w:highlight w:val="none"/>
        </w:rPr>
        <w:t>第一章</w:t>
      </w:r>
      <w:r>
        <w:rPr>
          <w:rStyle w:val="52"/>
          <w:rFonts w:ascii="宋体" w:hAnsi="宋体"/>
          <w:color w:val="auto"/>
          <w:highlight w:val="none"/>
        </w:rPr>
        <w:t xml:space="preserve">  </w:t>
      </w:r>
      <w:r>
        <w:rPr>
          <w:rStyle w:val="52"/>
          <w:rFonts w:hint="eastAsia" w:ascii="宋体" w:hAnsi="宋体"/>
          <w:color w:val="auto"/>
          <w:highlight w:val="none"/>
        </w:rPr>
        <w:t>招标公告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_Toc193357936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ascii="宋体" w:hAnsi="宋体"/>
          <w:color w:val="auto"/>
          <w:highlight w:val="none"/>
        </w:rPr>
        <w:fldChar w:fldCharType="end"/>
      </w:r>
    </w:p>
    <w:p>
      <w:pPr>
        <w:pStyle w:val="32"/>
        <w:tabs>
          <w:tab w:val="right" w:leader="dot" w:pos="8289"/>
        </w:tabs>
        <w:wordWrap w:val="0"/>
        <w:rPr>
          <w:rFonts w:hint="eastAsia" w:ascii="宋体" w:hAnsi="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"_Toc193357937" </w:instrText>
      </w:r>
      <w:r>
        <w:rPr>
          <w:color w:val="auto"/>
          <w:highlight w:val="none"/>
        </w:rPr>
        <w:fldChar w:fldCharType="separate"/>
      </w:r>
      <w:r>
        <w:rPr>
          <w:rStyle w:val="52"/>
          <w:rFonts w:hint="eastAsia" w:ascii="宋体" w:hAnsi="宋体"/>
          <w:color w:val="auto"/>
          <w:highlight w:val="none"/>
        </w:rPr>
        <w:t>第二章</w:t>
      </w:r>
      <w:r>
        <w:rPr>
          <w:rStyle w:val="52"/>
          <w:rFonts w:ascii="宋体" w:hAnsi="宋体"/>
          <w:color w:val="auto"/>
          <w:highlight w:val="none"/>
        </w:rPr>
        <w:t xml:space="preserve">  </w:t>
      </w:r>
      <w:r>
        <w:rPr>
          <w:rStyle w:val="52"/>
          <w:rFonts w:hint="eastAsia" w:ascii="宋体" w:hAnsi="宋体"/>
          <w:color w:val="auto"/>
          <w:highlight w:val="none"/>
        </w:rPr>
        <w:t>投标人须知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_Toc193357937 \h </w:instrText>
      </w:r>
      <w:r>
        <w:rPr>
          <w:rFonts w:ascii="宋体" w:hAnsi="宋体"/>
          <w:color w:val="auto"/>
          <w:highlight w:val="none"/>
        </w:rPr>
        <w:fldChar w:fldCharType="separate"/>
      </w:r>
      <w:r>
        <w:rPr>
          <w:rFonts w:ascii="宋体" w:hAnsi="宋体"/>
          <w:color w:val="auto"/>
          <w:highlight w:val="none"/>
        </w:rPr>
        <w:t>3</w:t>
      </w:r>
      <w:r>
        <w:rPr>
          <w:rFonts w:ascii="宋体" w:hAnsi="宋体"/>
          <w:color w:val="auto"/>
          <w:highlight w:val="none"/>
        </w:rPr>
        <w:fldChar w:fldCharType="end"/>
      </w:r>
      <w:r>
        <w:rPr>
          <w:rFonts w:ascii="宋体" w:hAnsi="宋体"/>
          <w:color w:val="auto"/>
          <w:highlight w:val="none"/>
        </w:rPr>
        <w:fldChar w:fldCharType="end"/>
      </w:r>
    </w:p>
    <w:p>
      <w:pPr>
        <w:pStyle w:val="32"/>
        <w:tabs>
          <w:tab w:val="right" w:leader="dot" w:pos="8289"/>
        </w:tabs>
        <w:wordWrap w:val="0"/>
        <w:rPr>
          <w:rFonts w:hint="eastAsia" w:ascii="宋体" w:hAnsi="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"_Toc193358002" </w:instrText>
      </w:r>
      <w:r>
        <w:rPr>
          <w:color w:val="auto"/>
          <w:highlight w:val="none"/>
        </w:rPr>
        <w:fldChar w:fldCharType="separate"/>
      </w:r>
      <w:r>
        <w:rPr>
          <w:rStyle w:val="52"/>
          <w:rFonts w:hint="eastAsia" w:ascii="宋体" w:hAnsi="宋体"/>
          <w:color w:val="auto"/>
          <w:highlight w:val="none"/>
        </w:rPr>
        <w:t>第三章</w:t>
      </w:r>
      <w:r>
        <w:rPr>
          <w:rStyle w:val="52"/>
          <w:rFonts w:ascii="宋体" w:hAnsi="宋体"/>
          <w:color w:val="auto"/>
          <w:highlight w:val="none"/>
        </w:rPr>
        <w:t xml:space="preserve">  </w:t>
      </w:r>
      <w:r>
        <w:rPr>
          <w:rStyle w:val="52"/>
          <w:rFonts w:hint="eastAsia" w:ascii="宋体" w:hAnsi="宋体"/>
          <w:color w:val="auto"/>
          <w:highlight w:val="none"/>
        </w:rPr>
        <w:t>评标办法（评定分离）</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_Toc193358002 \h </w:instrText>
      </w:r>
      <w:r>
        <w:rPr>
          <w:rFonts w:ascii="宋体" w:hAnsi="宋体"/>
          <w:color w:val="auto"/>
          <w:highlight w:val="none"/>
        </w:rPr>
        <w:fldChar w:fldCharType="separate"/>
      </w:r>
      <w:r>
        <w:rPr>
          <w:rFonts w:ascii="宋体" w:hAnsi="宋体"/>
          <w:color w:val="auto"/>
          <w:highlight w:val="none"/>
        </w:rPr>
        <w:t>41</w:t>
      </w:r>
      <w:r>
        <w:rPr>
          <w:rFonts w:ascii="宋体" w:hAnsi="宋体"/>
          <w:color w:val="auto"/>
          <w:highlight w:val="none"/>
        </w:rPr>
        <w:fldChar w:fldCharType="end"/>
      </w:r>
      <w:r>
        <w:rPr>
          <w:rFonts w:ascii="宋体" w:hAnsi="宋体"/>
          <w:color w:val="auto"/>
          <w:highlight w:val="none"/>
        </w:rPr>
        <w:fldChar w:fldCharType="end"/>
      </w:r>
    </w:p>
    <w:p>
      <w:pPr>
        <w:pStyle w:val="32"/>
        <w:tabs>
          <w:tab w:val="right" w:leader="dot" w:pos="8289"/>
        </w:tabs>
        <w:wordWrap w:val="0"/>
        <w:rPr>
          <w:rFonts w:hint="eastAsia" w:ascii="宋体" w:hAnsi="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"_Toc193358019" </w:instrText>
      </w:r>
      <w:r>
        <w:rPr>
          <w:color w:val="auto"/>
          <w:highlight w:val="none"/>
        </w:rPr>
        <w:fldChar w:fldCharType="separate"/>
      </w:r>
      <w:r>
        <w:rPr>
          <w:rStyle w:val="52"/>
          <w:rFonts w:hint="eastAsia" w:ascii="宋体" w:hAnsi="宋体"/>
          <w:color w:val="auto"/>
          <w:highlight w:val="none"/>
        </w:rPr>
        <w:t>第四章</w:t>
      </w:r>
      <w:r>
        <w:rPr>
          <w:rStyle w:val="52"/>
          <w:rFonts w:ascii="宋体" w:hAnsi="宋体"/>
          <w:color w:val="auto"/>
          <w:highlight w:val="none"/>
        </w:rPr>
        <w:t xml:space="preserve">  </w:t>
      </w:r>
      <w:r>
        <w:rPr>
          <w:rStyle w:val="52"/>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_Toc193358019 \h </w:instrText>
      </w:r>
      <w:r>
        <w:rPr>
          <w:rFonts w:ascii="宋体" w:hAnsi="宋体"/>
          <w:color w:val="auto"/>
          <w:highlight w:val="none"/>
        </w:rPr>
        <w:fldChar w:fldCharType="separate"/>
      </w:r>
      <w:r>
        <w:rPr>
          <w:rFonts w:ascii="宋体" w:hAnsi="宋体"/>
          <w:color w:val="auto"/>
          <w:highlight w:val="none"/>
        </w:rPr>
        <w:t>54</w:t>
      </w:r>
      <w:r>
        <w:rPr>
          <w:rFonts w:ascii="宋体" w:hAnsi="宋体"/>
          <w:color w:val="auto"/>
          <w:highlight w:val="none"/>
        </w:rPr>
        <w:fldChar w:fldCharType="end"/>
      </w:r>
      <w:r>
        <w:rPr>
          <w:rFonts w:ascii="宋体" w:hAnsi="宋体"/>
          <w:color w:val="auto"/>
          <w:highlight w:val="none"/>
        </w:rPr>
        <w:fldChar w:fldCharType="end"/>
      </w:r>
    </w:p>
    <w:p>
      <w:pPr>
        <w:pStyle w:val="32"/>
        <w:tabs>
          <w:tab w:val="right" w:leader="dot" w:pos="8289"/>
        </w:tabs>
        <w:wordWrap w:val="0"/>
        <w:rPr>
          <w:rFonts w:hint="eastAsia" w:ascii="宋体" w:hAnsi="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"_Toc193358020" </w:instrText>
      </w:r>
      <w:r>
        <w:rPr>
          <w:color w:val="auto"/>
          <w:highlight w:val="none"/>
        </w:rPr>
        <w:fldChar w:fldCharType="separate"/>
      </w:r>
      <w:r>
        <w:rPr>
          <w:rStyle w:val="52"/>
          <w:rFonts w:hint="eastAsia" w:ascii="宋体" w:hAnsi="宋体"/>
          <w:color w:val="auto"/>
          <w:highlight w:val="none"/>
        </w:rPr>
        <w:t>第二卷</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_Toc193358020 \h </w:instrText>
      </w:r>
      <w:r>
        <w:rPr>
          <w:rFonts w:ascii="宋体" w:hAnsi="宋体"/>
          <w:color w:val="auto"/>
          <w:highlight w:val="none"/>
        </w:rPr>
        <w:fldChar w:fldCharType="separate"/>
      </w:r>
      <w:r>
        <w:rPr>
          <w:rFonts w:ascii="宋体" w:hAnsi="宋体"/>
          <w:color w:val="auto"/>
          <w:highlight w:val="none"/>
        </w:rPr>
        <w:t>106</w:t>
      </w:r>
      <w:r>
        <w:rPr>
          <w:rFonts w:ascii="宋体" w:hAnsi="宋体"/>
          <w:color w:val="auto"/>
          <w:highlight w:val="none"/>
        </w:rPr>
        <w:fldChar w:fldCharType="end"/>
      </w:r>
      <w:r>
        <w:rPr>
          <w:rFonts w:ascii="宋体" w:hAnsi="宋体"/>
          <w:color w:val="auto"/>
          <w:highlight w:val="none"/>
        </w:rPr>
        <w:fldChar w:fldCharType="end"/>
      </w:r>
      <w:bookmarkStart w:id="252" w:name="_GoBack"/>
      <w:bookmarkEnd w:id="252"/>
    </w:p>
    <w:p>
      <w:pPr>
        <w:pStyle w:val="32"/>
        <w:tabs>
          <w:tab w:val="right" w:leader="dot" w:pos="8289"/>
        </w:tabs>
        <w:wordWrap w:val="0"/>
        <w:rPr>
          <w:rFonts w:hint="eastAsia" w:ascii="宋体" w:hAnsi="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"_Toc193358021" </w:instrText>
      </w:r>
      <w:r>
        <w:rPr>
          <w:color w:val="auto"/>
          <w:highlight w:val="none"/>
        </w:rPr>
        <w:fldChar w:fldCharType="separate"/>
      </w:r>
      <w:r>
        <w:rPr>
          <w:rStyle w:val="52"/>
          <w:rFonts w:hint="eastAsia" w:ascii="宋体" w:hAnsi="宋体"/>
          <w:color w:val="auto"/>
          <w:highlight w:val="none"/>
        </w:rPr>
        <w:t>第五章</w:t>
      </w:r>
      <w:r>
        <w:rPr>
          <w:rStyle w:val="52"/>
          <w:rFonts w:ascii="宋体" w:hAnsi="宋体"/>
          <w:color w:val="auto"/>
          <w:highlight w:val="none"/>
        </w:rPr>
        <w:t xml:space="preserve">  </w:t>
      </w:r>
      <w:r>
        <w:rPr>
          <w:rStyle w:val="52"/>
          <w:rFonts w:hint="eastAsia" w:ascii="宋体" w:hAnsi="宋体"/>
          <w:color w:val="auto"/>
          <w:highlight w:val="none"/>
        </w:rPr>
        <w:t>发包人要求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_Toc193358021 \h </w:instrText>
      </w:r>
      <w:r>
        <w:rPr>
          <w:rFonts w:ascii="宋体" w:hAnsi="宋体"/>
          <w:color w:val="auto"/>
          <w:highlight w:val="none"/>
        </w:rPr>
        <w:fldChar w:fldCharType="separate"/>
      </w:r>
      <w:r>
        <w:rPr>
          <w:rFonts w:ascii="宋体" w:hAnsi="宋体"/>
          <w:color w:val="auto"/>
          <w:highlight w:val="none"/>
        </w:rPr>
        <w:t>106</w:t>
      </w:r>
      <w:r>
        <w:rPr>
          <w:rFonts w:ascii="宋体" w:hAnsi="宋体"/>
          <w:color w:val="auto"/>
          <w:highlight w:val="none"/>
        </w:rPr>
        <w:fldChar w:fldCharType="end"/>
      </w:r>
      <w:r>
        <w:rPr>
          <w:rFonts w:ascii="宋体" w:hAnsi="宋体"/>
          <w:color w:val="auto"/>
          <w:highlight w:val="none"/>
        </w:rPr>
        <w:fldChar w:fldCharType="end"/>
      </w:r>
    </w:p>
    <w:p>
      <w:pPr>
        <w:pStyle w:val="32"/>
        <w:tabs>
          <w:tab w:val="right" w:leader="dot" w:pos="8289"/>
        </w:tabs>
        <w:wordWrap w:val="0"/>
        <w:rPr>
          <w:rFonts w:hint="eastAsia" w:ascii="宋体" w:hAnsi="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"_Toc193358022" </w:instrText>
      </w:r>
      <w:r>
        <w:rPr>
          <w:color w:val="auto"/>
          <w:highlight w:val="none"/>
        </w:rPr>
        <w:fldChar w:fldCharType="separate"/>
      </w:r>
      <w:r>
        <w:rPr>
          <w:rStyle w:val="52"/>
          <w:rFonts w:hint="eastAsia" w:ascii="宋体" w:hAnsi="宋体"/>
          <w:color w:val="auto"/>
          <w:highlight w:val="none"/>
        </w:rPr>
        <w:t>第三卷</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_Toc193358022 \h </w:instrText>
      </w:r>
      <w:r>
        <w:rPr>
          <w:rFonts w:ascii="宋体" w:hAnsi="宋体"/>
          <w:color w:val="auto"/>
          <w:highlight w:val="none"/>
        </w:rPr>
        <w:fldChar w:fldCharType="separate"/>
      </w:r>
      <w:r>
        <w:rPr>
          <w:rFonts w:ascii="宋体" w:hAnsi="宋体"/>
          <w:color w:val="auto"/>
          <w:highlight w:val="none"/>
        </w:rPr>
        <w:t>111</w:t>
      </w:r>
      <w:r>
        <w:rPr>
          <w:rFonts w:ascii="宋体" w:hAnsi="宋体"/>
          <w:color w:val="auto"/>
          <w:highlight w:val="none"/>
        </w:rPr>
        <w:fldChar w:fldCharType="end"/>
      </w:r>
      <w:r>
        <w:rPr>
          <w:rFonts w:ascii="宋体" w:hAnsi="宋体"/>
          <w:color w:val="auto"/>
          <w:highlight w:val="none"/>
        </w:rPr>
        <w:fldChar w:fldCharType="end"/>
      </w:r>
    </w:p>
    <w:p>
      <w:pPr>
        <w:pStyle w:val="32"/>
        <w:tabs>
          <w:tab w:val="right" w:leader="dot" w:pos="8289"/>
        </w:tabs>
        <w:wordWrap w:val="0"/>
        <w:rPr>
          <w:rFonts w:hint="eastAsia" w:ascii="宋体" w:hAnsi="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"_Toc193358023" </w:instrText>
      </w:r>
      <w:r>
        <w:rPr>
          <w:color w:val="auto"/>
          <w:highlight w:val="none"/>
        </w:rPr>
        <w:fldChar w:fldCharType="separate"/>
      </w:r>
      <w:r>
        <w:rPr>
          <w:rStyle w:val="52"/>
          <w:rFonts w:hint="eastAsia" w:ascii="宋体" w:hAnsi="宋体"/>
          <w:color w:val="auto"/>
          <w:highlight w:val="none"/>
        </w:rPr>
        <w:t>第六章</w:t>
      </w:r>
      <w:r>
        <w:rPr>
          <w:rStyle w:val="52"/>
          <w:rFonts w:ascii="宋体" w:hAnsi="宋体"/>
          <w:color w:val="auto"/>
          <w:highlight w:val="none"/>
        </w:rPr>
        <w:t xml:space="preserve">  </w:t>
      </w:r>
      <w:r>
        <w:rPr>
          <w:rStyle w:val="52"/>
          <w:rFonts w:hint="eastAsia" w:ascii="宋体" w:hAnsi="宋体"/>
          <w:color w:val="auto"/>
          <w:highlight w:val="none"/>
        </w:rPr>
        <w:t>投标文件格式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_Toc193358023 \h </w:instrText>
      </w:r>
      <w:r>
        <w:rPr>
          <w:rFonts w:ascii="宋体" w:hAnsi="宋体"/>
          <w:color w:val="auto"/>
          <w:highlight w:val="none"/>
        </w:rPr>
        <w:fldChar w:fldCharType="separate"/>
      </w:r>
      <w:r>
        <w:rPr>
          <w:rFonts w:ascii="宋体" w:hAnsi="宋体"/>
          <w:color w:val="auto"/>
          <w:highlight w:val="none"/>
        </w:rPr>
        <w:t>111</w:t>
      </w:r>
      <w:r>
        <w:rPr>
          <w:rFonts w:ascii="宋体" w:hAnsi="宋体"/>
          <w:color w:val="auto"/>
          <w:highlight w:val="none"/>
        </w:rPr>
        <w:fldChar w:fldCharType="end"/>
      </w:r>
      <w:r>
        <w:rPr>
          <w:rFonts w:ascii="宋体" w:hAnsi="宋体"/>
          <w:color w:val="auto"/>
          <w:highlight w:val="none"/>
        </w:rPr>
        <w:fldChar w:fldCharType="end"/>
      </w:r>
    </w:p>
    <w:p>
      <w:pPr>
        <w:wordWrap w:val="0"/>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sz w:val="24"/>
          <w:szCs w:val="24"/>
          <w:highlight w:val="none"/>
          <w:lang w:val="zh-CN"/>
        </w:rPr>
        <w:fldChar w:fldCharType="end"/>
      </w:r>
    </w:p>
    <w:p>
      <w:pPr>
        <w:wordWrap w:val="0"/>
        <w:autoSpaceDE w:val="0"/>
        <w:autoSpaceDN w:val="0"/>
        <w:spacing w:line="200" w:lineRule="exact"/>
        <w:jc w:val="left"/>
        <w:rPr>
          <w:rFonts w:hint="eastAsia" w:ascii="宋体" w:hAnsi="宋体" w:eastAsia="宋体" w:cs="宋体"/>
          <w:color w:val="auto"/>
          <w:kern w:val="0"/>
          <w:sz w:val="24"/>
          <w:szCs w:val="24"/>
          <w:highlight w:val="none"/>
        </w:rPr>
      </w:pPr>
      <w:r>
        <w:rPr>
          <w:rFonts w:ascii="宋体" w:hAnsi="宋体" w:eastAsia="宋体" w:cs="宋体"/>
          <w:color w:val="auto"/>
          <w:kern w:val="0"/>
          <w:szCs w:val="21"/>
          <w:highlight w:val="none"/>
        </w:rPr>
        <w:br w:type="page"/>
      </w:r>
    </w:p>
    <w:p>
      <w:pPr>
        <w:pStyle w:val="2"/>
        <w:rPr>
          <w:rFonts w:hint="eastAsia" w:ascii="宋体" w:hAnsi="宋体"/>
          <w:color w:val="auto"/>
          <w:highlight w:val="none"/>
        </w:rPr>
      </w:pPr>
      <w:bookmarkStart w:id="0" w:name="_Toc111186720"/>
      <w:bookmarkStart w:id="1" w:name="_Toc193357935"/>
      <w:r>
        <w:rPr>
          <w:rFonts w:hint="eastAsia" w:ascii="宋体" w:hAnsi="宋体"/>
          <w:color w:val="auto"/>
          <w:highlight w:val="none"/>
        </w:rPr>
        <w:t>第一卷</w:t>
      </w:r>
      <w:bookmarkEnd w:id="0"/>
      <w:bookmarkEnd w:id="1"/>
    </w:p>
    <w:p>
      <w:pPr>
        <w:widowControl/>
        <w:wordWrap w:val="0"/>
        <w:jc w:val="left"/>
        <w:rPr>
          <w:rFonts w:hint="eastAsia" w:ascii="宋体" w:hAnsi="宋体" w:eastAsia="宋体" w:cs="宋体"/>
          <w:color w:val="auto"/>
          <w:spacing w:val="2"/>
          <w:kern w:val="0"/>
          <w:sz w:val="44"/>
          <w:szCs w:val="44"/>
          <w:highlight w:val="none"/>
        </w:rPr>
        <w:sectPr>
          <w:footerReference r:id="rId4" w:type="default"/>
          <w:type w:val="continuous"/>
          <w:pgSz w:w="11905" w:h="16838"/>
          <w:pgMar w:top="1440" w:right="1803" w:bottom="1440" w:left="1803" w:header="720" w:footer="720" w:gutter="0"/>
          <w:pgNumType w:start="0"/>
          <w:cols w:space="720" w:num="1"/>
          <w:titlePg/>
          <w:docGrid w:linePitch="286" w:charSpace="0"/>
        </w:sectPr>
      </w:pPr>
    </w:p>
    <w:p>
      <w:pPr>
        <w:pStyle w:val="2"/>
        <w:rPr>
          <w:rFonts w:hint="eastAsia" w:ascii="宋体" w:hAnsi="宋体"/>
          <w:color w:val="auto"/>
          <w:highlight w:val="none"/>
        </w:rPr>
      </w:pPr>
      <w:bookmarkStart w:id="2" w:name="_Toc193357936"/>
      <w:bookmarkStart w:id="3" w:name="_Toc111186721"/>
      <w:r>
        <w:rPr>
          <w:rFonts w:hint="eastAsia" w:ascii="宋体" w:hAnsi="宋体"/>
          <w:color w:val="auto"/>
          <w:highlight w:val="none"/>
        </w:rPr>
        <w:t>第一章</w:t>
      </w:r>
      <w:r>
        <w:rPr>
          <w:rFonts w:ascii="宋体" w:hAnsi="宋体"/>
          <w:color w:val="auto"/>
          <w:highlight w:val="none"/>
        </w:rPr>
        <w:t xml:space="preserve">  </w:t>
      </w:r>
      <w:r>
        <w:rPr>
          <w:rFonts w:hint="eastAsia" w:ascii="宋体" w:hAnsi="宋体"/>
          <w:color w:val="auto"/>
          <w:highlight w:val="none"/>
        </w:rPr>
        <w:t>招标公告</w:t>
      </w:r>
      <w:bookmarkEnd w:id="2"/>
      <w:bookmarkEnd w:id="3"/>
    </w:p>
    <w:p>
      <w:pPr>
        <w:wordWrap w:val="0"/>
        <w:spacing w:line="360" w:lineRule="auto"/>
        <w:jc w:val="center"/>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pPr>
        <w:widowControl/>
        <w:wordWrap w:val="0"/>
        <w:jc w:val="left"/>
        <w:rPr>
          <w:rFonts w:hint="eastAsia" w:ascii="宋体" w:hAnsi="宋体" w:eastAsia="宋体" w:cs="宋体"/>
          <w:color w:val="auto"/>
          <w:spacing w:val="2"/>
          <w:kern w:val="0"/>
          <w:sz w:val="44"/>
          <w:szCs w:val="44"/>
          <w:highlight w:val="none"/>
        </w:rPr>
      </w:pPr>
      <w:r>
        <w:rPr>
          <w:rFonts w:ascii="宋体" w:hAnsi="宋体" w:eastAsia="宋体" w:cs="宋体"/>
          <w:color w:val="auto"/>
          <w:spacing w:val="2"/>
          <w:kern w:val="0"/>
          <w:sz w:val="44"/>
          <w:szCs w:val="44"/>
          <w:highlight w:val="none"/>
        </w:rPr>
        <w:br w:type="page"/>
      </w:r>
    </w:p>
    <w:p>
      <w:pPr>
        <w:widowControl/>
        <w:wordWrap w:val="0"/>
        <w:jc w:val="left"/>
        <w:rPr>
          <w:rFonts w:hint="eastAsia"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pPr>
        <w:pStyle w:val="2"/>
        <w:rPr>
          <w:rFonts w:hint="eastAsia" w:ascii="宋体" w:hAnsi="宋体"/>
          <w:color w:val="auto"/>
          <w:highlight w:val="none"/>
        </w:rPr>
      </w:pPr>
      <w:bookmarkStart w:id="4" w:name="_Toc193357937"/>
      <w:bookmarkStart w:id="5" w:name="_Toc111186722"/>
      <w:r>
        <w:rPr>
          <w:rFonts w:hint="eastAsia" w:ascii="宋体" w:hAnsi="宋体"/>
          <w:color w:val="auto"/>
          <w:highlight w:val="none"/>
        </w:rPr>
        <w:t>第二章</w:t>
      </w:r>
      <w:r>
        <w:rPr>
          <w:rFonts w:ascii="宋体" w:hAnsi="宋体"/>
          <w:color w:val="auto"/>
          <w:highlight w:val="none"/>
        </w:rPr>
        <w:t xml:space="preserve">  </w:t>
      </w:r>
      <w:r>
        <w:rPr>
          <w:rFonts w:hint="eastAsia" w:ascii="宋体" w:hAnsi="宋体"/>
          <w:color w:val="auto"/>
          <w:highlight w:val="none"/>
        </w:rPr>
        <w:t>投标人须知</w:t>
      </w:r>
      <w:bookmarkEnd w:id="4"/>
      <w:bookmarkEnd w:id="5"/>
    </w:p>
    <w:p>
      <w:pPr>
        <w:pStyle w:val="3"/>
        <w:wordWrap w:val="0"/>
        <w:rPr>
          <w:rFonts w:hint="eastAsia" w:ascii="宋体" w:hAnsi="宋体"/>
          <w:color w:val="auto"/>
          <w:highlight w:val="none"/>
        </w:rPr>
      </w:pPr>
      <w:bookmarkStart w:id="6" w:name="_Toc111186723"/>
      <w:bookmarkStart w:id="7" w:name="_Toc26350"/>
      <w:bookmarkStart w:id="8" w:name="_Toc193357938"/>
      <w:r>
        <w:rPr>
          <w:rFonts w:hint="eastAsia" w:ascii="宋体" w:hAnsi="宋体"/>
          <w:color w:val="auto"/>
          <w:highlight w:val="none"/>
        </w:rPr>
        <w:t>投标人须知前附表</w:t>
      </w:r>
      <w:bookmarkEnd w:id="6"/>
      <w:bookmarkEnd w:id="7"/>
      <w:bookmarkEnd w:id="8"/>
    </w:p>
    <w:tbl>
      <w:tblPr>
        <w:tblStyle w:val="45"/>
        <w:tblW w:w="49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808"/>
        <w:gridCol w:w="5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440" w:type="pct"/>
            <w:vAlign w:val="center"/>
          </w:tcPr>
          <w:p>
            <w:pPr>
              <w:wordWrap w:val="0"/>
              <w:autoSpaceDE w:val="0"/>
              <w:autoSpaceDN w:val="0"/>
              <w:spacing w:line="276"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条款号</w:t>
            </w:r>
          </w:p>
        </w:tc>
        <w:tc>
          <w:tcPr>
            <w:tcW w:w="1066" w:type="pct"/>
            <w:vAlign w:val="center"/>
          </w:tcPr>
          <w:p>
            <w:pPr>
              <w:wordWrap w:val="0"/>
              <w:autoSpaceDE w:val="0"/>
              <w:autoSpaceDN w:val="0"/>
              <w:spacing w:line="276"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3494" w:type="pct"/>
            <w:vAlign w:val="center"/>
          </w:tcPr>
          <w:p>
            <w:pPr>
              <w:wordWrap w:val="0"/>
              <w:autoSpaceDE w:val="0"/>
              <w:autoSpaceDN w:val="0"/>
              <w:spacing w:line="276"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1.1.2</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广州开发区财政投资建设项目管理中心</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广州市黄埔区科学大道</w:t>
            </w:r>
            <w:r>
              <w:rPr>
                <w:rFonts w:ascii="宋体" w:hAnsi="宋体" w:eastAsia="宋体" w:cs="宋体"/>
                <w:color w:val="auto"/>
                <w:szCs w:val="21"/>
                <w:highlight w:val="none"/>
                <w:u w:val="single"/>
              </w:rPr>
              <w:t>162号创意大厦B2主楼三楼</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曾工</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ascii="宋体" w:hAnsi="宋体" w:eastAsia="宋体" w:cs="宋体"/>
                <w:color w:val="auto"/>
                <w:szCs w:val="21"/>
                <w:highlight w:val="none"/>
                <w:u w:val="single"/>
              </w:rPr>
              <w:t>020-28068066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1.1.3</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广州市市政工程监理有限公司</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广州市越秀区东风中路437号越秀城市广场南塔38楼</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梁工</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ascii="宋体" w:hAnsi="宋体" w:eastAsia="宋体" w:cs="宋体"/>
                <w:color w:val="auto"/>
                <w:szCs w:val="21"/>
                <w:highlight w:val="none"/>
                <w:u w:val="single"/>
              </w:rPr>
              <w:t>020-83313605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1.1.4</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乌涌流域排涝体系提升工程勘察设计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1.1.5</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项目建设地点</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1.1.6</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项目建设规模</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1.1.7</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项目投资估算</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1.2.1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1.2.2</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1.3.1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1.3.2</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勘察设计服务期限</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1.3.3</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1、勘察质量标准：</w:t>
            </w:r>
            <w:r>
              <w:rPr>
                <w:rFonts w:hint="eastAsia" w:ascii="宋体" w:hAnsi="宋体" w:eastAsia="宋体" w:cs="宋体"/>
                <w:color w:val="auto"/>
                <w:szCs w:val="21"/>
                <w:highlight w:val="none"/>
                <w:u w:val="single"/>
              </w:rPr>
              <w:t>符合国家、省、市及行业现行相关规定、规范、标准和本项目勘察设计要求。</w:t>
            </w:r>
          </w:p>
          <w:p>
            <w:pPr>
              <w:wordWrap w:val="0"/>
              <w:spacing w:line="276" w:lineRule="auto"/>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2、设计质量标准：</w:t>
            </w:r>
            <w:r>
              <w:rPr>
                <w:rFonts w:hint="eastAsia" w:ascii="宋体" w:hAnsi="宋体" w:eastAsia="宋体" w:cs="宋体"/>
                <w:color w:val="auto"/>
                <w:szCs w:val="21"/>
                <w:highlight w:val="none"/>
                <w:u w:val="single"/>
              </w:rPr>
              <w:t>符合国家、省、市及行业现行相关规定、规范、标准和本项目设计任务要求。</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注：具体以合同约定为准。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1.4.1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投标人资质条件、能力、信誉</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1.4.2</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1.4.3</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投标人不得存在的其他情形</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详见招标文件第二章“投标人须知”1.4.3。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1.9.1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■不组织，投标人自行考察。</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补充说明如下：</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w:t>
            </w:r>
            <w:r>
              <w:rPr>
                <w:rFonts w:hint="eastAsia" w:ascii="宋体" w:hAnsi="宋体" w:eastAsia="宋体" w:cs="宋体"/>
                <w:color w:val="auto"/>
                <w:szCs w:val="21"/>
                <w:highlight w:val="none"/>
                <w:u w:val="single"/>
              </w:rPr>
              <w:t>场考察活动。</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3）由招标人提供的资料和数据，只是为了使投标人能够利用招标人现有的资料。招标人对投标人由此而</w:t>
            </w:r>
            <w:r>
              <w:rPr>
                <w:rFonts w:hint="eastAsia" w:ascii="宋体" w:hAnsi="宋体" w:eastAsia="宋体" w:cs="宋体"/>
                <w:color w:val="auto"/>
                <w:szCs w:val="21"/>
                <w:highlight w:val="none"/>
                <w:u w:val="single"/>
              </w:rPr>
              <w:t>作出的推论、解释和结论概不负责。</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4）不论投标结果如何，投标人应承担其投标文件编制与递交所涉及的一切费用，发包人对上述费用不负任何责任。</w:t>
            </w:r>
          </w:p>
          <w:p>
            <w:pPr>
              <w:wordWrap w:val="0"/>
              <w:spacing w:line="276" w:lineRule="auto"/>
              <w:rPr>
                <w:rFonts w:hint="eastAsia" w:ascii="宋体" w:hAnsi="宋体" w:eastAsia="宋体" w:cs="宋体"/>
                <w:color w:val="auto"/>
                <w:szCs w:val="21"/>
                <w:highlight w:val="none"/>
              </w:rPr>
            </w:pPr>
            <w:r>
              <w:rPr>
                <w:rFonts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组织，踏勘时间：</w:t>
            </w:r>
            <w:r>
              <w:rPr>
                <w:rFonts w:ascii="宋体" w:hAnsi="宋体" w:eastAsia="宋体" w:cs="宋体"/>
                <w:color w:val="auto"/>
                <w:szCs w:val="21"/>
                <w:highlight w:val="none"/>
                <w:u w:val="single"/>
              </w:rPr>
              <w:t>/。</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1.10.1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■不召开</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ascii="宋体" w:hAnsi="宋体" w:eastAsia="宋体" w:cs="宋体"/>
                <w:color w:val="auto"/>
                <w:szCs w:val="21"/>
                <w:highlight w:val="none"/>
                <w:u w:val="single"/>
              </w:rPr>
              <w:t>/。</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r>
              <w:rPr>
                <w:rFonts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restar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1.10.2</w:t>
            </w:r>
          </w:p>
        </w:tc>
        <w:tc>
          <w:tcPr>
            <w:tcW w:w="1066" w:type="pct"/>
            <w:vMerge w:val="restar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投标人在投标预备会前提出问题</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ascii="宋体" w:hAnsi="宋体" w:eastAsia="宋体" w:cs="宋体"/>
                <w:color w:val="auto"/>
                <w:szCs w:val="21"/>
                <w:highlight w:val="none"/>
                <w:u w:val="single"/>
              </w:rPr>
              <w:t xml:space="preserve"> / （本项目不召开投标预备会）。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continue"/>
            <w:vAlign w:val="center"/>
          </w:tcPr>
          <w:p>
            <w:pPr>
              <w:widowControl/>
              <w:wordWrap w:val="0"/>
              <w:spacing w:line="276" w:lineRule="auto"/>
              <w:jc w:val="center"/>
              <w:rPr>
                <w:rFonts w:hint="eastAsia" w:ascii="宋体" w:hAnsi="宋体" w:eastAsia="宋体" w:cs="宋体"/>
                <w:color w:val="auto"/>
                <w:kern w:val="0"/>
                <w:szCs w:val="21"/>
                <w:highlight w:val="none"/>
              </w:rPr>
            </w:pPr>
          </w:p>
        </w:tc>
        <w:tc>
          <w:tcPr>
            <w:tcW w:w="1066" w:type="pct"/>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w:t>
            </w:r>
            <w:r>
              <w:rPr>
                <w:rFonts w:ascii="宋体" w:hAnsi="宋体" w:eastAsia="宋体" w:cs="宋体"/>
                <w:color w:val="auto"/>
                <w:szCs w:val="21"/>
                <w:highlight w:val="none"/>
                <w:u w:val="single"/>
              </w:rPr>
              <w:t xml:space="preserve"> / （本项目不召开投标预备会）。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1.10.3</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在广州交易集团有限公司（广州公共资源交易中心）网站首页-建设工程-“项目查询（日程安排、答疑纪要）”专区发布，一经在发布，视作已发放给所有投标人。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ascii="宋体" w:hAnsi="宋体" w:eastAsia="宋体" w:cs="宋体"/>
                <w:color w:val="auto"/>
                <w:spacing w:val="-7"/>
                <w:kern w:val="0"/>
                <w:szCs w:val="21"/>
                <w:highlight w:val="none"/>
              </w:rPr>
              <w:t>1</w:t>
            </w:r>
            <w:r>
              <w:rPr>
                <w:rFonts w:ascii="宋体" w:hAnsi="宋体" w:eastAsia="宋体" w:cs="宋体"/>
                <w:color w:val="auto"/>
                <w:kern w:val="0"/>
                <w:szCs w:val="21"/>
                <w:highlight w:val="none"/>
              </w:rPr>
              <w:t>1.1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p>
            <w:pPr>
              <w:pStyle w:val="126"/>
              <w:tabs>
                <w:tab w:val="left" w:pos="357"/>
              </w:tabs>
              <w:kinsoku w:val="0"/>
              <w:overflowPunct w:val="0"/>
              <w:spacing w:line="276" w:lineRule="auto"/>
              <w:jc w:val="both"/>
              <w:rPr>
                <w:rFonts w:hint="eastAsia" w:ascii="宋体" w:hAnsi="宋体" w:cs="宋体"/>
                <w:color w:val="auto"/>
                <w:sz w:val="21"/>
                <w:szCs w:val="21"/>
                <w:highlight w:val="none"/>
                <w:u w:val="single"/>
                <w:lang w:val="zh-CN"/>
              </w:rPr>
            </w:pPr>
            <w:r>
              <w:rPr>
                <w:rFonts w:hint="eastAsia" w:ascii="宋体" w:hAnsi="宋体" w:cs="宋体"/>
                <w:color w:val="auto"/>
                <w:sz w:val="21"/>
                <w:szCs w:val="21"/>
                <w:highlight w:val="none"/>
                <w:lang w:val="zh-CN"/>
              </w:rPr>
              <w:t>■允许，分包内容要求：</w:t>
            </w:r>
            <w:r>
              <w:rPr>
                <w:rFonts w:hint="eastAsia" w:ascii="宋体" w:hAnsi="宋体" w:cs="宋体"/>
                <w:color w:val="auto"/>
                <w:sz w:val="21"/>
                <w:szCs w:val="21"/>
                <w:highlight w:val="none"/>
                <w:u w:val="single"/>
                <w:lang w:val="zh-CN"/>
              </w:rPr>
              <w:t>依法分包，具体按照合同约定并经招标人同意。</w:t>
            </w:r>
          </w:p>
          <w:p>
            <w:pPr>
              <w:pStyle w:val="126"/>
              <w:tabs>
                <w:tab w:val="left" w:pos="357"/>
              </w:tabs>
              <w:kinsoku w:val="0"/>
              <w:overflowPunct w:val="0"/>
              <w:spacing w:line="276" w:lineRule="auto"/>
              <w:jc w:val="both"/>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分包金额要求：</w:t>
            </w:r>
            <w:r>
              <w:rPr>
                <w:rFonts w:hint="eastAsia" w:ascii="宋体" w:hAnsi="宋体" w:cs="宋体"/>
                <w:color w:val="auto"/>
                <w:sz w:val="21"/>
                <w:szCs w:val="21"/>
                <w:highlight w:val="none"/>
                <w:u w:val="single"/>
                <w:lang w:val="zh-CN"/>
              </w:rPr>
              <w:t>根据实际情况确定。（详见合同约定）</w:t>
            </w:r>
          </w:p>
          <w:p>
            <w:pPr>
              <w:pStyle w:val="126"/>
              <w:tabs>
                <w:tab w:val="left" w:pos="357"/>
              </w:tabs>
              <w:kinsoku w:val="0"/>
              <w:overflowPunct w:val="0"/>
              <w:spacing w:line="276" w:lineRule="auto"/>
              <w:jc w:val="both"/>
              <w:rPr>
                <w:rFonts w:hint="eastAsia" w:ascii="宋体" w:hAnsi="宋体" w:cs="宋体"/>
                <w:color w:val="auto"/>
                <w:sz w:val="21"/>
                <w:szCs w:val="21"/>
                <w:highlight w:val="none"/>
                <w:u w:val="single"/>
                <w:lang w:val="zh-CN"/>
              </w:rPr>
            </w:pPr>
            <w:r>
              <w:rPr>
                <w:rFonts w:hint="eastAsia" w:ascii="宋体" w:hAnsi="宋体" w:cs="宋体"/>
                <w:color w:val="auto"/>
                <w:sz w:val="21"/>
                <w:szCs w:val="21"/>
                <w:highlight w:val="none"/>
                <w:lang w:val="zh-CN"/>
              </w:rPr>
              <w:t>对分包人的资质要求：</w:t>
            </w:r>
            <w:r>
              <w:rPr>
                <w:rFonts w:hint="eastAsia" w:ascii="宋体" w:hAnsi="宋体" w:cs="宋体"/>
                <w:color w:val="auto"/>
                <w:sz w:val="21"/>
                <w:szCs w:val="21"/>
                <w:highlight w:val="none"/>
                <w:u w:val="single"/>
                <w:lang w:val="zh-CN"/>
              </w:rPr>
              <w:t>接受分包的人应当具备相应的资质条件，并不得再次分包。（详见合同约定）</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其他要求：</w:t>
            </w:r>
            <w:r>
              <w:rPr>
                <w:rFonts w:hint="eastAsia" w:ascii="宋体" w:hAnsi="宋体" w:eastAsia="宋体" w:cs="宋体"/>
                <w:color w:val="auto"/>
                <w:kern w:val="0"/>
                <w:szCs w:val="21"/>
                <w:highlight w:val="none"/>
                <w:u w:val="single"/>
                <w:lang w:val="zh-CN"/>
              </w:rPr>
              <w:t>详见合同约定。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1.12.1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实质性要求和条件</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1.12.3</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□允许，偏差范围：</w:t>
            </w:r>
            <w:r>
              <w:rPr>
                <w:rFonts w:ascii="宋体" w:hAnsi="宋体" w:eastAsia="宋体" w:cs="宋体"/>
                <w:color w:val="auto"/>
                <w:szCs w:val="21"/>
                <w:highlight w:val="none"/>
                <w:u w:val="single"/>
              </w:rPr>
              <w:t>/。</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偏差幅度：</w:t>
            </w:r>
            <w:r>
              <w:rPr>
                <w:rFonts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2.1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2.2</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招标文件的答疑</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ascii="宋体" w:hAnsi="宋体" w:eastAsia="宋体" w:cs="宋体"/>
                <w:color w:val="auto"/>
                <w:szCs w:val="21"/>
                <w:highlight w:val="none"/>
                <w:u w:val="single"/>
              </w:rPr>
              <w:t xml:space="preserve">  年   月   日   时前。</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rPr>
              <w:t>投标人的疑问通过广州交易集团有限公司（广州公共资源交易中心）网站提交。</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具体要求：</w:t>
            </w:r>
            <w:r>
              <w:rPr>
                <w:rFonts w:hint="eastAsia" w:ascii="宋体" w:hAnsi="宋体" w:eastAsia="宋体" w:cs="宋体"/>
                <w:color w:val="auto"/>
                <w:szCs w:val="21"/>
                <w:highlight w:val="none"/>
                <w:u w:val="single"/>
              </w:rPr>
              <w:t>按照广州交易集团有限公司（广州公共资源交易中心）网站关于全流程电子化项目的相关指南进行操作，提问一律不得署名。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2.3</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招标文件的澄清和修改</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招标文件的修改期限：</w:t>
            </w:r>
            <w:r>
              <w:rPr>
                <w:rFonts w:hint="eastAsia" w:ascii="宋体" w:hAnsi="宋体" w:eastAsia="宋体" w:cs="宋体"/>
                <w:color w:val="auto"/>
                <w:szCs w:val="21"/>
                <w:highlight w:val="none"/>
                <w:u w:val="single"/>
              </w:rPr>
              <w:t>在投标截止时间</w:t>
            </w:r>
            <w:r>
              <w:rPr>
                <w:rFonts w:ascii="宋体" w:hAnsi="宋体" w:eastAsia="宋体" w:cs="宋体"/>
                <w:color w:val="auto"/>
                <w:szCs w:val="21"/>
                <w:highlight w:val="none"/>
                <w:u w:val="single"/>
              </w:rPr>
              <w:t xml:space="preserve"> 15 </w:t>
            </w:r>
            <w:r>
              <w:rPr>
                <w:rFonts w:hint="eastAsia" w:ascii="宋体" w:hAnsi="宋体" w:eastAsia="宋体" w:cs="宋体"/>
                <w:color w:val="auto"/>
                <w:szCs w:val="21"/>
                <w:highlight w:val="none"/>
                <w:u w:val="single"/>
              </w:rPr>
              <w:t>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3.1.1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投标人认为有必要提供的其他资料，格式自定。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3.2.1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增值税税金的计算方法</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投标人的报价为含税报价。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3.2.3</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3494" w:type="pct"/>
            <w:vAlign w:val="center"/>
          </w:tcPr>
          <w:p>
            <w:pPr>
              <w:wordWrap w:val="0"/>
              <w:spacing w:line="276" w:lineRule="auto"/>
              <w:rPr>
                <w:rFonts w:hint="eastAsia" w:ascii="宋体" w:hAnsi="宋体" w:eastAsia="宋体" w:cs="宋体"/>
                <w:color w:val="auto"/>
                <w:szCs w:val="21"/>
                <w:highlight w:val="none"/>
              </w:rPr>
            </w:pPr>
            <w:bookmarkStart w:id="9" w:name="OLE_LINK6"/>
            <w:r>
              <w:rPr>
                <w:rFonts w:ascii="宋体" w:hAnsi="宋体" w:eastAsia="宋体" w:cs="宋体"/>
                <w:color w:val="auto"/>
                <w:szCs w:val="21"/>
                <w:highlight w:val="none"/>
              </w:rPr>
              <w:t>1、勘察费、设计费报价：投标人须按照招标文件要求的格式进行报价。</w:t>
            </w:r>
          </w:p>
          <w:p>
            <w:pPr>
              <w:wordWrap w:val="0"/>
              <w:spacing w:line="276" w:lineRule="auto"/>
              <w:rPr>
                <w:rFonts w:hint="eastAsia" w:ascii="宋体" w:hAnsi="宋体" w:eastAsia="宋体" w:cs="宋体"/>
                <w:color w:val="auto"/>
                <w:szCs w:val="21"/>
                <w:highlight w:val="none"/>
              </w:rPr>
            </w:pPr>
            <w:r>
              <w:rPr>
                <w:rFonts w:ascii="宋体" w:hAnsi="宋体" w:eastAsia="宋体" w:cs="宋体"/>
                <w:color w:val="auto"/>
                <w:szCs w:val="21"/>
                <w:highlight w:val="none"/>
              </w:rPr>
              <w:t>2、勘察设计费的结算方式按合同约定执行。</w:t>
            </w:r>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3.2.4</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■有，</w:t>
            </w:r>
            <w:r>
              <w:rPr>
                <w:rFonts w:ascii="宋体" w:hAnsi="宋体" w:eastAsia="宋体" w:cs="宋体"/>
                <w:color w:val="auto"/>
                <w:szCs w:val="21"/>
                <w:highlight w:val="none"/>
              </w:rPr>
              <w:t>最高投标限价：</w:t>
            </w:r>
            <w:bookmarkStart w:id="10" w:name="OLE_LINK1"/>
            <w:r>
              <w:rPr>
                <w:rFonts w:hint="eastAsia" w:ascii="宋体" w:hAnsi="宋体" w:eastAsia="宋体" w:cs="宋体"/>
                <w:color w:val="auto"/>
                <w:szCs w:val="21"/>
                <w:highlight w:val="none"/>
                <w:lang w:val="en-US" w:eastAsia="zh-CN"/>
              </w:rPr>
              <w:t>2943536.66</w:t>
            </w:r>
            <w:r>
              <w:rPr>
                <w:rFonts w:hint="eastAsia" w:ascii="宋体" w:hAnsi="宋体" w:eastAsia="宋体" w:cs="宋体"/>
                <w:color w:val="auto"/>
                <w:szCs w:val="21"/>
                <w:highlight w:val="none"/>
              </w:rPr>
              <w:t>元</w:t>
            </w:r>
            <w:bookmarkEnd w:id="10"/>
            <w:r>
              <w:rPr>
                <w:rFonts w:hint="eastAsia" w:ascii="宋体" w:hAnsi="宋体" w:eastAsia="宋体" w:cs="宋体"/>
                <w:color w:val="auto"/>
                <w:szCs w:val="21"/>
                <w:highlight w:val="none"/>
              </w:rPr>
              <w:t>，其中：勘察费最高投标限价：</w:t>
            </w:r>
            <w:r>
              <w:rPr>
                <w:rFonts w:hint="eastAsia" w:ascii="宋体" w:hAnsi="宋体" w:eastAsia="宋体" w:cs="宋体"/>
                <w:color w:val="auto"/>
                <w:szCs w:val="21"/>
                <w:highlight w:val="none"/>
                <w:lang w:val="en-US" w:eastAsia="zh-CN"/>
              </w:rPr>
              <w:t xml:space="preserve">823728.74 </w:t>
            </w:r>
            <w:r>
              <w:rPr>
                <w:rFonts w:hint="eastAsia" w:ascii="宋体" w:hAnsi="宋体" w:eastAsia="宋体" w:cs="宋体"/>
                <w:color w:val="auto"/>
                <w:szCs w:val="21"/>
                <w:highlight w:val="none"/>
              </w:rPr>
              <w:t>元，设计费最高投标限价：</w:t>
            </w:r>
            <w:r>
              <w:rPr>
                <w:rFonts w:hint="eastAsia" w:ascii="宋体" w:hAnsi="宋体" w:eastAsia="宋体" w:cs="宋体"/>
                <w:color w:val="auto"/>
                <w:szCs w:val="21"/>
                <w:highlight w:val="none"/>
                <w:lang w:val="en-US" w:eastAsia="zh-CN"/>
              </w:rPr>
              <w:t>2119807.92</w:t>
            </w:r>
            <w:r>
              <w:rPr>
                <w:rFonts w:hint="eastAsia" w:ascii="宋体" w:hAnsi="宋体" w:eastAsia="宋体" w:cs="宋体"/>
                <w:color w:val="auto"/>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3.2.5</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3494" w:type="pct"/>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投标人必须详细审阅全部招标文件，充分考虑职责和义务，全面地理解招标文件对投标报价的要求，并按招标人提出的条件及内容进行报价。</w:t>
            </w:r>
          </w:p>
          <w:p>
            <w:pPr>
              <w:spacing w:line="276"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一、本项目最高投标限价（即招标控制价）只作为招标的依据，投标金额及下浮率（</w:t>
            </w:r>
            <w:r>
              <w:rPr>
                <w:rFonts w:ascii="宋体" w:hAnsi="宋体" w:eastAsia="宋体" w:cs="宋体"/>
                <w:b/>
                <w:bCs/>
                <w:color w:val="auto"/>
                <w:szCs w:val="21"/>
                <w:highlight w:val="none"/>
              </w:rPr>
              <w:t>%）作为签订合同的依据。中标价不作为结算的依据，</w:t>
            </w:r>
            <w:r>
              <w:rPr>
                <w:rFonts w:hint="eastAsia" w:ascii="宋体" w:hAnsi="宋体" w:eastAsia="宋体" w:cs="宋体"/>
                <w:b/>
                <w:bCs/>
                <w:color w:val="auto"/>
                <w:spacing w:val="2"/>
                <w:szCs w:val="21"/>
                <w:highlight w:val="none"/>
              </w:rPr>
              <w:t>结算按合同相应条款执行。</w:t>
            </w:r>
          </w:p>
          <w:p>
            <w:pPr>
              <w:spacing w:line="276"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二、</w:t>
            </w:r>
            <w:r>
              <w:rPr>
                <w:rFonts w:hint="eastAsia" w:ascii="宋体" w:hAnsi="宋体" w:eastAsia="宋体" w:cs="宋体"/>
                <w:b/>
                <w:bCs/>
                <w:color w:val="auto"/>
                <w:szCs w:val="21"/>
                <w:highlight w:val="none"/>
              </w:rPr>
              <w:t>投标报价及费用计算方式：</w:t>
            </w:r>
          </w:p>
          <w:p>
            <w:pPr>
              <w:spacing w:line="276"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1、投标总报价及下浮率：投标总报价=勘察费报价+设计费报价；其中，勘察费报价=勘察费最高投标限价*（1-勘察部分投标下浮率）；设计费报价=设计费最高投标限价*（1-设计部分投标下浮率）</w:t>
            </w:r>
          </w:p>
          <w:p>
            <w:pPr>
              <w:pStyle w:val="4"/>
              <w:spacing w:line="276" w:lineRule="auto"/>
              <w:ind w:firstLine="424" w:firstLineChars="200"/>
              <w:rPr>
                <w:rFonts w:hint="eastAsia" w:cs="宋体"/>
                <w:b w:val="0"/>
                <w:bCs w:val="0"/>
                <w:color w:val="auto"/>
                <w:sz w:val="21"/>
                <w:szCs w:val="21"/>
                <w:highlight w:val="none"/>
                <w:lang w:val="en-US"/>
              </w:rPr>
            </w:pPr>
            <w:r>
              <w:rPr>
                <w:rFonts w:cs="宋体"/>
                <w:b w:val="0"/>
                <w:bCs w:val="0"/>
                <w:color w:val="auto"/>
                <w:sz w:val="21"/>
                <w:szCs w:val="21"/>
                <w:highlight w:val="none"/>
                <w:lang w:val="en-US"/>
              </w:rPr>
              <w:t>2、投标人按第六章投标文件格式</w:t>
            </w:r>
            <w:r>
              <w:rPr>
                <w:rFonts w:hint="eastAsia" w:cs="宋体"/>
                <w:b w:val="0"/>
                <w:bCs w:val="0"/>
                <w:color w:val="auto"/>
                <w:sz w:val="21"/>
                <w:szCs w:val="21"/>
                <w:highlight w:val="none"/>
                <w:lang w:val="en-US"/>
              </w:rPr>
              <w:t>六</w:t>
            </w:r>
            <w:r>
              <w:rPr>
                <w:rFonts w:cs="宋体"/>
                <w:b w:val="0"/>
                <w:bCs w:val="0"/>
                <w:color w:val="auto"/>
                <w:sz w:val="21"/>
                <w:szCs w:val="21"/>
                <w:highlight w:val="none"/>
                <w:lang w:val="en-US"/>
              </w:rPr>
              <w:t>《</w:t>
            </w:r>
            <w:r>
              <w:rPr>
                <w:rFonts w:hint="eastAsia" w:cs="宋体"/>
                <w:b w:val="0"/>
                <w:bCs w:val="0"/>
                <w:color w:val="auto"/>
                <w:sz w:val="21"/>
                <w:szCs w:val="21"/>
                <w:highlight w:val="none"/>
              </w:rPr>
              <w:t>勘察设计费报价表》进行报价</w:t>
            </w:r>
            <w:r>
              <w:rPr>
                <w:rFonts w:hint="eastAsia" w:cs="宋体"/>
                <w:b w:val="0"/>
                <w:bCs w:val="0"/>
                <w:color w:val="auto"/>
                <w:sz w:val="21"/>
                <w:szCs w:val="21"/>
                <w:highlight w:val="none"/>
                <w:lang w:val="en-US"/>
              </w:rPr>
              <w:t>。</w:t>
            </w:r>
          </w:p>
          <w:p>
            <w:pPr>
              <w:snapToGrid w:val="0"/>
              <w:spacing w:line="276"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三、勘察费及设计费计费标准如下：</w:t>
            </w:r>
          </w:p>
          <w:p>
            <w:pPr>
              <w:snapToGrid w:val="0"/>
              <w:spacing w:line="276" w:lineRule="auto"/>
              <w:ind w:firstLine="420" w:firstLineChars="200"/>
              <w:jc w:val="left"/>
              <w:rPr>
                <w:rFonts w:hint="eastAsia" w:ascii="宋体" w:hAnsi="宋体" w:eastAsia="宋体" w:cs="宋体"/>
                <w:color w:val="auto"/>
                <w:szCs w:val="21"/>
                <w:highlight w:val="none"/>
              </w:rPr>
            </w:pPr>
            <w:r>
              <w:rPr>
                <w:rFonts w:ascii="宋体" w:hAnsi="宋体" w:eastAsia="宋体" w:cs="宋体"/>
                <w:color w:val="auto"/>
                <w:szCs w:val="21"/>
                <w:highlight w:val="none"/>
              </w:rPr>
              <w:t>1、工程勘察费：</w:t>
            </w:r>
          </w:p>
          <w:p>
            <w:pPr>
              <w:snapToGrid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岩土工程勘察费用，按照承发包双方确认的实际工程量乘以岩土工程勘探费综合单价并执行勘察费中标下浮率结算，该单价已包括所有实物工作收费、技术工作收费、税金以及办理工程勘察相关许可等全部费用。</w:t>
            </w:r>
            <w:r>
              <w:rPr>
                <w:rFonts w:hint="eastAsia" w:ascii="宋体" w:hAnsi="宋体" w:eastAsia="宋体" w:cs="宋体"/>
                <w:color w:val="auto"/>
                <w:szCs w:val="21"/>
                <w:highlight w:val="none"/>
                <w:lang w:val="en-US" w:eastAsia="zh-CN"/>
              </w:rPr>
              <w:t>岩土工程勘探费综合单价包干按国家发展计划委员会、建设部2002年颁布的《工程勘察设计收费标准》、《关于印发广州市黄埔区 广州开发区政府投资建设项目资金管理办法的通知》（穗埔财〔2020〕373 号）、《广州开发区财政投资建设项目管理中心咨询服务类合同结算编审指引（2021年修订版）》（穗开建管〔2021〕33号）、广州开发区财政局《关于调整我区岩土工程勘察费取费标准的复函》（穗开财函〔2013〕615号）及《关于印发&lt;广州开发区、萝岗区政府投资建设项目岩土工程勘探综合费取费标准&gt;的通知》（穗开建管〔2014〕1号）文计取，</w:t>
            </w:r>
            <w:r>
              <w:rPr>
                <w:rFonts w:ascii="宋体" w:hAnsi="宋体" w:eastAsia="宋体" w:cs="宋体"/>
                <w:color w:val="auto"/>
                <w:szCs w:val="21"/>
                <w:highlight w:val="none"/>
              </w:rPr>
              <w:t>最终结算以广州开发区财政局或其授权委托单位审核为准。</w:t>
            </w:r>
          </w:p>
          <w:p>
            <w:pPr>
              <w:snapToGrid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 xml:space="preserve">2）工程测量费、工程物探费、地形图测量费，按国家发展计划委员会、建设部2002年颁布的《工程勘察设计收费标准》、《关于印发广州市黄埔区 </w:t>
            </w:r>
            <w:r>
              <w:rPr>
                <w:rFonts w:hint="eastAsia" w:ascii="宋体" w:hAnsi="宋体" w:eastAsia="宋体" w:cs="宋体"/>
                <w:color w:val="auto"/>
                <w:szCs w:val="21"/>
                <w:highlight w:val="none"/>
              </w:rPr>
              <w:t>广州开发区政府投资建设项目资金管理办法的通知》（穗埔财〔</w:t>
            </w:r>
            <w:r>
              <w:rPr>
                <w:rFonts w:ascii="宋体" w:hAnsi="宋体" w:eastAsia="宋体" w:cs="宋体"/>
                <w:color w:val="auto"/>
                <w:szCs w:val="21"/>
                <w:highlight w:val="none"/>
              </w:rPr>
              <w:t xml:space="preserve">2020〕373 </w:t>
            </w:r>
            <w:r>
              <w:rPr>
                <w:rFonts w:hint="eastAsia" w:ascii="宋体" w:hAnsi="宋体" w:eastAsia="宋体" w:cs="宋体"/>
                <w:color w:val="auto"/>
                <w:szCs w:val="21"/>
                <w:highlight w:val="none"/>
              </w:rPr>
              <w:t>号）及《广州开发区财政投资建设项目管理中心咨询服务类合同结算编审指引（</w:t>
            </w:r>
            <w:r>
              <w:rPr>
                <w:rFonts w:ascii="宋体" w:hAnsi="宋体" w:eastAsia="宋体" w:cs="宋体"/>
                <w:color w:val="auto"/>
                <w:szCs w:val="21"/>
                <w:highlight w:val="none"/>
              </w:rPr>
              <w:t>2021年修订版）》（穗开建管〔2021〕33号）计算，浮动幅度为下浮30%并执行勘察费中标下浮率。用于办理规划报建用地预审、规划国土等手续的1:500地形测量收费标准按国家测绘局颁发的国家测绘产品价格收费标准计取并下浮30%并执行勘察费中标下浮率。按国测财字[2002]3号文计取单价的项目，不予计取技术工作</w:t>
            </w:r>
            <w:r>
              <w:rPr>
                <w:rFonts w:hint="eastAsia" w:ascii="宋体" w:hAnsi="宋体" w:eastAsia="宋体" w:cs="宋体"/>
                <w:color w:val="auto"/>
                <w:szCs w:val="21"/>
                <w:highlight w:val="none"/>
              </w:rPr>
              <w:t>费。在合同实施期间工程测量费、物探费按实际完成工作量调整，但费率浮动幅度不变。</w:t>
            </w:r>
          </w:p>
          <w:p>
            <w:pPr>
              <w:snapToGrid w:val="0"/>
              <w:spacing w:line="276" w:lineRule="auto"/>
              <w:ind w:firstLine="420" w:firstLineChars="200"/>
              <w:jc w:val="left"/>
              <w:rPr>
                <w:rFonts w:hint="eastAsia" w:ascii="宋体" w:hAnsi="宋体" w:eastAsia="宋体" w:cs="宋体"/>
                <w:color w:val="auto"/>
                <w:szCs w:val="21"/>
                <w:highlight w:val="none"/>
              </w:rPr>
            </w:pPr>
            <w:r>
              <w:rPr>
                <w:rFonts w:ascii="宋体" w:hAnsi="宋体" w:eastAsia="宋体" w:cs="宋体"/>
                <w:color w:val="auto"/>
                <w:szCs w:val="21"/>
                <w:highlight w:val="none"/>
              </w:rPr>
              <w:t>2、工程设计费：</w:t>
            </w:r>
          </w:p>
          <w:p>
            <w:pPr>
              <w:snapToGrid w:val="0"/>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按国家发展计划委员会、建设部</w:t>
            </w:r>
            <w:r>
              <w:rPr>
                <w:rFonts w:ascii="宋体" w:hAnsi="宋体" w:eastAsia="宋体" w:cs="宋体"/>
                <w:color w:val="auto"/>
                <w:szCs w:val="21"/>
                <w:highlight w:val="none"/>
              </w:rPr>
              <w:t xml:space="preserve">2002年颁布的《工程勘察设计收费标准》、《关于印发广州市黄埔区 </w:t>
            </w:r>
            <w:r>
              <w:rPr>
                <w:rFonts w:hint="eastAsia" w:ascii="宋体" w:hAnsi="宋体" w:eastAsia="宋体" w:cs="宋体"/>
                <w:color w:val="auto"/>
                <w:szCs w:val="21"/>
                <w:highlight w:val="none"/>
              </w:rPr>
              <w:t>广州开发区政府投资建设项目资金管理办法的通知》（穗埔财〔</w:t>
            </w:r>
            <w:r>
              <w:rPr>
                <w:rFonts w:ascii="宋体" w:hAnsi="宋体" w:eastAsia="宋体" w:cs="宋体"/>
                <w:color w:val="auto"/>
                <w:szCs w:val="21"/>
                <w:highlight w:val="none"/>
              </w:rPr>
              <w:t>2020〕373号）、《广州开发区财政投资建设项目管理中心咨询服务类合同结算编审指引（2021年修订版）》（穗开建管〔2021〕33号）规定下浮20%并执行设计费中标下浮率计取。</w:t>
            </w:r>
          </w:p>
          <w:p>
            <w:pPr>
              <w:snapToGrid w:val="0"/>
              <w:spacing w:line="276"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本工程专业调整系数分别为：</w:t>
            </w:r>
            <w:r>
              <w:rPr>
                <w:rFonts w:hint="eastAsia" w:ascii="宋体" w:hAnsi="宋体" w:eastAsia="宋体" w:cs="宋体"/>
                <w:color w:val="auto"/>
                <w:szCs w:val="21"/>
                <w:highlight w:val="none"/>
                <w:lang w:val="en-US" w:eastAsia="zh-CN"/>
              </w:rPr>
              <w:t>本工程专业调整系数均为 0.8  ；复杂程度调整系数为：河道堤防工程、水闸工程 1.15 、泵站工程 1 ；附加调整系数河道堤防工程 0.85 、泵站工程、水闸工程 1.3 (水闸工程为乌涌干流改造建设的水闸)</w:t>
            </w:r>
            <w:r>
              <w:rPr>
                <w:rFonts w:hint="eastAsia" w:ascii="宋体" w:hAnsi="宋体" w:eastAsia="宋体" w:cs="宋体"/>
                <w:color w:val="auto"/>
                <w:szCs w:val="21"/>
                <w:highlight w:val="none"/>
              </w:rPr>
              <w:t>。</w:t>
            </w:r>
          </w:p>
          <w:p>
            <w:pPr>
              <w:wordWrap w:val="0"/>
              <w:spacing w:line="276"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四、所有报价均以人民币表示，以元为单位，保留小数点后两位小数</w:t>
            </w:r>
            <w:r>
              <w:rPr>
                <w:rFonts w:ascii="宋体" w:hAnsi="宋体" w:eastAsia="宋体" w:cs="宋体"/>
                <w:b/>
                <w:bCs/>
                <w:color w:val="auto"/>
                <w:szCs w:val="21"/>
                <w:highlight w:val="none"/>
              </w:rPr>
              <w:t>,第三位小数四舍五入。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3.3.1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ascii="宋体" w:hAnsi="宋体" w:eastAsia="宋体" w:cs="宋体"/>
                <w:b/>
                <w:bCs/>
                <w:color w:val="auto"/>
                <w:szCs w:val="21"/>
                <w:highlight w:val="none"/>
                <w:u w:val="single"/>
              </w:rPr>
              <w:t>90</w:t>
            </w:r>
            <w:r>
              <w:rPr>
                <w:rFonts w:hint="eastAsia" w:ascii="宋体" w:hAnsi="宋体" w:eastAsia="宋体" w:cs="宋体"/>
                <w:color w:val="auto"/>
                <w:szCs w:val="21"/>
                <w:highlight w:val="none"/>
              </w:rPr>
              <w:t>日历天（从投标截止之日计起）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3.4.1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w:t>
            </w:r>
          </w:p>
          <w:p>
            <w:pPr>
              <w:widowControl/>
              <w:wordWrap w:val="0"/>
              <w:topLinePunct/>
              <w:spacing w:after="120"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缴纳金额：</w:t>
            </w:r>
            <w:r>
              <w:rPr>
                <w:rFonts w:ascii="宋体" w:hAnsi="宋体" w:eastAsia="宋体" w:cs="宋体"/>
                <w:color w:val="auto"/>
                <w:kern w:val="0"/>
                <w:szCs w:val="21"/>
                <w:highlight w:val="none"/>
                <w:u w:val="single"/>
                <w:lang w:val="zh-CN"/>
              </w:rPr>
              <w:t>/。</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3.5</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3.5.2</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近年完成的类似项目情况的时间要求</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3.6.1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3.7.3</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投标文件签字或盖章要求</w:t>
            </w:r>
          </w:p>
        </w:tc>
        <w:tc>
          <w:tcPr>
            <w:tcW w:w="3494" w:type="pct"/>
            <w:vAlign w:val="center"/>
          </w:tcPr>
          <w:p>
            <w:pPr>
              <w:wordWrap w:val="0"/>
              <w:spacing w:line="276" w:lineRule="auto"/>
              <w:rPr>
                <w:rFonts w:hint="eastAsia" w:ascii="宋体" w:hAnsi="宋体" w:eastAsia="宋体"/>
                <w:color w:val="auto"/>
                <w:szCs w:val="24"/>
                <w:highlight w:val="none"/>
                <w:u w:val="single"/>
              </w:rPr>
            </w:pPr>
            <w:r>
              <w:rPr>
                <w:rFonts w:ascii="宋体" w:hAnsi="宋体" w:eastAsia="宋体"/>
                <w:color w:val="auto"/>
                <w:szCs w:val="24"/>
                <w:highlight w:val="none"/>
                <w:u w:val="single"/>
              </w:rPr>
              <w:t>投标文件格式规定需个人签字的，应签字或签章后扫描上传</w:t>
            </w:r>
            <w:r>
              <w:rPr>
                <w:rFonts w:hint="eastAsia" w:ascii="宋体" w:hAnsi="宋体" w:eastAsia="宋体"/>
                <w:color w:val="auto"/>
                <w:szCs w:val="21"/>
                <w:highlight w:val="none"/>
                <w:u w:val="single"/>
              </w:rPr>
              <w:t>（</w:t>
            </w:r>
            <w:r>
              <w:rPr>
                <w:rFonts w:hint="eastAsia" w:ascii="宋体" w:hAnsi="宋体" w:eastAsia="宋体" w:cs="Times New Roman"/>
                <w:color w:val="auto"/>
                <w:szCs w:val="24"/>
                <w:highlight w:val="none"/>
                <w:u w:val="single"/>
              </w:rPr>
              <w:t>可靠的电子签名与手写签名或者盖章具有同等的法律效力</w:t>
            </w:r>
            <w:r>
              <w:rPr>
                <w:rFonts w:hint="eastAsia" w:ascii="宋体" w:hAnsi="宋体" w:eastAsia="宋体"/>
                <w:color w:val="auto"/>
                <w:szCs w:val="21"/>
                <w:highlight w:val="none"/>
                <w:u w:val="single"/>
              </w:rPr>
              <w:t>）</w:t>
            </w:r>
            <w:r>
              <w:rPr>
                <w:rFonts w:ascii="宋体" w:hAnsi="宋体" w:eastAsia="宋体"/>
                <w:color w:val="auto"/>
                <w:szCs w:val="24"/>
                <w:highlight w:val="none"/>
                <w:u w:val="single"/>
              </w:rPr>
              <w:t>。投标文件格式规定盖单位公章的页面必须盖单位公章</w:t>
            </w:r>
            <w:r>
              <w:rPr>
                <w:rFonts w:hint="eastAsia" w:ascii="宋体" w:hAnsi="宋体" w:eastAsia="宋体"/>
                <w:color w:val="auto"/>
                <w:szCs w:val="24"/>
                <w:highlight w:val="none"/>
                <w:u w:val="single"/>
              </w:rPr>
              <w:t>或电子公章</w:t>
            </w:r>
            <w:r>
              <w:rPr>
                <w:rFonts w:ascii="宋体" w:hAnsi="宋体" w:eastAsia="宋体"/>
                <w:color w:val="auto"/>
                <w:szCs w:val="24"/>
                <w:highlight w:val="none"/>
                <w:u w:val="single"/>
              </w:rPr>
              <w:t>（公章与电子公章具有相同法律效力）</w:t>
            </w:r>
            <w:r>
              <w:rPr>
                <w:rFonts w:hint="eastAsia" w:ascii="宋体" w:hAnsi="宋体" w:eastAsia="宋体"/>
                <w:color w:val="auto"/>
                <w:szCs w:val="24"/>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4.2.1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olor w:val="auto"/>
                <w:szCs w:val="24"/>
                <w:highlight w:val="none"/>
              </w:rPr>
              <w:t>投标截止时间：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分（北京时间），以广州交易集团有限公司（广州公共资源交易中心）网站发布信息为准。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5.1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ascii="宋体" w:hAnsi="宋体" w:eastAsia="宋体" w:cs="宋体"/>
                <w:color w:val="auto"/>
                <w:szCs w:val="21"/>
                <w:highlight w:val="none"/>
              </w:rPr>
              <w:t>1.开标时间：</w:t>
            </w:r>
            <w:r>
              <w:rPr>
                <w:rFonts w:hint="eastAsia" w:ascii="宋体" w:hAnsi="宋体" w:eastAsia="宋体" w:cs="宋体"/>
                <w:color w:val="auto"/>
                <w:szCs w:val="21"/>
                <w:highlight w:val="none"/>
                <w:u w:val="single"/>
              </w:rPr>
              <w:t>同投标截止时间</w:t>
            </w:r>
          </w:p>
          <w:p>
            <w:pPr>
              <w:wordWrap w:val="0"/>
              <w:spacing w:line="276" w:lineRule="auto"/>
              <w:rPr>
                <w:rFonts w:hint="eastAsia" w:ascii="宋体" w:hAnsi="宋体" w:eastAsia="宋体" w:cs="宋体"/>
                <w:color w:val="auto"/>
                <w:szCs w:val="21"/>
                <w:highlight w:val="none"/>
                <w:u w:val="single"/>
              </w:rPr>
            </w:pPr>
            <w:r>
              <w:rPr>
                <w:rFonts w:ascii="宋体" w:hAnsi="宋体" w:eastAsia="宋体" w:cs="宋体"/>
                <w:color w:val="auto"/>
                <w:szCs w:val="21"/>
                <w:highlight w:val="none"/>
              </w:rPr>
              <w:t>2.开标地点：</w:t>
            </w:r>
            <w:r>
              <w:rPr>
                <w:rFonts w:hint="eastAsia" w:ascii="宋体" w:hAnsi="宋体" w:eastAsia="宋体" w:cs="宋体"/>
                <w:color w:val="auto"/>
                <w:szCs w:val="21"/>
                <w:highlight w:val="none"/>
                <w:u w:val="single"/>
              </w:rPr>
              <w:t>广州交易集团有限公司（广州公共资源交易中心）指定开标室。</w:t>
            </w:r>
          </w:p>
          <w:p>
            <w:pPr>
              <w:wordWrap w:val="0"/>
              <w:spacing w:line="276" w:lineRule="auto"/>
              <w:rPr>
                <w:rFonts w:hint="eastAsia" w:ascii="宋体" w:hAnsi="宋体" w:eastAsia="宋体" w:cs="宋体"/>
                <w:color w:val="auto"/>
                <w:szCs w:val="21"/>
                <w:highlight w:val="none"/>
              </w:rPr>
            </w:pPr>
            <w:r>
              <w:rPr>
                <w:rFonts w:ascii="宋体" w:hAnsi="宋体" w:eastAsia="宋体" w:cs="宋体"/>
                <w:color w:val="auto"/>
                <w:szCs w:val="21"/>
                <w:highlight w:val="none"/>
              </w:rPr>
              <w:t>3.递交投标文件备用光盘时间：____年____月____日____时____分至____年____月____日____时____分；递交地点：</w:t>
            </w:r>
            <w:r>
              <w:rPr>
                <w:rFonts w:hint="eastAsia" w:ascii="宋体" w:hAnsi="宋体" w:eastAsia="宋体" w:cs="宋体"/>
                <w:color w:val="auto"/>
                <w:szCs w:val="21"/>
                <w:highlight w:val="none"/>
                <w:u w:val="single"/>
              </w:rPr>
              <w:t>广州交易集团有限公司（广州公共资源交易中心）指定开标室</w:t>
            </w:r>
            <w:r>
              <w:rPr>
                <w:rFonts w:hint="eastAsia" w:ascii="宋体" w:hAnsi="宋体" w:eastAsia="宋体" w:cs="宋体"/>
                <w:color w:val="auto"/>
                <w:szCs w:val="21"/>
                <w:highlight w:val="none"/>
              </w:rPr>
              <w:t>。</w:t>
            </w:r>
            <w:r>
              <w:rPr>
                <w:rFonts w:ascii="宋体" w:hAnsi="宋体" w:eastAsia="宋体" w:cs="宋体"/>
                <w:color w:val="auto"/>
                <w:szCs w:val="21"/>
                <w:highlight w:val="none"/>
              </w:rPr>
              <w:t xml:space="preserve">(建议安排在投标文件截止时间前 15 </w:t>
            </w:r>
            <w:r>
              <w:rPr>
                <w:rFonts w:hint="eastAsia" w:ascii="宋体" w:hAnsi="宋体" w:eastAsia="宋体" w:cs="宋体"/>
                <w:color w:val="auto"/>
                <w:szCs w:val="21"/>
                <w:highlight w:val="none"/>
              </w:rPr>
              <w:t>分钟至投标文件截止时间）</w:t>
            </w:r>
          </w:p>
          <w:p>
            <w:pPr>
              <w:wordWrap w:val="0"/>
              <w:spacing w:line="276" w:lineRule="auto"/>
              <w:rPr>
                <w:rFonts w:hint="eastAsia" w:ascii="宋体" w:hAnsi="宋体" w:eastAsia="宋体" w:cs="宋体"/>
                <w:color w:val="auto"/>
                <w:szCs w:val="21"/>
                <w:highlight w:val="none"/>
              </w:rPr>
            </w:pPr>
            <w:r>
              <w:rPr>
                <w:rFonts w:ascii="宋体" w:hAnsi="宋体" w:eastAsia="宋体" w:cs="宋体"/>
                <w:color w:val="auto"/>
                <w:szCs w:val="21"/>
                <w:highlight w:val="none"/>
              </w:rPr>
              <w:t>4.提交投标文件光盘备用</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投标人可制作非加密的电子投标文件（</w:t>
            </w:r>
            <w:r>
              <w:rPr>
                <w:rFonts w:ascii="宋体" w:hAnsi="宋体" w:eastAsia="宋体" w:cs="宋体"/>
                <w:color w:val="auto"/>
                <w:szCs w:val="21"/>
                <w:highlight w:val="none"/>
              </w:rPr>
              <w:t xml:space="preserve">PDF </w:t>
            </w:r>
            <w:r>
              <w:rPr>
                <w:rFonts w:hint="eastAsia" w:ascii="宋体" w:hAnsi="宋体" w:eastAsia="宋体" w:cs="宋体"/>
                <w:color w:val="auto"/>
                <w:szCs w:val="21"/>
                <w:highlight w:val="none"/>
              </w:rPr>
              <w:t>格式）刻入光盘（</w:t>
            </w:r>
            <w:r>
              <w:rPr>
                <w:rFonts w:ascii="宋体" w:hAnsi="宋体" w:eastAsia="宋体" w:cs="宋体"/>
                <w:color w:val="auto"/>
                <w:szCs w:val="21"/>
                <w:highlight w:val="none"/>
              </w:rPr>
              <w:t>1份），在投标须知前附表规定的时间、地点提交备用。刻录好的投标文件光盘密封在密封袋中，并在封口处加盖投标人单位公章。密封袋上应写明项目名称和招标人名称</w:t>
            </w:r>
            <w:r>
              <w:rPr>
                <w:rFonts w:hint="eastAsia" w:ascii="宋体" w:hAnsi="宋体" w:eastAsia="宋体" w:cs="宋体"/>
                <w:color w:val="auto"/>
                <w:szCs w:val="21"/>
                <w:highlight w:val="none"/>
                <w:u w:val="single"/>
              </w:rPr>
              <w:t>（暗标光盘除外）</w:t>
            </w:r>
            <w:r>
              <w:rPr>
                <w:rFonts w:ascii="宋体" w:hAnsi="宋体" w:eastAsia="宋体" w:cs="宋体"/>
                <w:color w:val="auto"/>
                <w:szCs w:val="21"/>
                <w:highlight w:val="none"/>
              </w:rPr>
              <w:t>。递交的光盘不得加密。光盘无法读取或导入的，则视为未提交备用投标文件光盘。如果投标人没有按规定通过交易平台网上递交电子投标文件的，不再读取提交的光盘。投标人也可不提交备用光盘。</w:t>
            </w:r>
          </w:p>
          <w:p>
            <w:pPr>
              <w:wordWrap w:val="0"/>
              <w:spacing w:line="276" w:lineRule="auto"/>
              <w:rPr>
                <w:rFonts w:hint="eastAsia" w:ascii="宋体" w:hAnsi="宋体" w:eastAsia="宋体" w:cs="宋体"/>
                <w:color w:val="auto"/>
                <w:szCs w:val="21"/>
                <w:highlight w:val="none"/>
              </w:rPr>
            </w:pPr>
            <w:r>
              <w:rPr>
                <w:rFonts w:ascii="宋体" w:hAnsi="宋体" w:eastAsia="宋体" w:cs="宋体"/>
                <w:color w:val="auto"/>
                <w:szCs w:val="21"/>
                <w:highlight w:val="none"/>
              </w:rPr>
              <w:t>5.补救方案</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2）评标时突发情况的补救方案：若遇不可抗力发生（指网络瘫痪、服务器损坏、交易系统故障短期无法恢复等因素），由评标委员会开启投标人递交的全部投标文件光盘，并按光盘内容进行评审。</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3）除发生上述情况外，开标评标均以投标人通过交易平台网上递交的电子投标文件为准。</w:t>
            </w:r>
          </w:p>
          <w:p>
            <w:pPr>
              <w:wordWrap w:val="0"/>
              <w:spacing w:line="276" w:lineRule="auto"/>
              <w:rPr>
                <w:rFonts w:hint="eastAsia" w:ascii="宋体" w:hAnsi="宋体" w:eastAsia="宋体" w:cs="宋体"/>
                <w:color w:val="auto"/>
                <w:szCs w:val="21"/>
                <w:highlight w:val="none"/>
              </w:rPr>
            </w:pPr>
            <w:r>
              <w:rPr>
                <w:rFonts w:ascii="宋体" w:hAnsi="宋体" w:eastAsia="宋体" w:cs="宋体"/>
                <w:color w:val="auto"/>
                <w:szCs w:val="21"/>
                <w:highlight w:val="none"/>
              </w:rPr>
              <w:t>6.开标时，投标人代表有权参加现场开标或在线开标，也可以自主决定不参加开标，投标人选择参加在线开标的，具体按照交易平台相关指南进行操作。</w:t>
            </w:r>
          </w:p>
          <w:p>
            <w:pPr>
              <w:wordWrap w:val="0"/>
              <w:spacing w:line="276" w:lineRule="auto"/>
              <w:rPr>
                <w:rFonts w:hint="eastAsia" w:ascii="宋体" w:hAnsi="宋体" w:eastAsia="宋体" w:cs="宋体"/>
                <w:color w:val="auto"/>
                <w:szCs w:val="21"/>
                <w:highlight w:val="none"/>
                <w:u w:val="single"/>
              </w:rPr>
            </w:pPr>
            <w:r>
              <w:rPr>
                <w:rFonts w:ascii="宋体" w:hAnsi="宋体" w:eastAsia="宋体" w:cs="宋体"/>
                <w:color w:val="auto"/>
                <w:szCs w:val="21"/>
                <w:highlight w:val="none"/>
              </w:rPr>
              <w:t>7.上述时间及地点是否有改变，请密切留意补充公告或招标答疑纪要的相关信息。</w:t>
            </w:r>
          </w:p>
          <w:p>
            <w:pPr>
              <w:wordWrap w:val="0"/>
              <w:spacing w:line="276"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如有提交投标文件光盘备用，封套上应注明如下信息，刻录好的投标文件光盘分别密封在不透明的密封袋并作标记，其中：</w:t>
            </w:r>
          </w:p>
          <w:p>
            <w:pPr>
              <w:wordWrap w:val="0"/>
              <w:spacing w:line="276" w:lineRule="auto"/>
              <w:ind w:firstLine="422" w:firstLineChars="201"/>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1.“商务文件（含资格审查文件）光盘”应在密封袋上写明（1）招标人名称；（2）“[项目名称] 商务文件（含资格审查文件）光盘”字样；（3）投标人名称；并在封口处加盖投标人单位公章；</w:t>
            </w:r>
          </w:p>
          <w:p>
            <w:pPr>
              <w:wordWrap w:val="0"/>
              <w:spacing w:line="276" w:lineRule="auto"/>
              <w:ind w:firstLine="422" w:firstLineChars="201"/>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2.“技术文件光盘”、“保密文件光盘”应仅在密封袋上写明“[项目名称][技术文件光盘或保密文件光盘]”字样，并不得盖章或加具其它可以识别投标人身份的标记。</w:t>
            </w:r>
          </w:p>
          <w:p>
            <w:pPr>
              <w:wordWrap w:val="0"/>
              <w:spacing w:line="276"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技术文件光盘”“保密文件光盘”接收时不得启封，当符合补救方案条件需要对技术文件进行评审时，由交易服务机构见证人对“技术文件光盘”启封密封袋并编号，参与开标、评标的其他人员应当回避，完成编号后送交评标委员会进行评审。评标结果揭晓前，负责编号的工作人员不得向他人透露投标文件编号的情况。在完成技术文件评审后，由交易服务机构见证人和评标委员会共同开启“保密文件光盘”密封袋揭晓投标人身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6.1.1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评标委员会由招标人依法组建。</w:t>
            </w:r>
          </w:p>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招标代理机构应严格按照《广东省政务服务和数据管理局关于印发广东省综合评标评审专家库评标专家劳务报酬管理办法的通知》（粤政数〔</w:t>
            </w:r>
            <w:r>
              <w:rPr>
                <w:rFonts w:ascii="宋体" w:hAnsi="宋体" w:eastAsia="宋体" w:cs="宋体"/>
                <w:color w:val="auto"/>
                <w:szCs w:val="21"/>
                <w:highlight w:val="none"/>
                <w:u w:val="single"/>
              </w:rPr>
              <w:t>2025〕11 号）</w:t>
            </w:r>
            <w:r>
              <w:rPr>
                <w:rFonts w:hint="eastAsia" w:ascii="宋体" w:hAnsi="宋体" w:eastAsia="宋体" w:cs="宋体"/>
                <w:color w:val="auto"/>
                <w:szCs w:val="21"/>
                <w:highlight w:val="none"/>
                <w:u w:val="single"/>
              </w:rPr>
              <w:t>的规定向评标专家支付酬金，不得额外支付费用。评标专家对符合《广东省综合评标评审专家库评标专家劳务报酬管理办法》的规定计取的专家报酬不得有异议。若评标时已发布新规定的，按新规执行。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6.3.2</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评标委员会推荐中标候选人的人数</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评标委员会按照综合得分从高到低排列先后次序，向招标人推荐前</w:t>
            </w:r>
            <w:r>
              <w:rPr>
                <w:rFonts w:ascii="宋体" w:hAnsi="宋体" w:eastAsia="宋体" w:cs="宋体"/>
                <w:b/>
                <w:bCs/>
                <w:color w:val="auto"/>
                <w:szCs w:val="21"/>
                <w:highlight w:val="none"/>
                <w:u w:val="single"/>
              </w:rPr>
              <w:t>3</w:t>
            </w:r>
            <w:r>
              <w:rPr>
                <w:rFonts w:hint="eastAsia" w:ascii="宋体" w:hAnsi="宋体" w:eastAsia="宋体" w:cs="宋体"/>
                <w:b/>
                <w:bCs/>
                <w:color w:val="auto"/>
                <w:szCs w:val="21"/>
                <w:highlight w:val="none"/>
                <w:u w:val="single"/>
              </w:rPr>
              <w:t>名</w:t>
            </w:r>
            <w:r>
              <w:rPr>
                <w:rFonts w:hint="eastAsia" w:ascii="宋体" w:hAnsi="宋体" w:eastAsia="宋体" w:cs="宋体"/>
                <w:color w:val="auto"/>
                <w:szCs w:val="21"/>
                <w:highlight w:val="none"/>
              </w:rPr>
              <w:t>有效的投标人为合格中标候选人进入定标阶段。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7.1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中标候选人公示媒介及期限</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u w:val="single"/>
              </w:rPr>
              <w:t>广州交易集团有限公司（广州公共资源交易中心）网、广东省招标投标监管网、中国招标投标公共服务平台</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公示期限：</w:t>
            </w:r>
            <w:r>
              <w:rPr>
                <w:rFonts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日（不少于</w:t>
            </w:r>
            <w:r>
              <w:rPr>
                <w:rFonts w:ascii="宋体" w:hAnsi="宋体" w:eastAsia="宋体" w:cs="宋体"/>
                <w:color w:val="auto"/>
                <w:szCs w:val="21"/>
                <w:highlight w:val="none"/>
              </w:rPr>
              <w:t>3日，最后一天应为工作日）</w:t>
            </w:r>
          </w:p>
          <w:p>
            <w:pPr>
              <w:wordWrap w:val="0"/>
              <w:spacing w:line="276" w:lineRule="auto"/>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7.4</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p>
            <w:pPr>
              <w:wordWrap w:val="0"/>
              <w:spacing w:line="276" w:lineRule="auto"/>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7.6</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技术成果经济补偿</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□不补偿</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■补偿，补偿标准：</w:t>
            </w:r>
            <w:r>
              <w:rPr>
                <w:rFonts w:hint="eastAsia" w:ascii="宋体" w:hAnsi="宋体" w:eastAsia="宋体" w:cs="宋体"/>
                <w:color w:val="auto"/>
                <w:szCs w:val="21"/>
                <w:highlight w:val="none"/>
                <w:u w:val="single"/>
              </w:rPr>
              <w:t>具体详见招标公告。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7.7.1</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□要求，履约保证金的形式：</w:t>
            </w:r>
            <w:r>
              <w:rPr>
                <w:rFonts w:ascii="宋体" w:hAnsi="宋体" w:eastAsia="宋体" w:cs="宋体"/>
                <w:color w:val="auto"/>
                <w:szCs w:val="21"/>
                <w:highlight w:val="none"/>
                <w:u w:val="single"/>
              </w:rPr>
              <w:t>/。</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ascii="宋体" w:hAnsi="宋体" w:eastAsia="宋体" w:cs="宋体"/>
                <w:color w:val="auto"/>
                <w:szCs w:val="21"/>
                <w:highlight w:val="none"/>
                <w:u w:val="single"/>
              </w:rPr>
              <w:t>/。</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9</w:t>
            </w:r>
          </w:p>
        </w:tc>
        <w:tc>
          <w:tcPr>
            <w:tcW w:w="1066" w:type="pc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是否采用电子招标投标</w:t>
            </w:r>
          </w:p>
        </w:tc>
        <w:tc>
          <w:tcPr>
            <w:tcW w:w="3494" w:type="pct"/>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11</w:t>
            </w:r>
          </w:p>
        </w:tc>
        <w:tc>
          <w:tcPr>
            <w:tcW w:w="4560" w:type="pct"/>
            <w:gridSpan w:val="2"/>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11.1</w:t>
            </w:r>
          </w:p>
        </w:tc>
        <w:tc>
          <w:tcPr>
            <w:tcW w:w="1066" w:type="pct"/>
            <w:vAlign w:val="center"/>
          </w:tcPr>
          <w:p>
            <w:pPr>
              <w:wordWrap w:val="0"/>
              <w:spacing w:line="27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招标人拒绝接收其投标文件备用光盘情况</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招标人在本须知前附表第</w:t>
            </w:r>
            <w:r>
              <w:rPr>
                <w:rFonts w:ascii="宋体" w:hAnsi="宋体" w:eastAsia="宋体" w:cs="宋体"/>
                <w:b/>
                <w:color w:val="auto"/>
                <w:szCs w:val="21"/>
                <w:highlight w:val="none"/>
                <w:u w:val="single"/>
              </w:rPr>
              <w:t>4.2.1项规定的投标截止时间以后收到的及不按照招标文件要求密封的投标文件备用光盘将被拒绝并退回给投标人。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11.2</w:t>
            </w:r>
          </w:p>
        </w:tc>
        <w:tc>
          <w:tcPr>
            <w:tcW w:w="1066" w:type="pct"/>
            <w:vAlign w:val="center"/>
          </w:tcPr>
          <w:p>
            <w:pPr>
              <w:wordWrap w:val="0"/>
              <w:spacing w:line="27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投标报价得分评审优惠政策</w:t>
            </w:r>
          </w:p>
        </w:tc>
        <w:tc>
          <w:tcPr>
            <w:tcW w:w="3494" w:type="pct"/>
            <w:vAlign w:val="center"/>
          </w:tcPr>
          <w:p>
            <w:pPr>
              <w:snapToGrid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1）根据《广东省政府采购促进中小企业发展实施细则(试行)》要求，对符合《政府采购促进中小企业发展管理办法》的投标人，给予相应的价格评审优惠。</w:t>
            </w:r>
          </w:p>
          <w:p>
            <w:pP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w:t>
            </w:r>
            <w:r>
              <w:rPr>
                <w:rFonts w:hint="eastAsia" w:ascii="宋体" w:hAnsi="宋体" w:eastAsia="宋体" w:cs="宋体"/>
                <w:color w:val="auto"/>
                <w:szCs w:val="21"/>
                <w:highlight w:val="none"/>
                <w:u w:val="single"/>
              </w:rPr>
              <w:t>本招标项目评标计算价格分时，对小微企业投标的，</w:t>
            </w:r>
            <w:r>
              <w:rPr>
                <w:rFonts w:hint="eastAsia" w:ascii="宋体" w:hAnsi="宋体" w:eastAsia="宋体" w:cs="宋体"/>
                <w:color w:val="auto"/>
                <w:kern w:val="0"/>
                <w:szCs w:val="21"/>
                <w:highlight w:val="none"/>
                <w:u w:val="single"/>
              </w:rPr>
              <w:t>先计算其价格得分（分数出现小数点时，保留小数点后二位，第三位小数四舍五入），</w:t>
            </w:r>
            <w:r>
              <w:rPr>
                <w:rFonts w:hint="eastAsia" w:ascii="宋体" w:hAnsi="宋体" w:eastAsia="宋体" w:cs="宋体"/>
                <w:color w:val="auto"/>
                <w:szCs w:val="21"/>
                <w:highlight w:val="none"/>
                <w:u w:val="single"/>
              </w:rPr>
              <w:t>在采用原报价进行评分的基础上增加其价格得分</w:t>
            </w:r>
            <w:r>
              <w:rPr>
                <w:rFonts w:hint="eastAsia" w:ascii="宋体" w:hAnsi="宋体" w:eastAsia="宋体" w:cs="宋体"/>
                <w:color w:val="auto"/>
                <w:kern w:val="0"/>
                <w:szCs w:val="21"/>
                <w:highlight w:val="none"/>
                <w:u w:val="single"/>
              </w:rPr>
              <w:t>（分数出现小数点时，保留小数点后二位，第三位小数四舍五入）</w:t>
            </w:r>
            <w:r>
              <w:rPr>
                <w:rFonts w:hint="eastAsia" w:ascii="宋体" w:hAnsi="宋体" w:eastAsia="宋体" w:cs="宋体"/>
                <w:color w:val="auto"/>
                <w:szCs w:val="21"/>
                <w:highlight w:val="none"/>
                <w:u w:val="single"/>
              </w:rPr>
              <w:t>的</w:t>
            </w:r>
            <w:r>
              <w:rPr>
                <w:rFonts w:ascii="宋体" w:hAnsi="宋体" w:eastAsia="宋体" w:cs="宋体"/>
                <w:color w:val="auto"/>
                <w:szCs w:val="21"/>
                <w:highlight w:val="none"/>
                <w:u w:val="single"/>
              </w:rPr>
              <w:t>5%作为其价格分；对大中型企业与承接设计或勘察任务的小微企业组成联合体</w:t>
            </w:r>
            <w:r>
              <w:rPr>
                <w:rFonts w:hint="eastAsia" w:ascii="宋体" w:hAnsi="宋体" w:eastAsia="宋体" w:cs="宋体"/>
                <w:color w:val="auto"/>
                <w:kern w:val="0"/>
                <w:szCs w:val="21"/>
                <w:highlight w:val="none"/>
                <w:u w:val="single"/>
              </w:rPr>
              <w:t>或者大中型企业向一家或者多家</w:t>
            </w:r>
            <w:r>
              <w:rPr>
                <w:rFonts w:hint="eastAsia" w:ascii="宋体" w:hAnsi="宋体" w:eastAsia="宋体" w:cs="宋体"/>
                <w:color w:val="auto"/>
                <w:szCs w:val="21"/>
                <w:highlight w:val="none"/>
                <w:u w:val="single"/>
              </w:rPr>
              <w:t>承接设计或勘察任务的</w:t>
            </w:r>
            <w:r>
              <w:rPr>
                <w:rFonts w:hint="eastAsia" w:ascii="宋体" w:hAnsi="宋体" w:eastAsia="宋体" w:cs="宋体"/>
                <w:color w:val="auto"/>
                <w:kern w:val="0"/>
                <w:szCs w:val="21"/>
                <w:highlight w:val="none"/>
                <w:u w:val="single"/>
              </w:rPr>
              <w:t>小微企业分包</w:t>
            </w:r>
            <w:r>
              <w:rPr>
                <w:rFonts w:hint="eastAsia" w:ascii="宋体" w:hAnsi="宋体" w:eastAsia="宋体" w:cs="宋体"/>
                <w:color w:val="auto"/>
                <w:szCs w:val="21"/>
                <w:highlight w:val="none"/>
                <w:u w:val="single"/>
              </w:rPr>
              <w:t>的</w:t>
            </w:r>
            <w:r>
              <w:rPr>
                <w:rFonts w:hint="eastAsia" w:ascii="宋体" w:hAnsi="宋体" w:eastAsia="宋体" w:cs="宋体"/>
                <w:color w:val="auto"/>
                <w:kern w:val="0"/>
                <w:szCs w:val="21"/>
                <w:highlight w:val="none"/>
                <w:u w:val="single"/>
              </w:rPr>
              <w:t>（联合协议或者分包意向协议约定小微企业的合同份额占合同总金额</w:t>
            </w:r>
            <w:r>
              <w:rPr>
                <w:rFonts w:ascii="宋体" w:hAnsi="宋体" w:eastAsia="宋体" w:cs="宋体"/>
                <w:color w:val="auto"/>
                <w:kern w:val="0"/>
                <w:szCs w:val="21"/>
                <w:highlight w:val="none"/>
                <w:u w:val="single"/>
              </w:rPr>
              <w:t>30%（含）以上）的</w:t>
            </w: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u w:val="single"/>
              </w:rPr>
              <w:t>先计算其价格得分（分数出现小数点时，保留小数点后二位，第三位小数四舍五入），</w:t>
            </w:r>
            <w:r>
              <w:rPr>
                <w:rFonts w:hint="eastAsia" w:ascii="宋体" w:hAnsi="宋体" w:eastAsia="宋体" w:cs="宋体"/>
                <w:color w:val="auto"/>
                <w:szCs w:val="21"/>
                <w:highlight w:val="none"/>
                <w:u w:val="single"/>
              </w:rPr>
              <w:t>在采用原报价进行评分的基础上增加其价格得分</w:t>
            </w:r>
            <w:r>
              <w:rPr>
                <w:rFonts w:hint="eastAsia" w:ascii="宋体" w:hAnsi="宋体" w:eastAsia="宋体" w:cs="宋体"/>
                <w:color w:val="auto"/>
                <w:kern w:val="0"/>
                <w:szCs w:val="21"/>
                <w:highlight w:val="none"/>
                <w:u w:val="single"/>
              </w:rPr>
              <w:t>（分数出现小数点时，保留小数点后二位，第三位小数四舍五入）</w:t>
            </w:r>
            <w:r>
              <w:rPr>
                <w:rFonts w:hint="eastAsia" w:ascii="宋体" w:hAnsi="宋体" w:eastAsia="宋体" w:cs="宋体"/>
                <w:color w:val="auto"/>
                <w:szCs w:val="21"/>
                <w:highlight w:val="none"/>
                <w:u w:val="single"/>
              </w:rPr>
              <w:t>的</w:t>
            </w:r>
            <w:r>
              <w:rPr>
                <w:rFonts w:ascii="宋体" w:hAnsi="宋体" w:eastAsia="宋体" w:cs="宋体"/>
                <w:color w:val="auto"/>
                <w:szCs w:val="21"/>
                <w:highlight w:val="none"/>
                <w:u w:val="single"/>
              </w:rPr>
              <w:t>2%作为其价格分。若原报价己满分，仍可突破满分上限继续享受加分优惠，以实际计算结果作为最终价格分。</w:t>
            </w:r>
          </w:p>
          <w:p>
            <w:pPr>
              <w:snapToGrid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3）投标人应按《政府采购促进中小企业发展管理办法》规定出具《中小企业声明函》</w:t>
            </w:r>
            <w:r>
              <w:rPr>
                <w:rFonts w:hint="eastAsia" w:ascii="宋体" w:hAnsi="宋体" w:eastAsia="宋体" w:cs="宋体"/>
                <w:color w:val="auto"/>
                <w:szCs w:val="21"/>
                <w:highlight w:val="none"/>
                <w:u w:val="single"/>
              </w:rPr>
              <w:t>（详见招标文件第六章</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投标文件格式）</w:t>
            </w:r>
            <w:r>
              <w:rPr>
                <w:rFonts w:ascii="宋体" w:hAnsi="宋体" w:eastAsia="宋体" w:cs="宋体"/>
                <w:color w:val="auto"/>
                <w:szCs w:val="21"/>
                <w:highlight w:val="none"/>
                <w:u w:val="single"/>
              </w:rPr>
              <w:t>，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pPr>
              <w:snapToGrid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4）小</w:t>
            </w:r>
            <w:r>
              <w:rPr>
                <w:rFonts w:hint="eastAsia" w:ascii="宋体" w:hAnsi="宋体" w:eastAsia="宋体" w:cs="宋体"/>
                <w:color w:val="auto"/>
                <w:szCs w:val="21"/>
                <w:highlight w:val="none"/>
                <w:u w:val="single"/>
              </w:rPr>
              <w:t>微企业划分标准按照《工业和信息化部</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国家统计局国家发展和改革委员会财政部关于印发中小企业划型标准规定的通知》</w:t>
            </w:r>
            <w:r>
              <w:rPr>
                <w:rFonts w:ascii="宋体" w:hAnsi="宋体" w:eastAsia="宋体" w:cs="宋体"/>
                <w:color w:val="auto"/>
                <w:szCs w:val="21"/>
                <w:highlight w:val="none"/>
                <w:u w:val="single"/>
              </w:rPr>
              <w:t>(工信部联企业(2011)300号)执行。本招标项目属于其他未列明行业。从业人员300人以下的为中小微型企业。其中，从业人员100人及以上的为中型企业；从业人员10人及以上的为小型企业；从业人员10人以下的为微型企业。</w:t>
            </w:r>
          </w:p>
          <w:p>
            <w:pPr>
              <w:spacing w:line="276"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注</w:t>
            </w:r>
            <w:r>
              <w:rPr>
                <w:rFonts w:ascii="宋体" w:hAnsi="宋体" w:eastAsia="宋体"/>
                <w:color w:val="auto"/>
                <w:szCs w:val="21"/>
                <w:highlight w:val="none"/>
                <w:u w:val="single"/>
              </w:rPr>
              <w:t>:</w:t>
            </w:r>
            <w:r>
              <w:rPr>
                <w:rFonts w:hint="eastAsia"/>
                <w:color w:val="auto"/>
                <w:highlight w:val="none"/>
              </w:rPr>
              <w:t xml:space="preserve"> </w:t>
            </w:r>
            <w:r>
              <w:rPr>
                <w:rFonts w:hint="eastAsia" w:ascii="宋体" w:hAnsi="宋体" w:eastAsia="宋体"/>
                <w:color w:val="auto"/>
                <w:szCs w:val="21"/>
                <w:highlight w:val="none"/>
                <w:u w:val="single"/>
              </w:rPr>
              <w:t>①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pPr>
              <w:spacing w:line="276"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②组成联合体或者接受分包合同的小微企业与联合体内其他企业、分包企业之间存在直接控股、管理关系的，不享受价格评分优惠。</w:t>
            </w:r>
          </w:p>
          <w:p>
            <w:pPr>
              <w:spacing w:line="276"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③规定享受扶持政策获得承包合同的，小微企业不得将合同分包给大中型企业，中型企业不得将合同分包给大型企业。</w:t>
            </w:r>
          </w:p>
          <w:p>
            <w:pPr>
              <w:wordWrap w:val="0"/>
              <w:spacing w:line="276" w:lineRule="auto"/>
              <w:rPr>
                <w:rFonts w:hint="eastAsia" w:ascii="宋体" w:hAnsi="宋体" w:eastAsia="宋体" w:cs="宋体"/>
                <w:b/>
                <w:color w:val="auto"/>
                <w:szCs w:val="21"/>
                <w:highlight w:val="none"/>
                <w:u w:val="single"/>
              </w:rPr>
            </w:pPr>
            <w:r>
              <w:rPr>
                <w:rFonts w:hint="eastAsia" w:ascii="宋体" w:hAnsi="宋体" w:eastAsia="宋体"/>
                <w:color w:val="auto"/>
                <w:szCs w:val="21"/>
                <w:highlight w:val="none"/>
                <w:u w:val="single"/>
              </w:rPr>
              <w:t>④公示期间如有异议、投诉的，被异议、投诉单位需提供注册登记所在地的县级以上人民政府中小企业主管部门认定材料和联系方式。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11.3</w:t>
            </w:r>
          </w:p>
        </w:tc>
        <w:tc>
          <w:tcPr>
            <w:tcW w:w="1066" w:type="pct"/>
            <w:vAlign w:val="center"/>
          </w:tcPr>
          <w:p>
            <w:pPr>
              <w:wordWrap w:val="0"/>
              <w:spacing w:line="27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3494" w:type="pct"/>
            <w:vAlign w:val="center"/>
          </w:tcPr>
          <w:p>
            <w:pPr>
              <w:wordWrap w:val="0"/>
              <w:spacing w:line="276" w:lineRule="auto"/>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1、招标公告、招标文件、答疑纪要等招标资料全部发布在广州交易集团有限公司（广州公共资源交易中心）网站，由投标人自行下载查阅。</w:t>
            </w:r>
          </w:p>
          <w:p>
            <w:pPr>
              <w:wordWrap w:val="0"/>
              <w:spacing w:line="276" w:lineRule="auto"/>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2、投标截止时间、开标时间和地点：发布在广州交易集团有限公司（广州公共资源交易中心）网站（具体在网站主页“建设工程”中“项目查询”输入“项目名称”或“项目编号”进行查询）。</w:t>
            </w:r>
          </w:p>
          <w:p>
            <w:pPr>
              <w:wordWrap w:val="0"/>
              <w:spacing w:line="276" w:lineRule="auto"/>
              <w:rPr>
                <w:rFonts w:hint="eastAsia" w:ascii="宋体" w:hAnsi="宋体" w:eastAsia="宋体" w:cs="宋体"/>
                <w:color w:val="auto"/>
                <w:szCs w:val="21"/>
                <w:highlight w:val="none"/>
                <w:u w:val="single"/>
              </w:rPr>
            </w:pPr>
            <w:r>
              <w:rPr>
                <w:rFonts w:ascii="宋体" w:hAnsi="宋体" w:eastAsia="宋体" w:cs="宋体"/>
                <w:color w:val="auto"/>
                <w:szCs w:val="21"/>
                <w:highlight w:val="none"/>
                <w:u w:val="single"/>
              </w:rPr>
              <w:t>3、中标后，中标单位须提交与网上</w:t>
            </w:r>
            <w:r>
              <w:rPr>
                <w:rFonts w:hint="eastAsia" w:ascii="宋体" w:hAnsi="宋体" w:eastAsia="宋体" w:cs="宋体"/>
                <w:color w:val="auto"/>
                <w:szCs w:val="21"/>
                <w:highlight w:val="none"/>
                <w:u w:val="single"/>
              </w:rPr>
              <w:t>上传电子投标文件完全一致的纸质投标文件（一式四份，加盖公章）至招标人。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hint="eastAsia"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11.4</w:t>
            </w:r>
          </w:p>
        </w:tc>
        <w:tc>
          <w:tcPr>
            <w:tcW w:w="1066" w:type="pct"/>
            <w:vAlign w:val="center"/>
          </w:tcPr>
          <w:p>
            <w:pPr>
              <w:wordWrap w:val="0"/>
              <w:spacing w:line="27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其他费用</w:t>
            </w:r>
          </w:p>
        </w:tc>
        <w:tc>
          <w:tcPr>
            <w:tcW w:w="3494" w:type="pct"/>
            <w:vAlign w:val="center"/>
          </w:tcPr>
          <w:p>
            <w:pPr>
              <w:wordWrap w:val="0"/>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tc>
      </w:tr>
    </w:tbl>
    <w:p>
      <w:pPr>
        <w:wordWrap w:val="0"/>
        <w:ind w:left="420" w:leftChars="200"/>
        <w:rPr>
          <w:rFonts w:hint="eastAsia" w:ascii="宋体" w:hAnsi="宋体" w:eastAsia="宋体" w:cs="宋体"/>
          <w:color w:val="auto"/>
          <w:szCs w:val="24"/>
          <w:highlight w:val="none"/>
        </w:rPr>
      </w:pPr>
    </w:p>
    <w:p>
      <w:pPr>
        <w:widowControl/>
        <w:jc w:val="left"/>
        <w:rPr>
          <w:rFonts w:hint="eastAsia" w:ascii="宋体" w:hAnsi="宋体" w:eastAsia="宋体" w:cs="宋体"/>
          <w:color w:val="auto"/>
          <w:szCs w:val="24"/>
          <w:highlight w:val="none"/>
        </w:rPr>
      </w:pPr>
      <w:r>
        <w:rPr>
          <w:rFonts w:ascii="宋体" w:hAnsi="宋体" w:eastAsia="宋体" w:cs="宋体"/>
          <w:color w:val="auto"/>
          <w:szCs w:val="24"/>
          <w:highlight w:val="none"/>
        </w:rPr>
        <w:br w:type="page"/>
      </w:r>
    </w:p>
    <w:p>
      <w:pPr>
        <w:pStyle w:val="3"/>
        <w:rPr>
          <w:rFonts w:hint="eastAsia" w:ascii="宋体" w:hAnsi="宋体"/>
          <w:color w:val="auto"/>
          <w:highlight w:val="none"/>
        </w:rPr>
      </w:pPr>
      <w:r>
        <w:rPr>
          <w:rFonts w:hint="eastAsia" w:ascii="宋体" w:hAnsi="宋体"/>
          <w:color w:val="auto"/>
          <w:highlight w:val="none"/>
        </w:rPr>
        <w:t>投标须知修改表</w:t>
      </w:r>
    </w:p>
    <w:p>
      <w:pPr>
        <w:pStyle w:val="43"/>
        <w:pBdr>
          <w:bottom w:val="single" w:color="auto" w:sz="6" w:space="1"/>
        </w:pBdr>
        <w:spacing w:after="0" w:line="360" w:lineRule="auto"/>
        <w:ind w:firstLine="424" w:firstLineChars="201"/>
        <w:rPr>
          <w:rFonts w:hint="eastAsia" w:ascii="宋体" w:hAnsi="宋体"/>
          <w:bCs/>
          <w:color w:val="auto"/>
          <w:sz w:val="21"/>
          <w:szCs w:val="21"/>
          <w:highlight w:val="none"/>
        </w:rPr>
      </w:pPr>
      <w:r>
        <w:rPr>
          <w:rFonts w:hint="eastAsia" w:ascii="宋体" w:hAnsi="宋体"/>
          <w:b/>
          <w:color w:val="auto"/>
          <w:sz w:val="21"/>
          <w:szCs w:val="21"/>
          <w:highlight w:val="none"/>
        </w:rPr>
        <w:t>声明：</w:t>
      </w:r>
      <w:r>
        <w:rPr>
          <w:rFonts w:ascii="宋体" w:hAnsi="宋体"/>
          <w:b/>
          <w:color w:val="auto"/>
          <w:sz w:val="21"/>
          <w:szCs w:val="21"/>
          <w:highlight w:val="none"/>
        </w:rPr>
        <w:t>本投标须知使用SWZB2024-11招标文件范本的投标须知通用条款，与该通用条款不同之处，均在本表中列明，并以现文为准，原文不再有效。</w:t>
      </w:r>
    </w:p>
    <w:p>
      <w:pPr>
        <w:spacing w:line="360" w:lineRule="auto"/>
        <w:ind w:firstLine="424" w:firstLineChars="201"/>
        <w:rPr>
          <w:rFonts w:hint="eastAsia" w:ascii="宋体" w:hAnsi="宋体" w:eastAsia="宋体"/>
          <w:b/>
          <w:bCs/>
          <w:color w:val="auto"/>
          <w:szCs w:val="21"/>
          <w:highlight w:val="none"/>
        </w:rPr>
      </w:pPr>
      <w:r>
        <w:rPr>
          <w:rFonts w:hint="eastAsia" w:ascii="宋体" w:hAnsi="宋体" w:eastAsia="宋体"/>
          <w:b/>
          <w:bCs/>
          <w:color w:val="auto"/>
          <w:szCs w:val="21"/>
          <w:highlight w:val="none"/>
        </w:rPr>
        <w:t>条款号：</w:t>
      </w:r>
      <w:r>
        <w:rPr>
          <w:rFonts w:ascii="宋体" w:hAnsi="宋体" w:eastAsia="宋体"/>
          <w:b/>
          <w:bCs/>
          <w:color w:val="auto"/>
          <w:szCs w:val="21"/>
          <w:highlight w:val="none"/>
        </w:rPr>
        <w:t>1.4.3（12）</w:t>
      </w:r>
      <w:r>
        <w:rPr>
          <w:rFonts w:hint="eastAsia" w:ascii="宋体" w:hAnsi="宋体" w:eastAsia="宋体"/>
          <w:b/>
          <w:bCs/>
          <w:color w:val="auto"/>
          <w:szCs w:val="21"/>
          <w:highlight w:val="none"/>
        </w:rPr>
        <w:t>（</w:t>
      </w:r>
      <w:r>
        <w:rPr>
          <w:rFonts w:ascii="宋体" w:hAnsi="宋体" w:eastAsia="宋体"/>
          <w:b/>
          <w:bCs/>
          <w:color w:val="auto"/>
          <w:szCs w:val="21"/>
          <w:highlight w:val="none"/>
        </w:rPr>
        <w:t>13</w:t>
      </w:r>
      <w:r>
        <w:rPr>
          <w:rFonts w:hint="eastAsia" w:ascii="宋体" w:hAnsi="宋体" w:eastAsia="宋体"/>
          <w:b/>
          <w:bCs/>
          <w:color w:val="auto"/>
          <w:szCs w:val="21"/>
          <w:highlight w:val="none"/>
        </w:rPr>
        <w:t>）（</w:t>
      </w:r>
      <w:r>
        <w:rPr>
          <w:rFonts w:ascii="宋体" w:hAnsi="宋体" w:eastAsia="宋体"/>
          <w:b/>
          <w:bCs/>
          <w:color w:val="auto"/>
          <w:szCs w:val="21"/>
          <w:highlight w:val="none"/>
        </w:rPr>
        <w:t>14</w:t>
      </w:r>
      <w:r>
        <w:rPr>
          <w:rFonts w:hint="eastAsia" w:ascii="宋体" w:hAnsi="宋体" w:eastAsia="宋体"/>
          <w:b/>
          <w:bCs/>
          <w:color w:val="auto"/>
          <w:szCs w:val="21"/>
          <w:highlight w:val="none"/>
        </w:rPr>
        <w:t>）</w:t>
      </w:r>
      <w:r>
        <w:rPr>
          <w:rFonts w:ascii="宋体" w:hAnsi="宋体" w:eastAsia="宋体"/>
          <w:b/>
          <w:bCs/>
          <w:color w:val="auto"/>
          <w:szCs w:val="21"/>
          <w:highlight w:val="none"/>
        </w:rPr>
        <w:t xml:space="preserve">       修改类型：</w:t>
      </w:r>
      <w:r>
        <w:rPr>
          <w:rFonts w:hint="eastAsia" w:ascii="宋体" w:hAnsi="宋体" w:eastAsia="宋体"/>
          <w:b/>
          <w:bCs/>
          <w:color w:val="auto"/>
          <w:szCs w:val="21"/>
          <w:highlight w:val="none"/>
        </w:rPr>
        <w:t>修改</w:t>
      </w:r>
    </w:p>
    <w:p>
      <w:pPr>
        <w:pBdr>
          <w:bottom w:val="single" w:color="auto" w:sz="6" w:space="1"/>
        </w:pBdr>
        <w:spacing w:line="360" w:lineRule="auto"/>
        <w:ind w:firstLine="424" w:firstLineChars="201"/>
        <w:rPr>
          <w:rFonts w:hint="eastAsia" w:ascii="宋体" w:hAnsi="宋体" w:eastAsia="宋体"/>
          <w:bCs/>
          <w:color w:val="auto"/>
          <w:szCs w:val="21"/>
          <w:highlight w:val="none"/>
        </w:rPr>
      </w:pPr>
      <w:r>
        <w:rPr>
          <w:rFonts w:hint="eastAsia" w:ascii="宋体" w:hAnsi="宋体" w:eastAsia="宋体"/>
          <w:b/>
          <w:bCs/>
          <w:color w:val="auto"/>
          <w:szCs w:val="21"/>
          <w:highlight w:val="none"/>
        </w:rPr>
        <w:t>原文：</w:t>
      </w:r>
      <w:r>
        <w:rPr>
          <w:rFonts w:hint="eastAsia" w:ascii="宋体" w:hAnsi="宋体" w:eastAsia="宋体"/>
          <w:bCs/>
          <w:color w:val="auto"/>
          <w:szCs w:val="21"/>
          <w:highlight w:val="none"/>
        </w:rPr>
        <w:t>（</w:t>
      </w:r>
      <w:r>
        <w:rPr>
          <w:rFonts w:ascii="宋体" w:hAnsi="宋体" w:eastAsia="宋体"/>
          <w:bCs/>
          <w:color w:val="auto"/>
          <w:szCs w:val="21"/>
          <w:highlight w:val="none"/>
        </w:rPr>
        <w:t>12）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13）在投标文件有关技术方案和要求中不得指定与工程建设项目有关的重要设备、材料的生产供应者，或者含有倾向或者排斥特定生产供应者的内容；</w:t>
      </w:r>
    </w:p>
    <w:p>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14）法律法规或投标人须知前附表规定的其他情形。</w:t>
      </w:r>
    </w:p>
    <w:p>
      <w:pPr>
        <w:pBdr>
          <w:bottom w:val="single" w:color="auto" w:sz="6" w:space="1"/>
        </w:pBd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bCs/>
          <w:color w:val="auto"/>
          <w:szCs w:val="21"/>
          <w:highlight w:val="none"/>
        </w:rPr>
        <w:t>现文：</w:t>
      </w:r>
      <w:r>
        <w:rPr>
          <w:rFonts w:hint="eastAsia" w:ascii="宋体" w:hAnsi="宋体" w:eastAsia="宋体"/>
          <w:bCs/>
          <w:color w:val="auto"/>
          <w:szCs w:val="21"/>
          <w:highlight w:val="none"/>
        </w:rPr>
        <w:t>（</w:t>
      </w:r>
      <w:r>
        <w:rPr>
          <w:rFonts w:ascii="宋体" w:hAnsi="宋体" w:eastAsia="宋体"/>
          <w:bCs/>
          <w:color w:val="auto"/>
          <w:szCs w:val="21"/>
          <w:highlight w:val="none"/>
          <w:u w:val="single"/>
        </w:rPr>
        <w:t>12</w:t>
      </w:r>
      <w:r>
        <w:rPr>
          <w:rFonts w:ascii="宋体" w:hAnsi="宋体" w:eastAsia="宋体"/>
          <w:bCs/>
          <w:color w:val="auto"/>
          <w:szCs w:val="21"/>
          <w:highlight w:val="none"/>
        </w:rPr>
        <w:t>）在投标文件有关技术方案和要求中不得指定与工程建设项目有关的重要设备、材料的生产供应者，或者含有倾向或者排斥特定生产供应者的内容；</w:t>
      </w:r>
    </w:p>
    <w:p>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u w:val="single"/>
        </w:rPr>
        <w:t>13</w:t>
      </w:r>
      <w:r>
        <w:rPr>
          <w:rFonts w:ascii="宋体" w:hAnsi="宋体" w:eastAsia="宋体"/>
          <w:bCs/>
          <w:color w:val="auto"/>
          <w:szCs w:val="21"/>
          <w:highlight w:val="none"/>
        </w:rPr>
        <w:t>）法律法规或投标人须知前附表规定的其他情形。</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条款号：1.9.4            修改类型：</w:t>
      </w:r>
      <w:r>
        <w:rPr>
          <w:rFonts w:hint="eastAsia" w:ascii="宋体" w:hAnsi="宋体" w:eastAsia="宋体"/>
          <w:b/>
          <w:bCs/>
          <w:color w:val="auto"/>
          <w:szCs w:val="21"/>
          <w:highlight w:val="none"/>
        </w:rPr>
        <w:t>删除</w:t>
      </w:r>
    </w:p>
    <w:p>
      <w:pPr>
        <w:pBdr>
          <w:bottom w:val="single" w:color="auto" w:sz="6" w:space="1"/>
        </w:pBdr>
        <w:spacing w:line="360" w:lineRule="auto"/>
        <w:ind w:firstLine="422" w:firstLineChars="200"/>
        <w:rPr>
          <w:rFonts w:hint="eastAsia" w:ascii="宋体" w:hAnsi="宋体" w:eastAsia="宋体"/>
          <w:b/>
          <w:bCs/>
          <w:color w:val="auto"/>
          <w:szCs w:val="21"/>
          <w:highlight w:val="none"/>
          <w:u w:val="single"/>
        </w:rPr>
      </w:pPr>
      <w:r>
        <w:rPr>
          <w:rFonts w:ascii="宋体" w:hAnsi="宋体" w:eastAsia="宋体"/>
          <w:b/>
          <w:bCs/>
          <w:color w:val="auto"/>
          <w:szCs w:val="21"/>
          <w:highlight w:val="none"/>
        </w:rPr>
        <w:t>原文：</w:t>
      </w:r>
      <w:r>
        <w:rPr>
          <w:rFonts w:ascii="宋体" w:hAnsi="宋体" w:eastAsia="宋体"/>
          <w:color w:val="auto"/>
          <w:szCs w:val="21"/>
          <w:highlight w:val="none"/>
        </w:rPr>
        <w:t xml:space="preserve">1.9.4 </w:t>
      </w:r>
      <w:r>
        <w:rPr>
          <w:rFonts w:hint="eastAsia" w:ascii="宋体" w:hAnsi="宋体" w:eastAsia="宋体"/>
          <w:color w:val="auto"/>
          <w:szCs w:val="21"/>
          <w:highlight w:val="none"/>
        </w:rPr>
        <w:t>招标人在踏勘现场中介绍的工程场地和相关的周边环境情况，供投标人在编制投标文件时参考，招标人不对投标人据此作出的判断和决策负责。</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条款号：1.10             修改类型：</w:t>
      </w:r>
      <w:r>
        <w:rPr>
          <w:rFonts w:hint="eastAsia" w:ascii="宋体" w:hAnsi="宋体" w:eastAsia="宋体"/>
          <w:b/>
          <w:bCs/>
          <w:color w:val="auto"/>
          <w:szCs w:val="21"/>
          <w:highlight w:val="none"/>
        </w:rPr>
        <w:t>修改</w:t>
      </w:r>
    </w:p>
    <w:p>
      <w:pPr>
        <w:pBdr>
          <w:bottom w:val="single" w:color="auto" w:sz="6" w:space="1"/>
        </w:pBdr>
        <w:spacing w:line="360" w:lineRule="auto"/>
        <w:ind w:firstLine="422" w:firstLineChars="200"/>
        <w:rPr>
          <w:rFonts w:hint="eastAsia" w:ascii="宋体" w:hAnsi="宋体" w:eastAsia="宋体"/>
          <w:color w:val="auto"/>
          <w:szCs w:val="21"/>
          <w:highlight w:val="none"/>
        </w:rPr>
      </w:pPr>
      <w:r>
        <w:rPr>
          <w:rFonts w:ascii="宋体" w:hAnsi="宋体" w:eastAsia="宋体"/>
          <w:b/>
          <w:bCs/>
          <w:color w:val="auto"/>
          <w:szCs w:val="21"/>
          <w:highlight w:val="none"/>
        </w:rPr>
        <w:t xml:space="preserve">原文：1.10 </w:t>
      </w:r>
      <w:r>
        <w:rPr>
          <w:rFonts w:hint="eastAsia" w:ascii="宋体" w:hAnsi="宋体" w:eastAsia="宋体"/>
          <w:b/>
          <w:bCs/>
          <w:color w:val="auto"/>
          <w:szCs w:val="21"/>
          <w:highlight w:val="none"/>
        </w:rPr>
        <w:t>投标预备会</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 xml:space="preserve">1.10.1 </w:t>
      </w:r>
      <w:r>
        <w:rPr>
          <w:rFonts w:hint="eastAsia" w:ascii="宋体" w:hAnsi="宋体" w:eastAsia="宋体"/>
          <w:color w:val="auto"/>
          <w:szCs w:val="21"/>
          <w:highlight w:val="none"/>
        </w:rPr>
        <w:t>投标人须知前附表规定召开投标预备会的，招标人按投标人须知前附表规定的时间和地点召开投标预备会，澄清投标人提出的问题。</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 xml:space="preserve">1.10.2 </w:t>
      </w:r>
      <w:r>
        <w:rPr>
          <w:rFonts w:hint="eastAsia" w:ascii="宋体" w:hAnsi="宋体" w:eastAsia="宋体"/>
          <w:color w:val="auto"/>
          <w:szCs w:val="21"/>
          <w:highlight w:val="none"/>
        </w:rPr>
        <w:t>投标人应按投标人须知前附表规定的时间和形式将提出的问题送达招标人，以便招标人在会议期间澄清。</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 xml:space="preserve">1.10.3 </w:t>
      </w:r>
      <w:r>
        <w:rPr>
          <w:rFonts w:hint="eastAsia" w:ascii="宋体" w:hAnsi="宋体" w:eastAsia="宋体"/>
          <w:color w:val="auto"/>
          <w:szCs w:val="21"/>
          <w:highlight w:val="none"/>
        </w:rPr>
        <w:t>投标预备会后，招标人将对投标人所提问题的澄清，以投标人须知前附表规定的形式通知所有潜在投标人。该澄清内容为招标文件的组成部分。</w:t>
      </w:r>
    </w:p>
    <w:p>
      <w:pPr>
        <w:pBdr>
          <w:bottom w:val="single" w:color="auto" w:sz="6" w:space="1"/>
        </w:pBdr>
        <w:spacing w:line="360" w:lineRule="auto"/>
        <w:ind w:firstLine="422" w:firstLineChars="200"/>
        <w:rPr>
          <w:rFonts w:hint="eastAsia" w:ascii="宋体" w:hAnsi="宋体" w:eastAsia="宋体"/>
          <w:b/>
          <w:bCs/>
          <w:color w:val="auto"/>
          <w:szCs w:val="21"/>
          <w:highlight w:val="none"/>
        </w:rPr>
      </w:pPr>
      <w:r>
        <w:rPr>
          <w:rFonts w:hint="eastAsia" w:ascii="宋体" w:hAnsi="宋体" w:eastAsia="宋体"/>
          <w:b/>
          <w:bCs/>
          <w:color w:val="auto"/>
          <w:szCs w:val="21"/>
          <w:highlight w:val="none"/>
        </w:rPr>
        <w:t>现文：</w:t>
      </w:r>
      <w:r>
        <w:rPr>
          <w:rFonts w:ascii="宋体" w:hAnsi="宋体" w:eastAsia="宋体"/>
          <w:b/>
          <w:bCs/>
          <w:color w:val="auto"/>
          <w:szCs w:val="21"/>
          <w:highlight w:val="none"/>
        </w:rPr>
        <w:t xml:space="preserve">1.10 </w:t>
      </w:r>
      <w:r>
        <w:rPr>
          <w:rFonts w:hint="eastAsia" w:ascii="宋体" w:hAnsi="宋体" w:eastAsia="宋体"/>
          <w:b/>
          <w:bCs/>
          <w:color w:val="auto"/>
          <w:szCs w:val="21"/>
          <w:highlight w:val="none"/>
        </w:rPr>
        <w:t>投标预备会</w:t>
      </w:r>
    </w:p>
    <w:p>
      <w:pPr>
        <w:pBdr>
          <w:bottom w:val="single" w:color="auto" w:sz="6" w:space="1"/>
        </w:pBdr>
        <w:spacing w:line="360" w:lineRule="auto"/>
        <w:ind w:firstLine="420" w:firstLineChars="200"/>
        <w:rPr>
          <w:rFonts w:hint="eastAsia" w:ascii="宋体" w:hAnsi="宋体" w:eastAsia="宋体"/>
          <w:b/>
          <w:bCs/>
          <w:color w:val="auto"/>
          <w:szCs w:val="21"/>
          <w:highlight w:val="none"/>
          <w:u w:val="single"/>
        </w:rPr>
      </w:pPr>
      <w:r>
        <w:rPr>
          <w:rFonts w:ascii="宋体" w:hAnsi="宋体" w:eastAsia="宋体"/>
          <w:color w:val="auto"/>
          <w:szCs w:val="21"/>
          <w:highlight w:val="none"/>
        </w:rPr>
        <w:t xml:space="preserve">1.10.1 </w:t>
      </w:r>
      <w:r>
        <w:rPr>
          <w:rFonts w:hint="eastAsia" w:ascii="宋体" w:hAnsi="宋体" w:eastAsia="宋体"/>
          <w:color w:val="auto"/>
          <w:szCs w:val="21"/>
          <w:highlight w:val="none"/>
          <w:u w:val="single"/>
        </w:rPr>
        <w:t>本项目不召开投标预备会。</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条款号：2.2.3-2.2.5             修改类型：</w:t>
      </w:r>
      <w:r>
        <w:rPr>
          <w:rFonts w:hint="eastAsia" w:ascii="宋体" w:hAnsi="宋体" w:eastAsia="宋体"/>
          <w:b/>
          <w:bCs/>
          <w:color w:val="auto"/>
          <w:szCs w:val="21"/>
          <w:highlight w:val="none"/>
        </w:rPr>
        <w:t>修改</w:t>
      </w:r>
    </w:p>
    <w:p>
      <w:pPr>
        <w:pBdr>
          <w:bottom w:val="single" w:color="auto" w:sz="6" w:space="1"/>
        </w:pBdr>
        <w:spacing w:line="360" w:lineRule="auto"/>
        <w:ind w:firstLine="422" w:firstLineChars="200"/>
        <w:rPr>
          <w:rFonts w:hint="eastAsia" w:ascii="宋体" w:hAnsi="宋体" w:eastAsia="宋体"/>
          <w:bCs/>
          <w:color w:val="auto"/>
          <w:szCs w:val="21"/>
          <w:highlight w:val="none"/>
        </w:rPr>
      </w:pPr>
      <w:r>
        <w:rPr>
          <w:rFonts w:ascii="宋体" w:hAnsi="宋体" w:eastAsia="宋体"/>
          <w:b/>
          <w:bCs/>
          <w:color w:val="auto"/>
          <w:szCs w:val="21"/>
          <w:highlight w:val="none"/>
        </w:rPr>
        <w:t>原文：</w:t>
      </w:r>
      <w:r>
        <w:rPr>
          <w:rFonts w:ascii="宋体" w:hAnsi="宋体" w:eastAsia="宋体"/>
          <w:bCs/>
          <w:color w:val="auto"/>
          <w:szCs w:val="21"/>
          <w:highlight w:val="none"/>
        </w:rPr>
        <w:t>2.2.3 招标答疑会会议纪要将在提交投标文件截止时间15日前在</w:t>
      </w:r>
      <w:r>
        <w:rPr>
          <w:rFonts w:ascii="宋体" w:hAnsi="宋体" w:eastAsia="宋体"/>
          <w:bCs/>
          <w:color w:val="auto"/>
          <w:szCs w:val="21"/>
          <w:highlight w:val="none"/>
          <w:u w:val="single"/>
        </w:rPr>
        <w:t>广州交易集团有限公司（广州公共资源交易中心）</w:t>
      </w:r>
      <w:r>
        <w:rPr>
          <w:rFonts w:ascii="宋体" w:hAnsi="宋体" w:eastAsia="宋体"/>
          <w:bCs/>
          <w:color w:val="auto"/>
          <w:szCs w:val="21"/>
          <w:highlight w:val="none"/>
        </w:rPr>
        <w:t>网站“项目答疑纪要”专区公开发布。答疑纪要一经在</w:t>
      </w:r>
      <w:r>
        <w:rPr>
          <w:rFonts w:ascii="宋体" w:hAnsi="宋体" w:eastAsia="宋体"/>
          <w:bCs/>
          <w:color w:val="auto"/>
          <w:szCs w:val="21"/>
          <w:highlight w:val="none"/>
          <w:u w:val="single"/>
        </w:rPr>
        <w:t>广州交易集团有限公司（广州公共资源交易中心）</w:t>
      </w:r>
      <w:r>
        <w:rPr>
          <w:rFonts w:ascii="宋体" w:hAnsi="宋体" w:eastAsia="宋体"/>
          <w:bCs/>
          <w:color w:val="auto"/>
          <w:szCs w:val="21"/>
          <w:highlight w:val="none"/>
        </w:rPr>
        <w:t>网站发布，视作已发放给所有投标人。</w:t>
      </w:r>
    </w:p>
    <w:p>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ascii="宋体" w:hAnsi="宋体" w:eastAsia="宋体"/>
          <w:bCs/>
          <w:color w:val="auto"/>
          <w:szCs w:val="21"/>
          <w:highlight w:val="none"/>
        </w:rPr>
        <w:t>2.2.4 招标答疑会会议纪要是招标文件的组成部分，对投标人起约束作用。</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ascii="宋体" w:hAnsi="宋体" w:eastAsia="宋体"/>
          <w:bCs/>
          <w:color w:val="auto"/>
          <w:szCs w:val="21"/>
          <w:highlight w:val="none"/>
        </w:rPr>
        <w:t>2.2.5 若招标答疑会会议纪要与招标文件有矛盾时，以</w:t>
      </w:r>
      <w:r>
        <w:rPr>
          <w:rFonts w:ascii="宋体" w:hAnsi="宋体" w:eastAsia="宋体"/>
          <w:bCs/>
          <w:color w:val="auto"/>
          <w:szCs w:val="21"/>
          <w:highlight w:val="none"/>
          <w:u w:val="single"/>
        </w:rPr>
        <w:t>广州交易集团有限公司（广州公共资源交易中心）</w:t>
      </w:r>
      <w:r>
        <w:rPr>
          <w:rFonts w:ascii="宋体" w:hAnsi="宋体" w:eastAsia="宋体"/>
          <w:bCs/>
          <w:color w:val="auto"/>
          <w:szCs w:val="21"/>
          <w:highlight w:val="none"/>
        </w:rPr>
        <w:t>网站最后发布的答疑纪要为准。</w:t>
      </w:r>
    </w:p>
    <w:p>
      <w:pPr>
        <w:pBdr>
          <w:bottom w:val="single" w:color="auto" w:sz="6" w:space="1"/>
        </w:pBdr>
        <w:spacing w:line="360" w:lineRule="auto"/>
        <w:ind w:firstLine="422" w:firstLineChars="200"/>
        <w:rPr>
          <w:rFonts w:hint="eastAsia" w:ascii="宋体" w:hAnsi="宋体" w:eastAsia="宋体"/>
          <w:bCs/>
          <w:color w:val="auto"/>
          <w:szCs w:val="21"/>
          <w:highlight w:val="none"/>
        </w:rPr>
      </w:pPr>
      <w:r>
        <w:rPr>
          <w:rFonts w:hint="eastAsia" w:ascii="宋体" w:hAnsi="宋体" w:eastAsia="宋体"/>
          <w:b/>
          <w:bCs/>
          <w:color w:val="auto"/>
          <w:szCs w:val="21"/>
          <w:highlight w:val="none"/>
        </w:rPr>
        <w:t>现文：</w:t>
      </w:r>
      <w:r>
        <w:rPr>
          <w:rFonts w:ascii="宋体" w:hAnsi="宋体" w:eastAsia="宋体"/>
          <w:bCs/>
          <w:color w:val="auto"/>
          <w:szCs w:val="21"/>
          <w:highlight w:val="none"/>
        </w:rPr>
        <w:t xml:space="preserve">2.2.3 </w:t>
      </w:r>
      <w:r>
        <w:rPr>
          <w:rFonts w:ascii="宋体" w:hAnsi="宋体" w:eastAsia="宋体"/>
          <w:b/>
          <w:bCs/>
          <w:color w:val="auto"/>
          <w:szCs w:val="21"/>
          <w:highlight w:val="none"/>
          <w:u w:val="single"/>
        </w:rPr>
        <w:t>招标答疑纪要</w:t>
      </w:r>
      <w:r>
        <w:rPr>
          <w:rFonts w:ascii="宋体" w:hAnsi="宋体" w:eastAsia="宋体"/>
          <w:bCs/>
          <w:color w:val="auto"/>
          <w:szCs w:val="21"/>
          <w:highlight w:val="none"/>
        </w:rPr>
        <w:t>将在提交投标文件截止时间15日前在</w:t>
      </w:r>
      <w:r>
        <w:rPr>
          <w:rFonts w:ascii="宋体" w:hAnsi="宋体" w:eastAsia="宋体"/>
          <w:bCs/>
          <w:color w:val="auto"/>
          <w:szCs w:val="21"/>
          <w:highlight w:val="none"/>
          <w:u w:val="single"/>
        </w:rPr>
        <w:t>广州交易集团有限公司（广州公共资源交易中心）</w:t>
      </w:r>
      <w:r>
        <w:rPr>
          <w:rFonts w:ascii="宋体" w:hAnsi="宋体" w:eastAsia="宋体"/>
          <w:bCs/>
          <w:color w:val="auto"/>
          <w:szCs w:val="21"/>
          <w:highlight w:val="none"/>
        </w:rPr>
        <w:t>网站“项目答疑纪要”专区公开发布。答疑纪要一经在</w:t>
      </w:r>
      <w:r>
        <w:rPr>
          <w:rFonts w:ascii="宋体" w:hAnsi="宋体" w:eastAsia="宋体"/>
          <w:bCs/>
          <w:color w:val="auto"/>
          <w:szCs w:val="21"/>
          <w:highlight w:val="none"/>
          <w:u w:val="single"/>
        </w:rPr>
        <w:t>广州交易集团有限公司（广州公共资源交易中心）</w:t>
      </w:r>
      <w:r>
        <w:rPr>
          <w:rFonts w:ascii="宋体" w:hAnsi="宋体" w:eastAsia="宋体"/>
          <w:bCs/>
          <w:color w:val="auto"/>
          <w:szCs w:val="21"/>
          <w:highlight w:val="none"/>
        </w:rPr>
        <w:t>网站发布，视作已发放给所有投标人。</w:t>
      </w:r>
    </w:p>
    <w:p>
      <w:pPr>
        <w:pBdr>
          <w:bottom w:val="single" w:color="auto" w:sz="6" w:space="1"/>
        </w:pBdr>
        <w:spacing w:line="360" w:lineRule="auto"/>
        <w:ind w:firstLine="420" w:firstLineChars="200"/>
        <w:rPr>
          <w:rFonts w:hint="eastAsia" w:ascii="宋体" w:hAnsi="宋体" w:eastAsia="宋体"/>
          <w:bCs/>
          <w:color w:val="auto"/>
          <w:szCs w:val="21"/>
          <w:highlight w:val="none"/>
        </w:rPr>
      </w:pPr>
      <w:r>
        <w:rPr>
          <w:rFonts w:ascii="宋体" w:hAnsi="宋体" w:eastAsia="宋体"/>
          <w:bCs/>
          <w:color w:val="auto"/>
          <w:szCs w:val="21"/>
          <w:highlight w:val="none"/>
        </w:rPr>
        <w:t xml:space="preserve">2.2.4 </w:t>
      </w:r>
      <w:r>
        <w:rPr>
          <w:rFonts w:ascii="宋体" w:hAnsi="宋体" w:eastAsia="宋体"/>
          <w:b/>
          <w:bCs/>
          <w:color w:val="auto"/>
          <w:szCs w:val="21"/>
          <w:highlight w:val="none"/>
          <w:u w:val="single"/>
        </w:rPr>
        <w:t>招标答疑纪要</w:t>
      </w:r>
      <w:r>
        <w:rPr>
          <w:rFonts w:ascii="宋体" w:hAnsi="宋体" w:eastAsia="宋体"/>
          <w:bCs/>
          <w:color w:val="auto"/>
          <w:szCs w:val="21"/>
          <w:highlight w:val="none"/>
        </w:rPr>
        <w:t>是招标文件的组成部分，对投标人起约束作用。</w:t>
      </w:r>
    </w:p>
    <w:p>
      <w:pPr>
        <w:pBdr>
          <w:bottom w:val="single" w:color="auto" w:sz="6" w:space="1"/>
        </w:pBdr>
        <w:spacing w:line="360" w:lineRule="auto"/>
        <w:ind w:firstLine="420" w:firstLineChars="200"/>
        <w:rPr>
          <w:rFonts w:hint="eastAsia" w:ascii="宋体" w:hAnsi="宋体" w:eastAsia="宋体"/>
          <w:b/>
          <w:bCs/>
          <w:color w:val="auto"/>
          <w:szCs w:val="21"/>
          <w:highlight w:val="none"/>
          <w:u w:val="single"/>
        </w:rPr>
      </w:pPr>
      <w:r>
        <w:rPr>
          <w:rFonts w:ascii="宋体" w:hAnsi="宋体" w:eastAsia="宋体"/>
          <w:bCs/>
          <w:color w:val="auto"/>
          <w:szCs w:val="21"/>
          <w:highlight w:val="none"/>
        </w:rPr>
        <w:t>2.2.5 若</w:t>
      </w:r>
      <w:r>
        <w:rPr>
          <w:rFonts w:ascii="宋体" w:hAnsi="宋体" w:eastAsia="宋体"/>
          <w:b/>
          <w:bCs/>
          <w:color w:val="auto"/>
          <w:szCs w:val="21"/>
          <w:highlight w:val="none"/>
          <w:u w:val="single"/>
        </w:rPr>
        <w:t>招标答疑纪要</w:t>
      </w:r>
      <w:r>
        <w:rPr>
          <w:rFonts w:ascii="宋体" w:hAnsi="宋体" w:eastAsia="宋体"/>
          <w:bCs/>
          <w:color w:val="auto"/>
          <w:szCs w:val="21"/>
          <w:highlight w:val="none"/>
        </w:rPr>
        <w:t>与招标文件有矛盾时，以</w:t>
      </w:r>
      <w:r>
        <w:rPr>
          <w:rFonts w:ascii="宋体" w:hAnsi="宋体" w:eastAsia="宋体"/>
          <w:bCs/>
          <w:color w:val="auto"/>
          <w:szCs w:val="21"/>
          <w:highlight w:val="none"/>
          <w:u w:val="single"/>
        </w:rPr>
        <w:t>广州交易集团有限公司（广州公共资源交易中心）</w:t>
      </w:r>
      <w:r>
        <w:rPr>
          <w:rFonts w:ascii="宋体" w:hAnsi="宋体" w:eastAsia="宋体"/>
          <w:bCs/>
          <w:color w:val="auto"/>
          <w:szCs w:val="21"/>
          <w:highlight w:val="none"/>
        </w:rPr>
        <w:t>网站最后发布的答疑纪要为准。</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条款号：3.1             修改类型：</w:t>
      </w:r>
      <w:r>
        <w:rPr>
          <w:rFonts w:hint="eastAsia" w:ascii="宋体" w:hAnsi="宋体" w:eastAsia="宋体"/>
          <w:b/>
          <w:bCs/>
          <w:color w:val="auto"/>
          <w:szCs w:val="21"/>
          <w:highlight w:val="none"/>
        </w:rPr>
        <w:t>删除</w:t>
      </w:r>
    </w:p>
    <w:p>
      <w:pPr>
        <w:pBdr>
          <w:bottom w:val="single" w:color="auto" w:sz="6" w:space="1"/>
        </w:pBd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原文：</w:t>
      </w:r>
      <w:r>
        <w:rPr>
          <w:rFonts w:ascii="宋体" w:hAnsi="宋体" w:eastAsia="宋体"/>
          <w:bCs/>
          <w:color w:val="auto"/>
          <w:szCs w:val="21"/>
          <w:highlight w:val="none"/>
        </w:rPr>
        <w:t>3.1 投标文件的组成（适用于非暗标形式）</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3.1.1 投标文件应包括下列内容：</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1）投标函及投标函附录；</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2）法定代表人身份证明或附有法定代表人身份证明的授权委托书；</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3）联合体协议书；</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4）投标保证金；</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5）勘察设计费报价表；</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6）资格审查资料；</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7）勘察设计方案；</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8）投标人须知前附表规定的其他资料。</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投标人在评标过程中作出的符合法律法规和招标文件规定的澄清确认，构成投标文件的组</w:t>
      </w:r>
      <w:r>
        <w:rPr>
          <w:rFonts w:ascii="宋体" w:hAnsi="宋体" w:eastAsia="宋体"/>
          <w:color w:val="auto"/>
          <w:szCs w:val="21"/>
          <w:highlight w:val="none"/>
        </w:rPr>
        <w:t xml:space="preserve"> 成部分。</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3.1.2 投标人须知前附表规定不接受联合体投标的， 或投标人没有组成联合体的，投标文件 不包括本章第3.1.1（3）目所指的联合体协议书。</w:t>
      </w:r>
    </w:p>
    <w:p>
      <w:pPr>
        <w:pBdr>
          <w:bottom w:val="single" w:color="auto" w:sz="6" w:space="1"/>
        </w:pBd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3.1.3 投标人须知前附表未要求提交投标保证金的，投标文件不包括本章第 3.1.1（4）目所 指的投标保证金。</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条款号：3.2.4            修改类型：</w:t>
      </w:r>
      <w:r>
        <w:rPr>
          <w:rFonts w:hint="eastAsia" w:ascii="宋体" w:hAnsi="宋体" w:eastAsia="宋体"/>
          <w:b/>
          <w:bCs/>
          <w:color w:val="auto"/>
          <w:szCs w:val="21"/>
          <w:highlight w:val="none"/>
        </w:rPr>
        <w:t>修改</w:t>
      </w:r>
    </w:p>
    <w:p>
      <w:pPr>
        <w:pBdr>
          <w:bottom w:val="single" w:color="auto" w:sz="6" w:space="1"/>
        </w:pBdr>
        <w:spacing w:line="360" w:lineRule="auto"/>
        <w:ind w:firstLine="422" w:firstLineChars="200"/>
        <w:rPr>
          <w:rFonts w:hint="eastAsia" w:ascii="宋体" w:hAnsi="宋体" w:eastAsia="宋体"/>
          <w:color w:val="auto"/>
          <w:szCs w:val="21"/>
          <w:highlight w:val="none"/>
        </w:rPr>
      </w:pPr>
      <w:r>
        <w:rPr>
          <w:rFonts w:ascii="宋体" w:hAnsi="宋体" w:eastAsia="宋体"/>
          <w:b/>
          <w:bCs/>
          <w:color w:val="auto"/>
          <w:szCs w:val="21"/>
          <w:highlight w:val="none"/>
        </w:rPr>
        <w:t>原文：</w:t>
      </w:r>
      <w:r>
        <w:rPr>
          <w:rFonts w:ascii="宋体" w:hAnsi="宋体" w:eastAsia="宋体"/>
          <w:color w:val="auto"/>
          <w:szCs w:val="21"/>
          <w:highlight w:val="none"/>
        </w:rPr>
        <w:t xml:space="preserve">3.2.4 </w:t>
      </w:r>
      <w:r>
        <w:rPr>
          <w:rFonts w:hint="eastAsia" w:ascii="宋体" w:hAnsi="宋体" w:eastAsia="宋体"/>
          <w:color w:val="auto"/>
          <w:szCs w:val="21"/>
          <w:highlight w:val="none"/>
        </w:rPr>
        <w:t>投标报价不符合国家颁布的勘察设计取费标准，或者低于成本，设有最高投标限价的，投标人的投标报价不得超过最高投标限价，最高投标限价在投标人须知前附表中载明。</w:t>
      </w:r>
    </w:p>
    <w:p>
      <w:pPr>
        <w:pBdr>
          <w:bottom w:val="single" w:color="auto" w:sz="6" w:space="1"/>
        </w:pBdr>
        <w:spacing w:line="360" w:lineRule="auto"/>
        <w:ind w:firstLine="422" w:firstLineChars="200"/>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rPr>
        <w:t>现文：</w:t>
      </w:r>
      <w:r>
        <w:rPr>
          <w:rFonts w:ascii="宋体" w:hAnsi="宋体" w:eastAsia="宋体"/>
          <w:color w:val="auto"/>
          <w:szCs w:val="21"/>
          <w:highlight w:val="none"/>
        </w:rPr>
        <w:t xml:space="preserve">3.2.4 </w:t>
      </w:r>
      <w:r>
        <w:rPr>
          <w:rFonts w:hint="eastAsia" w:ascii="宋体" w:hAnsi="宋体" w:eastAsia="宋体"/>
          <w:color w:val="auto"/>
          <w:szCs w:val="21"/>
          <w:highlight w:val="none"/>
          <w:u w:val="single"/>
        </w:rPr>
        <w:t>设有最高投标限价的，投标人的投标报价不得超过最高投标限价，最高投标限价在投标人须知前附表中载明。</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条款号：3.3.3            修改类型：</w:t>
      </w:r>
      <w:r>
        <w:rPr>
          <w:rFonts w:hint="eastAsia" w:ascii="宋体" w:hAnsi="宋体" w:eastAsia="宋体"/>
          <w:b/>
          <w:bCs/>
          <w:color w:val="auto"/>
          <w:szCs w:val="21"/>
          <w:highlight w:val="none"/>
        </w:rPr>
        <w:t>修改</w:t>
      </w:r>
    </w:p>
    <w:p>
      <w:pPr>
        <w:pBdr>
          <w:bottom w:val="single" w:color="auto" w:sz="6" w:space="1"/>
        </w:pBdr>
        <w:spacing w:line="360" w:lineRule="auto"/>
        <w:ind w:firstLine="422" w:firstLineChars="200"/>
        <w:rPr>
          <w:rFonts w:hint="eastAsia" w:ascii="宋体" w:hAnsi="宋体" w:eastAsia="宋体"/>
          <w:color w:val="auto"/>
          <w:szCs w:val="21"/>
          <w:highlight w:val="none"/>
        </w:rPr>
      </w:pPr>
      <w:r>
        <w:rPr>
          <w:rFonts w:ascii="宋体" w:hAnsi="宋体" w:eastAsia="宋体"/>
          <w:b/>
          <w:bCs/>
          <w:color w:val="auto"/>
          <w:szCs w:val="21"/>
          <w:highlight w:val="none"/>
        </w:rPr>
        <w:t>原文：</w:t>
      </w:r>
      <w:r>
        <w:rPr>
          <w:rFonts w:ascii="宋体" w:hAnsi="宋体" w:eastAsia="宋体"/>
          <w:color w:val="auto"/>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pBdr>
          <w:bottom w:val="single" w:color="auto" w:sz="6" w:space="1"/>
        </w:pBdr>
        <w:spacing w:line="360" w:lineRule="auto"/>
        <w:ind w:firstLine="422" w:firstLineChars="200"/>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rPr>
        <w:t>现文：</w:t>
      </w:r>
      <w:r>
        <w:rPr>
          <w:rFonts w:ascii="宋体" w:hAnsi="宋体" w:eastAsia="宋体"/>
          <w:color w:val="auto"/>
          <w:szCs w:val="21"/>
          <w:highlight w:val="none"/>
        </w:rPr>
        <w:t>3.3.3 出现特殊情况需要延长投标有效期的，招标人以书面形式通知所有投标人延长投标有效期。投标人应予以书面答复，同意延长的</w:t>
      </w:r>
      <w:r>
        <w:rPr>
          <w:rFonts w:ascii="宋体" w:hAnsi="宋体" w:eastAsia="宋体"/>
          <w:strike/>
          <w:color w:val="auto"/>
          <w:szCs w:val="21"/>
          <w:highlight w:val="none"/>
        </w:rPr>
        <w:t>，应相应延长其投标保证金的有效期</w:t>
      </w:r>
      <w:r>
        <w:rPr>
          <w:rFonts w:ascii="宋体" w:hAnsi="宋体" w:eastAsia="宋体"/>
          <w:color w:val="auto"/>
          <w:szCs w:val="21"/>
          <w:highlight w:val="none"/>
        </w:rPr>
        <w:t>，但不得要求或被允许修改其投标文件；投标人拒绝延长的，其投标失效</w:t>
      </w:r>
      <w:r>
        <w:rPr>
          <w:rFonts w:ascii="宋体" w:hAnsi="宋体" w:eastAsia="宋体"/>
          <w:strike/>
          <w:color w:val="auto"/>
          <w:szCs w:val="21"/>
          <w:highlight w:val="none"/>
        </w:rPr>
        <w:t>，但投标人有权收回其投标保证金</w:t>
      </w:r>
      <w:r>
        <w:rPr>
          <w:rFonts w:ascii="宋体" w:hAnsi="宋体" w:eastAsia="宋体"/>
          <w:color w:val="auto"/>
          <w:szCs w:val="21"/>
          <w:highlight w:val="none"/>
        </w:rPr>
        <w:t>。</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条款号：3.4            修改类型：</w:t>
      </w:r>
      <w:r>
        <w:rPr>
          <w:rFonts w:hint="eastAsia" w:ascii="宋体" w:hAnsi="宋体" w:eastAsia="宋体"/>
          <w:b/>
          <w:bCs/>
          <w:color w:val="auto"/>
          <w:szCs w:val="21"/>
          <w:highlight w:val="none"/>
        </w:rPr>
        <w:t>修改</w:t>
      </w:r>
    </w:p>
    <w:p>
      <w:pPr>
        <w:pBdr>
          <w:bottom w:val="single" w:color="auto" w:sz="6" w:space="1"/>
        </w:pBdr>
        <w:spacing w:line="360" w:lineRule="auto"/>
        <w:ind w:firstLine="422" w:firstLineChars="200"/>
        <w:rPr>
          <w:rFonts w:hint="eastAsia" w:ascii="宋体" w:hAnsi="宋体" w:eastAsia="宋体"/>
          <w:color w:val="auto"/>
          <w:szCs w:val="21"/>
          <w:highlight w:val="none"/>
        </w:rPr>
      </w:pPr>
      <w:r>
        <w:rPr>
          <w:rFonts w:ascii="宋体" w:hAnsi="宋体" w:eastAsia="宋体"/>
          <w:b/>
          <w:bCs/>
          <w:color w:val="auto"/>
          <w:szCs w:val="21"/>
          <w:highlight w:val="none"/>
        </w:rPr>
        <w:t>原文：</w:t>
      </w:r>
      <w:r>
        <w:rPr>
          <w:rFonts w:ascii="宋体" w:hAnsi="宋体" w:eastAsia="宋体"/>
          <w:color w:val="auto"/>
          <w:szCs w:val="21"/>
          <w:highlight w:val="none"/>
        </w:rPr>
        <w:t>3.4 投标保证金</w:t>
      </w:r>
    </w:p>
    <w:p>
      <w:pPr>
        <w:pBdr>
          <w:bottom w:val="single" w:color="auto" w:sz="6" w:space="1"/>
        </w:pBdr>
        <w:spacing w:line="360" w:lineRule="auto"/>
        <w:ind w:firstLine="422" w:firstLineChars="200"/>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rPr>
        <w:t>现文：</w:t>
      </w:r>
      <w:r>
        <w:rPr>
          <w:rFonts w:ascii="宋体" w:hAnsi="宋体" w:eastAsia="宋体"/>
          <w:color w:val="auto"/>
          <w:szCs w:val="21"/>
          <w:highlight w:val="none"/>
        </w:rPr>
        <w:t xml:space="preserve">3.4 </w:t>
      </w:r>
      <w:r>
        <w:rPr>
          <w:rFonts w:hint="eastAsia" w:ascii="宋体" w:hAnsi="宋体" w:eastAsia="宋体" w:cs="宋体"/>
          <w:b/>
          <w:bCs/>
          <w:color w:val="auto"/>
          <w:szCs w:val="21"/>
          <w:highlight w:val="none"/>
          <w:u w:val="single"/>
        </w:rPr>
        <w:t>本项目不要求投标人递交投标保证金。</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条款号：3.5.1至3.5.4         修改类型：修改</w:t>
      </w:r>
    </w:p>
    <w:p>
      <w:pPr>
        <w:spacing w:line="360" w:lineRule="auto"/>
        <w:ind w:firstLine="422" w:firstLineChars="200"/>
        <w:rPr>
          <w:rFonts w:hint="eastAsia" w:ascii="宋体" w:hAnsi="宋体" w:eastAsia="宋体"/>
          <w:color w:val="auto"/>
          <w:szCs w:val="21"/>
          <w:highlight w:val="none"/>
        </w:rPr>
      </w:pPr>
      <w:r>
        <w:rPr>
          <w:rFonts w:ascii="宋体" w:hAnsi="宋体" w:eastAsia="宋体"/>
          <w:b/>
          <w:bCs/>
          <w:color w:val="auto"/>
          <w:szCs w:val="21"/>
          <w:highlight w:val="none"/>
        </w:rPr>
        <w:t>原文：</w:t>
      </w:r>
      <w:r>
        <w:rPr>
          <w:rFonts w:ascii="宋体" w:hAnsi="宋体" w:eastAsia="宋体"/>
          <w:color w:val="auto"/>
          <w:szCs w:val="21"/>
          <w:highlight w:val="none"/>
        </w:rPr>
        <w:t xml:space="preserve">3.5.1 </w:t>
      </w:r>
      <w:r>
        <w:rPr>
          <w:rFonts w:hint="eastAsia" w:ascii="宋体" w:hAnsi="宋体" w:eastAsia="宋体"/>
          <w:color w:val="auto"/>
          <w:szCs w:val="21"/>
          <w:highlight w:val="none"/>
        </w:rPr>
        <w:t>“投标人基本情况表”应附投标人营业执照、投标人勘察、设计资质证书副本等材料的扫描件。</w:t>
      </w:r>
    </w:p>
    <w:p>
      <w:pP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 xml:space="preserve">3.5.2 </w:t>
      </w:r>
      <w:r>
        <w:rPr>
          <w:rFonts w:hint="eastAsia" w:ascii="宋体" w:hAnsi="宋体" w:eastAsia="宋体"/>
          <w:color w:val="auto"/>
          <w:szCs w:val="21"/>
          <w:highlight w:val="none"/>
        </w:rPr>
        <w:t>“近年完成的类似设计或勘察设计项目情况表”应附中标通知书和</w:t>
      </w:r>
      <w:r>
        <w:rPr>
          <w:rFonts w:ascii="宋体" w:hAnsi="宋体" w:eastAsia="宋体"/>
          <w:color w:val="auto"/>
          <w:szCs w:val="21"/>
          <w:highlight w:val="none"/>
        </w:rPr>
        <w:t>(或)合同协议书、发包人出具的证明文件；具体时间要求见投标人须知前附表，每张表格只填写一个项目，并标明序号。</w:t>
      </w:r>
    </w:p>
    <w:p>
      <w:pPr>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 xml:space="preserve">3.5.3 </w:t>
      </w:r>
      <w:r>
        <w:rPr>
          <w:rFonts w:hint="eastAsia" w:ascii="宋体" w:hAnsi="宋体" w:eastAsia="宋体"/>
          <w:color w:val="auto"/>
          <w:szCs w:val="21"/>
          <w:highlight w:val="none"/>
        </w:rPr>
        <w:t>“拟委任的主要人员汇总表”应填报满足本章第</w:t>
      </w:r>
      <w:r>
        <w:rPr>
          <w:rFonts w:ascii="宋体" w:hAnsi="宋体" w:eastAsia="宋体"/>
          <w:color w:val="auto"/>
          <w:szCs w:val="21"/>
          <w:highlight w:val="none"/>
        </w:rPr>
        <w:t xml:space="preserve">1.4.1项规定的项目负责人和其他主要 </w:t>
      </w:r>
      <w:r>
        <w:rPr>
          <w:rFonts w:hint="eastAsia" w:ascii="宋体" w:hAnsi="宋体" w:eastAsia="宋体"/>
          <w:color w:val="auto"/>
          <w:szCs w:val="21"/>
          <w:highlight w:val="none"/>
        </w:rPr>
        <w:t>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w:t>
      </w:r>
      <w:r>
        <w:rPr>
          <w:rFonts w:ascii="宋体" w:hAnsi="宋体" w:eastAsia="宋体"/>
          <w:color w:val="auto"/>
          <w:szCs w:val="21"/>
          <w:highlight w:val="none"/>
        </w:rPr>
        <w:t>1个月在本单位缴纳的</w:t>
      </w:r>
      <w:r>
        <w:rPr>
          <w:rFonts w:hint="eastAsia" w:ascii="宋体" w:hAnsi="宋体" w:eastAsia="宋体"/>
          <w:color w:val="auto"/>
          <w:szCs w:val="21"/>
          <w:highlight w:val="none"/>
        </w:rPr>
        <w:t>社保证明文件。）</w:t>
      </w:r>
    </w:p>
    <w:p>
      <w:pPr>
        <w:spacing w:line="360" w:lineRule="auto"/>
        <w:ind w:firstLine="420" w:firstLineChars="200"/>
        <w:rPr>
          <w:rFonts w:hint="eastAsia" w:ascii="宋体" w:hAnsi="宋体" w:eastAsia="宋体"/>
          <w:b/>
          <w:bCs/>
          <w:color w:val="auto"/>
          <w:szCs w:val="21"/>
          <w:highlight w:val="none"/>
          <w:u w:val="single"/>
        </w:rPr>
      </w:pPr>
      <w:r>
        <w:rPr>
          <w:rFonts w:ascii="宋体" w:hAnsi="宋体" w:eastAsia="宋体"/>
          <w:color w:val="auto"/>
          <w:szCs w:val="21"/>
          <w:highlight w:val="none"/>
        </w:rPr>
        <w:t xml:space="preserve">3.5.4 </w:t>
      </w:r>
      <w:r>
        <w:rPr>
          <w:rFonts w:hint="eastAsia" w:ascii="宋体" w:hAnsi="宋体" w:eastAsia="宋体"/>
          <w:color w:val="auto"/>
          <w:szCs w:val="21"/>
          <w:highlight w:val="none"/>
        </w:rPr>
        <w:t>投标人须知前附表规定接受联合体投标的，本章第</w:t>
      </w:r>
      <w:r>
        <w:rPr>
          <w:rFonts w:ascii="宋体" w:hAnsi="宋体" w:eastAsia="宋体"/>
          <w:color w:val="auto"/>
          <w:szCs w:val="21"/>
          <w:highlight w:val="none"/>
        </w:rPr>
        <w:t>3.5.1项至第3.5.3项规定的表格和资料应包括联合体各方相关情况。</w:t>
      </w:r>
    </w:p>
    <w:p>
      <w:pPr>
        <w:pBdr>
          <w:bottom w:val="single" w:color="auto" w:sz="6" w:space="1"/>
        </w:pBdr>
        <w:spacing w:line="360" w:lineRule="auto"/>
        <w:ind w:firstLine="422" w:firstLineChars="200"/>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rPr>
        <w:t>现文：</w:t>
      </w:r>
      <w:r>
        <w:rPr>
          <w:rFonts w:ascii="宋体" w:hAnsi="宋体" w:eastAsia="宋体"/>
          <w:color w:val="auto"/>
          <w:szCs w:val="21"/>
          <w:highlight w:val="none"/>
        </w:rPr>
        <w:t xml:space="preserve">3.5.1 </w:t>
      </w:r>
      <w:r>
        <w:rPr>
          <w:rFonts w:hint="eastAsia" w:ascii="宋体" w:hAnsi="宋体" w:eastAsia="宋体"/>
          <w:b/>
          <w:bCs/>
          <w:color w:val="auto"/>
          <w:szCs w:val="21"/>
          <w:highlight w:val="none"/>
          <w:u w:val="single"/>
        </w:rPr>
        <w:t>资格审查资料详见第六章“投标文件格式”。</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条款号：3.7.3            修改类型：修改</w:t>
      </w:r>
    </w:p>
    <w:p>
      <w:pPr>
        <w:spacing w:line="360" w:lineRule="auto"/>
        <w:ind w:firstLine="422" w:firstLineChars="200"/>
        <w:rPr>
          <w:rFonts w:hint="eastAsia" w:ascii="宋体" w:hAnsi="宋体" w:eastAsia="宋体"/>
          <w:b/>
          <w:bCs/>
          <w:color w:val="auto"/>
          <w:szCs w:val="21"/>
          <w:highlight w:val="none"/>
          <w:u w:val="single"/>
        </w:rPr>
      </w:pPr>
      <w:r>
        <w:rPr>
          <w:rFonts w:ascii="宋体" w:hAnsi="宋体" w:eastAsia="宋体"/>
          <w:b/>
          <w:bCs/>
          <w:color w:val="auto"/>
          <w:szCs w:val="21"/>
          <w:highlight w:val="none"/>
        </w:rPr>
        <w:t>原文：</w:t>
      </w:r>
      <w:r>
        <w:rPr>
          <w:rFonts w:ascii="宋体" w:hAnsi="宋体" w:eastAsia="宋体"/>
          <w:color w:val="auto"/>
          <w:szCs w:val="21"/>
          <w:highlight w:val="none"/>
        </w:rPr>
        <w:t>3.7.3 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Pr>
          <w:rFonts w:ascii="宋体" w:hAnsi="宋体" w:eastAsia="宋体"/>
          <w:color w:val="auto"/>
          <w:szCs w:val="21"/>
          <w:highlight w:val="none"/>
          <w:u w:val="single"/>
        </w:rPr>
        <w:t>广州交易集团有限公司（广州公共资源交易中心）</w:t>
      </w:r>
      <w:r>
        <w:rPr>
          <w:rFonts w:ascii="宋体" w:hAnsi="宋体" w:eastAsia="宋体"/>
          <w:color w:val="auto"/>
          <w:szCs w:val="21"/>
          <w:highlight w:val="none"/>
        </w:rPr>
        <w:t>网站关于全流程电子化项目的相关指南进行操作。</w:t>
      </w:r>
    </w:p>
    <w:p>
      <w:pPr>
        <w:pBdr>
          <w:bottom w:val="single" w:color="auto" w:sz="6" w:space="1"/>
        </w:pBdr>
        <w:spacing w:line="360" w:lineRule="auto"/>
        <w:ind w:firstLine="422" w:firstLineChars="200"/>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rPr>
        <w:t>现文：</w:t>
      </w:r>
      <w:r>
        <w:rPr>
          <w:rFonts w:ascii="宋体" w:hAnsi="宋体" w:eastAsia="宋体"/>
          <w:color w:val="auto"/>
          <w:szCs w:val="21"/>
          <w:highlight w:val="none"/>
        </w:rPr>
        <w:t>3.7.3 投标文件全部采用电子文档，</w:t>
      </w:r>
      <w:r>
        <w:rPr>
          <w:rFonts w:hint="eastAsia" w:ascii="宋体" w:hAnsi="宋体" w:eastAsia="宋体" w:cs="宋体"/>
          <w:b/>
          <w:bCs/>
          <w:color w:val="auto"/>
          <w:szCs w:val="21"/>
          <w:highlight w:val="none"/>
          <w:u w:val="single"/>
        </w:rPr>
        <w:t>除招标文件另有规定外，</w:t>
      </w:r>
      <w:r>
        <w:rPr>
          <w:rFonts w:ascii="宋体" w:hAnsi="宋体" w:eastAsia="宋体"/>
          <w:color w:val="auto"/>
          <w:szCs w:val="21"/>
          <w:highlight w:val="none"/>
        </w:rPr>
        <w:t>投标文件所附证书证件均为原件扫描件或电子证书，并采用单位数字证书，按招标文件要求在相应位置加盖电子印章</w:t>
      </w:r>
      <w:r>
        <w:rPr>
          <w:rFonts w:hint="eastAsia" w:ascii="宋体" w:hAnsi="宋体" w:eastAsia="宋体" w:cs="宋体"/>
          <w:b/>
          <w:bCs/>
          <w:color w:val="auto"/>
          <w:szCs w:val="21"/>
          <w:highlight w:val="none"/>
          <w:u w:val="single"/>
        </w:rPr>
        <w:t>（技术文件除外）</w:t>
      </w:r>
      <w:r>
        <w:rPr>
          <w:rFonts w:ascii="宋体" w:hAnsi="宋体" w:eastAsia="宋体"/>
          <w:color w:val="auto"/>
          <w:szCs w:val="21"/>
          <w:highlight w:val="none"/>
        </w:rPr>
        <w:t>。投标文件中需个人签字或盖章的，应加盖个人电子印章或在线下完成后扫描上传（可靠的电子签名与手写签名或者盖章具有同等的法律效力）。</w:t>
      </w:r>
      <w:r>
        <w:rPr>
          <w:rFonts w:hint="eastAsia" w:ascii="宋体" w:hAnsi="宋体" w:eastAsia="宋体" w:cs="宋体"/>
          <w:b/>
          <w:bCs/>
          <w:color w:val="auto"/>
          <w:szCs w:val="21"/>
          <w:highlight w:val="none"/>
          <w:u w:val="single"/>
        </w:rPr>
        <w:t>投标文件格式规定盖单位公章的页面必须盖单位公章或电子公章（公章与电子公章具有相同法律效力）。</w:t>
      </w:r>
      <w:r>
        <w:rPr>
          <w:rFonts w:ascii="宋体" w:hAnsi="宋体" w:eastAsia="宋体"/>
          <w:color w:val="auto"/>
          <w:szCs w:val="21"/>
          <w:highlight w:val="none"/>
        </w:rPr>
        <w:t>按照</w:t>
      </w:r>
      <w:r>
        <w:rPr>
          <w:rFonts w:ascii="宋体" w:hAnsi="宋体" w:eastAsia="宋体"/>
          <w:color w:val="auto"/>
          <w:szCs w:val="21"/>
          <w:highlight w:val="none"/>
          <w:u w:val="single"/>
        </w:rPr>
        <w:t>广州交易集团有限公司（广州公共资源交易中心）</w:t>
      </w:r>
      <w:r>
        <w:rPr>
          <w:rFonts w:ascii="宋体" w:hAnsi="宋体" w:eastAsia="宋体"/>
          <w:color w:val="auto"/>
          <w:szCs w:val="21"/>
          <w:highlight w:val="none"/>
        </w:rPr>
        <w:t>网站关于全流程电子化项目的相关指南进行操作。</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条款号：3.7.4            修改类型：修改</w:t>
      </w:r>
    </w:p>
    <w:p>
      <w:pPr>
        <w:spacing w:line="360" w:lineRule="auto"/>
        <w:ind w:firstLine="422" w:firstLineChars="200"/>
        <w:rPr>
          <w:rFonts w:hint="eastAsia" w:ascii="宋体" w:hAnsi="宋体" w:eastAsia="宋体"/>
          <w:b/>
          <w:bCs/>
          <w:color w:val="auto"/>
          <w:szCs w:val="21"/>
          <w:highlight w:val="none"/>
          <w:u w:val="single"/>
        </w:rPr>
      </w:pPr>
      <w:r>
        <w:rPr>
          <w:rFonts w:ascii="宋体" w:hAnsi="宋体" w:eastAsia="宋体"/>
          <w:b/>
          <w:bCs/>
          <w:color w:val="auto"/>
          <w:szCs w:val="21"/>
          <w:highlight w:val="none"/>
        </w:rPr>
        <w:t>原文：</w:t>
      </w:r>
      <w:r>
        <w:rPr>
          <w:rFonts w:ascii="宋体" w:hAnsi="宋体" w:eastAsia="宋体"/>
          <w:color w:val="auto"/>
          <w:szCs w:val="21"/>
          <w:highlight w:val="none"/>
        </w:rPr>
        <w:t>3.7.4 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pPr>
        <w:pBdr>
          <w:bottom w:val="single" w:color="auto" w:sz="6" w:space="1"/>
        </w:pBdr>
        <w:spacing w:line="360" w:lineRule="auto"/>
        <w:ind w:firstLine="422" w:firstLineChars="200"/>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rPr>
        <w:t>现文：</w:t>
      </w:r>
      <w:r>
        <w:rPr>
          <w:rFonts w:ascii="宋体" w:hAnsi="宋体" w:eastAsia="宋体"/>
          <w:color w:val="auto"/>
          <w:szCs w:val="21"/>
          <w:highlight w:val="none"/>
        </w:rPr>
        <w:t>3.7.4 联合体投标时，投标人封面及其他内容落款中的“投标人”</w:t>
      </w:r>
      <w:r>
        <w:rPr>
          <w:rFonts w:ascii="宋体" w:hAnsi="宋体" w:eastAsia="宋体"/>
          <w:b/>
          <w:bCs/>
          <w:color w:val="auto"/>
          <w:szCs w:val="21"/>
          <w:highlight w:val="none"/>
          <w:u w:val="single"/>
        </w:rPr>
        <w:t>“承诺企业”“声明企业”</w:t>
      </w:r>
      <w:r>
        <w:rPr>
          <w:rFonts w:ascii="宋体" w:hAnsi="宋体" w:eastAsia="宋体"/>
          <w:color w:val="auto"/>
          <w:szCs w:val="21"/>
          <w:highlight w:val="none"/>
        </w:rPr>
        <w:t>应填写联合体各方的单位全称【格式为：（主）XXXX公司（成）XXXX公司】</w:t>
      </w:r>
      <w:r>
        <w:rPr>
          <w:rFonts w:ascii="宋体" w:hAnsi="宋体" w:eastAsia="宋体"/>
          <w:b/>
          <w:bCs/>
          <w:color w:val="auto"/>
          <w:szCs w:val="21"/>
          <w:highlight w:val="none"/>
          <w:u w:val="single"/>
        </w:rPr>
        <w:t>（系统生成的单位名称除外）</w:t>
      </w:r>
      <w:r>
        <w:rPr>
          <w:rFonts w:ascii="宋体" w:hAnsi="宋体" w:eastAsia="宋体"/>
          <w:color w:val="auto"/>
          <w:szCs w:val="21"/>
          <w:highlight w:val="none"/>
        </w:rPr>
        <w:t>。除联合体共同投标协议需联合体各方按要求共同盖章</w:t>
      </w:r>
      <w:r>
        <w:rPr>
          <w:rFonts w:ascii="宋体" w:hAnsi="宋体" w:eastAsia="宋体"/>
          <w:b/>
          <w:bCs/>
          <w:color w:val="auto"/>
          <w:szCs w:val="21"/>
          <w:highlight w:val="none"/>
          <w:u w:val="single"/>
        </w:rPr>
        <w:t>、</w:t>
      </w:r>
      <w:r>
        <w:rPr>
          <w:rFonts w:ascii="宋体" w:hAnsi="宋体" w:eastAsia="宋体"/>
          <w:color w:val="auto"/>
          <w:szCs w:val="21"/>
          <w:highlight w:val="none"/>
        </w:rPr>
        <w:t>签字</w:t>
      </w:r>
      <w:r>
        <w:rPr>
          <w:rFonts w:hint="eastAsia" w:ascii="宋体" w:hAnsi="宋体" w:eastAsia="宋体"/>
          <w:b/>
          <w:bCs/>
          <w:color w:val="auto"/>
          <w:szCs w:val="21"/>
          <w:highlight w:val="none"/>
          <w:u w:val="single"/>
        </w:rPr>
        <w:t>外</w:t>
      </w:r>
      <w:r>
        <w:rPr>
          <w:rFonts w:ascii="宋体" w:hAnsi="宋体" w:eastAsia="宋体"/>
          <w:color w:val="auto"/>
          <w:szCs w:val="21"/>
          <w:highlight w:val="none"/>
        </w:rPr>
        <w:t>，其余</w:t>
      </w:r>
      <w:r>
        <w:rPr>
          <w:rFonts w:ascii="宋体" w:hAnsi="宋体" w:eastAsia="宋体"/>
          <w:b/>
          <w:bCs/>
          <w:color w:val="auto"/>
          <w:szCs w:val="21"/>
          <w:highlight w:val="none"/>
          <w:u w:val="single"/>
        </w:rPr>
        <w:t>资料没有明确哪一方盖章的，若需要签字或盖章的均</w:t>
      </w:r>
      <w:r>
        <w:rPr>
          <w:rFonts w:ascii="宋体" w:hAnsi="宋体" w:eastAsia="宋体"/>
          <w:color w:val="auto"/>
          <w:szCs w:val="21"/>
          <w:highlight w:val="none"/>
        </w:rPr>
        <w:t>可由联合体主办方签字</w:t>
      </w:r>
      <w:r>
        <w:rPr>
          <w:rFonts w:hint="eastAsia" w:ascii="宋体" w:hAnsi="宋体" w:eastAsia="宋体"/>
          <w:b/>
          <w:bCs/>
          <w:color w:val="auto"/>
          <w:szCs w:val="21"/>
          <w:highlight w:val="none"/>
          <w:u w:val="single"/>
        </w:rPr>
        <w:t>或</w:t>
      </w:r>
      <w:r>
        <w:rPr>
          <w:rFonts w:ascii="宋体" w:hAnsi="宋体" w:eastAsia="宋体"/>
          <w:color w:val="auto"/>
          <w:szCs w:val="21"/>
          <w:highlight w:val="none"/>
        </w:rPr>
        <w:t>盖章即可</w:t>
      </w:r>
      <w:r>
        <w:rPr>
          <w:rFonts w:hint="eastAsia" w:ascii="宋体" w:hAnsi="宋体" w:eastAsia="宋体"/>
          <w:b/>
          <w:bCs/>
          <w:color w:val="auto"/>
          <w:szCs w:val="21"/>
          <w:highlight w:val="none"/>
          <w:u w:val="single"/>
        </w:rPr>
        <w:t>。</w:t>
      </w:r>
      <w:r>
        <w:rPr>
          <w:rFonts w:ascii="宋体" w:hAnsi="宋体" w:eastAsia="宋体"/>
          <w:color w:val="auto"/>
          <w:szCs w:val="21"/>
          <w:highlight w:val="none"/>
        </w:rPr>
        <w:t>由联合体主办方法人签字</w:t>
      </w:r>
      <w:r>
        <w:rPr>
          <w:rFonts w:ascii="宋体" w:hAnsi="宋体" w:eastAsia="宋体"/>
          <w:b/>
          <w:bCs/>
          <w:color w:val="auto"/>
          <w:szCs w:val="21"/>
          <w:highlight w:val="none"/>
          <w:u w:val="single"/>
        </w:rPr>
        <w:t>（或盖章）</w:t>
      </w:r>
      <w:r>
        <w:rPr>
          <w:rFonts w:ascii="宋体" w:hAnsi="宋体" w:eastAsia="宋体"/>
          <w:color w:val="auto"/>
          <w:szCs w:val="21"/>
          <w:highlight w:val="none"/>
        </w:rPr>
        <w:t>的电子投标文件需提供主办方法定代表人证明书，若由联合体主办方法定代表人授权签字</w:t>
      </w:r>
      <w:r>
        <w:rPr>
          <w:rFonts w:ascii="宋体" w:hAnsi="宋体" w:eastAsia="宋体"/>
          <w:b/>
          <w:bCs/>
          <w:color w:val="auto"/>
          <w:szCs w:val="21"/>
          <w:highlight w:val="none"/>
          <w:u w:val="single"/>
        </w:rPr>
        <w:t>（或盖章）</w:t>
      </w:r>
      <w:r>
        <w:rPr>
          <w:rFonts w:ascii="宋体" w:hAnsi="宋体" w:eastAsia="宋体"/>
          <w:color w:val="auto"/>
          <w:szCs w:val="21"/>
          <w:highlight w:val="none"/>
        </w:rPr>
        <w:t>的电子投标文件需提供法定代表人证明书及其授权委托书、授权委托人身份证扫描件。</w:t>
      </w:r>
      <w:r>
        <w:rPr>
          <w:rFonts w:ascii="宋体" w:hAnsi="宋体" w:eastAsia="宋体"/>
          <w:b/>
          <w:bCs/>
          <w:color w:val="auto"/>
          <w:szCs w:val="21"/>
          <w:highlight w:val="none"/>
          <w:u w:val="single"/>
        </w:rPr>
        <w:t>（技术文件的编制不在此要求内。）</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ascii="宋体" w:hAnsi="宋体" w:eastAsia="宋体" w:cs="宋体"/>
          <w:b/>
          <w:color w:val="auto"/>
          <w:szCs w:val="21"/>
          <w:highlight w:val="none"/>
        </w:rPr>
        <w:t xml:space="preserve">3.7.6             </w:t>
      </w:r>
      <w:r>
        <w:rPr>
          <w:rFonts w:hint="eastAsia" w:ascii="宋体" w:hAnsi="宋体" w:eastAsia="宋体" w:cs="宋体"/>
          <w:b/>
          <w:color w:val="auto"/>
          <w:szCs w:val="21"/>
          <w:highlight w:val="none"/>
        </w:rPr>
        <w:t>修改类型：增加</w:t>
      </w:r>
    </w:p>
    <w:p>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ascii="宋体" w:hAnsi="宋体" w:eastAsia="宋体" w:cs="宋体"/>
          <w:bCs/>
          <w:color w:val="auto"/>
          <w:szCs w:val="21"/>
          <w:highlight w:val="none"/>
          <w:u w:val="single"/>
        </w:rPr>
        <w:t xml:space="preserve">3.7.6 </w:t>
      </w:r>
      <w:r>
        <w:rPr>
          <w:rFonts w:hint="eastAsia" w:ascii="宋体" w:hAnsi="宋体" w:eastAsia="宋体" w:cs="宋体"/>
          <w:bCs/>
          <w:color w:val="auto"/>
          <w:szCs w:val="21"/>
          <w:highlight w:val="none"/>
          <w:u w:val="single"/>
        </w:rPr>
        <w:t>投标文件的具体编制规定详见第六章的“勘察设计投标文件编制要求”。</w:t>
      </w:r>
    </w:p>
    <w:p>
      <w:pPr>
        <w:spacing w:line="360" w:lineRule="auto"/>
        <w:ind w:firstLine="422" w:firstLineChars="200"/>
        <w:rPr>
          <w:rFonts w:hint="eastAsia" w:ascii="宋体" w:hAnsi="宋体" w:eastAsia="宋体"/>
          <w:b/>
          <w:color w:val="auto"/>
          <w:szCs w:val="21"/>
          <w:highlight w:val="none"/>
        </w:rPr>
      </w:pPr>
      <w:r>
        <w:rPr>
          <w:rFonts w:ascii="宋体" w:hAnsi="宋体" w:eastAsia="宋体"/>
          <w:b/>
          <w:color w:val="auto"/>
          <w:szCs w:val="21"/>
          <w:highlight w:val="none"/>
        </w:rPr>
        <w:t>条款号：4.3.1             修改类型：修改</w:t>
      </w:r>
    </w:p>
    <w:p>
      <w:pPr>
        <w:spacing w:line="360" w:lineRule="auto"/>
        <w:ind w:firstLine="422" w:firstLineChars="200"/>
        <w:rPr>
          <w:rFonts w:hint="eastAsia" w:ascii="宋体" w:hAnsi="宋体" w:eastAsia="宋体"/>
          <w:color w:val="auto"/>
          <w:szCs w:val="21"/>
          <w:highlight w:val="none"/>
        </w:rPr>
      </w:pPr>
      <w:r>
        <w:rPr>
          <w:rFonts w:ascii="宋体" w:hAnsi="宋体" w:eastAsia="宋体"/>
          <w:b/>
          <w:color w:val="auto"/>
          <w:szCs w:val="21"/>
          <w:highlight w:val="none"/>
        </w:rPr>
        <w:t>原文：</w:t>
      </w:r>
      <w:r>
        <w:rPr>
          <w:rFonts w:ascii="宋体" w:hAnsi="宋体" w:eastAsia="宋体"/>
          <w:color w:val="auto"/>
          <w:szCs w:val="21"/>
          <w:highlight w:val="none"/>
        </w:rPr>
        <w:t xml:space="preserve">4.3.1 </w:t>
      </w:r>
      <w:r>
        <w:rPr>
          <w:rFonts w:hint="eastAsia" w:ascii="宋体" w:hAnsi="宋体" w:eastAsia="宋体"/>
          <w:color w:val="auto"/>
          <w:szCs w:val="21"/>
          <w:highlight w:val="none"/>
        </w:rPr>
        <w:t>在规定的投标截止时间前，投标人可以修改或撤回已递交的投标文件，但应以书面形式通知招标人。</w:t>
      </w:r>
    </w:p>
    <w:p>
      <w:pPr>
        <w:pBdr>
          <w:bottom w:val="single" w:color="auto" w:sz="6" w:space="1"/>
        </w:pBdr>
        <w:spacing w:line="360" w:lineRule="auto"/>
        <w:ind w:firstLine="422" w:firstLineChars="200"/>
        <w:rPr>
          <w:rFonts w:hint="eastAsia" w:ascii="宋体" w:hAnsi="宋体" w:eastAsia="宋体"/>
          <w:color w:val="auto"/>
          <w:szCs w:val="21"/>
          <w:highlight w:val="none"/>
        </w:rPr>
      </w:pPr>
      <w:r>
        <w:rPr>
          <w:rFonts w:ascii="宋体" w:hAnsi="宋体" w:eastAsia="宋体"/>
          <w:b/>
          <w:color w:val="auto"/>
          <w:szCs w:val="21"/>
          <w:highlight w:val="none"/>
        </w:rPr>
        <w:t>现文：</w:t>
      </w:r>
      <w:r>
        <w:rPr>
          <w:rFonts w:ascii="宋体" w:hAnsi="宋体" w:eastAsia="宋体"/>
          <w:color w:val="auto"/>
          <w:szCs w:val="21"/>
          <w:highlight w:val="none"/>
        </w:rPr>
        <w:t xml:space="preserve">4.3.1 </w:t>
      </w:r>
      <w:r>
        <w:rPr>
          <w:rFonts w:hint="eastAsia" w:ascii="宋体" w:hAnsi="宋体" w:eastAsia="宋体"/>
          <w:color w:val="auto"/>
          <w:szCs w:val="21"/>
          <w:highlight w:val="none"/>
        </w:rPr>
        <w:t>在规定的投标截止时间前，投标人可以修改或撤回已递交的投标文件</w:t>
      </w:r>
      <w:r>
        <w:rPr>
          <w:rFonts w:hint="eastAsia" w:ascii="宋体" w:hAnsi="宋体" w:eastAsia="宋体"/>
          <w:strike/>
          <w:color w:val="auto"/>
          <w:szCs w:val="21"/>
          <w:highlight w:val="none"/>
        </w:rPr>
        <w:t>，但应以书面形式通知招标人</w:t>
      </w:r>
      <w:r>
        <w:rPr>
          <w:rFonts w:hint="eastAsia" w:ascii="宋体" w:hAnsi="宋体" w:eastAsia="宋体"/>
          <w:color w:val="auto"/>
          <w:szCs w:val="21"/>
          <w:highlight w:val="none"/>
        </w:rPr>
        <w:t>。</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条款号：5.2.1            修改类型：修改</w:t>
      </w:r>
    </w:p>
    <w:p>
      <w:pPr>
        <w:spacing w:line="360" w:lineRule="auto"/>
        <w:ind w:firstLine="422" w:firstLineChars="200"/>
        <w:rPr>
          <w:rFonts w:hint="eastAsia" w:ascii="宋体" w:hAnsi="宋体" w:eastAsia="宋体"/>
          <w:b/>
          <w:bCs/>
          <w:color w:val="auto"/>
          <w:szCs w:val="21"/>
          <w:highlight w:val="none"/>
          <w:u w:val="single"/>
        </w:rPr>
      </w:pPr>
      <w:r>
        <w:rPr>
          <w:rFonts w:ascii="宋体" w:hAnsi="宋体" w:eastAsia="宋体"/>
          <w:b/>
          <w:bCs/>
          <w:color w:val="auto"/>
          <w:szCs w:val="21"/>
          <w:highlight w:val="none"/>
        </w:rPr>
        <w:t>原文：</w:t>
      </w:r>
      <w:r>
        <w:rPr>
          <w:rFonts w:ascii="宋体" w:hAnsi="宋体" w:eastAsia="宋体"/>
          <w:color w:val="auto"/>
          <w:szCs w:val="21"/>
          <w:highlight w:val="none"/>
        </w:rPr>
        <w:t xml:space="preserve">5.2.1 </w:t>
      </w:r>
      <w:r>
        <w:rPr>
          <w:rFonts w:hint="eastAsia" w:ascii="宋体" w:hAnsi="宋体" w:eastAsia="宋体"/>
          <w:color w:val="auto"/>
          <w:szCs w:val="21"/>
          <w:highlight w:val="none"/>
        </w:rPr>
        <w:t>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pPr>
        <w:pBdr>
          <w:bottom w:val="single" w:color="auto" w:sz="6" w:space="1"/>
        </w:pBdr>
        <w:spacing w:line="360" w:lineRule="auto"/>
        <w:ind w:firstLine="422" w:firstLineChars="200"/>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rPr>
        <w:t>现文：</w:t>
      </w:r>
      <w:r>
        <w:rPr>
          <w:rFonts w:ascii="宋体" w:hAnsi="宋体" w:eastAsia="宋体"/>
          <w:color w:val="auto"/>
          <w:szCs w:val="21"/>
          <w:highlight w:val="none"/>
        </w:rPr>
        <w:t xml:space="preserve">5.2.1 </w:t>
      </w:r>
      <w:r>
        <w:rPr>
          <w:rFonts w:hint="eastAsia" w:ascii="宋体" w:hAnsi="宋体" w:eastAsia="宋体"/>
          <w:color w:val="auto"/>
          <w:szCs w:val="21"/>
          <w:highlight w:val="none"/>
        </w:rPr>
        <w:t>在投标截止时间后</w:t>
      </w:r>
      <w:r>
        <w:rPr>
          <w:rFonts w:ascii="宋体" w:hAnsi="宋体" w:eastAsia="宋体"/>
          <w:b/>
          <w:bCs/>
          <w:color w:val="auto"/>
          <w:szCs w:val="21"/>
          <w:highlight w:val="none"/>
          <w:u w:val="single"/>
        </w:rPr>
        <w:t>1小时</w:t>
      </w:r>
      <w:r>
        <w:rPr>
          <w:rFonts w:hint="eastAsia" w:ascii="宋体" w:hAnsi="宋体" w:eastAsia="宋体"/>
          <w:color w:val="auto"/>
          <w:szCs w:val="21"/>
          <w:highlight w:val="none"/>
        </w:rPr>
        <w:t>内，投标人通过递交投标文件的交易平台对已递交的电子投标文件进行解密。投标人完成解密后，再由招标人进行解密。解密完成后，公布招标项目名称、投标人名称</w:t>
      </w:r>
      <w:r>
        <w:rPr>
          <w:rFonts w:hint="eastAsia" w:ascii="宋体" w:hAnsi="宋体" w:eastAsia="宋体"/>
          <w:strike/>
          <w:color w:val="auto"/>
          <w:szCs w:val="21"/>
          <w:highlight w:val="none"/>
        </w:rPr>
        <w:t>、投标保证金的递交情况</w:t>
      </w:r>
      <w:r>
        <w:rPr>
          <w:rFonts w:hint="eastAsia" w:ascii="宋体" w:hAnsi="宋体" w:eastAsia="宋体"/>
          <w:color w:val="auto"/>
          <w:szCs w:val="21"/>
          <w:highlight w:val="none"/>
        </w:rPr>
        <w:t>、投标报价、项目负责人及其他内容。未在规定时间内解密的投标文件不参与开标、评标。</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ascii="宋体" w:hAnsi="宋体" w:eastAsia="宋体" w:cs="宋体"/>
          <w:b/>
          <w:color w:val="auto"/>
          <w:szCs w:val="21"/>
          <w:highlight w:val="none"/>
        </w:rPr>
        <w:t xml:space="preserve">5.2.2             </w:t>
      </w:r>
      <w:r>
        <w:rPr>
          <w:rFonts w:hint="eastAsia" w:ascii="宋体" w:hAnsi="宋体" w:eastAsia="宋体" w:cs="宋体"/>
          <w:b/>
          <w:color w:val="auto"/>
          <w:szCs w:val="21"/>
          <w:highlight w:val="none"/>
        </w:rPr>
        <w:t>修改类型：修改</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ascii="宋体" w:hAnsi="宋体" w:eastAsia="宋体" w:cs="宋体"/>
          <w:color w:val="auto"/>
          <w:szCs w:val="21"/>
          <w:highlight w:val="none"/>
        </w:rPr>
        <w:t xml:space="preserve">5.2.2 </w:t>
      </w:r>
      <w:r>
        <w:rPr>
          <w:rFonts w:hint="eastAsia" w:ascii="宋体" w:hAnsi="宋体" w:eastAsia="宋体" w:cs="宋体"/>
          <w:color w:val="auto"/>
          <w:szCs w:val="21"/>
          <w:highlight w:val="none"/>
        </w:rPr>
        <w:t>按开标记录表规定的内容进行唱标。</w:t>
      </w:r>
    </w:p>
    <w:p>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ascii="宋体" w:hAnsi="宋体" w:eastAsia="宋体" w:cs="宋体"/>
          <w:color w:val="auto"/>
          <w:szCs w:val="21"/>
          <w:highlight w:val="none"/>
        </w:rPr>
        <w:t xml:space="preserve">5.2.2 </w:t>
      </w:r>
      <w:r>
        <w:rPr>
          <w:rFonts w:hint="eastAsia" w:ascii="宋体" w:hAnsi="宋体" w:eastAsia="宋体" w:cs="宋体"/>
          <w:color w:val="auto"/>
          <w:szCs w:val="21"/>
          <w:highlight w:val="none"/>
        </w:rPr>
        <w:t>按开标记录表规定的内容进行唱标。</w:t>
      </w:r>
      <w:r>
        <w:rPr>
          <w:rFonts w:hint="eastAsia" w:ascii="宋体" w:hAnsi="宋体" w:eastAsia="宋体" w:cs="宋体"/>
          <w:bCs/>
          <w:color w:val="auto"/>
          <w:szCs w:val="21"/>
          <w:highlight w:val="none"/>
          <w:u w:val="single"/>
        </w:rPr>
        <w:t>技术文件开标时不得开启，在评标时由交易平台随机编号后开启，交由评标委员会进行评审。编号所对应的投标人在技术文件评审结束前不得告知评标委员会、交易平台工作人员、招标人或招标代理机构。</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ascii="宋体" w:hAnsi="宋体" w:eastAsia="宋体" w:cs="宋体"/>
          <w:b/>
          <w:color w:val="auto"/>
          <w:szCs w:val="21"/>
          <w:highlight w:val="none"/>
        </w:rPr>
        <w:t xml:space="preserve">5.3.4             </w:t>
      </w:r>
      <w:r>
        <w:rPr>
          <w:rFonts w:hint="eastAsia" w:ascii="宋体" w:hAnsi="宋体" w:eastAsia="宋体" w:cs="宋体"/>
          <w:b/>
          <w:color w:val="auto"/>
          <w:szCs w:val="21"/>
          <w:highlight w:val="none"/>
        </w:rPr>
        <w:t>修改类型：增加</w:t>
      </w:r>
    </w:p>
    <w:p>
      <w:pPr>
        <w:pBdr>
          <w:bottom w:val="single" w:color="auto" w:sz="6" w:space="1"/>
        </w:pBd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现文：</w:t>
      </w:r>
      <w:r>
        <w:rPr>
          <w:rFonts w:ascii="宋体" w:hAnsi="宋体" w:eastAsia="宋体" w:cs="宋体"/>
          <w:bCs/>
          <w:color w:val="auto"/>
          <w:szCs w:val="21"/>
          <w:highlight w:val="none"/>
          <w:u w:val="single"/>
        </w:rPr>
        <w:t xml:space="preserve">5.3.4 </w:t>
      </w:r>
      <w:r>
        <w:rPr>
          <w:rFonts w:hint="eastAsia" w:ascii="宋体" w:hAnsi="宋体" w:eastAsia="宋体" w:cs="宋体"/>
          <w:bCs/>
          <w:color w:val="auto"/>
          <w:szCs w:val="21"/>
          <w:highlight w:val="none"/>
          <w:u w:val="single"/>
        </w:rPr>
        <w:t>详见广州交易集团有限公司（广州公共资源交易中心）官网最新发布的最新版操作指引。</w:t>
      </w:r>
    </w:p>
    <w:p>
      <w:pPr>
        <w:spacing w:line="360" w:lineRule="auto"/>
        <w:ind w:firstLine="422" w:firstLineChars="200"/>
        <w:rPr>
          <w:rFonts w:hint="eastAsia" w:ascii="宋体" w:hAnsi="宋体" w:eastAsia="宋体"/>
          <w:b/>
          <w:bCs/>
          <w:color w:val="auto"/>
          <w:szCs w:val="21"/>
          <w:highlight w:val="none"/>
        </w:rPr>
      </w:pPr>
      <w:r>
        <w:rPr>
          <w:rFonts w:hint="eastAsia" w:ascii="宋体" w:hAnsi="宋体" w:eastAsia="宋体"/>
          <w:b/>
          <w:bCs/>
          <w:color w:val="auto"/>
          <w:szCs w:val="21"/>
          <w:highlight w:val="none"/>
        </w:rPr>
        <w:t>条款号：</w:t>
      </w:r>
      <w:r>
        <w:rPr>
          <w:rFonts w:ascii="宋体" w:hAnsi="宋体" w:eastAsia="宋体"/>
          <w:b/>
          <w:bCs/>
          <w:color w:val="auto"/>
          <w:szCs w:val="21"/>
          <w:highlight w:val="none"/>
        </w:rPr>
        <w:t>6.1.4             修改类型：增加</w:t>
      </w:r>
    </w:p>
    <w:p>
      <w:pPr>
        <w:pBdr>
          <w:bottom w:val="single" w:color="auto" w:sz="6" w:space="1"/>
        </w:pBdr>
        <w:spacing w:line="360" w:lineRule="auto"/>
        <w:ind w:firstLine="422" w:firstLineChars="200"/>
        <w:rPr>
          <w:rFonts w:hint="eastAsia" w:ascii="宋体" w:hAnsi="宋体" w:eastAsia="宋体"/>
          <w:b/>
          <w:bCs/>
          <w:color w:val="auto"/>
          <w:szCs w:val="21"/>
          <w:highlight w:val="none"/>
        </w:rPr>
      </w:pPr>
      <w:r>
        <w:rPr>
          <w:rFonts w:hint="eastAsia" w:ascii="宋体" w:hAnsi="宋体" w:eastAsia="宋体"/>
          <w:b/>
          <w:bCs/>
          <w:color w:val="auto"/>
          <w:szCs w:val="21"/>
          <w:highlight w:val="none"/>
        </w:rPr>
        <w:t>现文：</w:t>
      </w:r>
      <w:r>
        <w:rPr>
          <w:rFonts w:ascii="宋体" w:hAnsi="宋体" w:eastAsia="宋体"/>
          <w:bCs/>
          <w:color w:val="auto"/>
          <w:szCs w:val="21"/>
          <w:highlight w:val="none"/>
          <w:u w:val="single"/>
        </w:rPr>
        <w:t>6.1.4 评标委员会在开始评标前，应了解评标专家的职责及守则，认真阅读附表《评标委员会成员声明》的内容并签名，签名后方可进行评标。</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条款号：7.1.2            修改类型：修改</w:t>
      </w:r>
    </w:p>
    <w:p>
      <w:pPr>
        <w:spacing w:line="360" w:lineRule="auto"/>
        <w:ind w:firstLine="422" w:firstLineChars="200"/>
        <w:rPr>
          <w:rFonts w:hint="eastAsia" w:ascii="宋体" w:hAnsi="宋体" w:eastAsia="宋体"/>
          <w:b/>
          <w:bCs/>
          <w:color w:val="auto"/>
          <w:szCs w:val="21"/>
          <w:highlight w:val="none"/>
          <w:u w:val="single"/>
        </w:rPr>
      </w:pPr>
      <w:r>
        <w:rPr>
          <w:rFonts w:ascii="宋体" w:hAnsi="宋体" w:eastAsia="宋体"/>
          <w:b/>
          <w:bCs/>
          <w:color w:val="auto"/>
          <w:szCs w:val="21"/>
          <w:highlight w:val="none"/>
        </w:rPr>
        <w:t>原文：</w:t>
      </w:r>
      <w:r>
        <w:rPr>
          <w:rFonts w:ascii="宋体" w:hAnsi="宋体" w:eastAsia="宋体"/>
          <w:color w:val="auto"/>
          <w:szCs w:val="21"/>
          <w:highlight w:val="none"/>
        </w:rPr>
        <w:t xml:space="preserve">7.1.2 </w:t>
      </w:r>
      <w:r>
        <w:rPr>
          <w:rFonts w:hint="eastAsia" w:ascii="宋体" w:hAnsi="宋体" w:eastAsia="宋体"/>
          <w:color w:val="auto"/>
          <w:szCs w:val="21"/>
          <w:highlight w:val="none"/>
        </w:rPr>
        <w:t>在产生中标候选人后，招标人将中标候选人的投标文件商务部分（包括报价清单、人员、业绩、奖项等资料）在广州交易集团有限公司（广州公共资源交易中心）网站和广东省招标投标监管网公开。</w:t>
      </w:r>
    </w:p>
    <w:p>
      <w:pPr>
        <w:pBdr>
          <w:bottom w:val="single" w:color="auto" w:sz="6" w:space="1"/>
        </w:pBdr>
        <w:spacing w:line="360" w:lineRule="auto"/>
        <w:ind w:firstLine="422" w:firstLineChars="200"/>
        <w:rPr>
          <w:rFonts w:hint="eastAsia" w:ascii="宋体" w:hAnsi="宋体" w:eastAsia="宋体"/>
          <w:color w:val="auto"/>
          <w:szCs w:val="21"/>
          <w:highlight w:val="none"/>
        </w:rPr>
      </w:pPr>
      <w:r>
        <w:rPr>
          <w:rFonts w:hint="eastAsia" w:ascii="宋体" w:hAnsi="宋体" w:eastAsia="宋体"/>
          <w:b/>
          <w:bCs/>
          <w:color w:val="auto"/>
          <w:szCs w:val="21"/>
          <w:highlight w:val="none"/>
        </w:rPr>
        <w:t>现文：</w:t>
      </w:r>
      <w:r>
        <w:rPr>
          <w:rFonts w:ascii="宋体" w:hAnsi="宋体" w:eastAsia="宋体"/>
          <w:color w:val="auto"/>
          <w:szCs w:val="21"/>
          <w:highlight w:val="none"/>
        </w:rPr>
        <w:t xml:space="preserve">7.1.2 </w:t>
      </w:r>
      <w:r>
        <w:rPr>
          <w:rFonts w:hint="eastAsia" w:ascii="宋体" w:hAnsi="宋体" w:eastAsia="宋体"/>
          <w:color w:val="auto"/>
          <w:szCs w:val="21"/>
          <w:highlight w:val="none"/>
        </w:rPr>
        <w:t>在产生中标候选人后，招标人将中标候选人的投标文件商务部分（包括</w:t>
      </w:r>
      <w:r>
        <w:rPr>
          <w:rFonts w:hint="eastAsia" w:ascii="宋体" w:hAnsi="宋体" w:eastAsia="宋体"/>
          <w:color w:val="auto"/>
          <w:szCs w:val="21"/>
          <w:highlight w:val="none"/>
          <w:u w:val="single"/>
        </w:rPr>
        <w:t>人员、业绩、奖项</w:t>
      </w:r>
      <w:r>
        <w:rPr>
          <w:rFonts w:hint="eastAsia" w:ascii="宋体" w:hAnsi="宋体" w:eastAsia="宋体"/>
          <w:color w:val="auto"/>
          <w:szCs w:val="21"/>
          <w:highlight w:val="none"/>
        </w:rPr>
        <w:t>等资料</w:t>
      </w:r>
      <w:r>
        <w:rPr>
          <w:rFonts w:hint="eastAsia" w:ascii="宋体" w:hAnsi="宋体" w:eastAsia="宋体"/>
          <w:b/>
          <w:bCs/>
          <w:color w:val="auto"/>
          <w:szCs w:val="21"/>
          <w:highlight w:val="none"/>
          <w:u w:val="single"/>
        </w:rPr>
        <w:t>，但报价清单、方案等涉及商业秘密的内容除外</w:t>
      </w:r>
      <w:r>
        <w:rPr>
          <w:rFonts w:hint="eastAsia" w:ascii="宋体" w:hAnsi="宋体" w:eastAsia="宋体"/>
          <w:color w:val="auto"/>
          <w:szCs w:val="21"/>
          <w:highlight w:val="none"/>
        </w:rPr>
        <w:t>）在广州交易集团有限公司（广州公共资源交易中心）网站和广东省招标投标监管网公开。</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ascii="宋体" w:hAnsi="宋体" w:eastAsia="宋体" w:cs="宋体"/>
          <w:b/>
          <w:color w:val="auto"/>
          <w:szCs w:val="21"/>
          <w:highlight w:val="none"/>
        </w:rPr>
        <w:t xml:space="preserve">7.5.1             </w:t>
      </w:r>
      <w:r>
        <w:rPr>
          <w:rFonts w:hint="eastAsia" w:ascii="宋体" w:hAnsi="宋体" w:eastAsia="宋体" w:cs="宋体"/>
          <w:b/>
          <w:color w:val="auto"/>
          <w:szCs w:val="21"/>
          <w:highlight w:val="none"/>
        </w:rPr>
        <w:t>修改类型：修改</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ascii="宋体" w:hAnsi="宋体" w:eastAsia="宋体" w:cs="宋体"/>
          <w:color w:val="auto"/>
          <w:szCs w:val="21"/>
          <w:highlight w:val="none"/>
        </w:rPr>
        <w:t xml:space="preserve">7.5.1 </w:t>
      </w:r>
      <w:r>
        <w:rPr>
          <w:rFonts w:hint="eastAsia" w:ascii="宋体" w:hAnsi="宋体" w:eastAsia="宋体" w:cs="宋体"/>
          <w:color w:val="auto"/>
          <w:szCs w:val="21"/>
          <w:highlight w:val="none"/>
        </w:rPr>
        <w:t>在法规规定的时间内，招标人以书面形式向中标人发出中标通知书。在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网和广东省招标投标监管网发布中标信息，视同将中标结果通知未中标的投标人。</w:t>
      </w:r>
    </w:p>
    <w:p>
      <w:pPr>
        <w:pBdr>
          <w:bottom w:val="single" w:color="auto" w:sz="6" w:space="1"/>
        </w:pBdr>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现文：</w:t>
      </w:r>
      <w:r>
        <w:rPr>
          <w:rFonts w:ascii="宋体" w:hAnsi="宋体" w:eastAsia="宋体" w:cs="宋体"/>
          <w:color w:val="auto"/>
          <w:szCs w:val="21"/>
          <w:highlight w:val="none"/>
        </w:rPr>
        <w:t xml:space="preserve">7.5.1 </w:t>
      </w:r>
      <w:r>
        <w:rPr>
          <w:rFonts w:hint="eastAsia" w:ascii="宋体" w:hAnsi="宋体" w:eastAsia="宋体" w:cs="宋体"/>
          <w:color w:val="auto"/>
          <w:szCs w:val="21"/>
          <w:highlight w:val="none"/>
        </w:rPr>
        <w:t>在法规规定的时间内，招标人以书面形式向中标人发出中标通知书</w:t>
      </w:r>
      <w:r>
        <w:rPr>
          <w:rFonts w:hint="eastAsia" w:ascii="宋体" w:hAnsi="宋体" w:eastAsia="宋体" w:cs="宋体"/>
          <w:bCs/>
          <w:color w:val="auto"/>
          <w:szCs w:val="21"/>
          <w:highlight w:val="none"/>
          <w:u w:val="single"/>
        </w:rPr>
        <w:t>，中标人自行于广州交易集团有限公司（广州公共资源交易中心）交易平台下载中标通知书</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u w:val="single"/>
        </w:rPr>
        <w:t>同时招标人将</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网和广东省招标投标监管网发布中标信息，视同将中标结果通知未中标的投标人。</w:t>
      </w:r>
      <w:r>
        <w:rPr>
          <w:rFonts w:hint="eastAsia" w:ascii="宋体" w:hAnsi="宋体" w:eastAsia="宋体" w:cs="宋体"/>
          <w:bCs/>
          <w:color w:val="auto"/>
          <w:szCs w:val="21"/>
          <w:highlight w:val="none"/>
          <w:u w:val="single"/>
        </w:rPr>
        <w:t>中标人须对其投标文件真实性负责，并准备投标文件涉及的所有原件待查，如存在弄虚作假情况或原件不齐或与原件不符的，招标人有权取消其中标人资格，并上报建设行政主管部门。</w:t>
      </w:r>
    </w:p>
    <w:p>
      <w:pPr>
        <w:spacing w:line="360" w:lineRule="auto"/>
        <w:ind w:firstLine="422" w:firstLineChars="200"/>
        <w:rPr>
          <w:rFonts w:hint="eastAsia" w:ascii="宋体" w:hAnsi="宋体" w:eastAsia="宋体"/>
          <w:b/>
          <w:color w:val="auto"/>
          <w:szCs w:val="21"/>
          <w:highlight w:val="none"/>
        </w:rPr>
      </w:pPr>
      <w:r>
        <w:rPr>
          <w:rFonts w:ascii="宋体" w:hAnsi="宋体" w:eastAsia="宋体"/>
          <w:b/>
          <w:color w:val="auto"/>
          <w:szCs w:val="21"/>
          <w:highlight w:val="none"/>
        </w:rPr>
        <w:t>条款号：7.6             修改类型：修改</w:t>
      </w:r>
    </w:p>
    <w:p>
      <w:pPr>
        <w:spacing w:line="360" w:lineRule="auto"/>
        <w:ind w:firstLine="422" w:firstLineChars="200"/>
        <w:rPr>
          <w:rFonts w:hint="eastAsia" w:ascii="宋体" w:hAnsi="宋体" w:eastAsia="宋体"/>
          <w:color w:val="auto"/>
          <w:szCs w:val="21"/>
          <w:highlight w:val="none"/>
        </w:rPr>
      </w:pPr>
      <w:r>
        <w:rPr>
          <w:rFonts w:ascii="宋体" w:hAnsi="宋体" w:eastAsia="宋体"/>
          <w:b/>
          <w:color w:val="auto"/>
          <w:szCs w:val="21"/>
          <w:highlight w:val="none"/>
        </w:rPr>
        <w:t>原文：</w:t>
      </w:r>
      <w:r>
        <w:rPr>
          <w:rFonts w:ascii="宋体" w:hAnsi="宋体" w:eastAsia="宋体"/>
          <w:color w:val="auto"/>
          <w:szCs w:val="21"/>
          <w:highlight w:val="none"/>
        </w:rPr>
        <w:t>7.6 技术成果经济补偿</w:t>
      </w:r>
    </w:p>
    <w:p>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Pr>
          <w:rFonts w:ascii="宋体" w:hAnsi="宋体" w:eastAsia="宋体"/>
          <w:color w:val="auto"/>
          <w:szCs w:val="21"/>
          <w:highlight w:val="none"/>
        </w:rPr>
        <w:t>30日内向未中标人支付技术成果经济补偿费。</w:t>
      </w:r>
    </w:p>
    <w:p>
      <w:pPr>
        <w:spacing w:line="360" w:lineRule="auto"/>
        <w:ind w:firstLine="422" w:firstLineChars="200"/>
        <w:rPr>
          <w:rFonts w:hint="eastAsia" w:ascii="宋体" w:hAnsi="宋体" w:eastAsia="宋体"/>
          <w:color w:val="auto"/>
          <w:szCs w:val="21"/>
          <w:highlight w:val="none"/>
        </w:rPr>
      </w:pPr>
      <w:r>
        <w:rPr>
          <w:rFonts w:ascii="宋体" w:hAnsi="宋体" w:eastAsia="宋体"/>
          <w:b/>
          <w:color w:val="auto"/>
          <w:szCs w:val="21"/>
          <w:highlight w:val="none"/>
        </w:rPr>
        <w:t>现文：</w:t>
      </w:r>
      <w:r>
        <w:rPr>
          <w:rFonts w:ascii="宋体" w:hAnsi="宋体" w:eastAsia="宋体"/>
          <w:color w:val="auto"/>
          <w:szCs w:val="21"/>
          <w:highlight w:val="none"/>
        </w:rPr>
        <w:t>7.6 技术成果经济补偿</w:t>
      </w:r>
    </w:p>
    <w:p>
      <w:pPr>
        <w:pBdr>
          <w:bottom w:val="single" w:color="auto" w:sz="6" w:space="1"/>
        </w:pBdr>
        <w:spacing w:line="360" w:lineRule="auto"/>
        <w:ind w:firstLine="420" w:firstLineChars="200"/>
        <w:rPr>
          <w:rFonts w:hint="eastAsia" w:ascii="宋体" w:hAnsi="宋体" w:eastAsia="宋体"/>
          <w:strike/>
          <w:color w:val="auto"/>
          <w:szCs w:val="21"/>
          <w:highlight w:val="none"/>
        </w:rPr>
      </w:pPr>
      <w:r>
        <w:rPr>
          <w:rFonts w:hint="eastAsia" w:ascii="宋体" w:hAnsi="宋体" w:eastAsia="宋体"/>
          <w:color w:val="auto"/>
          <w:szCs w:val="21"/>
          <w:highlight w:val="none"/>
        </w:rPr>
        <w:t>招标人对符合招标文件规定的未中标人的技术成果进行补偿的，招标人将按投标人须知前附表规定的标准给予经济补偿，未中标人在投标文件中声明放弃技术成果经济补偿费的除外。</w:t>
      </w:r>
      <w:r>
        <w:rPr>
          <w:rFonts w:hint="eastAsia" w:ascii="宋体" w:hAnsi="宋体" w:eastAsia="宋体"/>
          <w:strike/>
          <w:color w:val="auto"/>
          <w:szCs w:val="21"/>
          <w:highlight w:val="none"/>
        </w:rPr>
        <w:t>招标人将于中标通知书发出后</w:t>
      </w:r>
      <w:r>
        <w:rPr>
          <w:rFonts w:ascii="宋体" w:hAnsi="宋体" w:eastAsia="宋体"/>
          <w:strike/>
          <w:color w:val="auto"/>
          <w:szCs w:val="21"/>
          <w:highlight w:val="none"/>
        </w:rPr>
        <w:t>30日内向未中标人支付技术成果经济补偿费。</w:t>
      </w:r>
    </w:p>
    <w:p>
      <w:pPr>
        <w:pBdr>
          <w:bottom w:val="single" w:color="auto" w:sz="4" w:space="0"/>
        </w:pBd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ascii="宋体" w:hAnsi="宋体" w:eastAsia="宋体" w:cs="宋体"/>
          <w:b/>
          <w:color w:val="auto"/>
          <w:szCs w:val="21"/>
          <w:highlight w:val="none"/>
        </w:rPr>
        <w:t>7.7                修改类型：修改</w:t>
      </w:r>
    </w:p>
    <w:p>
      <w:pPr>
        <w:pBdr>
          <w:bottom w:val="single" w:color="auto" w:sz="4" w:space="0"/>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ascii="宋体" w:hAnsi="宋体" w:eastAsia="宋体" w:cs="宋体"/>
          <w:color w:val="auto"/>
          <w:szCs w:val="21"/>
          <w:highlight w:val="none"/>
        </w:rPr>
        <w:t>7.7 履约保证金</w:t>
      </w:r>
    </w:p>
    <w:p>
      <w:pPr>
        <w:pBdr>
          <w:bottom w:val="single" w:color="auto" w:sz="4" w:space="0"/>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ascii="宋体" w:hAnsi="宋体" w:eastAsia="宋体" w:cs="宋体"/>
          <w:color w:val="auto"/>
          <w:szCs w:val="21"/>
          <w:highlight w:val="none"/>
        </w:rPr>
        <w:t>7.7</w:t>
      </w:r>
      <w:r>
        <w:rPr>
          <w:rFonts w:hint="eastAsia" w:ascii="宋体" w:hAnsi="宋体" w:eastAsia="宋体" w:cs="宋体"/>
          <w:b/>
          <w:bCs/>
          <w:color w:val="auto"/>
          <w:szCs w:val="21"/>
          <w:highlight w:val="none"/>
          <w:u w:val="single"/>
        </w:rPr>
        <w:t>本项目无履约保证金。</w:t>
      </w:r>
    </w:p>
    <w:p>
      <w:pPr>
        <w:spacing w:line="360" w:lineRule="auto"/>
        <w:ind w:firstLine="422" w:firstLineChars="200"/>
        <w:rPr>
          <w:rFonts w:hint="eastAsia" w:ascii="宋体" w:hAnsi="宋体" w:eastAsia="宋体"/>
          <w:b/>
          <w:color w:val="auto"/>
          <w:szCs w:val="21"/>
          <w:highlight w:val="none"/>
        </w:rPr>
      </w:pPr>
      <w:r>
        <w:rPr>
          <w:rFonts w:ascii="宋体" w:hAnsi="宋体" w:eastAsia="宋体"/>
          <w:b/>
          <w:color w:val="auto"/>
          <w:szCs w:val="21"/>
          <w:highlight w:val="none"/>
        </w:rPr>
        <w:t>条款号：7.8.1              修改类型：修改</w:t>
      </w:r>
    </w:p>
    <w:p>
      <w:pPr>
        <w:spacing w:line="360" w:lineRule="auto"/>
        <w:ind w:firstLine="422" w:firstLineChars="200"/>
        <w:rPr>
          <w:rFonts w:hint="eastAsia" w:ascii="宋体" w:hAnsi="宋体" w:eastAsia="宋体"/>
          <w:color w:val="auto"/>
          <w:szCs w:val="21"/>
          <w:highlight w:val="none"/>
        </w:rPr>
      </w:pPr>
      <w:r>
        <w:rPr>
          <w:rFonts w:ascii="宋体" w:hAnsi="宋体" w:eastAsia="宋体"/>
          <w:b/>
          <w:color w:val="auto"/>
          <w:szCs w:val="21"/>
          <w:highlight w:val="none"/>
        </w:rPr>
        <w:t>原文：</w:t>
      </w:r>
      <w:r>
        <w:rPr>
          <w:rFonts w:ascii="宋体" w:hAnsi="宋体" w:eastAsia="宋体"/>
          <w:color w:val="auto"/>
          <w:szCs w:val="21"/>
          <w:highlight w:val="none"/>
        </w:rPr>
        <w:t xml:space="preserve">7.8.1 </w:t>
      </w:r>
      <w:r>
        <w:rPr>
          <w:rFonts w:hint="eastAsia" w:ascii="宋体" w:hAnsi="宋体" w:eastAsia="宋体"/>
          <w:color w:val="auto"/>
          <w:spacing w:val="-3"/>
          <w:szCs w:val="21"/>
          <w:highlight w:val="none"/>
        </w:rPr>
        <w:t>招标人和中标人应当在中标通知书发出之日起</w:t>
      </w:r>
      <w:r>
        <w:rPr>
          <w:rFonts w:ascii="宋体" w:hAnsi="宋体" w:eastAsia="宋体"/>
          <w:color w:val="auto"/>
          <w:spacing w:val="-3"/>
          <w:szCs w:val="21"/>
          <w:highlight w:val="none"/>
        </w:rPr>
        <w:t>30日内，根据招标文件和中标人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Bdr>
          <w:bottom w:val="single" w:color="auto" w:sz="6" w:space="1"/>
        </w:pBdr>
        <w:spacing w:line="360" w:lineRule="auto"/>
        <w:ind w:firstLine="422" w:firstLineChars="200"/>
        <w:rPr>
          <w:rFonts w:hint="eastAsia" w:ascii="宋体" w:hAnsi="宋体" w:eastAsia="宋体"/>
          <w:color w:val="auto"/>
          <w:szCs w:val="21"/>
          <w:highlight w:val="none"/>
        </w:rPr>
      </w:pPr>
      <w:r>
        <w:rPr>
          <w:rFonts w:ascii="宋体" w:hAnsi="宋体" w:eastAsia="宋体"/>
          <w:b/>
          <w:color w:val="auto"/>
          <w:szCs w:val="21"/>
          <w:highlight w:val="none"/>
        </w:rPr>
        <w:t>现文：</w:t>
      </w:r>
      <w:r>
        <w:rPr>
          <w:rFonts w:ascii="宋体" w:hAnsi="宋体" w:eastAsia="宋体"/>
          <w:color w:val="auto"/>
          <w:szCs w:val="21"/>
          <w:highlight w:val="none"/>
        </w:rPr>
        <w:t xml:space="preserve">7.8.1 </w:t>
      </w:r>
      <w:r>
        <w:rPr>
          <w:rFonts w:hint="eastAsia" w:ascii="宋体" w:hAnsi="宋体" w:eastAsia="宋体"/>
          <w:color w:val="auto"/>
          <w:spacing w:val="-3"/>
          <w:szCs w:val="21"/>
          <w:highlight w:val="none"/>
        </w:rPr>
        <w:t>招标人和中标人应当在中标通知书发出之日起</w:t>
      </w:r>
      <w:r>
        <w:rPr>
          <w:rFonts w:ascii="宋体" w:hAnsi="宋体" w:eastAsia="宋体"/>
          <w:color w:val="auto"/>
          <w:spacing w:val="-3"/>
          <w:szCs w:val="21"/>
          <w:highlight w:val="none"/>
        </w:rPr>
        <w:t>30日内，根据招标文件和中标人的投标文件订立书面合同，并通过电子交易系统与中标人在线签订合同。中标人无正当理由拒签合同，在签订合同时向招标人提出附加条件</w:t>
      </w:r>
      <w:r>
        <w:rPr>
          <w:rFonts w:ascii="宋体" w:hAnsi="宋体" w:eastAsia="宋体"/>
          <w:strike/>
          <w:color w:val="auto"/>
          <w:spacing w:val="-3"/>
          <w:szCs w:val="21"/>
          <w:highlight w:val="none"/>
        </w:rPr>
        <w:t>，或者不按照招标文件要求提交履约保证金</w:t>
      </w:r>
      <w:r>
        <w:rPr>
          <w:rFonts w:ascii="宋体" w:hAnsi="宋体" w:eastAsia="宋体"/>
          <w:color w:val="auto"/>
          <w:spacing w:val="-3"/>
          <w:szCs w:val="21"/>
          <w:highlight w:val="none"/>
        </w:rPr>
        <w:t>的，招标人有权取消其中标资格，其投标保证金不予退还；给招标人造成的损失</w:t>
      </w:r>
      <w:r>
        <w:rPr>
          <w:rFonts w:ascii="宋体" w:hAnsi="宋体" w:eastAsia="宋体"/>
          <w:strike/>
          <w:color w:val="auto"/>
          <w:spacing w:val="-3"/>
          <w:szCs w:val="21"/>
          <w:highlight w:val="none"/>
        </w:rPr>
        <w:t>超过投标保证金数额</w:t>
      </w:r>
      <w:r>
        <w:rPr>
          <w:rFonts w:ascii="宋体" w:hAnsi="宋体" w:eastAsia="宋体"/>
          <w:color w:val="auto"/>
          <w:spacing w:val="-3"/>
          <w:szCs w:val="21"/>
          <w:highlight w:val="none"/>
        </w:rPr>
        <w:t>的，中标人还应当</w:t>
      </w:r>
      <w:r>
        <w:rPr>
          <w:rFonts w:ascii="宋体" w:hAnsi="宋体" w:eastAsia="宋体"/>
          <w:strike/>
          <w:color w:val="auto"/>
          <w:spacing w:val="-3"/>
          <w:szCs w:val="21"/>
          <w:highlight w:val="none"/>
        </w:rPr>
        <w:t>对超过部分</w:t>
      </w:r>
      <w:r>
        <w:rPr>
          <w:rFonts w:ascii="宋体" w:hAnsi="宋体" w:eastAsia="宋体"/>
          <w:color w:val="auto"/>
          <w:spacing w:val="-3"/>
          <w:szCs w:val="21"/>
          <w:highlight w:val="none"/>
        </w:rPr>
        <w:t>予以赔偿。</w:t>
      </w:r>
    </w:p>
    <w:p>
      <w:pPr>
        <w:spacing w:line="360" w:lineRule="auto"/>
        <w:ind w:firstLine="422" w:firstLineChars="200"/>
        <w:rPr>
          <w:rFonts w:hint="eastAsia" w:ascii="宋体" w:hAnsi="宋体" w:eastAsia="宋体"/>
          <w:b/>
          <w:color w:val="auto"/>
          <w:szCs w:val="21"/>
          <w:highlight w:val="none"/>
        </w:rPr>
      </w:pPr>
      <w:r>
        <w:rPr>
          <w:rFonts w:ascii="宋体" w:hAnsi="宋体" w:eastAsia="宋体"/>
          <w:b/>
          <w:color w:val="auto"/>
          <w:szCs w:val="21"/>
          <w:highlight w:val="none"/>
        </w:rPr>
        <w:t>条款号：7.8.2              修改类型：修改</w:t>
      </w:r>
    </w:p>
    <w:p>
      <w:pPr>
        <w:spacing w:line="360" w:lineRule="auto"/>
        <w:ind w:firstLine="422" w:firstLineChars="200"/>
        <w:rPr>
          <w:rFonts w:hint="eastAsia" w:ascii="宋体" w:hAnsi="宋体" w:eastAsia="宋体"/>
          <w:color w:val="auto"/>
          <w:szCs w:val="21"/>
          <w:highlight w:val="none"/>
        </w:rPr>
      </w:pPr>
      <w:r>
        <w:rPr>
          <w:rFonts w:ascii="宋体" w:hAnsi="宋体" w:eastAsia="宋体"/>
          <w:b/>
          <w:color w:val="auto"/>
          <w:szCs w:val="21"/>
          <w:highlight w:val="none"/>
        </w:rPr>
        <w:t>原文：</w:t>
      </w:r>
      <w:r>
        <w:rPr>
          <w:rFonts w:ascii="宋体" w:hAnsi="宋体" w:eastAsia="宋体"/>
          <w:color w:val="auto"/>
          <w:szCs w:val="21"/>
          <w:highlight w:val="none"/>
        </w:rPr>
        <w:t>7.8.2 发出中标通知书后，招标人无正当理由拒签合同，或者在签订合同时向中标人提出附加条件的，招标人向中标人退还投标保证金；给中标人造成损失的，还应当赔偿损失</w:t>
      </w:r>
      <w:r>
        <w:rPr>
          <w:rFonts w:hint="eastAsia" w:ascii="宋体" w:hAnsi="宋体" w:eastAsia="宋体"/>
          <w:color w:val="auto"/>
          <w:szCs w:val="21"/>
          <w:highlight w:val="none"/>
        </w:rPr>
        <w:t>。</w:t>
      </w:r>
    </w:p>
    <w:p>
      <w:pPr>
        <w:pBdr>
          <w:bottom w:val="single" w:color="auto" w:sz="6" w:space="1"/>
        </w:pBdr>
        <w:spacing w:line="360" w:lineRule="auto"/>
        <w:ind w:firstLine="422" w:firstLineChars="200"/>
        <w:rPr>
          <w:rFonts w:hint="eastAsia" w:ascii="宋体" w:hAnsi="宋体" w:eastAsia="宋体"/>
          <w:color w:val="auto"/>
          <w:szCs w:val="21"/>
          <w:highlight w:val="none"/>
        </w:rPr>
      </w:pPr>
      <w:r>
        <w:rPr>
          <w:rFonts w:ascii="宋体" w:hAnsi="宋体" w:eastAsia="宋体"/>
          <w:b/>
          <w:color w:val="auto"/>
          <w:szCs w:val="21"/>
          <w:highlight w:val="none"/>
        </w:rPr>
        <w:t>现文：</w:t>
      </w:r>
      <w:r>
        <w:rPr>
          <w:rFonts w:ascii="宋体" w:hAnsi="宋体" w:eastAsia="宋体"/>
          <w:color w:val="auto"/>
          <w:szCs w:val="21"/>
          <w:highlight w:val="none"/>
        </w:rPr>
        <w:t>7.8.2 发出中标通知书后，招标人无正当理由拒签合同，或者在签订合同时向中标人提出附加条件的</w:t>
      </w:r>
      <w:r>
        <w:rPr>
          <w:rFonts w:ascii="宋体" w:hAnsi="宋体" w:eastAsia="宋体"/>
          <w:strike/>
          <w:color w:val="auto"/>
          <w:szCs w:val="21"/>
          <w:highlight w:val="none"/>
        </w:rPr>
        <w:t>，招标人向中标人退还投标保证金</w:t>
      </w:r>
      <w:r>
        <w:rPr>
          <w:rFonts w:ascii="宋体" w:hAnsi="宋体" w:eastAsia="宋体"/>
          <w:color w:val="auto"/>
          <w:szCs w:val="21"/>
          <w:highlight w:val="none"/>
        </w:rPr>
        <w:t>；给中标人造成损失的，还应当赔偿损失</w:t>
      </w:r>
      <w:r>
        <w:rPr>
          <w:rFonts w:hint="eastAsia" w:ascii="宋体" w:hAnsi="宋体" w:eastAsia="宋体"/>
          <w:color w:val="auto"/>
          <w:szCs w:val="21"/>
          <w:highlight w:val="none"/>
        </w:rPr>
        <w:t>。</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条款号：10.（一）            修改类型：修改</w:t>
      </w:r>
    </w:p>
    <w:p>
      <w:pPr>
        <w:spacing w:line="360" w:lineRule="auto"/>
        <w:ind w:firstLine="422" w:firstLineChars="200"/>
        <w:rPr>
          <w:rFonts w:hint="eastAsia" w:ascii="宋体" w:hAnsi="宋体" w:eastAsia="宋体"/>
          <w:b/>
          <w:bCs/>
          <w:color w:val="auto"/>
          <w:szCs w:val="21"/>
          <w:highlight w:val="none"/>
          <w:u w:val="single"/>
        </w:rPr>
      </w:pPr>
      <w:r>
        <w:rPr>
          <w:rFonts w:ascii="宋体" w:hAnsi="宋体" w:eastAsia="宋体"/>
          <w:b/>
          <w:bCs/>
          <w:color w:val="auto"/>
          <w:szCs w:val="21"/>
          <w:highlight w:val="none"/>
        </w:rPr>
        <w:t>原文：</w:t>
      </w:r>
      <w:r>
        <w:rPr>
          <w:rFonts w:hint="eastAsia" w:ascii="宋体" w:hAnsi="宋体" w:eastAsia="宋体"/>
          <w:color w:val="auto"/>
          <w:szCs w:val="21"/>
          <w:highlight w:val="none"/>
        </w:rPr>
        <w:t>（一）资格预审合格的潜在投标人不足三个的；</w:t>
      </w:r>
    </w:p>
    <w:p>
      <w:pPr>
        <w:pBdr>
          <w:bottom w:val="single" w:color="auto" w:sz="6" w:space="1"/>
        </w:pBdr>
        <w:spacing w:line="360" w:lineRule="auto"/>
        <w:ind w:firstLine="422" w:firstLineChars="200"/>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rPr>
        <w:t>现文：</w:t>
      </w:r>
      <w:r>
        <w:rPr>
          <w:rFonts w:hint="eastAsia" w:ascii="宋体" w:hAnsi="宋体" w:eastAsia="宋体"/>
          <w:color w:val="auto"/>
          <w:szCs w:val="21"/>
          <w:highlight w:val="none"/>
        </w:rPr>
        <w:t>（一）资格</w:t>
      </w:r>
      <w:r>
        <w:rPr>
          <w:rFonts w:hint="eastAsia" w:ascii="宋体" w:hAnsi="宋体" w:eastAsia="宋体"/>
          <w:b/>
          <w:bCs/>
          <w:color w:val="auto"/>
          <w:szCs w:val="21"/>
          <w:highlight w:val="none"/>
          <w:u w:val="single"/>
        </w:rPr>
        <w:t>审查</w:t>
      </w:r>
      <w:r>
        <w:rPr>
          <w:rFonts w:hint="eastAsia" w:ascii="宋体" w:hAnsi="宋体" w:eastAsia="宋体"/>
          <w:color w:val="auto"/>
          <w:szCs w:val="21"/>
          <w:highlight w:val="none"/>
        </w:rPr>
        <w:t>合格的潜在投标人不足三个的；</w:t>
      </w:r>
    </w:p>
    <w:p>
      <w:pPr>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条款号：10.（四）            修改类型：修改</w:t>
      </w:r>
    </w:p>
    <w:p>
      <w:pPr>
        <w:spacing w:line="360" w:lineRule="auto"/>
        <w:ind w:firstLine="422" w:firstLineChars="200"/>
        <w:rPr>
          <w:rFonts w:hint="eastAsia" w:ascii="宋体" w:hAnsi="宋体" w:eastAsia="宋体"/>
          <w:b/>
          <w:bCs/>
          <w:color w:val="auto"/>
          <w:szCs w:val="21"/>
          <w:highlight w:val="none"/>
          <w:u w:val="single"/>
        </w:rPr>
      </w:pPr>
      <w:r>
        <w:rPr>
          <w:rFonts w:ascii="宋体" w:hAnsi="宋体" w:eastAsia="宋体"/>
          <w:b/>
          <w:bCs/>
          <w:color w:val="auto"/>
          <w:szCs w:val="21"/>
          <w:highlight w:val="none"/>
        </w:rPr>
        <w:t>原文：</w:t>
      </w:r>
      <w:r>
        <w:rPr>
          <w:rFonts w:hint="eastAsia" w:ascii="宋体" w:hAnsi="宋体" w:eastAsia="宋体"/>
          <w:color w:val="auto"/>
          <w:szCs w:val="21"/>
          <w:highlight w:val="none"/>
        </w:rPr>
        <w:t>（四）评标委员会否决不合格投标后，因有效投标不足三个使得投标明显缺乏竞争，评标委员会决定否决全部投标的；</w:t>
      </w:r>
    </w:p>
    <w:p>
      <w:pPr>
        <w:pBdr>
          <w:bottom w:val="single" w:color="auto" w:sz="6" w:space="1"/>
        </w:pBdr>
        <w:spacing w:line="360" w:lineRule="auto"/>
        <w:ind w:firstLine="422" w:firstLineChars="200"/>
        <w:rPr>
          <w:rFonts w:hint="eastAsia" w:ascii="宋体" w:hAnsi="宋体" w:eastAsia="宋体"/>
          <w:b/>
          <w:bCs/>
          <w:color w:val="auto"/>
          <w:szCs w:val="21"/>
          <w:highlight w:val="none"/>
          <w:u w:val="single"/>
        </w:rPr>
      </w:pPr>
      <w:r>
        <w:rPr>
          <w:rFonts w:hint="eastAsia" w:ascii="宋体" w:hAnsi="宋体" w:eastAsia="宋体"/>
          <w:b/>
          <w:bCs/>
          <w:color w:val="auto"/>
          <w:szCs w:val="21"/>
          <w:highlight w:val="none"/>
        </w:rPr>
        <w:t>现文：</w:t>
      </w:r>
      <w:r>
        <w:rPr>
          <w:rFonts w:hint="eastAsia" w:ascii="宋体" w:hAnsi="宋体" w:eastAsia="宋体"/>
          <w:color w:val="auto"/>
          <w:szCs w:val="21"/>
          <w:highlight w:val="none"/>
        </w:rPr>
        <w:t>（四）评标委员会否决不合格投标后，</w:t>
      </w:r>
      <w:r>
        <w:rPr>
          <w:rFonts w:hint="eastAsia" w:ascii="宋体" w:hAnsi="宋体" w:eastAsia="宋体"/>
          <w:b/>
          <w:color w:val="auto"/>
          <w:szCs w:val="21"/>
          <w:highlight w:val="none"/>
          <w:u w:val="single"/>
        </w:rPr>
        <w:t>有效投标不足三个的；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条款号：附件《评标委员会成员声明》</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修改类型：增加</w:t>
      </w:r>
    </w:p>
    <w:p>
      <w:pPr>
        <w:pBdr>
          <w:bottom w:val="single" w:color="auto" w:sz="6" w:space="1"/>
        </w:pBdr>
        <w:spacing w:line="360" w:lineRule="auto"/>
        <w:ind w:firstLine="42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Cs w:val="21"/>
          <w:highlight w:val="none"/>
        </w:rPr>
        <w:t>现文：</w:t>
      </w:r>
      <w:r>
        <w:rPr>
          <w:rFonts w:hint="eastAsia" w:ascii="宋体" w:hAnsi="宋体" w:eastAsia="宋体" w:cs="宋体"/>
          <w:b/>
          <w:bCs/>
          <w:color w:val="auto"/>
          <w:szCs w:val="21"/>
          <w:highlight w:val="none"/>
          <w:u w:val="single"/>
        </w:rPr>
        <w:t>详见附件《评标委员会成员声明》</w:t>
      </w:r>
    </w:p>
    <w:p>
      <w:pPr>
        <w:spacing w:line="360" w:lineRule="auto"/>
        <w:ind w:firstLine="422" w:firstLineChars="201"/>
        <w:rPr>
          <w:rFonts w:hint="eastAsia" w:ascii="宋体" w:hAnsi="宋体" w:eastAsia="宋体"/>
          <w:color w:val="auto"/>
          <w:szCs w:val="21"/>
          <w:highlight w:val="none"/>
        </w:rPr>
      </w:pPr>
      <w:r>
        <w:rPr>
          <w:rFonts w:ascii="宋体" w:hAnsi="宋体" w:eastAsia="宋体"/>
          <w:color w:val="auto"/>
          <w:szCs w:val="21"/>
          <w:highlight w:val="none"/>
        </w:rPr>
        <w:t>注：以上修改，仅限于本范本中有可供选择条款的情形。</w:t>
      </w:r>
    </w:p>
    <w:p>
      <w:pPr>
        <w:spacing w:line="360" w:lineRule="auto"/>
        <w:ind w:firstLine="422" w:firstLineChars="201"/>
        <w:rPr>
          <w:rFonts w:hint="eastAsia" w:ascii="宋体" w:hAnsi="宋体" w:eastAsia="宋体"/>
          <w:color w:val="auto"/>
          <w:sz w:val="24"/>
          <w:szCs w:val="24"/>
          <w:highlight w:val="none"/>
        </w:rPr>
      </w:pPr>
      <w:r>
        <w:rPr>
          <w:rFonts w:ascii="宋体" w:hAnsi="宋体" w:eastAsia="宋体"/>
          <w:color w:val="auto"/>
          <w:szCs w:val="21"/>
          <w:highlight w:val="none"/>
        </w:rPr>
        <w:t>（以下无正文）</w:t>
      </w:r>
    </w:p>
    <w:p>
      <w:pPr>
        <w:wordWrap w:val="0"/>
        <w:spacing w:line="360" w:lineRule="auto"/>
        <w:ind w:left="420" w:left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pPr>
        <w:keepNext/>
        <w:keepLines/>
        <w:wordWrap w:val="0"/>
        <w:spacing w:line="360" w:lineRule="auto"/>
        <w:outlineLvl w:val="1"/>
        <w:rPr>
          <w:rFonts w:hint="eastAsia" w:ascii="宋体" w:hAnsi="宋体" w:eastAsia="宋体" w:cs="宋体"/>
          <w:b/>
          <w:bCs/>
          <w:color w:val="auto"/>
          <w:kern w:val="0"/>
          <w:sz w:val="30"/>
          <w:szCs w:val="30"/>
          <w:highlight w:val="none"/>
          <w:lang w:val="zh-CN"/>
        </w:rPr>
      </w:pPr>
      <w:bookmarkStart w:id="11" w:name="_Toc193357939"/>
      <w:bookmarkStart w:id="12" w:name="_Toc111186724"/>
      <w:bookmarkStart w:id="13" w:name="_Toc3060"/>
      <w:r>
        <w:rPr>
          <w:rFonts w:ascii="宋体" w:hAnsi="宋体" w:eastAsia="宋体" w:cs="宋体"/>
          <w:b/>
          <w:bCs/>
          <w:color w:val="auto"/>
          <w:kern w:val="0"/>
          <w:sz w:val="30"/>
          <w:szCs w:val="30"/>
          <w:highlight w:val="none"/>
          <w:lang w:val="zh-CN"/>
        </w:rPr>
        <w:t xml:space="preserve">1. </w:t>
      </w:r>
      <w:r>
        <w:rPr>
          <w:rFonts w:hint="eastAsia" w:ascii="宋体" w:hAnsi="宋体" w:eastAsia="宋体" w:cs="宋体"/>
          <w:b/>
          <w:bCs/>
          <w:color w:val="auto"/>
          <w:kern w:val="0"/>
          <w:sz w:val="30"/>
          <w:szCs w:val="30"/>
          <w:highlight w:val="none"/>
          <w:lang w:val="zh-CN"/>
        </w:rPr>
        <w:t>总则</w:t>
      </w:r>
      <w:bookmarkEnd w:id="11"/>
      <w:bookmarkEnd w:id="12"/>
      <w:bookmarkEnd w:id="13"/>
    </w:p>
    <w:p>
      <w:pPr>
        <w:keepNext/>
        <w:keepLines/>
        <w:wordWrap w:val="0"/>
        <w:spacing w:before="260" w:line="416" w:lineRule="auto"/>
        <w:outlineLvl w:val="2"/>
        <w:rPr>
          <w:rFonts w:hint="eastAsia" w:ascii="宋体" w:hAnsi="宋体" w:eastAsia="宋体" w:cs="宋体"/>
          <w:b/>
          <w:bCs/>
          <w:color w:val="auto"/>
          <w:spacing w:val="-2"/>
          <w:kern w:val="0"/>
          <w:sz w:val="24"/>
          <w:szCs w:val="24"/>
          <w:highlight w:val="none"/>
          <w:lang w:val="zh-CN"/>
        </w:rPr>
      </w:pPr>
      <w:bookmarkStart w:id="14" w:name="_Toc111186725"/>
      <w:bookmarkStart w:id="15" w:name="_Toc7733"/>
      <w:bookmarkStart w:id="16" w:name="_Toc193357940"/>
      <w:r>
        <w:rPr>
          <w:rFonts w:ascii="宋体" w:hAnsi="宋体" w:eastAsia="宋体" w:cs="宋体"/>
          <w:b/>
          <w:bCs/>
          <w:color w:val="auto"/>
          <w:spacing w:val="1"/>
          <w:sz w:val="28"/>
          <w:szCs w:val="32"/>
          <w:highlight w:val="none"/>
          <w:lang w:val="zh-CN"/>
        </w:rPr>
        <w:t xml:space="preserve">1.1 </w:t>
      </w:r>
      <w:r>
        <w:rPr>
          <w:rFonts w:hint="eastAsia" w:ascii="宋体" w:hAnsi="宋体" w:eastAsia="宋体" w:cs="宋体"/>
          <w:b/>
          <w:bCs/>
          <w:color w:val="auto"/>
          <w:spacing w:val="1"/>
          <w:sz w:val="28"/>
          <w:szCs w:val="32"/>
          <w:highlight w:val="none"/>
          <w:lang w:val="zh-CN"/>
        </w:rPr>
        <w:t>招标项目概况</w:t>
      </w:r>
      <w:bookmarkEnd w:id="14"/>
      <w:bookmarkEnd w:id="15"/>
      <w:bookmarkEnd w:id="16"/>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 </w:t>
      </w:r>
      <w:r>
        <w:rPr>
          <w:rFonts w:hint="eastAsia" w:ascii="宋体" w:hAnsi="宋体" w:eastAsia="宋体" w:cs="宋体"/>
          <w:color w:val="auto"/>
          <w:spacing w:val="-2"/>
          <w:kern w:val="0"/>
          <w:sz w:val="24"/>
          <w:szCs w:val="24"/>
          <w:highlight w:val="none"/>
        </w:rPr>
        <w:t>根据《中华人民共和国招标投标法》、《中华人民共和国招标投标法实施条例》等有关</w:t>
      </w:r>
      <w:r>
        <w:rPr>
          <w:rFonts w:ascii="宋体" w:hAnsi="宋体" w:eastAsia="宋体" w:cs="宋体"/>
          <w:color w:val="auto"/>
          <w:spacing w:val="-2"/>
          <w:kern w:val="0"/>
          <w:sz w:val="24"/>
          <w:szCs w:val="24"/>
          <w:highlight w:val="none"/>
        </w:rPr>
        <w:t xml:space="preserve"> 法律、法规和规章的规定，本招标项目已具备招标条件，现对设计进行招标。</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 </w:t>
      </w:r>
      <w:r>
        <w:rPr>
          <w:rFonts w:hint="eastAsia" w:ascii="宋体" w:hAnsi="宋体" w:eastAsia="宋体" w:cs="宋体"/>
          <w:color w:val="auto"/>
          <w:spacing w:val="-2"/>
          <w:kern w:val="0"/>
          <w:sz w:val="24"/>
          <w:szCs w:val="24"/>
          <w:highlight w:val="none"/>
        </w:rPr>
        <w:t>招标人：见投标人须知前附表。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1.1.3 </w:t>
      </w:r>
      <w:r>
        <w:rPr>
          <w:rFonts w:hint="eastAsia" w:ascii="宋体" w:hAnsi="宋体" w:eastAsia="宋体" w:cs="宋体"/>
          <w:color w:val="auto"/>
          <w:spacing w:val="-2"/>
          <w:kern w:val="0"/>
          <w:sz w:val="24"/>
          <w:szCs w:val="24"/>
          <w:highlight w:val="none"/>
        </w:rPr>
        <w:t>招标代理机构：见投标人须知前附表。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1.1.4 </w:t>
      </w:r>
      <w:r>
        <w:rPr>
          <w:rFonts w:hint="eastAsia" w:ascii="宋体" w:hAnsi="宋体" w:eastAsia="宋体" w:cs="宋体"/>
          <w:color w:val="auto"/>
          <w:spacing w:val="-2"/>
          <w:kern w:val="0"/>
          <w:sz w:val="24"/>
          <w:szCs w:val="24"/>
          <w:highlight w:val="none"/>
        </w:rPr>
        <w:t>招标项目名称：见投标人须知前附表。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1.1.5 </w:t>
      </w:r>
      <w:r>
        <w:rPr>
          <w:rFonts w:hint="eastAsia" w:ascii="宋体" w:hAnsi="宋体" w:eastAsia="宋体" w:cs="宋体"/>
          <w:color w:val="auto"/>
          <w:spacing w:val="-2"/>
          <w:kern w:val="0"/>
          <w:sz w:val="24"/>
          <w:szCs w:val="24"/>
          <w:highlight w:val="none"/>
        </w:rPr>
        <w:t>项目建设地点：见投标人须知前附表。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1.1.6 </w:t>
      </w:r>
      <w:r>
        <w:rPr>
          <w:rFonts w:hint="eastAsia" w:ascii="宋体" w:hAnsi="宋体" w:eastAsia="宋体" w:cs="宋体"/>
          <w:color w:val="auto"/>
          <w:spacing w:val="-2"/>
          <w:kern w:val="0"/>
          <w:sz w:val="24"/>
          <w:szCs w:val="24"/>
          <w:highlight w:val="none"/>
        </w:rPr>
        <w:t>项目建设规模：见投标人须知前附表。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1.1.7 </w:t>
      </w:r>
      <w:r>
        <w:rPr>
          <w:rFonts w:hint="eastAsia" w:ascii="宋体" w:hAnsi="宋体" w:eastAsia="宋体" w:cs="宋体"/>
          <w:color w:val="auto"/>
          <w:spacing w:val="-2"/>
          <w:kern w:val="0"/>
          <w:sz w:val="24"/>
          <w:szCs w:val="24"/>
          <w:highlight w:val="none"/>
        </w:rPr>
        <w:t>项目投资估算：见投标人须知前附表。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7" w:name="_Toc193357941"/>
      <w:bookmarkStart w:id="18" w:name="_Toc14504"/>
      <w:bookmarkStart w:id="19" w:name="_Toc111186726"/>
      <w:r>
        <w:rPr>
          <w:rFonts w:ascii="宋体" w:hAnsi="宋体" w:eastAsia="宋体" w:cs="宋体"/>
          <w:b/>
          <w:bCs/>
          <w:color w:val="auto"/>
          <w:spacing w:val="1"/>
          <w:sz w:val="28"/>
          <w:szCs w:val="32"/>
          <w:highlight w:val="none"/>
          <w:lang w:val="zh-CN"/>
        </w:rPr>
        <w:t>1.2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招标项目</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资</w:t>
      </w:r>
      <w:r>
        <w:rPr>
          <w:rFonts w:hint="eastAsia" w:ascii="宋体" w:hAnsi="宋体" w:eastAsia="宋体" w:cs="宋体"/>
          <w:b/>
          <w:bCs/>
          <w:color w:val="auto"/>
          <w:spacing w:val="-3"/>
          <w:sz w:val="28"/>
          <w:szCs w:val="32"/>
          <w:highlight w:val="none"/>
          <w:lang w:val="zh-CN"/>
        </w:rPr>
        <w:t>金</w:t>
      </w:r>
      <w:r>
        <w:rPr>
          <w:rFonts w:hint="eastAsia" w:ascii="宋体" w:hAnsi="宋体" w:eastAsia="宋体" w:cs="宋体"/>
          <w:b/>
          <w:bCs/>
          <w:color w:val="auto"/>
          <w:spacing w:val="1"/>
          <w:sz w:val="28"/>
          <w:szCs w:val="32"/>
          <w:highlight w:val="none"/>
          <w:lang w:val="zh-CN"/>
        </w:rPr>
        <w:t>来源和</w:t>
      </w:r>
      <w:r>
        <w:rPr>
          <w:rFonts w:hint="eastAsia" w:ascii="宋体" w:hAnsi="宋体" w:eastAsia="宋体" w:cs="宋体"/>
          <w:b/>
          <w:bCs/>
          <w:color w:val="auto"/>
          <w:spacing w:val="-3"/>
          <w:sz w:val="28"/>
          <w:szCs w:val="32"/>
          <w:highlight w:val="none"/>
          <w:lang w:val="zh-CN"/>
        </w:rPr>
        <w:t>落</w:t>
      </w:r>
      <w:r>
        <w:rPr>
          <w:rFonts w:hint="eastAsia" w:ascii="宋体" w:hAnsi="宋体" w:eastAsia="宋体" w:cs="宋体"/>
          <w:b/>
          <w:bCs/>
          <w:color w:val="auto"/>
          <w:spacing w:val="1"/>
          <w:sz w:val="28"/>
          <w:szCs w:val="32"/>
          <w:highlight w:val="none"/>
          <w:lang w:val="zh-CN"/>
        </w:rPr>
        <w:t>实情况</w:t>
      </w:r>
      <w:bookmarkEnd w:id="17"/>
      <w:bookmarkEnd w:id="18"/>
      <w:bookmarkEnd w:id="19"/>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1.2.1 </w:t>
      </w:r>
      <w:r>
        <w:rPr>
          <w:rFonts w:hint="eastAsia" w:ascii="宋体" w:hAnsi="宋体" w:eastAsia="宋体" w:cs="宋体"/>
          <w:color w:val="auto"/>
          <w:spacing w:val="-2"/>
          <w:kern w:val="0"/>
          <w:sz w:val="24"/>
          <w:szCs w:val="24"/>
          <w:highlight w:val="none"/>
        </w:rPr>
        <w:t>资金来源及比例：见投标人须知前附表。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1.2.2 </w:t>
      </w:r>
      <w:r>
        <w:rPr>
          <w:rFonts w:hint="eastAsia" w:ascii="宋体" w:hAnsi="宋体" w:eastAsia="宋体" w:cs="宋体"/>
          <w:color w:val="auto"/>
          <w:spacing w:val="-2"/>
          <w:kern w:val="0"/>
          <w:sz w:val="24"/>
          <w:szCs w:val="24"/>
          <w:highlight w:val="none"/>
        </w:rPr>
        <w:t>资金落实情况：见投标人须知前附表。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20" w:name="_Toc193357942"/>
      <w:bookmarkStart w:id="21" w:name="_Toc13854"/>
      <w:bookmarkStart w:id="22" w:name="_Toc111186727"/>
      <w:r>
        <w:rPr>
          <w:rFonts w:ascii="宋体" w:hAnsi="宋体" w:eastAsia="宋体" w:cs="宋体"/>
          <w:b/>
          <w:bCs/>
          <w:color w:val="auto"/>
          <w:spacing w:val="1"/>
          <w:sz w:val="28"/>
          <w:szCs w:val="32"/>
          <w:highlight w:val="none"/>
          <w:lang w:val="zh-CN"/>
        </w:rPr>
        <w:t>1.3</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招标范</w:t>
      </w:r>
      <w:r>
        <w:rPr>
          <w:rFonts w:hint="eastAsia" w:ascii="宋体" w:hAnsi="宋体" w:eastAsia="宋体" w:cs="宋体"/>
          <w:b/>
          <w:bCs/>
          <w:color w:val="auto"/>
          <w:spacing w:val="-3"/>
          <w:sz w:val="28"/>
          <w:szCs w:val="32"/>
          <w:highlight w:val="none"/>
          <w:lang w:val="zh-CN"/>
        </w:rPr>
        <w:t>围</w:t>
      </w:r>
      <w:r>
        <w:rPr>
          <w:rFonts w:hint="eastAsia" w:ascii="宋体" w:hAnsi="宋体" w:eastAsia="宋体" w:cs="宋体"/>
          <w:b/>
          <w:bCs/>
          <w:color w:val="auto"/>
          <w:spacing w:val="1"/>
          <w:sz w:val="28"/>
          <w:szCs w:val="32"/>
          <w:highlight w:val="none"/>
          <w:lang w:val="zh-CN"/>
        </w:rPr>
        <w:t>、设</w:t>
      </w:r>
      <w:r>
        <w:rPr>
          <w:rFonts w:hint="eastAsia" w:ascii="宋体" w:hAnsi="宋体" w:eastAsia="宋体" w:cs="宋体"/>
          <w:b/>
          <w:bCs/>
          <w:color w:val="auto"/>
          <w:spacing w:val="-2"/>
          <w:sz w:val="28"/>
          <w:szCs w:val="32"/>
          <w:highlight w:val="none"/>
          <w:lang w:val="zh-CN"/>
        </w:rPr>
        <w:t>计</w:t>
      </w:r>
      <w:r>
        <w:rPr>
          <w:rFonts w:hint="eastAsia" w:ascii="宋体" w:hAnsi="宋体" w:eastAsia="宋体" w:cs="宋体"/>
          <w:b/>
          <w:bCs/>
          <w:color w:val="auto"/>
          <w:spacing w:val="1"/>
          <w:sz w:val="28"/>
          <w:szCs w:val="32"/>
          <w:highlight w:val="none"/>
          <w:lang w:val="zh-CN"/>
        </w:rPr>
        <w:t>服务期</w:t>
      </w:r>
      <w:r>
        <w:rPr>
          <w:rFonts w:hint="eastAsia" w:ascii="宋体" w:hAnsi="宋体" w:eastAsia="宋体" w:cs="宋体"/>
          <w:b/>
          <w:bCs/>
          <w:color w:val="auto"/>
          <w:spacing w:val="-3"/>
          <w:sz w:val="28"/>
          <w:szCs w:val="32"/>
          <w:highlight w:val="none"/>
          <w:lang w:val="zh-CN"/>
        </w:rPr>
        <w:t>限</w:t>
      </w:r>
      <w:r>
        <w:rPr>
          <w:rFonts w:hint="eastAsia" w:ascii="宋体" w:hAnsi="宋体" w:eastAsia="宋体" w:cs="宋体"/>
          <w:b/>
          <w:bCs/>
          <w:color w:val="auto"/>
          <w:spacing w:val="1"/>
          <w:sz w:val="28"/>
          <w:szCs w:val="32"/>
          <w:highlight w:val="none"/>
          <w:lang w:val="zh-CN"/>
        </w:rPr>
        <w:t>和质</w:t>
      </w:r>
      <w:r>
        <w:rPr>
          <w:rFonts w:hint="eastAsia" w:ascii="宋体" w:hAnsi="宋体" w:eastAsia="宋体" w:cs="宋体"/>
          <w:b/>
          <w:bCs/>
          <w:color w:val="auto"/>
          <w:spacing w:val="-3"/>
          <w:sz w:val="28"/>
          <w:szCs w:val="32"/>
          <w:highlight w:val="none"/>
          <w:lang w:val="zh-CN"/>
        </w:rPr>
        <w:t>量标</w:t>
      </w:r>
      <w:r>
        <w:rPr>
          <w:rFonts w:hint="eastAsia" w:ascii="宋体" w:hAnsi="宋体" w:eastAsia="宋体" w:cs="宋体"/>
          <w:b/>
          <w:bCs/>
          <w:color w:val="auto"/>
          <w:spacing w:val="1"/>
          <w:sz w:val="28"/>
          <w:szCs w:val="32"/>
          <w:highlight w:val="none"/>
          <w:lang w:val="zh-CN"/>
        </w:rPr>
        <w:t>准</w:t>
      </w:r>
      <w:bookmarkEnd w:id="20"/>
      <w:bookmarkEnd w:id="21"/>
      <w:bookmarkEnd w:id="22"/>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1.3.1 </w:t>
      </w:r>
      <w:r>
        <w:rPr>
          <w:rFonts w:hint="eastAsia" w:ascii="宋体" w:hAnsi="宋体" w:eastAsia="宋体" w:cs="宋体"/>
          <w:color w:val="auto"/>
          <w:spacing w:val="-2"/>
          <w:kern w:val="0"/>
          <w:sz w:val="24"/>
          <w:szCs w:val="24"/>
          <w:highlight w:val="none"/>
        </w:rPr>
        <w:t>招标范围：见投标人须知前附表。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1.3.2 </w:t>
      </w:r>
      <w:r>
        <w:rPr>
          <w:rFonts w:hint="eastAsia" w:ascii="宋体" w:hAnsi="宋体" w:eastAsia="宋体" w:cs="宋体"/>
          <w:color w:val="auto"/>
          <w:spacing w:val="-2"/>
          <w:kern w:val="0"/>
          <w:sz w:val="24"/>
          <w:szCs w:val="24"/>
          <w:highlight w:val="none"/>
        </w:rPr>
        <w:t>勘察设计服务期限：见投标人须知前附表。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1.3.3 </w:t>
      </w:r>
      <w:r>
        <w:rPr>
          <w:rFonts w:hint="eastAsia" w:ascii="宋体" w:hAnsi="宋体" w:eastAsia="宋体" w:cs="宋体"/>
          <w:color w:val="auto"/>
          <w:spacing w:val="-2"/>
          <w:kern w:val="0"/>
          <w:sz w:val="24"/>
          <w:szCs w:val="24"/>
          <w:highlight w:val="none"/>
        </w:rPr>
        <w:t>质量标准：见投标人须知前附表。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23" w:name="_Toc193357943"/>
      <w:bookmarkStart w:id="24" w:name="_Toc111186728"/>
      <w:bookmarkStart w:id="25" w:name="_Toc22012"/>
      <w:r>
        <w:rPr>
          <w:rFonts w:ascii="宋体" w:hAnsi="宋体" w:eastAsia="宋体" w:cs="宋体"/>
          <w:b/>
          <w:bCs/>
          <w:color w:val="auto"/>
          <w:spacing w:val="1"/>
          <w:sz w:val="28"/>
          <w:szCs w:val="32"/>
          <w:highlight w:val="none"/>
          <w:lang w:val="zh-CN"/>
        </w:rPr>
        <w:t>1.4</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投标人</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格要求</w:t>
      </w:r>
      <w:bookmarkEnd w:id="23"/>
      <w:bookmarkEnd w:id="24"/>
      <w:bookmarkEnd w:id="25"/>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1.4.1 </w:t>
      </w:r>
      <w:r>
        <w:rPr>
          <w:rFonts w:hint="eastAsia" w:ascii="宋体" w:hAnsi="宋体" w:eastAsia="宋体" w:cs="宋体"/>
          <w:color w:val="auto"/>
          <w:spacing w:val="-2"/>
          <w:kern w:val="0"/>
          <w:sz w:val="24"/>
          <w:szCs w:val="24"/>
          <w:highlight w:val="none"/>
        </w:rPr>
        <w:t>投标人应具备承担本招标项目资质条件、能力和信誉：</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1）资质要求：见投标人须知前附表；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2）财务要求：见投标人须知前附表；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3）业绩要求：见投标人须知前附表；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4）信誉要求：见投标人须知前附表；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5）项目负责人的资格要求：应当具备工程设计类注册执业资格(如有)，具体要求见投标人须知前附表；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6）其他主要人员要求：见投标人须知前附表。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7）其他要求：见投标人须知前附表。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需要提交的相关证明材料见本章第</w:t>
      </w:r>
      <w:r>
        <w:rPr>
          <w:rFonts w:ascii="宋体" w:hAnsi="宋体" w:eastAsia="宋体" w:cs="宋体"/>
          <w:color w:val="auto"/>
          <w:spacing w:val="-2"/>
          <w:kern w:val="0"/>
          <w:sz w:val="24"/>
          <w:szCs w:val="24"/>
          <w:highlight w:val="none"/>
        </w:rPr>
        <w:t>3.5款的规定。</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1.4.2 </w:t>
      </w:r>
      <w:r>
        <w:rPr>
          <w:rFonts w:hint="eastAsia" w:ascii="宋体" w:hAnsi="宋体" w:eastAsia="宋体" w:cs="宋体"/>
          <w:color w:val="auto"/>
          <w:spacing w:val="-2"/>
          <w:kern w:val="0"/>
          <w:sz w:val="24"/>
          <w:szCs w:val="24"/>
          <w:highlight w:val="none"/>
        </w:rPr>
        <w:t>投标人须知前附表规定接受联合体投标的，联合体除应符合本章第</w:t>
      </w:r>
      <w:r>
        <w:rPr>
          <w:rFonts w:ascii="宋体" w:hAnsi="宋体" w:eastAsia="宋体" w:cs="宋体"/>
          <w:color w:val="auto"/>
          <w:spacing w:val="-2"/>
          <w:kern w:val="0"/>
          <w:sz w:val="24"/>
          <w:szCs w:val="24"/>
          <w:highlight w:val="none"/>
        </w:rPr>
        <w:t>1.4.1项和投标人须知前附表的要求外，还应遵守以下规定：</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1）联合体各方应按招标文件提供的格式签订联合体协议书，</w:t>
      </w:r>
      <w:r>
        <w:rPr>
          <w:rFonts w:hint="eastAsia" w:ascii="宋体" w:hAnsi="宋体" w:eastAsia="宋体" w:cs="宋体"/>
          <w:color w:val="auto"/>
          <w:spacing w:val="-2"/>
          <w:kern w:val="0"/>
          <w:sz w:val="24"/>
          <w:szCs w:val="24"/>
          <w:highlight w:val="none"/>
        </w:rPr>
        <w:t>明确联合体主办方和各方权</w:t>
      </w:r>
      <w:r>
        <w:rPr>
          <w:rFonts w:ascii="宋体" w:hAnsi="宋体" w:eastAsia="宋体" w:cs="宋体"/>
          <w:color w:val="auto"/>
          <w:spacing w:val="-2"/>
          <w:kern w:val="0"/>
          <w:sz w:val="24"/>
          <w:szCs w:val="24"/>
          <w:highlight w:val="none"/>
        </w:rPr>
        <w:t>利义务</w:t>
      </w:r>
      <w:r>
        <w:rPr>
          <w:rFonts w:hint="eastAsia" w:ascii="宋体" w:hAnsi="宋体" w:eastAsia="宋体" w:cs="宋体"/>
          <w:color w:val="auto"/>
          <w:spacing w:val="-2"/>
          <w:kern w:val="0"/>
          <w:sz w:val="24"/>
          <w:szCs w:val="24"/>
          <w:highlight w:val="none"/>
        </w:rPr>
        <w:t>，并承诺就中标项目向招标人承担连带责任；</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2）由同一专业的单位组成的联合体，按照资质等级较低的单位确定资质等级；</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3）联合体各方不得再以自己名义单独或参加其他联合体在本招标项目中投标，</w:t>
      </w:r>
      <w:r>
        <w:rPr>
          <w:rFonts w:hint="eastAsia" w:ascii="宋体" w:hAnsi="宋体" w:eastAsia="宋体" w:cs="宋体"/>
          <w:color w:val="auto"/>
          <w:spacing w:val="-2"/>
          <w:kern w:val="0"/>
          <w:sz w:val="24"/>
          <w:szCs w:val="24"/>
          <w:highlight w:val="none"/>
        </w:rPr>
        <w:t>否则各相关投标均无效。</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1.4.3 </w:t>
      </w:r>
      <w:r>
        <w:rPr>
          <w:rFonts w:hint="eastAsia" w:ascii="宋体" w:hAnsi="宋体" w:eastAsia="宋体" w:cs="宋体"/>
          <w:color w:val="auto"/>
          <w:spacing w:val="-2"/>
          <w:kern w:val="0"/>
          <w:sz w:val="24"/>
          <w:szCs w:val="24"/>
          <w:highlight w:val="none"/>
        </w:rPr>
        <w:t>投标人不得存在下列情形之一：</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1）为招标人不具有独立法人资格的附属机构（单位）；</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2）与招标人存在利害关系且可能影响招标公正性；</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3）与本招标项目的其他投标人为同一个单位负责人；</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4）与本招标项目的其他投标人存在控股、管理关系；</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5）为本招标项目的代建人；</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6）为本招标项目的招标代理机构；</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7）与本招标项目的代建人或招标代理机构同为一个法定代表人；</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8）与本招标项目的代建人或招标代理机构存在控股或参股关系；</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9</w:t>
      </w:r>
      <w:r>
        <w:rPr>
          <w:rFonts w:hint="eastAsia" w:ascii="宋体" w:hAnsi="宋体" w:eastAsia="宋体" w:cs="宋体"/>
          <w:color w:val="auto"/>
          <w:spacing w:val="-2"/>
          <w:kern w:val="0"/>
          <w:sz w:val="24"/>
          <w:szCs w:val="24"/>
          <w:highlight w:val="none"/>
        </w:rPr>
        <w:t>）被依法暂停或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10）被责令停产停业、暂扣或者吊销许可证、暂扣或者吊销执照</w:t>
      </w: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本项事实应当以根据《中华人民共和国行政处罚法》依法作出并已经生效的行政处罚决定为认定依据</w:t>
      </w:r>
      <w:r>
        <w:rPr>
          <w:rFonts w:hint="eastAsia" w:ascii="宋体" w:hAnsi="宋体" w:eastAsia="宋体" w:cs="宋体"/>
          <w:color w:val="auto"/>
          <w:spacing w:val="-2"/>
          <w:kern w:val="0"/>
          <w:sz w:val="24"/>
          <w:szCs w:val="24"/>
          <w:highlight w:val="none"/>
        </w:rPr>
        <w:t>）；</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11）进入清算程序，或被</w:t>
      </w:r>
      <w:r>
        <w:rPr>
          <w:rFonts w:hint="eastAsia" w:ascii="宋体" w:hAnsi="宋体" w:eastAsia="宋体" w:cs="宋体"/>
          <w:color w:val="auto"/>
          <w:spacing w:val="-2"/>
          <w:kern w:val="0"/>
          <w:sz w:val="24"/>
          <w:szCs w:val="24"/>
          <w:highlight w:val="none"/>
        </w:rPr>
        <w:t>宣布破产，或其他丧失履约能力的情形；</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12）</w:t>
      </w:r>
      <w:r>
        <w:rPr>
          <w:rFonts w:hint="eastAsia" w:ascii="宋体" w:hAnsi="宋体" w:eastAsia="宋体" w:cs="宋体"/>
          <w:color w:val="auto"/>
          <w:spacing w:val="-2"/>
          <w:kern w:val="0"/>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13</w:t>
      </w:r>
      <w:r>
        <w:rPr>
          <w:rFonts w:hint="eastAsia" w:ascii="宋体" w:hAnsi="宋体" w:eastAsia="宋体" w:cs="宋体"/>
          <w:color w:val="auto"/>
          <w:spacing w:val="-2"/>
          <w:kern w:val="0"/>
          <w:sz w:val="24"/>
          <w:szCs w:val="24"/>
          <w:highlight w:val="none"/>
        </w:rPr>
        <w:t>）在投标文件有关技术方案和要求中不得指定与工程建设项目有关的重要设备、材料的生产供应者，或者含有倾向或者排斥特定生产供应者的内容；</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14</w:t>
      </w:r>
      <w:r>
        <w:rPr>
          <w:rFonts w:hint="eastAsia" w:ascii="宋体" w:hAnsi="宋体" w:eastAsia="宋体" w:cs="宋体"/>
          <w:color w:val="auto"/>
          <w:spacing w:val="-2"/>
          <w:kern w:val="0"/>
          <w:sz w:val="24"/>
          <w:szCs w:val="24"/>
          <w:highlight w:val="none"/>
        </w:rPr>
        <w:t>）法律法规或投标人须知前附表规定的其他情形。</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26" w:name="_Toc111186729"/>
      <w:bookmarkStart w:id="27" w:name="_Toc29074"/>
      <w:bookmarkStart w:id="28" w:name="_Toc193357944"/>
      <w:r>
        <w:rPr>
          <w:rFonts w:ascii="宋体" w:hAnsi="宋体" w:eastAsia="宋体" w:cs="宋体"/>
          <w:b/>
          <w:bCs/>
          <w:color w:val="auto"/>
          <w:spacing w:val="1"/>
          <w:sz w:val="28"/>
          <w:szCs w:val="32"/>
          <w:highlight w:val="none"/>
          <w:lang w:val="zh-CN"/>
        </w:rPr>
        <w:t>1.5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费用承担</w:t>
      </w:r>
      <w:bookmarkEnd w:id="26"/>
      <w:bookmarkEnd w:id="27"/>
      <w:bookmarkEnd w:id="28"/>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投标人准备和参加投标活动发生的费用自理。</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29" w:name="_Toc8560"/>
      <w:bookmarkStart w:id="30" w:name="_Toc193357945"/>
      <w:bookmarkStart w:id="31" w:name="_Toc111186730"/>
      <w:r>
        <w:rPr>
          <w:rFonts w:ascii="宋体" w:hAnsi="宋体" w:eastAsia="宋体" w:cs="宋体"/>
          <w:b/>
          <w:bCs/>
          <w:color w:val="auto"/>
          <w:spacing w:val="1"/>
          <w:sz w:val="28"/>
          <w:szCs w:val="32"/>
          <w:highlight w:val="none"/>
          <w:lang w:val="zh-CN"/>
        </w:rPr>
        <w:t>1.6</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保密</w:t>
      </w:r>
      <w:bookmarkEnd w:id="29"/>
      <w:bookmarkEnd w:id="30"/>
      <w:bookmarkEnd w:id="31"/>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参与招标投标活动的各方应对招标文件和投标文件中的商业和技术等秘密保密，否则应承担相应的法律责任。</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32" w:name="_Toc193357946"/>
      <w:bookmarkStart w:id="33" w:name="_Toc111186731"/>
      <w:bookmarkStart w:id="34" w:name="_Toc28000"/>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语言文字</w:t>
      </w:r>
      <w:bookmarkEnd w:id="32"/>
      <w:bookmarkEnd w:id="33"/>
      <w:bookmarkEnd w:id="34"/>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招标投标文件使用的语言文字为中文。专用术语使用外文的，应附有中文注释。</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35" w:name="_Toc111186732"/>
      <w:bookmarkStart w:id="36" w:name="_Toc193357947"/>
      <w:bookmarkStart w:id="37" w:name="_Toc3237"/>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8</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计量单位</w:t>
      </w:r>
      <w:bookmarkEnd w:id="35"/>
      <w:bookmarkEnd w:id="36"/>
      <w:bookmarkEnd w:id="37"/>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所有计量均采用中华人民共和国法定计量单位。</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38" w:name="_Toc193357948"/>
      <w:bookmarkStart w:id="39" w:name="_Toc9357"/>
      <w:bookmarkStart w:id="40" w:name="_Toc111186733"/>
      <w:r>
        <w:rPr>
          <w:rFonts w:ascii="宋体" w:hAnsi="宋体" w:eastAsia="宋体" w:cs="宋体"/>
          <w:b/>
          <w:bCs/>
          <w:color w:val="auto"/>
          <w:spacing w:val="1"/>
          <w:sz w:val="28"/>
          <w:szCs w:val="32"/>
          <w:highlight w:val="none"/>
          <w:lang w:val="zh-CN"/>
        </w:rPr>
        <w:t>1.9</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踏勘现场</w:t>
      </w:r>
      <w:bookmarkEnd w:id="38"/>
      <w:bookmarkEnd w:id="39"/>
      <w:bookmarkEnd w:id="40"/>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1.9.1 </w:t>
      </w:r>
      <w:r>
        <w:rPr>
          <w:rFonts w:hint="eastAsia" w:ascii="宋体" w:hAnsi="宋体" w:eastAsia="宋体" w:cs="宋体"/>
          <w:color w:val="auto"/>
          <w:spacing w:val="-2"/>
          <w:kern w:val="0"/>
          <w:sz w:val="24"/>
          <w:szCs w:val="24"/>
          <w:highlight w:val="none"/>
        </w:rPr>
        <w:t>投标人须知前附表规定组织踏勘现场的，招标人按投标人须知前附表规定的时间、地点组织投标人踏勘项目现场。部分投标人未按时参加踏勘现场的，不影响踏勘现场的正常进行。</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1.9.2 </w:t>
      </w:r>
      <w:r>
        <w:rPr>
          <w:rFonts w:hint="eastAsia" w:ascii="宋体" w:hAnsi="宋体" w:eastAsia="宋体" w:cs="宋体"/>
          <w:color w:val="auto"/>
          <w:spacing w:val="-2"/>
          <w:kern w:val="0"/>
          <w:sz w:val="24"/>
          <w:szCs w:val="24"/>
          <w:highlight w:val="none"/>
        </w:rPr>
        <w:t>投标人踏勘现场发生的费用自理。</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1.9.3 </w:t>
      </w:r>
      <w:r>
        <w:rPr>
          <w:rFonts w:hint="eastAsia" w:ascii="宋体" w:hAnsi="宋体" w:eastAsia="宋体" w:cs="宋体"/>
          <w:color w:val="auto"/>
          <w:spacing w:val="-2"/>
          <w:kern w:val="0"/>
          <w:sz w:val="24"/>
          <w:szCs w:val="24"/>
          <w:highlight w:val="none"/>
        </w:rPr>
        <w:t>除招标人的原因外，投标人自行负责在踏勘现场中所发生的人员伤亡和财产损失。</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1.9.4 </w:t>
      </w:r>
      <w:r>
        <w:rPr>
          <w:rFonts w:hint="eastAsia" w:ascii="宋体" w:hAnsi="宋体" w:eastAsia="宋体" w:cs="宋体"/>
          <w:color w:val="auto"/>
          <w:spacing w:val="-2"/>
          <w:kern w:val="0"/>
          <w:sz w:val="24"/>
          <w:szCs w:val="24"/>
          <w:highlight w:val="none"/>
        </w:rPr>
        <w:t>招标人在踏勘现场中介绍的工程场地和相关的周边环境情况，供投标人在编制投标文</w:t>
      </w:r>
      <w:r>
        <w:rPr>
          <w:rFonts w:ascii="宋体" w:hAnsi="宋体" w:eastAsia="宋体" w:cs="宋体"/>
          <w:color w:val="auto"/>
          <w:spacing w:val="-2"/>
          <w:kern w:val="0"/>
          <w:sz w:val="24"/>
          <w:szCs w:val="24"/>
          <w:highlight w:val="none"/>
        </w:rPr>
        <w:t>件时参考，招标人不对投标人据此作出的判断和决策负责。</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41" w:name="_Toc193357949"/>
      <w:bookmarkStart w:id="42" w:name="_Toc16096"/>
      <w:bookmarkStart w:id="43" w:name="_Toc111186734"/>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0</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投标预备会</w:t>
      </w:r>
      <w:bookmarkEnd w:id="41"/>
      <w:bookmarkEnd w:id="42"/>
      <w:bookmarkEnd w:id="43"/>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1.10.1 </w:t>
      </w:r>
      <w:r>
        <w:rPr>
          <w:rFonts w:hint="eastAsia" w:ascii="宋体" w:hAnsi="宋体" w:eastAsia="宋体" w:cs="宋体"/>
          <w:color w:val="auto"/>
          <w:spacing w:val="-2"/>
          <w:kern w:val="0"/>
          <w:sz w:val="24"/>
          <w:szCs w:val="24"/>
          <w:highlight w:val="none"/>
        </w:rPr>
        <w:t>投标人须知前附表规定召开投标预备会的，招标人按投标人须知前附表规定的时间和地点召开投标预备会，澄清投标人提出的问题。</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1.10.2 </w:t>
      </w:r>
      <w:r>
        <w:rPr>
          <w:rFonts w:hint="eastAsia" w:ascii="宋体" w:hAnsi="宋体" w:eastAsia="宋体" w:cs="宋体"/>
          <w:color w:val="auto"/>
          <w:spacing w:val="-2"/>
          <w:kern w:val="0"/>
          <w:sz w:val="24"/>
          <w:szCs w:val="24"/>
          <w:highlight w:val="none"/>
        </w:rPr>
        <w:t>投标人应按投标人须知前附表规定的时间和形式将提出的问题送达招标人，以便招标人在会议期间澄清。</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1.10.3 </w:t>
      </w:r>
      <w:r>
        <w:rPr>
          <w:rFonts w:hint="eastAsia" w:ascii="宋体" w:hAnsi="宋体" w:eastAsia="宋体" w:cs="宋体"/>
          <w:color w:val="auto"/>
          <w:spacing w:val="-2"/>
          <w:kern w:val="0"/>
          <w:sz w:val="24"/>
          <w:szCs w:val="24"/>
          <w:highlight w:val="none"/>
        </w:rPr>
        <w:t>投标预备会后，招标人将对投标人所提问题的澄清，以投标人须知前附表规定的形</w:t>
      </w:r>
      <w:r>
        <w:rPr>
          <w:rFonts w:ascii="宋体" w:hAnsi="宋体" w:eastAsia="宋体" w:cs="宋体"/>
          <w:color w:val="auto"/>
          <w:spacing w:val="-2"/>
          <w:kern w:val="0"/>
          <w:sz w:val="24"/>
          <w:szCs w:val="24"/>
          <w:highlight w:val="none"/>
        </w:rPr>
        <w:t>式通知所有潜在投标人。该澄清内容为招标文件的组成部分。</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44" w:name="_Toc111186735"/>
      <w:bookmarkStart w:id="45" w:name="_Toc16438"/>
      <w:bookmarkStart w:id="46" w:name="_Toc193357950"/>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2"/>
          <w:sz w:val="28"/>
          <w:szCs w:val="32"/>
          <w:highlight w:val="none"/>
          <w:lang w:val="zh-CN"/>
        </w:rPr>
        <w:t>1</w:t>
      </w:r>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分包</w:t>
      </w:r>
      <w:bookmarkEnd w:id="44"/>
      <w:bookmarkEnd w:id="45"/>
      <w:bookmarkEnd w:id="46"/>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1.11.1 </w:t>
      </w:r>
      <w:r>
        <w:rPr>
          <w:rFonts w:hint="eastAsia" w:ascii="宋体" w:hAnsi="宋体" w:eastAsia="宋体" w:cs="宋体"/>
          <w:color w:val="auto"/>
          <w:spacing w:val="-2"/>
          <w:kern w:val="0"/>
          <w:sz w:val="24"/>
          <w:szCs w:val="24"/>
          <w:highlight w:val="none"/>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1.11.2 </w:t>
      </w:r>
      <w:r>
        <w:rPr>
          <w:rFonts w:hint="eastAsia" w:ascii="宋体" w:hAnsi="宋体" w:eastAsia="宋体" w:cs="宋体"/>
          <w:color w:val="auto"/>
          <w:spacing w:val="-2"/>
          <w:kern w:val="0"/>
          <w:sz w:val="24"/>
          <w:szCs w:val="24"/>
          <w:highlight w:val="none"/>
        </w:rPr>
        <w:t>中标人不得向他人转让中标项目，接受分包的人不得再次分包。中标人应当就分包项目向招标人负责，接受分包的人就分包项目承担连带责任。</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47" w:name="_Toc111186736"/>
      <w:bookmarkStart w:id="48" w:name="_Toc193357951"/>
      <w:bookmarkStart w:id="49" w:name="_Toc10229"/>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2"/>
          <w:sz w:val="28"/>
          <w:szCs w:val="32"/>
          <w:highlight w:val="none"/>
          <w:lang w:val="zh-CN"/>
        </w:rPr>
        <w:t>1</w:t>
      </w:r>
      <w:r>
        <w:rPr>
          <w:rFonts w:ascii="宋体" w:hAnsi="宋体" w:eastAsia="宋体" w:cs="宋体"/>
          <w:b/>
          <w:bCs/>
          <w:color w:val="auto"/>
          <w:spacing w:val="1"/>
          <w:sz w:val="28"/>
          <w:szCs w:val="32"/>
          <w:highlight w:val="none"/>
          <w:lang w:val="zh-CN"/>
        </w:rPr>
        <w:t>2</w:t>
      </w:r>
      <w:r>
        <w:rPr>
          <w:rFonts w:ascii="宋体" w:hAnsi="宋体" w:eastAsia="宋体" w:cs="宋体"/>
          <w:b/>
          <w:bCs/>
          <w:color w:val="auto"/>
          <w:spacing w:val="-1"/>
          <w:sz w:val="28"/>
          <w:szCs w:val="32"/>
          <w:highlight w:val="none"/>
          <w:lang w:val="zh-CN"/>
        </w:rPr>
        <w:t xml:space="preserve"> </w:t>
      </w:r>
      <w:r>
        <w:rPr>
          <w:rFonts w:hint="eastAsia" w:ascii="宋体" w:hAnsi="宋体" w:eastAsia="宋体" w:cs="宋体"/>
          <w:b/>
          <w:bCs/>
          <w:color w:val="auto"/>
          <w:spacing w:val="1"/>
          <w:sz w:val="28"/>
          <w:szCs w:val="32"/>
          <w:highlight w:val="none"/>
          <w:lang w:val="zh-CN"/>
        </w:rPr>
        <w:t>响应和偏差</w:t>
      </w:r>
      <w:bookmarkEnd w:id="47"/>
      <w:bookmarkEnd w:id="48"/>
      <w:bookmarkEnd w:id="49"/>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1.12.1 </w:t>
      </w:r>
      <w:r>
        <w:rPr>
          <w:rFonts w:hint="eastAsia" w:ascii="宋体" w:hAnsi="宋体" w:eastAsia="宋体" w:cs="宋体"/>
          <w:color w:val="auto"/>
          <w:spacing w:val="-2"/>
          <w:kern w:val="0"/>
          <w:sz w:val="24"/>
          <w:szCs w:val="24"/>
          <w:highlight w:val="none"/>
        </w:rPr>
        <w:t>投标文件应当对招标文件的实质性要求和条件作出满足性或更有利于招标人的响应，否则，投标人的投标将被否决。实质性要求和条件见投标人须知前附表。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1.12.2 </w:t>
      </w:r>
      <w:r>
        <w:rPr>
          <w:rFonts w:hint="eastAsia" w:ascii="宋体" w:hAnsi="宋体" w:eastAsia="宋体" w:cs="宋体"/>
          <w:color w:val="auto"/>
          <w:spacing w:val="-2"/>
          <w:kern w:val="0"/>
          <w:sz w:val="24"/>
          <w:szCs w:val="24"/>
          <w:highlight w:val="none"/>
        </w:rPr>
        <w:t>投标人应根据招标文件的要求提供投标勘察设计方案等内容以对招标文件作出响应。</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1.12.3 </w:t>
      </w:r>
      <w:r>
        <w:rPr>
          <w:rFonts w:hint="eastAsia" w:ascii="宋体" w:hAnsi="宋体" w:eastAsia="宋体" w:cs="宋体"/>
          <w:color w:val="auto"/>
          <w:spacing w:val="-2"/>
          <w:kern w:val="0"/>
          <w:sz w:val="24"/>
          <w:szCs w:val="24"/>
          <w:highlight w:val="none"/>
        </w:rPr>
        <w:t>投标人须知前附表允许投标文件偏离招标文件某些要求的，偏差应当符合招标文件规定的偏差范围和幅度。</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line="360" w:lineRule="auto"/>
        <w:outlineLvl w:val="1"/>
        <w:rPr>
          <w:rFonts w:hint="eastAsia" w:ascii="宋体" w:hAnsi="宋体" w:eastAsia="宋体" w:cs="宋体"/>
          <w:b/>
          <w:bCs/>
          <w:color w:val="auto"/>
          <w:kern w:val="0"/>
          <w:sz w:val="24"/>
          <w:szCs w:val="30"/>
          <w:highlight w:val="none"/>
          <w:lang w:val="zh-CN"/>
        </w:rPr>
      </w:pPr>
      <w:bookmarkStart w:id="50" w:name="_Toc111186737"/>
      <w:bookmarkStart w:id="51" w:name="_Toc22370"/>
      <w:bookmarkStart w:id="52" w:name="_Toc193357952"/>
      <w:r>
        <w:rPr>
          <w:rFonts w:ascii="宋体" w:hAnsi="宋体" w:eastAsia="宋体" w:cs="宋体"/>
          <w:b/>
          <w:bCs/>
          <w:color w:val="auto"/>
          <w:kern w:val="0"/>
          <w:sz w:val="30"/>
          <w:szCs w:val="30"/>
          <w:highlight w:val="none"/>
          <w:lang w:val="zh-CN"/>
        </w:rPr>
        <w:t>2.</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招标文件</w:t>
      </w:r>
      <w:bookmarkEnd w:id="50"/>
      <w:bookmarkEnd w:id="51"/>
      <w:bookmarkEnd w:id="52"/>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53" w:name="_Toc22346"/>
      <w:bookmarkStart w:id="54" w:name="_Toc111186738"/>
      <w:bookmarkStart w:id="55" w:name="_Toc193357953"/>
      <w:r>
        <w:rPr>
          <w:rFonts w:ascii="宋体" w:hAnsi="宋体" w:eastAsia="宋体" w:cs="宋体"/>
          <w:b/>
          <w:bCs/>
          <w:color w:val="auto"/>
          <w:spacing w:val="1"/>
          <w:sz w:val="28"/>
          <w:szCs w:val="32"/>
          <w:highlight w:val="none"/>
          <w:lang w:val="zh-CN"/>
        </w:rPr>
        <w:t>2.1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53"/>
      <w:bookmarkEnd w:id="54"/>
      <w:bookmarkEnd w:id="55"/>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本招标文件包括：</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1）招标公告；</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2）投标人须知；</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3）评标办法；</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4）合同条款及格式；</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w:t>
      </w:r>
      <w:r>
        <w:rPr>
          <w:rFonts w:hint="eastAsia" w:ascii="宋体" w:hAnsi="宋体" w:eastAsia="宋体" w:cs="宋体"/>
          <w:color w:val="auto"/>
          <w:spacing w:val="-2"/>
          <w:kern w:val="0"/>
          <w:sz w:val="24"/>
          <w:szCs w:val="24"/>
          <w:highlight w:val="none"/>
        </w:rPr>
        <w:t>发包人要求；</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6）投标文件格式；</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7）投标人须知前附表规定的其他资料。</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根据本章第</w:t>
      </w:r>
      <w:r>
        <w:rPr>
          <w:rFonts w:ascii="宋体" w:hAnsi="宋体" w:eastAsia="宋体" w:cs="宋体"/>
          <w:color w:val="auto"/>
          <w:spacing w:val="-2"/>
          <w:kern w:val="0"/>
          <w:sz w:val="24"/>
          <w:szCs w:val="24"/>
          <w:highlight w:val="none"/>
        </w:rPr>
        <w:t>1.10款、第2.2款和第2.3款对招标文件所作的澄清、修改，构成招标文件的组成部分。</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56" w:name="_Toc193357954"/>
      <w:bookmarkStart w:id="57" w:name="_Toc111186739"/>
      <w:bookmarkStart w:id="58" w:name="_Toc9843"/>
      <w:r>
        <w:rPr>
          <w:rFonts w:ascii="宋体" w:hAnsi="宋体" w:eastAsia="宋体" w:cs="宋体"/>
          <w:b/>
          <w:bCs/>
          <w:color w:val="auto"/>
          <w:spacing w:val="1"/>
          <w:sz w:val="28"/>
          <w:szCs w:val="32"/>
          <w:highlight w:val="none"/>
          <w:lang w:val="zh-CN"/>
        </w:rPr>
        <w:t>2.2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bookmarkEnd w:id="56"/>
      <w:bookmarkEnd w:id="57"/>
      <w:bookmarkEnd w:id="58"/>
      <w:r>
        <w:rPr>
          <w:rFonts w:hint="eastAsia" w:ascii="宋体" w:hAnsi="宋体" w:eastAsia="宋体" w:cs="宋体"/>
          <w:b/>
          <w:bCs/>
          <w:color w:val="auto"/>
          <w:spacing w:val="1"/>
          <w:sz w:val="28"/>
          <w:szCs w:val="32"/>
          <w:highlight w:val="none"/>
          <w:lang w:val="zh-CN"/>
        </w:rPr>
        <w:t>答疑</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2.2.1 </w:t>
      </w:r>
      <w:r>
        <w:rPr>
          <w:rFonts w:hint="eastAsia" w:ascii="宋体" w:hAnsi="宋体" w:eastAsia="宋体" w:cs="宋体"/>
          <w:color w:val="auto"/>
          <w:spacing w:val="-2"/>
          <w:kern w:val="0"/>
          <w:sz w:val="24"/>
          <w:szCs w:val="24"/>
          <w:highlight w:val="none"/>
        </w:rPr>
        <w:t>投标人应仔细阅读和检查招标文件的全部内容。如有疑问，应按投标人须知前附表规定的时间和形式将提出的问题送达招标人，要求招标人对招标文件予以澄清。</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2.2.2 </w:t>
      </w:r>
      <w:r>
        <w:rPr>
          <w:rFonts w:hint="eastAsia" w:ascii="宋体" w:hAnsi="宋体" w:eastAsia="宋体" w:cs="宋体"/>
          <w:color w:val="auto"/>
          <w:spacing w:val="-2"/>
          <w:kern w:val="0"/>
          <w:sz w:val="24"/>
          <w:szCs w:val="24"/>
          <w:highlight w:val="none"/>
        </w:rPr>
        <w:t>招标答疑采用网上答疑方式进行。投标人若对招标文件有疑问的，通过</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网站提交，应按照</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网站关于全流程电子化项目的相关指南进行操作。提问一律不得署名。</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2.2.3 </w:t>
      </w:r>
      <w:r>
        <w:rPr>
          <w:rFonts w:hint="eastAsia" w:ascii="宋体" w:hAnsi="宋体" w:eastAsia="宋体" w:cs="宋体"/>
          <w:color w:val="auto"/>
          <w:spacing w:val="-2"/>
          <w:kern w:val="0"/>
          <w:sz w:val="24"/>
          <w:szCs w:val="24"/>
          <w:highlight w:val="none"/>
        </w:rPr>
        <w:t>招标答疑会会议纪要将在提交投标文件截止时间</w:t>
      </w:r>
      <w:r>
        <w:rPr>
          <w:rFonts w:ascii="宋体" w:hAnsi="宋体" w:eastAsia="宋体" w:cs="宋体"/>
          <w:color w:val="auto"/>
          <w:spacing w:val="-2"/>
          <w:kern w:val="0"/>
          <w:sz w:val="24"/>
          <w:szCs w:val="24"/>
          <w:highlight w:val="none"/>
        </w:rPr>
        <w:t>15日前在</w:t>
      </w:r>
      <w:r>
        <w:rPr>
          <w:rFonts w:ascii="宋体" w:hAnsi="宋体" w:eastAsia="宋体" w:cs="宋体"/>
          <w:color w:val="auto"/>
          <w:spacing w:val="-2"/>
          <w:kern w:val="0"/>
          <w:sz w:val="24"/>
          <w:szCs w:val="24"/>
          <w:highlight w:val="none"/>
          <w:u w:val="single"/>
        </w:rPr>
        <w:t>广州交易集团有限公司（广州公共资源交易中心）</w:t>
      </w:r>
      <w:r>
        <w:rPr>
          <w:rFonts w:ascii="宋体" w:hAnsi="宋体" w:eastAsia="宋体" w:cs="宋体"/>
          <w:color w:val="auto"/>
          <w:spacing w:val="-2"/>
          <w:kern w:val="0"/>
          <w:sz w:val="24"/>
          <w:szCs w:val="24"/>
          <w:highlight w:val="none"/>
        </w:rPr>
        <w:t>网站“项目答疑纪要”专区公开发布。答疑纪要一经在</w:t>
      </w:r>
      <w:r>
        <w:rPr>
          <w:rFonts w:ascii="宋体" w:hAnsi="宋体" w:eastAsia="宋体" w:cs="宋体"/>
          <w:color w:val="auto"/>
          <w:spacing w:val="-2"/>
          <w:kern w:val="0"/>
          <w:sz w:val="24"/>
          <w:szCs w:val="24"/>
          <w:highlight w:val="none"/>
          <w:u w:val="single"/>
        </w:rPr>
        <w:t>广州交易集团有限公司（广州公共资源交易中心）</w:t>
      </w:r>
      <w:r>
        <w:rPr>
          <w:rFonts w:ascii="宋体" w:hAnsi="宋体" w:eastAsia="宋体" w:cs="宋体"/>
          <w:color w:val="auto"/>
          <w:spacing w:val="-2"/>
          <w:kern w:val="0"/>
          <w:sz w:val="24"/>
          <w:szCs w:val="24"/>
          <w:highlight w:val="none"/>
        </w:rPr>
        <w:t>网站发布，视作已发放给所有投标人。</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2.2.4 </w:t>
      </w:r>
      <w:r>
        <w:rPr>
          <w:rFonts w:hint="eastAsia" w:ascii="宋体" w:hAnsi="宋体" w:eastAsia="宋体" w:cs="宋体"/>
          <w:color w:val="auto"/>
          <w:spacing w:val="-2"/>
          <w:kern w:val="0"/>
          <w:sz w:val="24"/>
          <w:szCs w:val="24"/>
          <w:highlight w:val="none"/>
        </w:rPr>
        <w:t>招标答疑会会议纪要是招标文件的组成部分，对投标人起约束作用。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2.2.5 </w:t>
      </w:r>
      <w:r>
        <w:rPr>
          <w:rFonts w:hint="eastAsia" w:ascii="宋体" w:hAnsi="宋体" w:eastAsia="宋体" w:cs="宋体"/>
          <w:color w:val="auto"/>
          <w:spacing w:val="-2"/>
          <w:kern w:val="0"/>
          <w:sz w:val="24"/>
          <w:szCs w:val="24"/>
          <w:highlight w:val="none"/>
        </w:rPr>
        <w:t>若招标答疑会会议纪要与招标文件有矛盾时，以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网站最后发布的答疑纪要为准。</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kern w:val="0"/>
          <w:sz w:val="28"/>
          <w:szCs w:val="28"/>
          <w:highlight w:val="none"/>
          <w:lang w:val="zh-CN"/>
        </w:rPr>
      </w:pPr>
      <w:bookmarkStart w:id="59" w:name="_Toc111186740"/>
      <w:bookmarkStart w:id="60" w:name="_Toc193357955"/>
      <w:bookmarkStart w:id="61" w:name="_Toc8197"/>
      <w:r>
        <w:rPr>
          <w:rFonts w:ascii="宋体" w:hAnsi="宋体" w:eastAsia="宋体" w:cs="宋体"/>
          <w:b/>
          <w:bCs/>
          <w:color w:val="auto"/>
          <w:spacing w:val="1"/>
          <w:sz w:val="28"/>
          <w:szCs w:val="32"/>
          <w:highlight w:val="none"/>
          <w:lang w:val="zh-CN"/>
        </w:rPr>
        <w:t xml:space="preserve">2.3 </w:t>
      </w:r>
      <w:r>
        <w:rPr>
          <w:rFonts w:hint="eastAsia" w:ascii="宋体" w:hAnsi="宋体" w:eastAsia="宋体" w:cs="宋体"/>
          <w:b/>
          <w:bCs/>
          <w:color w:val="auto"/>
          <w:spacing w:val="1"/>
          <w:sz w:val="28"/>
          <w:szCs w:val="32"/>
          <w:highlight w:val="none"/>
          <w:lang w:val="zh-CN"/>
        </w:rPr>
        <w:t>招标文件的澄清与修改</w:t>
      </w:r>
      <w:bookmarkEnd w:id="59"/>
      <w:bookmarkEnd w:id="60"/>
      <w:bookmarkEnd w:id="61"/>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2.3.1 </w:t>
      </w:r>
      <w:r>
        <w:rPr>
          <w:rFonts w:hint="eastAsia" w:ascii="宋体" w:hAnsi="宋体" w:eastAsia="宋体" w:cs="宋体"/>
          <w:color w:val="auto"/>
          <w:spacing w:val="-2"/>
          <w:kern w:val="0"/>
          <w:sz w:val="24"/>
          <w:szCs w:val="24"/>
          <w:highlight w:val="none"/>
        </w:rPr>
        <w:t>招标文件发出后，在提交投标文件截止时间</w:t>
      </w:r>
      <w:r>
        <w:rPr>
          <w:rFonts w:ascii="宋体" w:hAnsi="宋体" w:eastAsia="宋体" w:cs="宋体"/>
          <w:color w:val="auto"/>
          <w:spacing w:val="-2"/>
          <w:kern w:val="0"/>
          <w:sz w:val="24"/>
          <w:szCs w:val="24"/>
          <w:highlight w:val="none"/>
        </w:rPr>
        <w:t>15日前，招标人可对招标文件进行必要的澄清或修改。</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2.3.2 </w:t>
      </w:r>
      <w:r>
        <w:rPr>
          <w:rFonts w:hint="eastAsia" w:ascii="宋体" w:hAnsi="宋体" w:eastAsia="宋体" w:cs="宋体"/>
          <w:color w:val="auto"/>
          <w:spacing w:val="-2"/>
          <w:kern w:val="0"/>
          <w:sz w:val="24"/>
          <w:szCs w:val="24"/>
          <w:highlight w:val="none"/>
        </w:rPr>
        <w:t>招标文件的澄清或修改将在广州交易集团有限公司（广州公共资源交易中心）网站“项目答疑纪要”专区公开发布。招标文件的澄清或修改一经在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网站发布，视作已发放给所有投标人，以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网站发布时间作为送达时间。</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2.3.3 </w:t>
      </w:r>
      <w:r>
        <w:rPr>
          <w:rFonts w:hint="eastAsia" w:ascii="宋体" w:hAnsi="宋体" w:eastAsia="宋体" w:cs="宋体"/>
          <w:color w:val="auto"/>
          <w:spacing w:val="-2"/>
          <w:kern w:val="0"/>
          <w:sz w:val="24"/>
          <w:szCs w:val="24"/>
          <w:highlight w:val="none"/>
        </w:rPr>
        <w:t>招标文件的澄清或修改是招标文件的组成部分，对投标人起约束作用。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2.3.4 </w:t>
      </w:r>
      <w:r>
        <w:rPr>
          <w:rFonts w:hint="eastAsia" w:ascii="宋体" w:hAnsi="宋体" w:eastAsia="宋体" w:cs="宋体"/>
          <w:color w:val="auto"/>
          <w:spacing w:val="-2"/>
          <w:kern w:val="0"/>
          <w:sz w:val="24"/>
          <w:szCs w:val="24"/>
          <w:highlight w:val="none"/>
        </w:rPr>
        <w:t>招标文件的澄清或修改均以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网站发布的内容为准。当招标文件的澄清、修改、补充等在同一内容的表述不一致时，以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网站最后发布的内容为准。</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2.3.5 </w:t>
      </w:r>
      <w:r>
        <w:rPr>
          <w:rFonts w:hint="eastAsia" w:ascii="宋体" w:hAnsi="宋体" w:eastAsia="宋体" w:cs="宋体"/>
          <w:color w:val="auto"/>
          <w:spacing w:val="-2"/>
          <w:kern w:val="0"/>
          <w:sz w:val="24"/>
          <w:szCs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62" w:name="_Toc17179"/>
      <w:bookmarkStart w:id="63" w:name="_Toc111186741"/>
      <w:bookmarkStart w:id="64" w:name="_Toc193357956"/>
      <w:r>
        <w:rPr>
          <w:rFonts w:ascii="宋体" w:hAnsi="宋体" w:eastAsia="宋体" w:cs="宋体"/>
          <w:b/>
          <w:bCs/>
          <w:color w:val="auto"/>
          <w:spacing w:val="1"/>
          <w:sz w:val="28"/>
          <w:szCs w:val="32"/>
          <w:highlight w:val="none"/>
          <w:lang w:val="zh-CN"/>
        </w:rPr>
        <w:t>2.4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异议</w:t>
      </w:r>
      <w:bookmarkEnd w:id="62"/>
      <w:bookmarkEnd w:id="63"/>
      <w:bookmarkEnd w:id="64"/>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投标人或者其他利害关系人对招标文件有异议的，应当在投标截止时间</w:t>
      </w:r>
      <w:r>
        <w:rPr>
          <w:rFonts w:ascii="宋体" w:hAnsi="宋体" w:eastAsia="宋体" w:cs="宋体"/>
          <w:color w:val="auto"/>
          <w:spacing w:val="-2"/>
          <w:kern w:val="0"/>
          <w:sz w:val="24"/>
          <w:szCs w:val="24"/>
          <w:highlight w:val="none"/>
        </w:rPr>
        <w:t>10日前以书面形式提出。招标人将在收到异议之日起3日内</w:t>
      </w:r>
      <w:r>
        <w:rPr>
          <w:rFonts w:hint="eastAsia" w:ascii="宋体" w:hAnsi="宋体" w:eastAsia="宋体" w:cs="宋体"/>
          <w:color w:val="auto"/>
          <w:spacing w:val="-2"/>
          <w:kern w:val="0"/>
          <w:sz w:val="24"/>
          <w:szCs w:val="24"/>
          <w:highlight w:val="none"/>
        </w:rPr>
        <w:t>作出答复；作出答复前，将暂停招标投标活动。</w:t>
      </w:r>
    </w:p>
    <w:p>
      <w:pPr>
        <w:wordWrap w:val="0"/>
        <w:autoSpaceDE w:val="0"/>
        <w:autoSpaceDN w:val="0"/>
        <w:spacing w:line="360" w:lineRule="auto"/>
        <w:ind w:firstLine="472" w:firstLineChars="200"/>
        <w:rPr>
          <w:rFonts w:hint="eastAsia" w:ascii="宋体" w:hAnsi="宋体" w:eastAsia="宋体" w:cs="宋体"/>
          <w:color w:val="auto"/>
          <w:spacing w:val="-2"/>
          <w:kern w:val="0"/>
          <w:sz w:val="24"/>
          <w:szCs w:val="24"/>
          <w:highlight w:val="none"/>
        </w:rPr>
      </w:pPr>
    </w:p>
    <w:p>
      <w:pPr>
        <w:keepNext/>
        <w:keepLines/>
        <w:wordWrap w:val="0"/>
        <w:spacing w:line="360" w:lineRule="auto"/>
        <w:outlineLvl w:val="1"/>
        <w:rPr>
          <w:rFonts w:hint="eastAsia" w:ascii="宋体" w:hAnsi="宋体" w:eastAsia="宋体" w:cs="宋体"/>
          <w:b/>
          <w:bCs/>
          <w:color w:val="auto"/>
          <w:kern w:val="0"/>
          <w:sz w:val="30"/>
          <w:szCs w:val="30"/>
          <w:highlight w:val="none"/>
          <w:lang w:val="zh-CN"/>
        </w:rPr>
      </w:pPr>
      <w:bookmarkStart w:id="65" w:name="_Toc111186742"/>
      <w:bookmarkStart w:id="66" w:name="_Toc193357957"/>
      <w:bookmarkStart w:id="67" w:name="_Toc7081"/>
      <w:r>
        <w:rPr>
          <w:rFonts w:ascii="宋体" w:hAnsi="宋体" w:eastAsia="宋体" w:cs="宋体"/>
          <w:b/>
          <w:bCs/>
          <w:color w:val="auto"/>
          <w:kern w:val="0"/>
          <w:sz w:val="30"/>
          <w:szCs w:val="30"/>
          <w:highlight w:val="none"/>
          <w:lang w:val="zh-CN"/>
        </w:rPr>
        <w:t>3.</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投标文件</w:t>
      </w:r>
      <w:bookmarkEnd w:id="65"/>
      <w:bookmarkEnd w:id="66"/>
      <w:bookmarkEnd w:id="67"/>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68" w:name="_Toc193357958"/>
      <w:bookmarkStart w:id="69" w:name="_Toc111186743"/>
      <w:bookmarkStart w:id="70" w:name="_Toc14590"/>
      <w:r>
        <w:rPr>
          <w:rFonts w:ascii="宋体" w:hAnsi="宋体" w:eastAsia="宋体" w:cs="宋体"/>
          <w:b/>
          <w:bCs/>
          <w:color w:val="auto"/>
          <w:spacing w:val="1"/>
          <w:sz w:val="28"/>
          <w:szCs w:val="32"/>
          <w:highlight w:val="none"/>
          <w:lang w:val="zh-CN"/>
        </w:rPr>
        <w:t>3.1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组成（适用于非暗标形式）</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3.1.1 投标文件应包括下列内容：</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4）投标保证金；</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5）勘察设计费报价表；</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6）资格审查资料；</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7）勘察设计方案；</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8）投标人须知前附表规定的其他资料。</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投标人在评标过程中作出的符合法律法规和招标文件规定的澄清确认，构成投标文件的组</w:t>
      </w:r>
      <w:r>
        <w:rPr>
          <w:rFonts w:ascii="宋体" w:hAnsi="宋体" w:eastAsia="宋体" w:cs="宋体"/>
          <w:color w:val="auto"/>
          <w:sz w:val="24"/>
          <w:szCs w:val="24"/>
          <w:highlight w:val="none"/>
        </w:rPr>
        <w:t xml:space="preserve"> 成部分。</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3.1.2 投标人须知前附表规定不接受联合体投标的， 或投标人没有组成联合体的，投标文件 不包括本章第3.1.1</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3）目所指的联合体协议书。</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3.1.3 投标人须知前附表未要求提交投标保证金的，投标文件不包括本章第 3.1.1</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4）目所 指的投标保证金。</w:t>
      </w: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r>
        <w:rPr>
          <w:rFonts w:ascii="宋体" w:hAnsi="宋体" w:eastAsia="宋体" w:cs="宋体"/>
          <w:b/>
          <w:bCs/>
          <w:color w:val="auto"/>
          <w:spacing w:val="1"/>
          <w:sz w:val="28"/>
          <w:szCs w:val="32"/>
          <w:highlight w:val="none"/>
          <w:lang w:val="zh-CN"/>
        </w:rPr>
        <w:t>3.1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68"/>
      <w:bookmarkEnd w:id="69"/>
      <w:bookmarkEnd w:id="70"/>
      <w:r>
        <w:rPr>
          <w:rFonts w:hint="eastAsia" w:ascii="宋体" w:hAnsi="宋体" w:eastAsia="宋体" w:cs="宋体"/>
          <w:b/>
          <w:bCs/>
          <w:color w:val="auto"/>
          <w:spacing w:val="1"/>
          <w:sz w:val="28"/>
          <w:szCs w:val="32"/>
          <w:highlight w:val="none"/>
          <w:lang w:val="zh-CN"/>
        </w:rPr>
        <w:t>（适用于暗标形式）</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3.1.1 </w:t>
      </w:r>
      <w:r>
        <w:rPr>
          <w:rFonts w:hint="eastAsia" w:ascii="宋体" w:hAnsi="宋体" w:eastAsia="宋体" w:cs="宋体"/>
          <w:color w:val="auto"/>
          <w:sz w:val="24"/>
          <w:szCs w:val="24"/>
          <w:highlight w:val="none"/>
        </w:rPr>
        <w:t>商务文件（含资格审查文件）由下列资料组成：</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4）投标保证金；</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5）勘察设计费报价表；</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6）资格审查资料</w:t>
      </w:r>
      <w:r>
        <w:rPr>
          <w:rFonts w:hint="eastAsia" w:ascii="宋体" w:hAnsi="宋体" w:eastAsia="宋体" w:cs="宋体"/>
          <w:color w:val="auto"/>
          <w:sz w:val="24"/>
          <w:szCs w:val="24"/>
          <w:highlight w:val="none"/>
        </w:rPr>
        <w:t>；</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7）投标人须知前附表规定的其他资料。</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rPr>
        <w:t>技术文件：</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勘察设计方案（暗标）</w:t>
      </w:r>
    </w:p>
    <w:p>
      <w:pPr>
        <w:wordWrap w:val="0"/>
        <w:autoSpaceDE w:val="0"/>
        <w:autoSpaceDN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3.1.3 </w:t>
      </w:r>
      <w:r>
        <w:rPr>
          <w:rFonts w:hint="eastAsia" w:ascii="宋体" w:hAnsi="宋体" w:eastAsia="宋体" w:cs="宋体"/>
          <w:color w:val="auto"/>
          <w:sz w:val="24"/>
          <w:szCs w:val="24"/>
          <w:highlight w:val="none"/>
        </w:rPr>
        <w:t>保密要求</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71" w:name="_Toc111186744"/>
      <w:bookmarkStart w:id="72" w:name="_Toc193357959"/>
      <w:bookmarkStart w:id="73" w:name="_Toc26290"/>
      <w:r>
        <w:rPr>
          <w:rFonts w:ascii="宋体" w:hAnsi="宋体" w:eastAsia="宋体" w:cs="宋体"/>
          <w:b/>
          <w:bCs/>
          <w:color w:val="auto"/>
          <w:spacing w:val="1"/>
          <w:sz w:val="28"/>
          <w:szCs w:val="32"/>
          <w:highlight w:val="none"/>
          <w:lang w:val="zh-CN"/>
        </w:rPr>
        <w:t>3.2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投标报价</w:t>
      </w:r>
      <w:bookmarkEnd w:id="71"/>
      <w:bookmarkEnd w:id="72"/>
      <w:bookmarkEnd w:id="73"/>
    </w:p>
    <w:p>
      <w:pPr>
        <w:spacing w:line="360" w:lineRule="auto"/>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3.2.1 </w:t>
      </w:r>
      <w:r>
        <w:rPr>
          <w:rFonts w:hint="eastAsia" w:ascii="宋体" w:hAnsi="宋体" w:eastAsia="宋体"/>
          <w:color w:val="auto"/>
          <w:sz w:val="24"/>
          <w:szCs w:val="24"/>
          <w:highlight w:val="none"/>
        </w:rPr>
        <w:t>投标报价应包括国家规定的增值税税金，除投标人须知前附表另有规定外，增值税税金按一般计税方法计算。投标人应按第六章“投标文件格式”的要求在投标函中进行报价并填写设计费用清单。</w:t>
      </w:r>
    </w:p>
    <w:p>
      <w:pPr>
        <w:spacing w:line="360" w:lineRule="auto"/>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3.2.2 </w:t>
      </w:r>
      <w:r>
        <w:rPr>
          <w:rFonts w:hint="eastAsia" w:ascii="宋体" w:hAnsi="宋体" w:eastAsia="宋体"/>
          <w:color w:val="auto"/>
          <w:sz w:val="24"/>
          <w:szCs w:val="24"/>
          <w:highlight w:val="none"/>
        </w:rPr>
        <w:t>投标人应充分了解该项目的总体情况以及影响投标报价的其他要素。</w:t>
      </w:r>
    </w:p>
    <w:p>
      <w:pPr>
        <w:spacing w:line="360" w:lineRule="auto"/>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3.2.3 </w:t>
      </w:r>
      <w:r>
        <w:rPr>
          <w:rFonts w:hint="eastAsia" w:ascii="宋体" w:hAnsi="宋体" w:eastAsia="宋体"/>
          <w:color w:val="auto"/>
          <w:sz w:val="24"/>
          <w:szCs w:val="24"/>
          <w:highlight w:val="none"/>
        </w:rPr>
        <w:t>本项目的报价方式见投标人须知前附表。投标人在投标截止时间前修改投标函中的投标报价总额，应同时修改投标文件“勘察设计费报价表”中的相应报价。此修改须符合本章第</w:t>
      </w:r>
      <w:r>
        <w:rPr>
          <w:rFonts w:ascii="宋体" w:hAnsi="宋体" w:eastAsia="宋体"/>
          <w:color w:val="auto"/>
          <w:sz w:val="24"/>
          <w:szCs w:val="24"/>
          <w:highlight w:val="none"/>
        </w:rPr>
        <w:t>4.3款的有关要求。</w:t>
      </w:r>
    </w:p>
    <w:p>
      <w:pPr>
        <w:spacing w:line="360" w:lineRule="auto"/>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rPr>
        <w:t>投标报价不符合国家颁布的勘察设计取费标准，或者低于成本，设有最高投标限价的，投标人的投标报价不得超过最高投标限价，最高投标限价在投标人须知前附表中载明。</w:t>
      </w:r>
    </w:p>
    <w:p>
      <w:pPr>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olor w:val="auto"/>
          <w:sz w:val="24"/>
          <w:szCs w:val="24"/>
          <w:highlight w:val="none"/>
        </w:rPr>
        <w:t xml:space="preserve">3.2.5 </w:t>
      </w:r>
      <w:r>
        <w:rPr>
          <w:rFonts w:hint="eastAsia" w:ascii="宋体" w:hAnsi="宋体" w:eastAsia="宋体"/>
          <w:color w:val="auto"/>
          <w:sz w:val="24"/>
          <w:szCs w:val="24"/>
          <w:highlight w:val="none"/>
        </w:rPr>
        <w:t>投标报价的其他要求见投标人须知前附表。</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74" w:name="_Toc7276"/>
      <w:bookmarkStart w:id="75" w:name="_Toc193357960"/>
      <w:bookmarkStart w:id="76" w:name="_Toc111186745"/>
      <w:r>
        <w:rPr>
          <w:rFonts w:ascii="宋体" w:hAnsi="宋体" w:eastAsia="宋体" w:cs="宋体"/>
          <w:b/>
          <w:bCs/>
          <w:color w:val="auto"/>
          <w:spacing w:val="1"/>
          <w:sz w:val="28"/>
          <w:szCs w:val="32"/>
          <w:highlight w:val="none"/>
          <w:lang w:val="zh-CN"/>
        </w:rPr>
        <w:t>3.3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投标有效期</w:t>
      </w:r>
      <w:bookmarkEnd w:id="74"/>
      <w:bookmarkEnd w:id="75"/>
      <w:bookmarkEnd w:id="76"/>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3.3.1 </w:t>
      </w:r>
      <w:r>
        <w:rPr>
          <w:rFonts w:hint="eastAsia" w:ascii="宋体" w:hAnsi="宋体" w:eastAsia="宋体" w:cs="宋体"/>
          <w:color w:val="auto"/>
          <w:kern w:val="0"/>
          <w:sz w:val="24"/>
          <w:szCs w:val="24"/>
          <w:highlight w:val="none"/>
        </w:rPr>
        <w:t>除投标人须知前附表另有规定外，投标有效期为</w:t>
      </w:r>
      <w:r>
        <w:rPr>
          <w:rFonts w:ascii="宋体" w:hAnsi="宋体" w:eastAsia="宋体" w:cs="宋体"/>
          <w:color w:val="auto"/>
          <w:kern w:val="0"/>
          <w:sz w:val="24"/>
          <w:szCs w:val="24"/>
          <w:highlight w:val="none"/>
        </w:rPr>
        <w:t>90天。</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3.3.2 </w:t>
      </w:r>
      <w:r>
        <w:rPr>
          <w:rFonts w:hint="eastAsia" w:ascii="宋体" w:hAnsi="宋体" w:eastAsia="宋体" w:cs="宋体"/>
          <w:color w:val="auto"/>
          <w:kern w:val="0"/>
          <w:sz w:val="24"/>
          <w:szCs w:val="24"/>
          <w:highlight w:val="none"/>
        </w:rPr>
        <w:t>在投标有效期内，投标人撤销投标文件的，应承担招标文件和法律规定的责任。</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3.3.3 </w:t>
      </w:r>
      <w:r>
        <w:rPr>
          <w:rFonts w:hint="eastAsia" w:ascii="宋体" w:hAnsi="宋体" w:eastAsia="宋体" w:cs="宋体"/>
          <w:color w:val="auto"/>
          <w:kern w:val="0"/>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77" w:name="_Toc111186746"/>
      <w:bookmarkStart w:id="78" w:name="_Toc193357961"/>
      <w:bookmarkStart w:id="79" w:name="_Toc3821"/>
      <w:r>
        <w:rPr>
          <w:rFonts w:ascii="宋体" w:hAnsi="宋体" w:eastAsia="宋体" w:cs="宋体"/>
          <w:b/>
          <w:bCs/>
          <w:color w:val="auto"/>
          <w:spacing w:val="1"/>
          <w:sz w:val="28"/>
          <w:szCs w:val="32"/>
          <w:highlight w:val="none"/>
          <w:lang w:val="zh-CN"/>
        </w:rPr>
        <w:t xml:space="preserve">3.4 </w:t>
      </w:r>
      <w:r>
        <w:rPr>
          <w:rFonts w:hint="eastAsia" w:ascii="宋体" w:hAnsi="宋体" w:eastAsia="宋体" w:cs="宋体"/>
          <w:b/>
          <w:bCs/>
          <w:color w:val="auto"/>
          <w:spacing w:val="1"/>
          <w:sz w:val="28"/>
          <w:szCs w:val="32"/>
          <w:highlight w:val="none"/>
          <w:lang w:val="zh-CN"/>
        </w:rPr>
        <w:t>投标保证金</w:t>
      </w:r>
      <w:bookmarkEnd w:id="77"/>
      <w:bookmarkEnd w:id="78"/>
      <w:bookmarkEnd w:id="79"/>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3.4.1 </w:t>
      </w:r>
      <w:r>
        <w:rPr>
          <w:rFonts w:hint="eastAsia" w:ascii="宋体" w:hAnsi="宋体" w:eastAsia="宋体" w:cs="宋体"/>
          <w:color w:val="auto"/>
          <w:kern w:val="0"/>
          <w:sz w:val="24"/>
          <w:szCs w:val="24"/>
          <w:highlight w:val="none"/>
        </w:rPr>
        <w:t>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3.4.2 </w:t>
      </w:r>
      <w:r>
        <w:rPr>
          <w:rFonts w:hint="eastAsia" w:ascii="宋体" w:hAnsi="宋体" w:eastAsia="宋体" w:cs="宋体"/>
          <w:color w:val="auto"/>
          <w:kern w:val="0"/>
          <w:sz w:val="24"/>
          <w:szCs w:val="24"/>
          <w:highlight w:val="none"/>
        </w:rPr>
        <w:t>开标时投标人没有按要求提交投标保证金的，其投标文件将被否决。</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3.4.3 </w:t>
      </w:r>
      <w:r>
        <w:rPr>
          <w:rFonts w:hint="eastAsia" w:ascii="宋体" w:hAnsi="宋体" w:eastAsia="宋体" w:cs="宋体"/>
          <w:color w:val="auto"/>
          <w:kern w:val="0"/>
          <w:sz w:val="24"/>
          <w:szCs w:val="24"/>
          <w:highlight w:val="none"/>
        </w:rPr>
        <w:t>中标候选人以外的投标人的投标保证金将尽快退还，最迟不超过中标通知书发出之日起五日内；中标人和其他中标候选人的投标保证金，在书面合同订立之日起五日内予以退还。</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3.4.4 </w:t>
      </w:r>
      <w:r>
        <w:rPr>
          <w:rFonts w:hint="eastAsia" w:ascii="宋体" w:hAnsi="宋体" w:eastAsia="宋体" w:cs="宋体"/>
          <w:color w:val="auto"/>
          <w:kern w:val="0"/>
          <w:sz w:val="24"/>
          <w:szCs w:val="24"/>
          <w:highlight w:val="none"/>
        </w:rPr>
        <w:t>有下列情形之一的，投标保证金将不予退还：</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1）投标人在规定的投标有效期内撤销其投标文件；</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2）中标人在收到中标通知书后，无正当理由不与招标人订立合同，在签订合同时向招标人提出附加条件，或者不按照招标文件要求提交履约保证金。</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3.4.5 </w:t>
      </w:r>
      <w:r>
        <w:rPr>
          <w:rFonts w:hint="eastAsia" w:ascii="宋体" w:hAnsi="宋体" w:eastAsia="宋体" w:cs="宋体"/>
          <w:color w:val="auto"/>
          <w:kern w:val="0"/>
          <w:sz w:val="24"/>
          <w:szCs w:val="24"/>
          <w:highlight w:val="none"/>
        </w:rPr>
        <w:t>在提交投标文件截止时间后到招标文件规定的投标有效期终止之前，投标人不得撤销其投标文件，否则招标人可以不退还投标保证金。</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80" w:name="_Toc19411"/>
      <w:bookmarkStart w:id="81" w:name="_Toc111186747"/>
      <w:bookmarkStart w:id="82" w:name="_Toc193357963"/>
      <w:r>
        <w:rPr>
          <w:rFonts w:ascii="宋体" w:hAnsi="宋体" w:eastAsia="宋体" w:cs="宋体"/>
          <w:b/>
          <w:bCs/>
          <w:color w:val="auto"/>
          <w:spacing w:val="1"/>
          <w:sz w:val="28"/>
          <w:szCs w:val="32"/>
          <w:highlight w:val="none"/>
          <w:lang w:val="zh-CN"/>
        </w:rPr>
        <w:t>3.5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资格审查</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料</w:t>
      </w:r>
      <w:bookmarkEnd w:id="80"/>
      <w:bookmarkEnd w:id="81"/>
      <w:bookmarkEnd w:id="82"/>
    </w:p>
    <w:p>
      <w:pPr>
        <w:wordWrap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除投标人须知前附表另有规定外，投标人应按下列规定提供资格审查资料，</w:t>
      </w:r>
      <w:r>
        <w:rPr>
          <w:rFonts w:ascii="宋体" w:hAnsi="宋体" w:eastAsia="宋体" w:cs="宋体"/>
          <w:color w:val="auto"/>
          <w:kern w:val="0"/>
          <w:sz w:val="24"/>
          <w:szCs w:val="24"/>
          <w:highlight w:val="none"/>
        </w:rPr>
        <w:t xml:space="preserve"> 以证明其满足本章第 1.4 款规定的资质、财务、业绩、信誉等要求。</w:t>
      </w:r>
    </w:p>
    <w:p>
      <w:pPr>
        <w:wordWrap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3.5.1 </w:t>
      </w:r>
      <w:r>
        <w:rPr>
          <w:rFonts w:hint="eastAsia" w:ascii="宋体" w:hAnsi="宋体" w:eastAsia="宋体" w:cs="宋体"/>
          <w:color w:val="auto"/>
          <w:kern w:val="0"/>
          <w:sz w:val="24"/>
          <w:szCs w:val="24"/>
          <w:highlight w:val="none"/>
        </w:rPr>
        <w:t>“投标人基本情况表”应附投标人营业执照、投标人勘察、设计资质证书副本等材料的扫描件。</w:t>
      </w:r>
    </w:p>
    <w:p>
      <w:pPr>
        <w:wordWrap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3.5.2 </w:t>
      </w:r>
      <w:r>
        <w:rPr>
          <w:rFonts w:hint="eastAsia" w:ascii="宋体" w:hAnsi="宋体" w:eastAsia="宋体" w:cs="宋体"/>
          <w:color w:val="auto"/>
          <w:kern w:val="0"/>
          <w:sz w:val="24"/>
          <w:szCs w:val="24"/>
          <w:highlight w:val="none"/>
        </w:rPr>
        <w:t>“近年完成的类似设计或勘察设计项目情况表”应附中标通知书和</w:t>
      </w:r>
      <w:r>
        <w:rPr>
          <w:rFonts w:ascii="宋体" w:hAnsi="宋体" w:eastAsia="宋体" w:cs="宋体"/>
          <w:color w:val="auto"/>
          <w:kern w:val="0"/>
          <w:sz w:val="24"/>
          <w:szCs w:val="24"/>
          <w:highlight w:val="none"/>
        </w:rPr>
        <w:t>(或)合同协议书、发包人出具的证明文件；具体时间要求见投标人须知前附表，每张表格只填写一个项目，并标明序号。</w:t>
      </w:r>
    </w:p>
    <w:p>
      <w:pPr>
        <w:wordWrap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3.5.3 </w:t>
      </w:r>
      <w:r>
        <w:rPr>
          <w:rFonts w:hint="eastAsia" w:ascii="宋体" w:hAnsi="宋体" w:eastAsia="宋体" w:cs="宋体"/>
          <w:color w:val="auto"/>
          <w:kern w:val="0"/>
          <w:sz w:val="24"/>
          <w:szCs w:val="24"/>
          <w:highlight w:val="none"/>
        </w:rPr>
        <w:t>“拟委任的主要人员汇总表”应填报满足本章第</w:t>
      </w:r>
      <w:r>
        <w:rPr>
          <w:rFonts w:ascii="宋体" w:hAnsi="宋体" w:eastAsia="宋体" w:cs="宋体"/>
          <w:color w:val="auto"/>
          <w:kern w:val="0"/>
          <w:sz w:val="24"/>
          <w:szCs w:val="24"/>
          <w:highlight w:val="none"/>
        </w:rPr>
        <w:t>1.4.1项规定的项目负责人和其他主要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pPr>
        <w:wordWrap w:val="0"/>
        <w:spacing w:line="360" w:lineRule="auto"/>
        <w:ind w:firstLine="480" w:firstLineChars="200"/>
        <w:rPr>
          <w:rFonts w:hint="eastAsia" w:ascii="宋体" w:hAnsi="宋体" w:eastAsia="宋体" w:cs="宋体"/>
          <w:color w:val="auto"/>
          <w:sz w:val="24"/>
          <w:szCs w:val="24"/>
          <w:highlight w:val="none"/>
          <w:u w:val="single"/>
        </w:rPr>
      </w:pPr>
      <w:r>
        <w:rPr>
          <w:rFonts w:ascii="宋体" w:hAnsi="宋体" w:eastAsia="宋体" w:cs="宋体"/>
          <w:color w:val="auto"/>
          <w:kern w:val="0"/>
          <w:sz w:val="24"/>
          <w:szCs w:val="24"/>
          <w:highlight w:val="none"/>
        </w:rPr>
        <w:t xml:space="preserve">3.5.4 </w:t>
      </w:r>
      <w:r>
        <w:rPr>
          <w:rFonts w:hint="eastAsia" w:ascii="宋体" w:hAnsi="宋体" w:eastAsia="宋体" w:cs="宋体"/>
          <w:color w:val="auto"/>
          <w:kern w:val="0"/>
          <w:sz w:val="24"/>
          <w:szCs w:val="24"/>
          <w:highlight w:val="none"/>
        </w:rPr>
        <w:t>投标人须知前附表规定接受联合体投标的，本章第</w:t>
      </w:r>
      <w:r>
        <w:rPr>
          <w:rFonts w:ascii="宋体" w:hAnsi="宋体" w:eastAsia="宋体" w:cs="宋体"/>
          <w:color w:val="auto"/>
          <w:kern w:val="0"/>
          <w:sz w:val="24"/>
          <w:szCs w:val="24"/>
          <w:highlight w:val="none"/>
        </w:rPr>
        <w:t>3.5.1项至第3.5.3项规定的表格和资料应包括联合体各方相关情况。</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83" w:name="_Toc193357964"/>
      <w:bookmarkStart w:id="84" w:name="_Toc10646"/>
      <w:bookmarkStart w:id="85" w:name="_Toc111186748"/>
      <w:r>
        <w:rPr>
          <w:rFonts w:ascii="宋体" w:hAnsi="宋体" w:eastAsia="宋体" w:cs="宋体"/>
          <w:b/>
          <w:bCs/>
          <w:color w:val="auto"/>
          <w:spacing w:val="1"/>
          <w:sz w:val="28"/>
          <w:szCs w:val="32"/>
          <w:highlight w:val="none"/>
          <w:lang w:val="zh-CN"/>
        </w:rPr>
        <w:t xml:space="preserve">3.6 </w:t>
      </w:r>
      <w:r>
        <w:rPr>
          <w:rFonts w:hint="eastAsia" w:ascii="宋体" w:hAnsi="宋体" w:eastAsia="宋体" w:cs="宋体"/>
          <w:b/>
          <w:bCs/>
          <w:color w:val="auto"/>
          <w:spacing w:val="1"/>
          <w:sz w:val="28"/>
          <w:szCs w:val="32"/>
          <w:highlight w:val="none"/>
          <w:lang w:val="zh-CN"/>
        </w:rPr>
        <w:t>备选投标方案</w:t>
      </w:r>
      <w:bookmarkEnd w:id="83"/>
      <w:bookmarkEnd w:id="84"/>
      <w:bookmarkEnd w:id="85"/>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3.6.1 </w:t>
      </w:r>
      <w:r>
        <w:rPr>
          <w:rFonts w:hint="eastAsia" w:ascii="宋体" w:hAnsi="宋体" w:eastAsia="宋体" w:cs="宋体"/>
          <w:color w:val="auto"/>
          <w:kern w:val="0"/>
          <w:sz w:val="24"/>
          <w:szCs w:val="24"/>
          <w:highlight w:val="none"/>
        </w:rPr>
        <w:t>除投标人须知前附表规定允许外，投标人不得递交备选投标方案，否则其投标将被否决。</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3.6.2 </w:t>
      </w:r>
      <w:r>
        <w:rPr>
          <w:rFonts w:hint="eastAsia" w:ascii="宋体" w:hAnsi="宋体" w:eastAsia="宋体" w:cs="宋体"/>
          <w:color w:val="auto"/>
          <w:kern w:val="0"/>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3.6.3 </w:t>
      </w:r>
      <w:r>
        <w:rPr>
          <w:rFonts w:hint="eastAsia" w:ascii="宋体" w:hAnsi="宋体" w:eastAsia="宋体" w:cs="宋体"/>
          <w:color w:val="auto"/>
          <w:kern w:val="0"/>
          <w:sz w:val="24"/>
          <w:szCs w:val="24"/>
          <w:highlight w:val="none"/>
        </w:rPr>
        <w:t>投标人提供两个或两个以上投标报价，或者在投标文件中提供一个报价，但同时提供两个或两个以上勘察设计方案的，视为提供备选方案。</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86" w:name="_Toc111186749"/>
      <w:bookmarkStart w:id="87" w:name="_Toc7643"/>
      <w:bookmarkStart w:id="88" w:name="_Toc193357965"/>
      <w:r>
        <w:rPr>
          <w:rFonts w:ascii="宋体" w:hAnsi="宋体" w:eastAsia="宋体" w:cs="宋体"/>
          <w:b/>
          <w:bCs/>
          <w:color w:val="auto"/>
          <w:spacing w:val="1"/>
          <w:sz w:val="28"/>
          <w:szCs w:val="32"/>
          <w:highlight w:val="none"/>
          <w:lang w:val="zh-CN"/>
        </w:rPr>
        <w:t>3.7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编制</w:t>
      </w:r>
      <w:bookmarkEnd w:id="86"/>
      <w:bookmarkEnd w:id="87"/>
      <w:bookmarkEnd w:id="88"/>
    </w:p>
    <w:p>
      <w:pPr>
        <w:wordWrap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3.7.1 </w:t>
      </w:r>
      <w:r>
        <w:rPr>
          <w:rFonts w:hint="eastAsia" w:ascii="宋体" w:hAnsi="宋体" w:eastAsia="宋体" w:cs="宋体"/>
          <w:color w:val="auto"/>
          <w:kern w:val="0"/>
          <w:sz w:val="24"/>
          <w:szCs w:val="24"/>
          <w:highlight w:val="none"/>
        </w:rPr>
        <w:t>投标文件应按第六章“投标文件格式”进行编写，如有必要，可以增加附页，作为投标文件的组成部分。其中，投标函附录在满足招标文件实质性要求的基础上，可以提出比招标文件要求更有利于招标人的承诺。</w:t>
      </w:r>
    </w:p>
    <w:p>
      <w:pPr>
        <w:wordWrap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3.7.2 </w:t>
      </w:r>
      <w:r>
        <w:rPr>
          <w:rFonts w:hint="eastAsia" w:ascii="宋体" w:hAnsi="宋体" w:eastAsia="宋体" w:cs="宋体"/>
          <w:color w:val="auto"/>
          <w:kern w:val="0"/>
          <w:sz w:val="24"/>
          <w:szCs w:val="24"/>
          <w:highlight w:val="none"/>
        </w:rPr>
        <w:t>投标文件应当对招标文件有关勘察设计服务期限、投标有效期、发包人要求、招标范围等实质性内容作出响应。</w:t>
      </w:r>
    </w:p>
    <w:p>
      <w:pPr>
        <w:wordWrap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3.7.3 </w:t>
      </w:r>
      <w:r>
        <w:rPr>
          <w:rFonts w:hint="eastAsia" w:ascii="宋体" w:hAnsi="宋体" w:eastAsia="宋体" w:cs="宋体"/>
          <w:color w:val="auto"/>
          <w:kern w:val="0"/>
          <w:sz w:val="24"/>
          <w:szCs w:val="24"/>
          <w:highlight w:val="none"/>
        </w:rPr>
        <w:t>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pPr>
        <w:wordWrap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3.7.4 </w:t>
      </w:r>
      <w:r>
        <w:rPr>
          <w:rFonts w:hint="eastAsia" w:ascii="宋体" w:hAnsi="宋体" w:eastAsia="宋体" w:cs="宋体"/>
          <w:color w:val="auto"/>
          <w:kern w:val="0"/>
          <w:sz w:val="24"/>
          <w:szCs w:val="24"/>
          <w:highlight w:val="none"/>
        </w:rPr>
        <w:t>联合体投标时，投标人封面及其他内容落款中的“投标人”应填写联合体各方的单位全称【格式为：（主）</w:t>
      </w:r>
      <w:r>
        <w:rPr>
          <w:rFonts w:ascii="宋体" w:hAnsi="宋体" w:eastAsia="宋体" w:cs="宋体"/>
          <w:color w:val="auto"/>
          <w:kern w:val="0"/>
          <w:sz w:val="24"/>
          <w:szCs w:val="24"/>
          <w:highlight w:val="none"/>
        </w:rPr>
        <w:t>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pPr>
        <w:wordWrap w:val="0"/>
        <w:spacing w:line="360" w:lineRule="auto"/>
        <w:ind w:firstLine="480" w:firstLineChars="200"/>
        <w:rPr>
          <w:rFonts w:hint="eastAsia"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xml:space="preserve">3.7.5 </w:t>
      </w:r>
      <w:r>
        <w:rPr>
          <w:rFonts w:hint="eastAsia" w:ascii="宋体" w:hAnsi="宋体" w:eastAsia="宋体" w:cs="宋体"/>
          <w:color w:val="auto"/>
          <w:kern w:val="0"/>
          <w:sz w:val="24"/>
          <w:szCs w:val="24"/>
          <w:highlight w:val="none"/>
        </w:rPr>
        <w:t>投标文件应按照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网站关于全流程电子化项目的相关指南进行编制。如因不按上述编排要求编制而所引起系统无法检索、读取相关信息时，其后果将由投标人自行承担。</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line="360" w:lineRule="auto"/>
        <w:outlineLvl w:val="1"/>
        <w:rPr>
          <w:rFonts w:hint="eastAsia" w:ascii="宋体" w:hAnsi="宋体" w:eastAsia="宋体" w:cs="宋体"/>
          <w:b/>
          <w:bCs/>
          <w:color w:val="auto"/>
          <w:kern w:val="0"/>
          <w:sz w:val="30"/>
          <w:szCs w:val="30"/>
          <w:highlight w:val="none"/>
          <w:lang w:val="zh-CN"/>
        </w:rPr>
      </w:pPr>
      <w:bookmarkStart w:id="89" w:name="_Toc193357966"/>
      <w:bookmarkStart w:id="90" w:name="_Toc111186750"/>
      <w:bookmarkStart w:id="91" w:name="_Toc30610"/>
      <w:r>
        <w:rPr>
          <w:rFonts w:ascii="宋体" w:hAnsi="宋体" w:eastAsia="宋体" w:cs="宋体"/>
          <w:b/>
          <w:bCs/>
          <w:color w:val="auto"/>
          <w:spacing w:val="1"/>
          <w:kern w:val="0"/>
          <w:sz w:val="30"/>
          <w:szCs w:val="30"/>
          <w:highlight w:val="none"/>
          <w:lang w:val="zh-CN"/>
        </w:rPr>
        <w:t>4</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w:t>
      </w:r>
      <w:bookmarkEnd w:id="89"/>
      <w:bookmarkEnd w:id="90"/>
      <w:bookmarkEnd w:id="91"/>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92" w:name="_Toc111186751"/>
      <w:bookmarkStart w:id="93" w:name="_Toc193357967"/>
      <w:bookmarkStart w:id="94" w:name="_Toc26954"/>
      <w:r>
        <w:rPr>
          <w:rFonts w:ascii="宋体" w:hAnsi="宋体" w:eastAsia="宋体" w:cs="宋体"/>
          <w:b/>
          <w:bCs/>
          <w:color w:val="auto"/>
          <w:spacing w:val="1"/>
          <w:sz w:val="28"/>
          <w:szCs w:val="32"/>
          <w:highlight w:val="none"/>
          <w:lang w:val="zh-CN"/>
        </w:rPr>
        <w:t>4.1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密</w:t>
      </w:r>
      <w:r>
        <w:rPr>
          <w:rFonts w:hint="eastAsia" w:ascii="宋体" w:hAnsi="宋体" w:eastAsia="宋体" w:cs="宋体"/>
          <w:b/>
          <w:bCs/>
          <w:color w:val="auto"/>
          <w:spacing w:val="-3"/>
          <w:sz w:val="28"/>
          <w:szCs w:val="32"/>
          <w:highlight w:val="none"/>
          <w:lang w:val="zh-CN"/>
        </w:rPr>
        <w:t>封</w:t>
      </w:r>
      <w:r>
        <w:rPr>
          <w:rFonts w:hint="eastAsia" w:ascii="宋体" w:hAnsi="宋体" w:eastAsia="宋体" w:cs="宋体"/>
          <w:b/>
          <w:bCs/>
          <w:color w:val="auto"/>
          <w:spacing w:val="1"/>
          <w:sz w:val="28"/>
          <w:szCs w:val="32"/>
          <w:highlight w:val="none"/>
          <w:lang w:val="zh-CN"/>
        </w:rPr>
        <w:t>和标记</w:t>
      </w:r>
      <w:bookmarkEnd w:id="92"/>
      <w:bookmarkEnd w:id="93"/>
      <w:bookmarkEnd w:id="94"/>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4.1.1 递交的电子投标文件（不含备用光盘）必须进行加密。按照</w:t>
      </w:r>
      <w:r>
        <w:rPr>
          <w:rFonts w:ascii="宋体" w:hAnsi="宋体" w:eastAsia="宋体" w:cs="宋体"/>
          <w:color w:val="auto"/>
          <w:kern w:val="0"/>
          <w:sz w:val="24"/>
          <w:szCs w:val="24"/>
          <w:highlight w:val="none"/>
          <w:u w:val="single"/>
        </w:rPr>
        <w:t>广州交易集团有限公司（广州公共资源交易中心）</w:t>
      </w:r>
      <w:r>
        <w:rPr>
          <w:rFonts w:ascii="宋体" w:hAnsi="宋体" w:eastAsia="宋体" w:cs="宋体"/>
          <w:color w:val="auto"/>
          <w:kern w:val="0"/>
          <w:sz w:val="24"/>
          <w:szCs w:val="24"/>
          <w:highlight w:val="none"/>
        </w:rPr>
        <w:t>网站关于全流程电子化项目的相关指南进行操作。</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4.1.2 未按要求加密的投标文件，</w:t>
      </w:r>
      <w:r>
        <w:rPr>
          <w:rFonts w:ascii="宋体" w:hAnsi="宋体" w:eastAsia="宋体" w:cs="宋体"/>
          <w:color w:val="auto"/>
          <w:kern w:val="0"/>
          <w:sz w:val="24"/>
          <w:szCs w:val="24"/>
          <w:highlight w:val="none"/>
          <w:u w:val="single"/>
        </w:rPr>
        <w:t>广州交易集团有限公司（广州公共资源交易中心）</w:t>
      </w:r>
      <w:r>
        <w:rPr>
          <w:rFonts w:ascii="宋体" w:hAnsi="宋体" w:eastAsia="宋体" w:cs="宋体"/>
          <w:color w:val="auto"/>
          <w:kern w:val="0"/>
          <w:sz w:val="24"/>
          <w:szCs w:val="24"/>
          <w:highlight w:val="none"/>
        </w:rPr>
        <w:t>网站交易平台将予以拒收。</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95" w:name="_Toc193357968"/>
      <w:bookmarkStart w:id="96" w:name="_Toc111186752"/>
      <w:bookmarkStart w:id="97" w:name="_Toc28727"/>
      <w:r>
        <w:rPr>
          <w:rFonts w:ascii="宋体" w:hAnsi="宋体" w:eastAsia="宋体" w:cs="宋体"/>
          <w:b/>
          <w:bCs/>
          <w:color w:val="auto"/>
          <w:spacing w:val="1"/>
          <w:sz w:val="28"/>
          <w:szCs w:val="32"/>
          <w:highlight w:val="none"/>
          <w:lang w:val="zh-CN"/>
        </w:rPr>
        <w:t>4.2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递交</w:t>
      </w:r>
      <w:bookmarkEnd w:id="95"/>
      <w:bookmarkEnd w:id="96"/>
      <w:bookmarkEnd w:id="97"/>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4.2.1 </w:t>
      </w:r>
      <w:r>
        <w:rPr>
          <w:rFonts w:hint="eastAsia" w:ascii="宋体" w:hAnsi="宋体" w:eastAsia="宋体" w:cs="宋体"/>
          <w:color w:val="auto"/>
          <w:kern w:val="0"/>
          <w:sz w:val="24"/>
          <w:szCs w:val="24"/>
          <w:highlight w:val="none"/>
        </w:rPr>
        <w:t>投标人应在投标人须知前附表规定的投标截止时间前，通过</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网站交易平台递交电子投标文件。</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4.2.2 投标人完成电子投标文件上传后，</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网站交易平台即时向投标人发出递交回执通知。递交时间以递交回执通知载明的传输完成时间为准</w:t>
      </w:r>
      <w:r>
        <w:rPr>
          <w:rFonts w:ascii="宋体" w:hAnsi="宋体" w:eastAsia="宋体" w:cs="宋体"/>
          <w:color w:val="auto"/>
          <w:kern w:val="0"/>
          <w:sz w:val="24"/>
          <w:szCs w:val="24"/>
          <w:highlight w:val="none"/>
        </w:rPr>
        <w:t>。</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4.2.3 </w:t>
      </w:r>
      <w:r>
        <w:rPr>
          <w:rFonts w:hint="eastAsia" w:ascii="宋体" w:hAnsi="宋体" w:eastAsia="宋体" w:cs="宋体"/>
          <w:color w:val="auto"/>
          <w:kern w:val="0"/>
          <w:sz w:val="24"/>
          <w:szCs w:val="24"/>
          <w:highlight w:val="none"/>
        </w:rPr>
        <w:t>逾期送达的电子投标文件，</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网站交易平台将予以拒收。</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4.2.4 </w:t>
      </w:r>
      <w:r>
        <w:rPr>
          <w:rFonts w:hint="eastAsia" w:ascii="宋体" w:hAnsi="宋体" w:eastAsia="宋体" w:cs="宋体"/>
          <w:color w:val="auto"/>
          <w:kern w:val="0"/>
          <w:sz w:val="24"/>
          <w:szCs w:val="24"/>
          <w:highlight w:val="none"/>
        </w:rPr>
        <w:t>投标截止前，招标人拒绝接收符合条件的投标文件，投标人可向招标监督机构投诉</w:t>
      </w:r>
      <w:r>
        <w:rPr>
          <w:rFonts w:ascii="宋体" w:hAnsi="宋体" w:eastAsia="宋体" w:cs="宋体"/>
          <w:color w:val="auto"/>
          <w:kern w:val="0"/>
          <w:sz w:val="24"/>
          <w:szCs w:val="24"/>
          <w:highlight w:val="none"/>
        </w:rPr>
        <w:t>。</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98" w:name="_Toc193357969"/>
      <w:bookmarkStart w:id="99" w:name="_Toc32035"/>
      <w:bookmarkStart w:id="100" w:name="_Toc111186753"/>
      <w:r>
        <w:rPr>
          <w:rFonts w:ascii="宋体" w:hAnsi="宋体" w:eastAsia="宋体" w:cs="宋体"/>
          <w:b/>
          <w:bCs/>
          <w:color w:val="auto"/>
          <w:spacing w:val="1"/>
          <w:sz w:val="28"/>
          <w:szCs w:val="32"/>
          <w:highlight w:val="none"/>
          <w:lang w:val="zh-CN"/>
        </w:rPr>
        <w:t>4.3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修</w:t>
      </w:r>
      <w:r>
        <w:rPr>
          <w:rFonts w:hint="eastAsia" w:ascii="宋体" w:hAnsi="宋体" w:eastAsia="宋体" w:cs="宋体"/>
          <w:b/>
          <w:bCs/>
          <w:color w:val="auto"/>
          <w:spacing w:val="-3"/>
          <w:sz w:val="28"/>
          <w:szCs w:val="32"/>
          <w:highlight w:val="none"/>
          <w:lang w:val="zh-CN"/>
        </w:rPr>
        <w:t>改</w:t>
      </w:r>
      <w:r>
        <w:rPr>
          <w:rFonts w:hint="eastAsia" w:ascii="宋体" w:hAnsi="宋体" w:eastAsia="宋体" w:cs="宋体"/>
          <w:b/>
          <w:bCs/>
          <w:color w:val="auto"/>
          <w:spacing w:val="1"/>
          <w:sz w:val="28"/>
          <w:szCs w:val="32"/>
          <w:highlight w:val="none"/>
          <w:lang w:val="zh-CN"/>
        </w:rPr>
        <w:t>与撤回</w:t>
      </w:r>
      <w:bookmarkEnd w:id="98"/>
      <w:bookmarkEnd w:id="99"/>
      <w:bookmarkEnd w:id="100"/>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4.3.1 </w:t>
      </w:r>
      <w:r>
        <w:rPr>
          <w:rFonts w:hint="eastAsia" w:ascii="宋体" w:hAnsi="宋体" w:eastAsia="宋体" w:cs="宋体"/>
          <w:color w:val="auto"/>
          <w:sz w:val="24"/>
          <w:szCs w:val="24"/>
          <w:highlight w:val="none"/>
        </w:rPr>
        <w:t>在规定的投标截止时间前，投标人可以修改或撤回已递交的投标文件，但应以书面形式通知招标人。</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4.3.2 </w:t>
      </w:r>
      <w:r>
        <w:rPr>
          <w:rFonts w:hint="eastAsia" w:ascii="宋体" w:hAnsi="宋体" w:eastAsia="宋体" w:cs="宋体"/>
          <w:color w:val="auto"/>
          <w:sz w:val="24"/>
          <w:szCs w:val="24"/>
          <w:highlight w:val="none"/>
        </w:rPr>
        <w:t>投标人修改或撤回已递交投标文件，需在交易平台发出修改或撤回通知，并按要求加盖电子印章。电子招标投标交易平台收到通知后，即时向投标人发出确认回执通知。</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4.3.3 </w:t>
      </w:r>
      <w:r>
        <w:rPr>
          <w:rFonts w:hint="eastAsia" w:ascii="宋体" w:hAnsi="宋体" w:eastAsia="宋体" w:cs="宋体"/>
          <w:color w:val="auto"/>
          <w:sz w:val="24"/>
          <w:szCs w:val="24"/>
          <w:highlight w:val="none"/>
        </w:rPr>
        <w:t>修改后再次递交的，按第</w:t>
      </w:r>
      <w:r>
        <w:rPr>
          <w:rFonts w:ascii="宋体" w:hAnsi="宋体" w:eastAsia="宋体" w:cs="宋体"/>
          <w:color w:val="auto"/>
          <w:sz w:val="24"/>
          <w:szCs w:val="24"/>
          <w:highlight w:val="none"/>
        </w:rPr>
        <w:t>4.2项的规定执行。</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4.3.4 </w:t>
      </w:r>
      <w:r>
        <w:rPr>
          <w:rFonts w:hint="eastAsia" w:ascii="宋体" w:hAnsi="宋体" w:eastAsia="宋体" w:cs="宋体"/>
          <w:color w:val="auto"/>
          <w:sz w:val="24"/>
          <w:szCs w:val="24"/>
          <w:highlight w:val="none"/>
        </w:rPr>
        <w:t>在投标截止时间之后，投标人不得补充、修改和更换投标文件。</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line="360" w:lineRule="auto"/>
        <w:outlineLvl w:val="1"/>
        <w:rPr>
          <w:rFonts w:hint="eastAsia" w:ascii="宋体" w:hAnsi="宋体" w:eastAsia="宋体" w:cs="宋体"/>
          <w:b/>
          <w:bCs/>
          <w:color w:val="auto"/>
          <w:kern w:val="0"/>
          <w:sz w:val="30"/>
          <w:szCs w:val="30"/>
          <w:highlight w:val="none"/>
          <w:lang w:val="zh-CN"/>
        </w:rPr>
      </w:pPr>
      <w:bookmarkStart w:id="101" w:name="_Toc3959"/>
      <w:bookmarkStart w:id="102" w:name="_Toc111186754"/>
      <w:bookmarkStart w:id="103" w:name="_Toc193357970"/>
      <w:r>
        <w:rPr>
          <w:rFonts w:ascii="宋体" w:hAnsi="宋体" w:eastAsia="宋体" w:cs="宋体"/>
          <w:b/>
          <w:bCs/>
          <w:color w:val="auto"/>
          <w:spacing w:val="1"/>
          <w:kern w:val="0"/>
          <w:sz w:val="30"/>
          <w:szCs w:val="30"/>
          <w:highlight w:val="none"/>
          <w:lang w:val="zh-CN"/>
        </w:rPr>
        <w:t>5</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开标</w:t>
      </w:r>
      <w:bookmarkEnd w:id="101"/>
      <w:bookmarkEnd w:id="102"/>
      <w:bookmarkEnd w:id="103"/>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04" w:name="_Toc25072089"/>
      <w:bookmarkStart w:id="105" w:name="_Toc111186756"/>
      <w:bookmarkStart w:id="106" w:name="_Toc27261"/>
      <w:bookmarkStart w:id="107" w:name="_Toc193357972"/>
      <w:r>
        <w:rPr>
          <w:rFonts w:ascii="宋体" w:hAnsi="宋体" w:eastAsia="宋体" w:cs="宋体"/>
          <w:b/>
          <w:bCs/>
          <w:color w:val="auto"/>
          <w:spacing w:val="1"/>
          <w:sz w:val="28"/>
          <w:szCs w:val="32"/>
          <w:highlight w:val="none"/>
          <w:lang w:val="zh-CN"/>
        </w:rPr>
        <w:t xml:space="preserve">5.1 </w:t>
      </w:r>
      <w:r>
        <w:rPr>
          <w:rFonts w:hint="eastAsia" w:ascii="宋体" w:hAnsi="宋体" w:eastAsia="宋体" w:cs="宋体"/>
          <w:b/>
          <w:bCs/>
          <w:color w:val="auto"/>
          <w:spacing w:val="1"/>
          <w:sz w:val="28"/>
          <w:szCs w:val="32"/>
          <w:highlight w:val="none"/>
          <w:lang w:val="zh-CN"/>
        </w:rPr>
        <w:t>开标时间和地点</w:t>
      </w:r>
      <w:bookmarkEnd w:id="104"/>
      <w:bookmarkEnd w:id="105"/>
      <w:bookmarkEnd w:id="106"/>
      <w:bookmarkEnd w:id="107"/>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5.1.1 </w:t>
      </w:r>
      <w:r>
        <w:rPr>
          <w:rFonts w:hint="eastAsia" w:ascii="宋体" w:hAnsi="宋体" w:eastAsia="宋体" w:cs="宋体"/>
          <w:color w:val="auto"/>
          <w:kern w:val="0"/>
          <w:sz w:val="24"/>
          <w:szCs w:val="24"/>
          <w:highlight w:val="none"/>
        </w:rPr>
        <w:t>招标人按投标须知前附表规定的时间和地点公开开标。截标后，开标开始时间因故推迟的，相关评标信息仍以原定的开标开始时间的信息为准。</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5.1.2 </w:t>
      </w:r>
      <w:r>
        <w:rPr>
          <w:rFonts w:hint="eastAsia" w:ascii="宋体" w:hAnsi="宋体" w:eastAsia="宋体" w:cs="宋体"/>
          <w:color w:val="auto"/>
          <w:kern w:val="0"/>
          <w:sz w:val="24"/>
          <w:szCs w:val="24"/>
          <w:highlight w:val="none"/>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08" w:name="_Toc111186757"/>
      <w:bookmarkStart w:id="109" w:name="_Toc20443"/>
      <w:bookmarkStart w:id="110" w:name="_Toc193357973"/>
      <w:r>
        <w:rPr>
          <w:rFonts w:ascii="宋体" w:hAnsi="宋体" w:eastAsia="宋体" w:cs="宋体"/>
          <w:b/>
          <w:bCs/>
          <w:color w:val="auto"/>
          <w:spacing w:val="1"/>
          <w:sz w:val="28"/>
          <w:szCs w:val="32"/>
          <w:highlight w:val="none"/>
          <w:lang w:val="zh-CN"/>
        </w:rPr>
        <w:t xml:space="preserve">5.2 </w:t>
      </w:r>
      <w:r>
        <w:rPr>
          <w:rFonts w:hint="eastAsia" w:ascii="宋体" w:hAnsi="宋体" w:eastAsia="宋体" w:cs="宋体"/>
          <w:b/>
          <w:bCs/>
          <w:color w:val="auto"/>
          <w:spacing w:val="1"/>
          <w:sz w:val="28"/>
          <w:szCs w:val="32"/>
          <w:highlight w:val="none"/>
          <w:lang w:val="zh-CN"/>
        </w:rPr>
        <w:t>开标程序</w:t>
      </w:r>
      <w:bookmarkEnd w:id="108"/>
      <w:bookmarkEnd w:id="109"/>
      <w:bookmarkEnd w:id="110"/>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bookmarkStart w:id="111" w:name="_Hlk196249625"/>
      <w:r>
        <w:rPr>
          <w:rFonts w:ascii="宋体" w:hAnsi="宋体" w:eastAsia="宋体" w:cs="宋体"/>
          <w:color w:val="auto"/>
          <w:kern w:val="0"/>
          <w:sz w:val="24"/>
          <w:szCs w:val="24"/>
          <w:highlight w:val="none"/>
        </w:rPr>
        <w:t xml:space="preserve">5.2.1 </w:t>
      </w:r>
      <w:r>
        <w:rPr>
          <w:rFonts w:hint="eastAsia" w:ascii="宋体" w:hAnsi="宋体" w:eastAsia="宋体" w:cs="宋体"/>
          <w:color w:val="auto"/>
          <w:kern w:val="0"/>
          <w:sz w:val="24"/>
          <w:szCs w:val="24"/>
          <w:highlight w:val="none"/>
        </w:rPr>
        <w:t>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bookmarkEnd w:id="111"/>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5.2.2 </w:t>
      </w:r>
      <w:r>
        <w:rPr>
          <w:rFonts w:hint="eastAsia" w:ascii="宋体" w:hAnsi="宋体" w:eastAsia="宋体" w:cs="宋体"/>
          <w:color w:val="auto"/>
          <w:kern w:val="0"/>
          <w:sz w:val="24"/>
          <w:szCs w:val="24"/>
          <w:highlight w:val="none"/>
        </w:rPr>
        <w:t>按开标记录表规定的内容进行唱标。</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5.2.3 </w:t>
      </w:r>
      <w:r>
        <w:rPr>
          <w:rFonts w:hint="eastAsia" w:ascii="宋体" w:hAnsi="宋体" w:eastAsia="宋体" w:cs="宋体"/>
          <w:color w:val="auto"/>
          <w:kern w:val="0"/>
          <w:sz w:val="24"/>
          <w:szCs w:val="24"/>
          <w:highlight w:val="none"/>
        </w:rPr>
        <w:t>投标人代表、招标人代表、监标人、记录人等有关人员在开标记录上签字确认；若有关人员不签字的，不影响开标程序。</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5.2.4 </w:t>
      </w:r>
      <w:r>
        <w:rPr>
          <w:rFonts w:hint="eastAsia" w:ascii="宋体" w:hAnsi="宋体" w:eastAsia="宋体" w:cs="宋体"/>
          <w:color w:val="auto"/>
          <w:kern w:val="0"/>
          <w:sz w:val="24"/>
          <w:szCs w:val="24"/>
          <w:highlight w:val="none"/>
        </w:rPr>
        <w:t>开标结束。</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5.2.5 </w:t>
      </w:r>
      <w:r>
        <w:rPr>
          <w:rFonts w:hint="eastAsia" w:ascii="宋体" w:hAnsi="宋体" w:eastAsia="宋体" w:cs="宋体"/>
          <w:color w:val="auto"/>
          <w:kern w:val="0"/>
          <w:sz w:val="24"/>
          <w:szCs w:val="24"/>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5.2.6 </w:t>
      </w:r>
      <w:r>
        <w:rPr>
          <w:rFonts w:hint="eastAsia" w:ascii="宋体" w:hAnsi="宋体" w:eastAsia="宋体" w:cs="宋体"/>
          <w:color w:val="auto"/>
          <w:kern w:val="0"/>
          <w:sz w:val="24"/>
          <w:szCs w:val="24"/>
          <w:highlight w:val="none"/>
        </w:rPr>
        <w:t>开标时，两个（含两个）以上的投标人加密打包投标文件电脑机器特征码一致的，不参与下一程序，并由评标委员会否决其投标。</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12" w:name="_Toc26094"/>
      <w:bookmarkStart w:id="113" w:name="_Toc193357974"/>
      <w:bookmarkStart w:id="114" w:name="_Toc111186758"/>
      <w:r>
        <w:rPr>
          <w:rFonts w:ascii="宋体" w:hAnsi="宋体" w:eastAsia="宋体" w:cs="宋体"/>
          <w:b/>
          <w:bCs/>
          <w:color w:val="auto"/>
          <w:spacing w:val="1"/>
          <w:sz w:val="28"/>
          <w:szCs w:val="32"/>
          <w:highlight w:val="none"/>
          <w:lang w:val="zh-CN"/>
        </w:rPr>
        <w:t xml:space="preserve">5.3 </w:t>
      </w:r>
      <w:r>
        <w:rPr>
          <w:rFonts w:hint="eastAsia" w:ascii="宋体" w:hAnsi="宋体" w:eastAsia="宋体" w:cs="宋体"/>
          <w:b/>
          <w:bCs/>
          <w:color w:val="auto"/>
          <w:spacing w:val="1"/>
          <w:sz w:val="28"/>
          <w:szCs w:val="32"/>
          <w:highlight w:val="none"/>
          <w:lang w:val="zh-CN"/>
        </w:rPr>
        <w:t>开标异议</w:t>
      </w:r>
      <w:bookmarkEnd w:id="112"/>
      <w:bookmarkEnd w:id="113"/>
      <w:bookmarkEnd w:id="114"/>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5.3.1 </w:t>
      </w:r>
      <w:r>
        <w:rPr>
          <w:rFonts w:hint="eastAsia" w:ascii="宋体" w:hAnsi="宋体" w:eastAsia="宋体" w:cs="宋体"/>
          <w:color w:val="auto"/>
          <w:kern w:val="0"/>
          <w:sz w:val="24"/>
          <w:szCs w:val="24"/>
          <w:highlight w:val="none"/>
        </w:rPr>
        <w:t>参加现场开标的投标人对开标结果有异议的，应当在开标现场提出，招标人应当当场作出答复，并制作记录。</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5.3.2 </w:t>
      </w:r>
      <w:r>
        <w:rPr>
          <w:rFonts w:hint="eastAsia" w:ascii="宋体" w:hAnsi="宋体" w:eastAsia="宋体" w:cs="宋体"/>
          <w:color w:val="auto"/>
          <w:kern w:val="0"/>
          <w:sz w:val="24"/>
          <w:szCs w:val="24"/>
          <w:highlight w:val="non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w:t>
      </w:r>
      <w:r>
        <w:rPr>
          <w:rFonts w:ascii="宋体" w:hAnsi="宋体" w:eastAsia="宋体" w:cs="宋体"/>
          <w:color w:val="auto"/>
          <w:kern w:val="0"/>
          <w:sz w:val="24"/>
          <w:szCs w:val="24"/>
          <w:highlight w:val="none"/>
        </w:rPr>
        <w:t xml:space="preserve"> 答复是招标人真实意思表示。未答复的，开标程序不得结束。</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xml:space="preserve">5.3.3 </w:t>
      </w:r>
      <w:r>
        <w:rPr>
          <w:rFonts w:hint="eastAsia" w:ascii="宋体" w:hAnsi="宋体" w:eastAsia="宋体" w:cs="宋体"/>
          <w:color w:val="auto"/>
          <w:kern w:val="0"/>
          <w:sz w:val="24"/>
          <w:szCs w:val="24"/>
          <w:highlight w:val="none"/>
        </w:rPr>
        <w:t>投标人未参加开标或在规定的时间内未提出异议的，视为对开标无异议。</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line="360" w:lineRule="auto"/>
        <w:outlineLvl w:val="1"/>
        <w:rPr>
          <w:rFonts w:hint="eastAsia" w:ascii="宋体" w:hAnsi="宋体" w:eastAsia="宋体" w:cs="宋体"/>
          <w:b/>
          <w:bCs/>
          <w:color w:val="auto"/>
          <w:kern w:val="0"/>
          <w:sz w:val="30"/>
          <w:szCs w:val="30"/>
          <w:highlight w:val="none"/>
          <w:lang w:val="zh-CN"/>
        </w:rPr>
      </w:pPr>
      <w:bookmarkStart w:id="115" w:name="_Toc193357975"/>
      <w:bookmarkStart w:id="116" w:name="_Toc27043"/>
      <w:bookmarkStart w:id="117" w:name="_Toc111186759"/>
      <w:r>
        <w:rPr>
          <w:rFonts w:ascii="宋体" w:hAnsi="宋体" w:eastAsia="宋体" w:cs="宋体"/>
          <w:b/>
          <w:bCs/>
          <w:color w:val="auto"/>
          <w:spacing w:val="1"/>
          <w:kern w:val="0"/>
          <w:sz w:val="30"/>
          <w:szCs w:val="30"/>
          <w:highlight w:val="none"/>
          <w:lang w:val="zh-CN"/>
        </w:rPr>
        <w:t>6</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评标</w:t>
      </w:r>
      <w:bookmarkEnd w:id="115"/>
      <w:bookmarkEnd w:id="116"/>
      <w:bookmarkEnd w:id="117"/>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18" w:name="_Toc193357976"/>
      <w:bookmarkStart w:id="119" w:name="_Toc111186760"/>
      <w:bookmarkStart w:id="120" w:name="_Toc874"/>
      <w:r>
        <w:rPr>
          <w:rFonts w:ascii="宋体" w:hAnsi="宋体" w:eastAsia="宋体" w:cs="宋体"/>
          <w:b/>
          <w:bCs/>
          <w:color w:val="auto"/>
          <w:spacing w:val="1"/>
          <w:sz w:val="28"/>
          <w:szCs w:val="32"/>
          <w:highlight w:val="none"/>
          <w:lang w:val="zh-CN"/>
        </w:rPr>
        <w:t xml:space="preserve">6.1 </w:t>
      </w:r>
      <w:r>
        <w:rPr>
          <w:rFonts w:hint="eastAsia" w:ascii="宋体" w:hAnsi="宋体" w:eastAsia="宋体" w:cs="宋体"/>
          <w:b/>
          <w:bCs/>
          <w:color w:val="auto"/>
          <w:spacing w:val="1"/>
          <w:sz w:val="28"/>
          <w:szCs w:val="32"/>
          <w:highlight w:val="none"/>
          <w:lang w:val="zh-CN"/>
        </w:rPr>
        <w:t>评标委员会</w:t>
      </w:r>
      <w:bookmarkEnd w:id="118"/>
      <w:bookmarkEnd w:id="119"/>
      <w:bookmarkEnd w:id="120"/>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6.1.1 </w:t>
      </w:r>
      <w:r>
        <w:rPr>
          <w:rFonts w:hint="eastAsia" w:ascii="宋体" w:hAnsi="宋体" w:eastAsia="宋体" w:cs="宋体"/>
          <w:color w:val="auto"/>
          <w:kern w:val="0"/>
          <w:sz w:val="24"/>
          <w:szCs w:val="24"/>
          <w:highlight w:val="none"/>
        </w:rPr>
        <w:t>评标由招标人依法组建的评标委员会负责。评标委员会由有关技术、经济等方面的专家和招标人代表组成，专家从</w:t>
      </w:r>
      <w:r>
        <w:rPr>
          <w:rFonts w:hint="eastAsia" w:ascii="宋体" w:hAnsi="宋体" w:eastAsia="宋体" w:cs="宋体"/>
          <w:color w:val="auto"/>
          <w:kern w:val="0"/>
          <w:sz w:val="24"/>
          <w:szCs w:val="24"/>
          <w:highlight w:val="none"/>
          <w:u w:val="single"/>
        </w:rPr>
        <w:t>广东省综合评标评审专家库</w:t>
      </w:r>
      <w:r>
        <w:rPr>
          <w:rFonts w:hint="eastAsia" w:ascii="宋体" w:hAnsi="宋体" w:eastAsia="宋体" w:cs="宋体"/>
          <w:color w:val="auto"/>
          <w:kern w:val="0"/>
          <w:sz w:val="24"/>
          <w:szCs w:val="24"/>
          <w:highlight w:val="none"/>
        </w:rPr>
        <w:t>中抽取。评标委员会成员人数以及技术、经济等方面专家的确定方式见投标人须知前附表。</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6.1.2 评标委员会成员有下列情形之一的，应当回避：</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(1)投标人或投标人主要负责人的近亲属；</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(2)项目主管部门或者行政监督部门的人员；</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招标人或投标人的工作人员、退休或离职未满</w:t>
      </w:r>
      <w:r>
        <w:rPr>
          <w:rFonts w:ascii="宋体" w:hAnsi="宋体" w:eastAsia="宋体" w:cs="宋体"/>
          <w:color w:val="auto"/>
          <w:kern w:val="0"/>
          <w:sz w:val="24"/>
          <w:szCs w:val="24"/>
          <w:highlight w:val="none"/>
        </w:rPr>
        <w:t>3年的人员；</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(4)与投标人有经济利益关系，可能影响对投标公正评审的；</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(5)曾因在招标、评标以及其他与招标投标有关活动中从事违法行为而受过行政处罚或刑事处罚的；</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(6)与投标人有其他利害关系。</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21" w:name="_Toc193357977"/>
      <w:bookmarkStart w:id="122" w:name="_Toc111186761"/>
      <w:bookmarkStart w:id="123" w:name="_Toc9043"/>
      <w:r>
        <w:rPr>
          <w:rFonts w:ascii="宋体" w:hAnsi="宋体" w:eastAsia="宋体" w:cs="宋体"/>
          <w:b/>
          <w:bCs/>
          <w:color w:val="auto"/>
          <w:spacing w:val="1"/>
          <w:sz w:val="28"/>
          <w:szCs w:val="32"/>
          <w:highlight w:val="none"/>
          <w:lang w:val="zh-CN"/>
        </w:rPr>
        <w:t>6.2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评标原则</w:t>
      </w:r>
      <w:bookmarkEnd w:id="121"/>
      <w:bookmarkEnd w:id="122"/>
      <w:bookmarkEnd w:id="123"/>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24" w:name="_Toc193357978"/>
      <w:bookmarkStart w:id="125" w:name="_Toc10255"/>
      <w:bookmarkStart w:id="126" w:name="_Toc111186762"/>
      <w:r>
        <w:rPr>
          <w:rFonts w:ascii="宋体" w:hAnsi="宋体" w:eastAsia="宋体" w:cs="宋体"/>
          <w:b/>
          <w:bCs/>
          <w:color w:val="auto"/>
          <w:spacing w:val="1"/>
          <w:sz w:val="28"/>
          <w:szCs w:val="32"/>
          <w:highlight w:val="none"/>
          <w:lang w:val="zh-CN"/>
        </w:rPr>
        <w:t>6.3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w:t>
      </w:r>
      <w:bookmarkEnd w:id="124"/>
      <w:bookmarkEnd w:id="125"/>
      <w:bookmarkEnd w:id="126"/>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6.3.1 评标委员会按照第三章“评标办法”规定的方法、评审因素、标准和程序对投标文件进行评审。第三章“评标办法”没有规定的方法、评审因素和标准，不作为评标依据。</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6.3.2 评标完成后，评标委员会应当向招标人提交书面评标报告和中标候选人名单。评标委员会推荐中标候选人的人数见投标人须知前附表。</w:t>
      </w:r>
    </w:p>
    <w:p>
      <w:pPr>
        <w:wordWrap w:val="0"/>
        <w:spacing w:line="360" w:lineRule="auto"/>
        <w:ind w:firstLine="480" w:firstLineChars="200"/>
        <w:rPr>
          <w:rFonts w:hint="eastAsia" w:ascii="宋体" w:hAnsi="宋体" w:eastAsia="宋体" w:cs="宋体"/>
          <w:color w:val="auto"/>
          <w:sz w:val="24"/>
          <w:szCs w:val="24"/>
          <w:highlight w:val="none"/>
        </w:rPr>
      </w:pPr>
    </w:p>
    <w:p>
      <w:pPr>
        <w:keepNext/>
        <w:keepLines/>
        <w:wordWrap w:val="0"/>
        <w:spacing w:line="360" w:lineRule="auto"/>
        <w:outlineLvl w:val="1"/>
        <w:rPr>
          <w:rFonts w:hint="eastAsia" w:ascii="宋体" w:hAnsi="宋体" w:eastAsia="宋体" w:cs="宋体"/>
          <w:b/>
          <w:bCs/>
          <w:color w:val="auto"/>
          <w:kern w:val="0"/>
          <w:sz w:val="30"/>
          <w:szCs w:val="30"/>
          <w:highlight w:val="none"/>
          <w:lang w:val="zh-CN"/>
        </w:rPr>
      </w:pPr>
      <w:bookmarkStart w:id="127" w:name="_Toc10209"/>
      <w:bookmarkStart w:id="128" w:name="_Toc193357979"/>
      <w:bookmarkStart w:id="129" w:name="_Toc111186763"/>
      <w:r>
        <w:rPr>
          <w:rFonts w:ascii="宋体" w:hAnsi="宋体" w:eastAsia="宋体" w:cs="宋体"/>
          <w:b/>
          <w:bCs/>
          <w:color w:val="auto"/>
          <w:spacing w:val="1"/>
          <w:kern w:val="0"/>
          <w:sz w:val="30"/>
          <w:szCs w:val="30"/>
          <w:highlight w:val="none"/>
          <w:lang w:val="zh-CN"/>
        </w:rPr>
        <w:t>7</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合同授予</w:t>
      </w:r>
      <w:bookmarkEnd w:id="127"/>
      <w:bookmarkEnd w:id="128"/>
      <w:bookmarkEnd w:id="129"/>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30" w:name="_Toc3077"/>
      <w:bookmarkStart w:id="131" w:name="_Toc193357980"/>
      <w:bookmarkStart w:id="132" w:name="_Toc111186764"/>
      <w:r>
        <w:rPr>
          <w:rFonts w:ascii="宋体" w:hAnsi="宋体" w:eastAsia="宋体" w:cs="宋体"/>
          <w:b/>
          <w:bCs/>
          <w:color w:val="auto"/>
          <w:spacing w:val="1"/>
          <w:sz w:val="28"/>
          <w:szCs w:val="32"/>
          <w:highlight w:val="none"/>
          <w:lang w:val="zh-CN"/>
        </w:rPr>
        <w:t>7.1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公示</w:t>
      </w:r>
      <w:bookmarkEnd w:id="130"/>
      <w:bookmarkEnd w:id="131"/>
      <w:bookmarkEnd w:id="132"/>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7.1.1 </w:t>
      </w:r>
      <w:r>
        <w:rPr>
          <w:rFonts w:hint="eastAsia" w:ascii="宋体" w:hAnsi="宋体" w:eastAsia="宋体" w:cs="宋体"/>
          <w:color w:val="auto"/>
          <w:kern w:val="0"/>
          <w:sz w:val="24"/>
          <w:szCs w:val="24"/>
          <w:highlight w:val="none"/>
        </w:rPr>
        <w:t>招标人在收到评标报告之日起</w:t>
      </w:r>
      <w:r>
        <w:rPr>
          <w:rFonts w:ascii="宋体" w:hAnsi="宋体" w:eastAsia="宋体" w:cs="宋体"/>
          <w:color w:val="auto"/>
          <w:kern w:val="0"/>
          <w:sz w:val="24"/>
          <w:szCs w:val="24"/>
          <w:highlight w:val="none"/>
        </w:rPr>
        <w:t>3日内，按照投标人须知前附表规定的公示媒介和期限公示中标候选人，公示期不得少于3天，最后一天应为工作日。</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7.1.2 </w:t>
      </w:r>
      <w:r>
        <w:rPr>
          <w:rFonts w:hint="eastAsia" w:ascii="宋体" w:hAnsi="宋体" w:eastAsia="宋体" w:cs="宋体"/>
          <w:color w:val="auto"/>
          <w:kern w:val="0"/>
          <w:sz w:val="24"/>
          <w:szCs w:val="24"/>
          <w:highlight w:val="none"/>
        </w:rPr>
        <w:t>在产生中标候选人后，招标人将中标候选人的投标文件商务部分（包括报价清单、人员、业绩、奖项等资料）在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网站和广东省招标投标监管网公开。</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33" w:name="_Toc193357981"/>
      <w:bookmarkStart w:id="134" w:name="_Toc111186765"/>
      <w:bookmarkStart w:id="135" w:name="_Toc19391"/>
      <w:r>
        <w:rPr>
          <w:rFonts w:ascii="宋体" w:hAnsi="宋体" w:eastAsia="宋体" w:cs="宋体"/>
          <w:b/>
          <w:bCs/>
          <w:color w:val="auto"/>
          <w:spacing w:val="1"/>
          <w:sz w:val="28"/>
          <w:szCs w:val="32"/>
          <w:highlight w:val="none"/>
          <w:lang w:val="zh-CN"/>
        </w:rPr>
        <w:t>7.2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评标结果</w:t>
      </w:r>
      <w:r>
        <w:rPr>
          <w:rFonts w:hint="eastAsia" w:ascii="宋体" w:hAnsi="宋体" w:eastAsia="宋体" w:cs="宋体"/>
          <w:b/>
          <w:bCs/>
          <w:color w:val="auto"/>
          <w:spacing w:val="-3"/>
          <w:sz w:val="28"/>
          <w:szCs w:val="32"/>
          <w:highlight w:val="none"/>
          <w:lang w:val="zh-CN"/>
        </w:rPr>
        <w:t>异</w:t>
      </w:r>
      <w:r>
        <w:rPr>
          <w:rFonts w:hint="eastAsia" w:ascii="宋体" w:hAnsi="宋体" w:eastAsia="宋体" w:cs="宋体"/>
          <w:b/>
          <w:bCs/>
          <w:color w:val="auto"/>
          <w:spacing w:val="1"/>
          <w:sz w:val="28"/>
          <w:szCs w:val="32"/>
          <w:highlight w:val="none"/>
          <w:lang w:val="zh-CN"/>
        </w:rPr>
        <w:t>议</w:t>
      </w:r>
      <w:bookmarkEnd w:id="133"/>
      <w:bookmarkEnd w:id="134"/>
      <w:bookmarkEnd w:id="135"/>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投标人或者其他利害关系人对评标结果有异议的，应当在中标候选人公示期间提出。招标</w:t>
      </w:r>
      <w:r>
        <w:rPr>
          <w:rFonts w:ascii="宋体" w:hAnsi="宋体" w:eastAsia="宋体" w:cs="宋体"/>
          <w:color w:val="auto"/>
          <w:kern w:val="0"/>
          <w:sz w:val="24"/>
          <w:szCs w:val="24"/>
          <w:highlight w:val="none"/>
        </w:rPr>
        <w:t xml:space="preserve"> 人将在收到异议之日起 3 日内作出答复；作出答复前，将暂停招标投标活动。</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36" w:name="_Toc17235"/>
      <w:bookmarkStart w:id="137" w:name="_Toc111186766"/>
      <w:bookmarkStart w:id="138" w:name="_Toc193357982"/>
      <w:r>
        <w:rPr>
          <w:rFonts w:ascii="宋体" w:hAnsi="宋体" w:eastAsia="宋体" w:cs="宋体"/>
          <w:b/>
          <w:bCs/>
          <w:color w:val="auto"/>
          <w:spacing w:val="1"/>
          <w:sz w:val="28"/>
          <w:szCs w:val="32"/>
          <w:highlight w:val="none"/>
          <w:lang w:val="zh-CN"/>
        </w:rPr>
        <w:t>7.3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履</w:t>
      </w:r>
      <w:r>
        <w:rPr>
          <w:rFonts w:hint="eastAsia" w:ascii="宋体" w:hAnsi="宋体" w:eastAsia="宋体" w:cs="宋体"/>
          <w:b/>
          <w:bCs/>
          <w:color w:val="auto"/>
          <w:spacing w:val="-3"/>
          <w:sz w:val="28"/>
          <w:szCs w:val="32"/>
          <w:highlight w:val="none"/>
          <w:lang w:val="zh-CN"/>
        </w:rPr>
        <w:t>约</w:t>
      </w:r>
      <w:r>
        <w:rPr>
          <w:rFonts w:hint="eastAsia" w:ascii="宋体" w:hAnsi="宋体" w:eastAsia="宋体" w:cs="宋体"/>
          <w:b/>
          <w:bCs/>
          <w:color w:val="auto"/>
          <w:spacing w:val="1"/>
          <w:sz w:val="28"/>
          <w:szCs w:val="32"/>
          <w:highlight w:val="none"/>
          <w:lang w:val="zh-CN"/>
        </w:rPr>
        <w:t>能力审查</w:t>
      </w:r>
      <w:bookmarkEnd w:id="136"/>
      <w:bookmarkEnd w:id="137"/>
      <w:bookmarkEnd w:id="138"/>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39" w:name="_Toc111186767"/>
      <w:bookmarkStart w:id="140" w:name="_Toc1732"/>
      <w:bookmarkStart w:id="141" w:name="_Toc193357983"/>
      <w:r>
        <w:rPr>
          <w:rFonts w:ascii="宋体" w:hAnsi="宋体" w:eastAsia="宋体" w:cs="宋体"/>
          <w:b/>
          <w:bCs/>
          <w:color w:val="auto"/>
          <w:spacing w:val="1"/>
          <w:sz w:val="28"/>
          <w:szCs w:val="32"/>
          <w:highlight w:val="none"/>
          <w:lang w:val="zh-CN"/>
        </w:rPr>
        <w:t>7.4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定标</w:t>
      </w:r>
      <w:bookmarkEnd w:id="139"/>
      <w:bookmarkEnd w:id="140"/>
      <w:bookmarkEnd w:id="141"/>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按照投标人须知前附表的规定，招标人或招标人授权的评标委员会依法确定中标人。</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42" w:name="_Toc4759"/>
      <w:bookmarkStart w:id="143" w:name="_Toc193357984"/>
      <w:bookmarkStart w:id="144" w:name="_Toc111186768"/>
      <w:r>
        <w:rPr>
          <w:rFonts w:ascii="宋体" w:hAnsi="宋体" w:eastAsia="宋体" w:cs="宋体"/>
          <w:b/>
          <w:bCs/>
          <w:color w:val="auto"/>
          <w:spacing w:val="1"/>
          <w:sz w:val="28"/>
          <w:szCs w:val="32"/>
          <w:highlight w:val="none"/>
          <w:lang w:val="zh-CN"/>
        </w:rPr>
        <w:t>7.5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中标通知</w:t>
      </w:r>
      <w:bookmarkEnd w:id="142"/>
      <w:bookmarkEnd w:id="143"/>
      <w:bookmarkEnd w:id="144"/>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7.5.1 </w:t>
      </w:r>
      <w:r>
        <w:rPr>
          <w:rFonts w:hint="eastAsia" w:ascii="宋体" w:hAnsi="宋体" w:eastAsia="宋体" w:cs="宋体"/>
          <w:color w:val="auto"/>
          <w:kern w:val="0"/>
          <w:sz w:val="24"/>
          <w:szCs w:val="24"/>
          <w:highlight w:val="none"/>
        </w:rPr>
        <w:t>在法规规定的时间内，招标人以书面形式向中标人发出中标通知书。在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网和广东省招标投标监管网发布中标信息，视同将中标结果通知未中标的投标人。</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7.5.2 </w:t>
      </w:r>
      <w:r>
        <w:rPr>
          <w:rFonts w:hint="eastAsia" w:ascii="宋体" w:hAnsi="宋体" w:eastAsia="宋体" w:cs="宋体"/>
          <w:color w:val="auto"/>
          <w:kern w:val="0"/>
          <w:sz w:val="24"/>
          <w:szCs w:val="24"/>
          <w:highlight w:val="none"/>
        </w:rPr>
        <w:t>中标通知书发出前，中标人应未被纳入失信联合惩戒名单，否则招标人将取消其中标资格。失信联合惩戒名单以“信用广州”网站公布的“黑名单”为准。</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45" w:name="_Toc193357985"/>
      <w:bookmarkStart w:id="146" w:name="_Toc11927"/>
      <w:bookmarkStart w:id="147" w:name="_Toc111186769"/>
      <w:r>
        <w:rPr>
          <w:rFonts w:ascii="宋体" w:hAnsi="宋体" w:eastAsia="宋体" w:cs="宋体"/>
          <w:b/>
          <w:bCs/>
          <w:color w:val="auto"/>
          <w:spacing w:val="1"/>
          <w:sz w:val="28"/>
          <w:szCs w:val="32"/>
          <w:highlight w:val="none"/>
          <w:lang w:val="zh-CN"/>
        </w:rPr>
        <w:t>7.6</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技术成果</w:t>
      </w:r>
      <w:r>
        <w:rPr>
          <w:rFonts w:hint="eastAsia" w:ascii="宋体" w:hAnsi="宋体" w:eastAsia="宋体" w:cs="宋体"/>
          <w:b/>
          <w:bCs/>
          <w:color w:val="auto"/>
          <w:spacing w:val="-3"/>
          <w:sz w:val="28"/>
          <w:szCs w:val="32"/>
          <w:highlight w:val="none"/>
          <w:lang w:val="zh-CN"/>
        </w:rPr>
        <w:t>经</w:t>
      </w:r>
      <w:r>
        <w:rPr>
          <w:rFonts w:hint="eastAsia" w:ascii="宋体" w:hAnsi="宋体" w:eastAsia="宋体" w:cs="宋体"/>
          <w:b/>
          <w:bCs/>
          <w:color w:val="auto"/>
          <w:spacing w:val="1"/>
          <w:sz w:val="28"/>
          <w:szCs w:val="32"/>
          <w:highlight w:val="none"/>
          <w:lang w:val="zh-CN"/>
        </w:rPr>
        <w:t>济</w:t>
      </w:r>
      <w:r>
        <w:rPr>
          <w:rFonts w:hint="eastAsia" w:ascii="宋体" w:hAnsi="宋体" w:eastAsia="宋体" w:cs="宋体"/>
          <w:b/>
          <w:bCs/>
          <w:color w:val="auto"/>
          <w:spacing w:val="-3"/>
          <w:sz w:val="28"/>
          <w:szCs w:val="32"/>
          <w:highlight w:val="none"/>
          <w:lang w:val="zh-CN"/>
        </w:rPr>
        <w:t>补</w:t>
      </w:r>
      <w:r>
        <w:rPr>
          <w:rFonts w:hint="eastAsia" w:ascii="宋体" w:hAnsi="宋体" w:eastAsia="宋体" w:cs="宋体"/>
          <w:b/>
          <w:bCs/>
          <w:color w:val="auto"/>
          <w:spacing w:val="1"/>
          <w:sz w:val="28"/>
          <w:szCs w:val="32"/>
          <w:highlight w:val="none"/>
          <w:lang w:val="zh-CN"/>
        </w:rPr>
        <w:t>偿</w:t>
      </w:r>
      <w:bookmarkEnd w:id="145"/>
      <w:bookmarkEnd w:id="146"/>
      <w:bookmarkEnd w:id="147"/>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招标人对符合招标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定的未中标人的技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进行补偿的，招标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按</w:t>
      </w:r>
      <w:r>
        <w:rPr>
          <w:rFonts w:hint="eastAsia" w:ascii="宋体" w:hAnsi="宋体" w:eastAsia="宋体" w:cs="宋体"/>
          <w:color w:val="auto"/>
          <w:kern w:val="0"/>
          <w:sz w:val="24"/>
          <w:szCs w:val="24"/>
          <w:highlight w:val="none"/>
        </w:rPr>
        <w:t>投标人须知前附表规定的标准</w:t>
      </w:r>
      <w:r>
        <w:rPr>
          <w:rFonts w:hint="eastAsia" w:ascii="宋体" w:hAnsi="宋体" w:eastAsia="宋体" w:cs="宋体"/>
          <w:color w:val="auto"/>
          <w:spacing w:val="-2"/>
          <w:kern w:val="0"/>
          <w:sz w:val="24"/>
          <w:szCs w:val="24"/>
          <w:highlight w:val="none"/>
        </w:rPr>
        <w:t>给</w:t>
      </w:r>
      <w:r>
        <w:rPr>
          <w:rFonts w:hint="eastAsia" w:ascii="宋体" w:hAnsi="宋体" w:eastAsia="宋体" w:cs="宋体"/>
          <w:color w:val="auto"/>
          <w:kern w:val="0"/>
          <w:sz w:val="24"/>
          <w:szCs w:val="24"/>
          <w:highlight w:val="none"/>
        </w:rPr>
        <w:t>予经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补偿，未中标人</w:t>
      </w:r>
      <w:r>
        <w:rPr>
          <w:rFonts w:hint="eastAsia" w:ascii="宋体" w:hAnsi="宋体" w:eastAsia="宋体" w:cs="宋体"/>
          <w:color w:val="auto"/>
          <w:spacing w:val="-2"/>
          <w:kern w:val="0"/>
          <w:sz w:val="24"/>
          <w:szCs w:val="24"/>
          <w:highlight w:val="none"/>
        </w:rPr>
        <w:t>在</w:t>
      </w: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件中声明放弃技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成果</w:t>
      </w:r>
      <w:r>
        <w:rPr>
          <w:rFonts w:hint="eastAsia" w:ascii="宋体" w:hAnsi="宋体" w:eastAsia="宋体" w:cs="宋体"/>
          <w:color w:val="auto"/>
          <w:spacing w:val="-2"/>
          <w:kern w:val="0"/>
          <w:sz w:val="24"/>
          <w:szCs w:val="24"/>
          <w:highlight w:val="none"/>
        </w:rPr>
        <w:t>经</w:t>
      </w:r>
      <w:r>
        <w:rPr>
          <w:rFonts w:hint="eastAsia" w:ascii="宋体" w:hAnsi="宋体" w:eastAsia="宋体" w:cs="宋体"/>
          <w:color w:val="auto"/>
          <w:kern w:val="0"/>
          <w:sz w:val="24"/>
          <w:szCs w:val="24"/>
          <w:highlight w:val="none"/>
        </w:rPr>
        <w:t>济补偿费</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除</w:t>
      </w:r>
      <w:r>
        <w:rPr>
          <w:rFonts w:hint="eastAsia" w:ascii="宋体" w:hAnsi="宋体" w:eastAsia="宋体" w:cs="宋体"/>
          <w:color w:val="auto"/>
          <w:spacing w:val="-2"/>
          <w:kern w:val="0"/>
          <w:sz w:val="24"/>
          <w:szCs w:val="24"/>
          <w:highlight w:val="none"/>
        </w:rPr>
        <w:t>外</w:t>
      </w: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于</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通</w:t>
      </w:r>
      <w:r>
        <w:rPr>
          <w:rFonts w:hint="eastAsia" w:ascii="宋体" w:hAnsi="宋体" w:eastAsia="宋体" w:cs="宋体"/>
          <w:color w:val="auto"/>
          <w:spacing w:val="-2"/>
          <w:kern w:val="0"/>
          <w:sz w:val="24"/>
          <w:szCs w:val="24"/>
          <w:highlight w:val="none"/>
        </w:rPr>
        <w:t>知</w:t>
      </w:r>
      <w:r>
        <w:rPr>
          <w:rFonts w:hint="eastAsia" w:ascii="宋体" w:hAnsi="宋体" w:eastAsia="宋体" w:cs="宋体"/>
          <w:color w:val="auto"/>
          <w:kern w:val="0"/>
          <w:sz w:val="24"/>
          <w:szCs w:val="24"/>
          <w:highlight w:val="none"/>
        </w:rPr>
        <w:t>书</w:t>
      </w:r>
      <w:r>
        <w:rPr>
          <w:rFonts w:hint="eastAsia" w:ascii="宋体" w:hAnsi="宋体" w:eastAsia="宋体" w:cs="宋体"/>
          <w:color w:val="auto"/>
          <w:spacing w:val="-2"/>
          <w:kern w:val="0"/>
          <w:sz w:val="24"/>
          <w:szCs w:val="24"/>
          <w:highlight w:val="none"/>
        </w:rPr>
        <w:t>发</w:t>
      </w:r>
      <w:r>
        <w:rPr>
          <w:rFonts w:hint="eastAsia" w:ascii="宋体" w:hAnsi="宋体" w:eastAsia="宋体" w:cs="宋体"/>
          <w:color w:val="auto"/>
          <w:kern w:val="0"/>
          <w:sz w:val="24"/>
          <w:szCs w:val="24"/>
          <w:highlight w:val="none"/>
        </w:rPr>
        <w:t>出后</w:t>
      </w:r>
      <w:r>
        <w:rPr>
          <w:rFonts w:ascii="宋体" w:hAnsi="宋体" w:eastAsia="宋体" w:cs="宋体"/>
          <w:color w:val="auto"/>
          <w:spacing w:val="-2"/>
          <w:kern w:val="0"/>
          <w:sz w:val="24"/>
          <w:szCs w:val="24"/>
          <w:highlight w:val="none"/>
        </w:rPr>
        <w:t>3</w:t>
      </w:r>
      <w:r>
        <w:rPr>
          <w:rFonts w:ascii="宋体" w:hAnsi="宋体" w:eastAsia="宋体" w:cs="宋体"/>
          <w:color w:val="auto"/>
          <w:kern w:val="0"/>
          <w:sz w:val="24"/>
          <w:szCs w:val="24"/>
          <w:highlight w:val="none"/>
        </w:rPr>
        <w:t>0</w:t>
      </w:r>
      <w:r>
        <w:rPr>
          <w:rFonts w:hint="eastAsia" w:ascii="宋体" w:hAnsi="宋体" w:eastAsia="宋体" w:cs="宋体"/>
          <w:color w:val="auto"/>
          <w:spacing w:val="-2"/>
          <w:kern w:val="0"/>
          <w:sz w:val="24"/>
          <w:szCs w:val="24"/>
          <w:highlight w:val="none"/>
        </w:rPr>
        <w:t>日</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向</w:t>
      </w:r>
      <w:r>
        <w:rPr>
          <w:rFonts w:hint="eastAsia" w:ascii="宋体" w:hAnsi="宋体" w:eastAsia="宋体" w:cs="宋体"/>
          <w:color w:val="auto"/>
          <w:kern w:val="0"/>
          <w:sz w:val="24"/>
          <w:szCs w:val="24"/>
          <w:highlight w:val="none"/>
        </w:rPr>
        <w:t>未</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人支</w:t>
      </w:r>
      <w:r>
        <w:rPr>
          <w:rFonts w:hint="eastAsia" w:ascii="宋体" w:hAnsi="宋体" w:eastAsia="宋体" w:cs="宋体"/>
          <w:color w:val="auto"/>
          <w:kern w:val="0"/>
          <w:sz w:val="24"/>
          <w:szCs w:val="24"/>
          <w:highlight w:val="none"/>
        </w:rPr>
        <w:t>付技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w:t>
      </w:r>
      <w:r>
        <w:rPr>
          <w:rFonts w:hint="eastAsia" w:ascii="宋体" w:hAnsi="宋体" w:eastAsia="宋体" w:cs="宋体"/>
          <w:color w:val="auto"/>
          <w:spacing w:val="-2"/>
          <w:kern w:val="0"/>
          <w:sz w:val="24"/>
          <w:szCs w:val="24"/>
          <w:highlight w:val="none"/>
        </w:rPr>
        <w:t>偿</w:t>
      </w:r>
      <w:r>
        <w:rPr>
          <w:rFonts w:hint="eastAsia" w:ascii="宋体" w:hAnsi="宋体" w:eastAsia="宋体" w:cs="宋体"/>
          <w:color w:val="auto"/>
          <w:kern w:val="0"/>
          <w:sz w:val="24"/>
          <w:szCs w:val="24"/>
          <w:highlight w:val="none"/>
        </w:rPr>
        <w:t>费。</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48" w:name="_Toc5726"/>
      <w:bookmarkStart w:id="149" w:name="_Toc111186770"/>
      <w:bookmarkStart w:id="150" w:name="_Toc193357986"/>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履约保证金</w:t>
      </w:r>
      <w:bookmarkEnd w:id="148"/>
      <w:bookmarkEnd w:id="149"/>
      <w:bookmarkEnd w:id="150"/>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7.7.1 </w:t>
      </w:r>
      <w:r>
        <w:rPr>
          <w:rFonts w:hint="eastAsia" w:ascii="宋体" w:hAnsi="宋体" w:eastAsia="宋体" w:cs="宋体"/>
          <w:color w:val="auto"/>
          <w:kern w:val="0"/>
          <w:sz w:val="24"/>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eastAsia="宋体" w:cs="宋体"/>
          <w:color w:val="auto"/>
          <w:kern w:val="0"/>
          <w:sz w:val="24"/>
          <w:szCs w:val="24"/>
          <w:highlight w:val="none"/>
        </w:rPr>
        <w:t>10%。联合体中标的，其履约保证金以联合体各方或者联合体</w:t>
      </w:r>
      <w:r>
        <w:rPr>
          <w:rFonts w:hint="eastAsia" w:ascii="宋体" w:hAnsi="宋体" w:eastAsia="宋体" w:cs="宋体"/>
          <w:color w:val="auto"/>
          <w:kern w:val="0"/>
          <w:sz w:val="24"/>
          <w:szCs w:val="24"/>
          <w:highlight w:val="none"/>
        </w:rPr>
        <w:t>中主办方的名义提交。</w:t>
      </w:r>
    </w:p>
    <w:p>
      <w:pPr>
        <w:wordWrap w:val="0"/>
        <w:autoSpaceDE w:val="0"/>
        <w:autoSpaceDN w:val="0"/>
        <w:spacing w:line="360" w:lineRule="auto"/>
        <w:ind w:firstLine="480" w:firstLineChars="200"/>
        <w:rPr>
          <w:rFonts w:hint="eastAsia" w:ascii="宋体" w:hAnsi="宋体" w:eastAsia="宋体" w:cs="宋体"/>
          <w:strike/>
          <w:color w:val="auto"/>
          <w:kern w:val="0"/>
          <w:sz w:val="24"/>
          <w:szCs w:val="24"/>
          <w:highlight w:val="none"/>
        </w:rPr>
      </w:pPr>
      <w:r>
        <w:rPr>
          <w:rFonts w:ascii="宋体" w:hAnsi="宋体" w:eastAsia="宋体" w:cs="宋体"/>
          <w:color w:val="auto"/>
          <w:kern w:val="0"/>
          <w:sz w:val="24"/>
          <w:szCs w:val="24"/>
          <w:highlight w:val="none"/>
        </w:rPr>
        <w:t xml:space="preserve">7.7.2 </w:t>
      </w:r>
      <w:r>
        <w:rPr>
          <w:rFonts w:hint="eastAsia" w:ascii="宋体" w:hAnsi="宋体" w:eastAsia="宋体" w:cs="宋体"/>
          <w:color w:val="auto"/>
          <w:kern w:val="0"/>
          <w:sz w:val="24"/>
          <w:szCs w:val="24"/>
          <w:highlight w:val="none"/>
        </w:rPr>
        <w:t>中标人不能按本章第</w:t>
      </w:r>
      <w:r>
        <w:rPr>
          <w:rFonts w:ascii="宋体" w:hAnsi="宋体" w:eastAsia="宋体" w:cs="宋体"/>
          <w:color w:val="auto"/>
          <w:kern w:val="0"/>
          <w:sz w:val="24"/>
          <w:szCs w:val="24"/>
          <w:highlight w:val="none"/>
        </w:rPr>
        <w:t>7.7.1项要求提交履约保证金的，视为放弃中标，其投标保证金不予退还，给招标人造成的损失超过投标保证金数额的，中标人还应当对超过部分予以赔偿。</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51" w:name="_Toc32040"/>
      <w:bookmarkStart w:id="152" w:name="_Toc111186771"/>
      <w:bookmarkStart w:id="153" w:name="_Toc193357987"/>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8</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签订合同</w:t>
      </w:r>
      <w:bookmarkEnd w:id="151"/>
      <w:bookmarkEnd w:id="152"/>
      <w:bookmarkEnd w:id="153"/>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7.8.1 </w:t>
      </w:r>
      <w:r>
        <w:rPr>
          <w:rFonts w:hint="eastAsia" w:ascii="宋体" w:hAnsi="宋体" w:eastAsia="宋体" w:cs="宋体"/>
          <w:color w:val="auto"/>
          <w:kern w:val="0"/>
          <w:sz w:val="24"/>
          <w:szCs w:val="24"/>
          <w:highlight w:val="none"/>
        </w:rPr>
        <w:t>招标人和中标人应当在中标通知书发出之日起</w:t>
      </w:r>
      <w:r>
        <w:rPr>
          <w:rFonts w:ascii="宋体" w:hAnsi="宋体" w:eastAsia="宋体" w:cs="宋体"/>
          <w:color w:val="auto"/>
          <w:kern w:val="0"/>
          <w:sz w:val="24"/>
          <w:szCs w:val="24"/>
          <w:highlight w:val="none"/>
        </w:rPr>
        <w:t>30日内，根据招标文件和中标人</w:t>
      </w:r>
      <w:r>
        <w:rPr>
          <w:rFonts w:hint="eastAsia" w:ascii="宋体" w:hAnsi="宋体" w:eastAsia="宋体" w:cs="宋体"/>
          <w:color w:val="auto"/>
          <w:kern w:val="0"/>
          <w:sz w:val="24"/>
          <w:szCs w:val="24"/>
          <w:highlight w:val="none"/>
        </w:rPr>
        <w:t>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7.8.2 </w:t>
      </w:r>
      <w:r>
        <w:rPr>
          <w:rFonts w:hint="eastAsia" w:ascii="宋体" w:hAnsi="宋体" w:eastAsia="宋体" w:cs="宋体"/>
          <w:color w:val="auto"/>
          <w:kern w:val="0"/>
          <w:sz w:val="24"/>
          <w:szCs w:val="24"/>
          <w:highlight w:val="none"/>
        </w:rPr>
        <w:t>发出中标通知书后，招标人无正当理由拒签合同，或者在签订合同时向中标人提出附加条件的，招标人向中标人退还投标保证金；给中标人造成损失的，还应当赔偿损失。</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7.8.3 </w:t>
      </w:r>
      <w:r>
        <w:rPr>
          <w:rFonts w:hint="eastAsia" w:ascii="宋体" w:hAnsi="宋体" w:eastAsia="宋体" w:cs="宋体"/>
          <w:color w:val="auto"/>
          <w:kern w:val="0"/>
          <w:sz w:val="24"/>
          <w:szCs w:val="24"/>
          <w:highlight w:val="none"/>
        </w:rPr>
        <w:t>联合体中标的，联合体各方应当共同与招标人签订合同，就中标项目向招标人承担连带责任。</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line="360" w:lineRule="auto"/>
        <w:outlineLvl w:val="1"/>
        <w:rPr>
          <w:rFonts w:hint="eastAsia" w:ascii="宋体" w:hAnsi="宋体" w:eastAsia="宋体" w:cs="宋体"/>
          <w:b/>
          <w:bCs/>
          <w:color w:val="auto"/>
          <w:kern w:val="0"/>
          <w:sz w:val="30"/>
          <w:szCs w:val="30"/>
          <w:highlight w:val="none"/>
          <w:lang w:val="zh-CN"/>
        </w:rPr>
      </w:pPr>
      <w:bookmarkStart w:id="154" w:name="_Toc14874"/>
      <w:bookmarkStart w:id="155" w:name="_Toc193357988"/>
      <w:bookmarkStart w:id="156" w:name="_Toc111186772"/>
      <w:r>
        <w:rPr>
          <w:rFonts w:ascii="宋体" w:hAnsi="宋体" w:eastAsia="宋体" w:cs="宋体"/>
          <w:b/>
          <w:bCs/>
          <w:color w:val="auto"/>
          <w:spacing w:val="1"/>
          <w:kern w:val="0"/>
          <w:sz w:val="30"/>
          <w:szCs w:val="30"/>
          <w:highlight w:val="none"/>
          <w:lang w:val="zh-CN"/>
        </w:rPr>
        <w:t>8</w:t>
      </w:r>
      <w:r>
        <w:rPr>
          <w:rFonts w:ascii="宋体" w:hAnsi="宋体" w:eastAsia="宋体" w:cs="宋体"/>
          <w:b/>
          <w:bCs/>
          <w:color w:val="auto"/>
          <w:spacing w:val="-1"/>
          <w:kern w:val="0"/>
          <w:sz w:val="30"/>
          <w:szCs w:val="30"/>
          <w:highlight w:val="none"/>
          <w:lang w:val="zh-CN"/>
        </w:rPr>
        <w:t>.</w:t>
      </w:r>
      <w:r>
        <w:rPr>
          <w:rFonts w:hint="eastAsia" w:ascii="宋体" w:hAnsi="宋体" w:eastAsia="宋体" w:cs="宋体"/>
          <w:b/>
          <w:bCs/>
          <w:color w:val="auto"/>
          <w:kern w:val="0"/>
          <w:sz w:val="30"/>
          <w:szCs w:val="30"/>
          <w:highlight w:val="none"/>
          <w:lang w:val="zh-CN"/>
        </w:rPr>
        <w:t>纪律和监督</w:t>
      </w:r>
      <w:bookmarkEnd w:id="154"/>
      <w:bookmarkEnd w:id="155"/>
      <w:bookmarkEnd w:id="156"/>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57" w:name="_Toc3133"/>
      <w:bookmarkStart w:id="158" w:name="_Toc193357989"/>
      <w:bookmarkStart w:id="159" w:name="_Toc111186773"/>
      <w:r>
        <w:rPr>
          <w:rFonts w:ascii="宋体" w:hAnsi="宋体" w:eastAsia="宋体" w:cs="宋体"/>
          <w:b/>
          <w:bCs/>
          <w:color w:val="auto"/>
          <w:spacing w:val="1"/>
          <w:sz w:val="28"/>
          <w:szCs w:val="32"/>
          <w:highlight w:val="none"/>
          <w:lang w:val="zh-CN"/>
        </w:rPr>
        <w:t>8.1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对招标人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57"/>
      <w:bookmarkEnd w:id="158"/>
      <w:bookmarkEnd w:id="159"/>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招标人不得泄露招标投标活动中应当保密的情况和资料，不得与投标人串通损害国家利益、社会公共利益或者他人合法权益。</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60" w:name="_Toc9243"/>
      <w:bookmarkStart w:id="161" w:name="_Toc193357990"/>
      <w:bookmarkStart w:id="162" w:name="_Toc111186774"/>
      <w:r>
        <w:rPr>
          <w:rFonts w:ascii="宋体" w:hAnsi="宋体" w:eastAsia="宋体" w:cs="宋体"/>
          <w:b/>
          <w:bCs/>
          <w:color w:val="auto"/>
          <w:spacing w:val="1"/>
          <w:sz w:val="28"/>
          <w:szCs w:val="32"/>
          <w:highlight w:val="none"/>
          <w:lang w:val="zh-CN"/>
        </w:rPr>
        <w:t>8.2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对投标人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60"/>
      <w:bookmarkEnd w:id="161"/>
      <w:bookmarkEnd w:id="162"/>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63" w:name="_Toc111186775"/>
      <w:bookmarkStart w:id="164" w:name="_Toc193357991"/>
      <w:bookmarkStart w:id="165" w:name="_Toc30238"/>
      <w:r>
        <w:rPr>
          <w:rFonts w:ascii="宋体" w:hAnsi="宋体" w:eastAsia="宋体" w:cs="宋体"/>
          <w:b/>
          <w:bCs/>
          <w:color w:val="auto"/>
          <w:spacing w:val="1"/>
          <w:sz w:val="28"/>
          <w:szCs w:val="32"/>
          <w:highlight w:val="none"/>
          <w:lang w:val="zh-CN"/>
        </w:rPr>
        <w:t>8.3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对评标委</w:t>
      </w:r>
      <w:r>
        <w:rPr>
          <w:rFonts w:hint="eastAsia" w:ascii="宋体" w:hAnsi="宋体" w:eastAsia="宋体" w:cs="宋体"/>
          <w:b/>
          <w:bCs/>
          <w:color w:val="auto"/>
          <w:spacing w:val="-3"/>
          <w:sz w:val="28"/>
          <w:szCs w:val="32"/>
          <w:highlight w:val="none"/>
          <w:lang w:val="zh-CN"/>
        </w:rPr>
        <w:t>员</w:t>
      </w:r>
      <w:r>
        <w:rPr>
          <w:rFonts w:hint="eastAsia" w:ascii="宋体" w:hAnsi="宋体" w:eastAsia="宋体" w:cs="宋体"/>
          <w:b/>
          <w:bCs/>
          <w:color w:val="auto"/>
          <w:spacing w:val="1"/>
          <w:sz w:val="28"/>
          <w:szCs w:val="32"/>
          <w:highlight w:val="none"/>
          <w:lang w:val="zh-CN"/>
        </w:rPr>
        <w:t>会</w:t>
      </w:r>
      <w:r>
        <w:rPr>
          <w:rFonts w:hint="eastAsia" w:ascii="宋体" w:hAnsi="宋体" w:eastAsia="宋体" w:cs="宋体"/>
          <w:b/>
          <w:bCs/>
          <w:color w:val="auto"/>
          <w:spacing w:val="-3"/>
          <w:sz w:val="28"/>
          <w:szCs w:val="32"/>
          <w:highlight w:val="none"/>
          <w:lang w:val="zh-CN"/>
        </w:rPr>
        <w:t>成</w:t>
      </w:r>
      <w:r>
        <w:rPr>
          <w:rFonts w:hint="eastAsia" w:ascii="宋体" w:hAnsi="宋体" w:eastAsia="宋体" w:cs="宋体"/>
          <w:b/>
          <w:bCs/>
          <w:color w:val="auto"/>
          <w:spacing w:val="1"/>
          <w:sz w:val="28"/>
          <w:szCs w:val="32"/>
          <w:highlight w:val="none"/>
          <w:lang w:val="zh-CN"/>
        </w:rPr>
        <w:t>员的纪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63"/>
      <w:bookmarkEnd w:id="164"/>
      <w:bookmarkEnd w:id="165"/>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评标委员会成员不得收受他人的财物或者其他好处，不得向他人透露对投标文件的评审和</w:t>
      </w:r>
      <w:r>
        <w:rPr>
          <w:rFonts w:ascii="宋体" w:hAnsi="宋体" w:eastAsia="宋体" w:cs="宋体"/>
          <w:color w:val="auto"/>
          <w:kern w:val="0"/>
          <w:sz w:val="24"/>
          <w:szCs w:val="24"/>
          <w:highlight w:val="none"/>
        </w:rPr>
        <w:t xml:space="preserve"> 比较、中标候选人的推荐情况以及评标有关的其他情况。在评标活动中，评标委员会成员应当 客观、公正地履行职责，遵守职业道德，不得擅离职守，影响评标程序正常进行，不得使用第 三章“评标办法”没有规定的评审因素和标准进行评标。</w:t>
      </w: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66" w:name="_Toc9711"/>
      <w:bookmarkStart w:id="167" w:name="_Toc111186776"/>
      <w:bookmarkStart w:id="168" w:name="_Toc193357992"/>
      <w:r>
        <w:rPr>
          <w:rFonts w:ascii="宋体" w:hAnsi="宋体" w:eastAsia="宋体" w:cs="宋体"/>
          <w:b/>
          <w:bCs/>
          <w:color w:val="auto"/>
          <w:spacing w:val="1"/>
          <w:sz w:val="28"/>
          <w:szCs w:val="32"/>
          <w:highlight w:val="none"/>
          <w:lang w:val="zh-CN"/>
        </w:rPr>
        <w:t>8.4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对与评标</w:t>
      </w:r>
      <w:r>
        <w:rPr>
          <w:rFonts w:hint="eastAsia" w:ascii="宋体" w:hAnsi="宋体" w:eastAsia="宋体" w:cs="宋体"/>
          <w:b/>
          <w:bCs/>
          <w:color w:val="auto"/>
          <w:spacing w:val="-3"/>
          <w:sz w:val="28"/>
          <w:szCs w:val="32"/>
          <w:highlight w:val="none"/>
          <w:lang w:val="zh-CN"/>
        </w:rPr>
        <w:t>活</w:t>
      </w:r>
      <w:r>
        <w:rPr>
          <w:rFonts w:hint="eastAsia" w:ascii="宋体" w:hAnsi="宋体" w:eastAsia="宋体" w:cs="宋体"/>
          <w:b/>
          <w:bCs/>
          <w:color w:val="auto"/>
          <w:spacing w:val="1"/>
          <w:sz w:val="28"/>
          <w:szCs w:val="32"/>
          <w:highlight w:val="none"/>
          <w:lang w:val="zh-CN"/>
        </w:rPr>
        <w:t>动</w:t>
      </w:r>
      <w:r>
        <w:rPr>
          <w:rFonts w:hint="eastAsia" w:ascii="宋体" w:hAnsi="宋体" w:eastAsia="宋体" w:cs="宋体"/>
          <w:b/>
          <w:bCs/>
          <w:color w:val="auto"/>
          <w:spacing w:val="-3"/>
          <w:sz w:val="28"/>
          <w:szCs w:val="32"/>
          <w:highlight w:val="none"/>
          <w:lang w:val="zh-CN"/>
        </w:rPr>
        <w:t>有</w:t>
      </w:r>
      <w:r>
        <w:rPr>
          <w:rFonts w:hint="eastAsia" w:ascii="宋体" w:hAnsi="宋体" w:eastAsia="宋体" w:cs="宋体"/>
          <w:b/>
          <w:bCs/>
          <w:color w:val="auto"/>
          <w:spacing w:val="1"/>
          <w:sz w:val="28"/>
          <w:szCs w:val="32"/>
          <w:highlight w:val="none"/>
          <w:lang w:val="zh-CN"/>
        </w:rPr>
        <w:t>关的工</w:t>
      </w:r>
      <w:r>
        <w:rPr>
          <w:rFonts w:hint="eastAsia" w:ascii="宋体" w:hAnsi="宋体" w:eastAsia="宋体" w:cs="宋体"/>
          <w:b/>
          <w:bCs/>
          <w:color w:val="auto"/>
          <w:spacing w:val="-3"/>
          <w:sz w:val="28"/>
          <w:szCs w:val="32"/>
          <w:highlight w:val="none"/>
          <w:lang w:val="zh-CN"/>
        </w:rPr>
        <w:t>作</w:t>
      </w:r>
      <w:r>
        <w:rPr>
          <w:rFonts w:hint="eastAsia" w:ascii="宋体" w:hAnsi="宋体" w:eastAsia="宋体" w:cs="宋体"/>
          <w:b/>
          <w:bCs/>
          <w:color w:val="auto"/>
          <w:spacing w:val="1"/>
          <w:sz w:val="28"/>
          <w:szCs w:val="32"/>
          <w:highlight w:val="none"/>
          <w:lang w:val="zh-CN"/>
        </w:rPr>
        <w:t>人员</w:t>
      </w:r>
      <w:r>
        <w:rPr>
          <w:rFonts w:hint="eastAsia" w:ascii="宋体" w:hAnsi="宋体" w:eastAsia="宋体" w:cs="宋体"/>
          <w:b/>
          <w:bCs/>
          <w:color w:val="auto"/>
          <w:spacing w:val="-3"/>
          <w:sz w:val="28"/>
          <w:szCs w:val="32"/>
          <w:highlight w:val="none"/>
          <w:lang w:val="zh-CN"/>
        </w:rPr>
        <w:t>的纪</w:t>
      </w:r>
      <w:r>
        <w:rPr>
          <w:rFonts w:hint="eastAsia" w:ascii="宋体" w:hAnsi="宋体" w:eastAsia="宋体" w:cs="宋体"/>
          <w:b/>
          <w:bCs/>
          <w:color w:val="auto"/>
          <w:spacing w:val="1"/>
          <w:sz w:val="28"/>
          <w:szCs w:val="32"/>
          <w:highlight w:val="none"/>
          <w:lang w:val="zh-CN"/>
        </w:rPr>
        <w:t>律要求</w:t>
      </w:r>
      <w:bookmarkEnd w:id="166"/>
      <w:bookmarkEnd w:id="167"/>
      <w:bookmarkEnd w:id="168"/>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69" w:name="_Toc3297"/>
      <w:bookmarkStart w:id="170" w:name="_Toc111186777"/>
      <w:bookmarkStart w:id="171" w:name="_Toc193357993"/>
      <w:r>
        <w:rPr>
          <w:rFonts w:ascii="宋体" w:hAnsi="宋体" w:eastAsia="宋体" w:cs="宋体"/>
          <w:b/>
          <w:bCs/>
          <w:color w:val="auto"/>
          <w:spacing w:val="1"/>
          <w:sz w:val="28"/>
          <w:szCs w:val="32"/>
          <w:highlight w:val="none"/>
          <w:lang w:val="zh-CN"/>
        </w:rPr>
        <w:t>8.5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投诉</w:t>
      </w:r>
      <w:bookmarkEnd w:id="169"/>
      <w:bookmarkEnd w:id="170"/>
      <w:bookmarkEnd w:id="171"/>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8.5.1 </w:t>
      </w:r>
      <w:r>
        <w:rPr>
          <w:rFonts w:hint="eastAsia" w:ascii="宋体" w:hAnsi="宋体" w:eastAsia="宋体" w:cs="宋体"/>
          <w:color w:val="auto"/>
          <w:kern w:val="0"/>
          <w:sz w:val="24"/>
          <w:szCs w:val="24"/>
          <w:highlight w:val="none"/>
        </w:rPr>
        <w:t>投标人或者其他利害关系人认为招标投标活动不符合法律、行政法规规定的，可以自知道或者应当知道之日起</w:t>
      </w:r>
      <w:r>
        <w:rPr>
          <w:rFonts w:ascii="宋体" w:hAnsi="宋体" w:eastAsia="宋体" w:cs="宋体"/>
          <w:color w:val="auto"/>
          <w:kern w:val="0"/>
          <w:sz w:val="24"/>
          <w:szCs w:val="24"/>
          <w:highlight w:val="none"/>
        </w:rPr>
        <w:t>10日内向有关行政监督部门投诉。投诉应当有明确的请求和必要的证明材料。</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8.5.2 </w:t>
      </w:r>
      <w:r>
        <w:rPr>
          <w:rFonts w:hint="eastAsia" w:ascii="宋体" w:hAnsi="宋体" w:eastAsia="宋体" w:cs="宋体"/>
          <w:color w:val="auto"/>
          <w:kern w:val="0"/>
          <w:sz w:val="24"/>
          <w:szCs w:val="24"/>
          <w:highlight w:val="none"/>
        </w:rPr>
        <w:t>投标人或者其他利害关系人对招标文件、开标和评标结果提出投诉的，</w:t>
      </w:r>
      <w:r>
        <w:rPr>
          <w:rFonts w:ascii="宋体" w:hAnsi="宋体" w:eastAsia="宋体" w:cs="宋体"/>
          <w:color w:val="auto"/>
          <w:kern w:val="0"/>
          <w:sz w:val="24"/>
          <w:szCs w:val="24"/>
          <w:highlight w:val="none"/>
        </w:rPr>
        <w:t xml:space="preserve"> 应当按照投标人须知第2.4款、第5.3款和第7.2款的规定先向招标人提出异议。异议答复期间不计算在第8.5.1项规定的期限内。</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line="360" w:lineRule="auto"/>
        <w:outlineLvl w:val="1"/>
        <w:rPr>
          <w:rFonts w:hint="eastAsia" w:ascii="宋体" w:hAnsi="宋体" w:eastAsia="宋体" w:cs="宋体"/>
          <w:b/>
          <w:bCs/>
          <w:color w:val="auto"/>
          <w:kern w:val="0"/>
          <w:sz w:val="30"/>
          <w:szCs w:val="30"/>
          <w:highlight w:val="none"/>
          <w:lang w:val="zh-CN"/>
        </w:rPr>
      </w:pPr>
      <w:bookmarkStart w:id="172" w:name="_Toc32014"/>
      <w:bookmarkStart w:id="173" w:name="_Toc111186778"/>
      <w:bookmarkStart w:id="174" w:name="_Toc193357994"/>
      <w:r>
        <w:rPr>
          <w:rFonts w:ascii="宋体" w:hAnsi="宋体" w:eastAsia="宋体" w:cs="宋体"/>
          <w:b/>
          <w:bCs/>
          <w:color w:val="auto"/>
          <w:spacing w:val="1"/>
          <w:kern w:val="0"/>
          <w:sz w:val="30"/>
          <w:szCs w:val="30"/>
          <w:highlight w:val="none"/>
          <w:lang w:val="zh-CN"/>
        </w:rPr>
        <w:t>9</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是否采用电子招标投标</w:t>
      </w:r>
      <w:bookmarkEnd w:id="172"/>
      <w:bookmarkEnd w:id="173"/>
      <w:bookmarkEnd w:id="174"/>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本招标项目采用电子招标投标方式，按照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line="360" w:lineRule="auto"/>
        <w:outlineLvl w:val="1"/>
        <w:rPr>
          <w:rFonts w:hint="eastAsia" w:ascii="宋体" w:hAnsi="宋体" w:eastAsia="宋体" w:cs="宋体"/>
          <w:b/>
          <w:bCs/>
          <w:color w:val="auto"/>
          <w:kern w:val="0"/>
          <w:sz w:val="30"/>
          <w:szCs w:val="30"/>
          <w:highlight w:val="none"/>
          <w:lang w:val="zh-CN"/>
        </w:rPr>
      </w:pPr>
      <w:bookmarkStart w:id="175" w:name="_Toc193357995"/>
      <w:bookmarkStart w:id="176" w:name="_Toc111186779"/>
      <w:bookmarkStart w:id="177" w:name="_Toc25836"/>
      <w:r>
        <w:rPr>
          <w:rFonts w:ascii="宋体" w:hAnsi="宋体" w:eastAsia="宋体" w:cs="宋体"/>
          <w:b/>
          <w:bCs/>
          <w:color w:val="auto"/>
          <w:spacing w:val="1"/>
          <w:kern w:val="0"/>
          <w:sz w:val="30"/>
          <w:szCs w:val="30"/>
          <w:highlight w:val="none"/>
          <w:lang w:val="zh-CN"/>
        </w:rPr>
        <w:t>10</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4"/>
          <w:kern w:val="0"/>
          <w:sz w:val="30"/>
          <w:szCs w:val="30"/>
          <w:highlight w:val="none"/>
          <w:lang w:val="zh-CN"/>
        </w:rPr>
        <w:t xml:space="preserve"> </w:t>
      </w:r>
      <w:bookmarkEnd w:id="175"/>
      <w:bookmarkEnd w:id="176"/>
      <w:bookmarkEnd w:id="177"/>
      <w:r>
        <w:rPr>
          <w:rFonts w:hint="eastAsia" w:ascii="宋体" w:hAnsi="宋体" w:eastAsia="宋体" w:cs="宋体"/>
          <w:b/>
          <w:bCs/>
          <w:color w:val="auto"/>
          <w:kern w:val="0"/>
          <w:sz w:val="30"/>
          <w:szCs w:val="30"/>
          <w:highlight w:val="none"/>
          <w:lang w:val="zh-CN"/>
        </w:rPr>
        <w:t>重新招标情形</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在下列情况下，依法必须招标项目的招标人在分析招标失败的原因并采取相应措施后，应当依照本办法重新招标：</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（一）资格预审合格的潜在投标人不足三个的；</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（二）在投标截止时间前提交投标文件的投标人少于三个的；</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（三）所有投标均被否决的；</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（四）评标委员会否决不合格投标后，因有效投标不足三个使得投标明显缺乏竞争，评标委员会决定否决全部投标的；</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（五）根据《工程建设项目勘察设计招标投标办法》第四十六条规定，同意延长投标有效期的投标人少于三个的；</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p>
    <w:p>
      <w:pPr>
        <w:keepNext/>
        <w:keepLines/>
        <w:wordWrap w:val="0"/>
        <w:spacing w:line="360" w:lineRule="auto"/>
        <w:outlineLvl w:val="1"/>
        <w:rPr>
          <w:rFonts w:hint="eastAsia" w:ascii="宋体" w:hAnsi="宋体" w:eastAsia="宋体" w:cs="宋体"/>
          <w:b/>
          <w:bCs/>
          <w:color w:val="auto"/>
          <w:kern w:val="0"/>
          <w:sz w:val="30"/>
          <w:szCs w:val="30"/>
          <w:highlight w:val="none"/>
          <w:lang w:val="zh-CN"/>
        </w:rPr>
      </w:pPr>
      <w:r>
        <w:rPr>
          <w:rFonts w:ascii="宋体" w:hAnsi="宋体" w:eastAsia="宋体" w:cs="宋体"/>
          <w:b/>
          <w:bCs/>
          <w:color w:val="auto"/>
          <w:spacing w:val="1"/>
          <w:kern w:val="0"/>
          <w:sz w:val="30"/>
          <w:szCs w:val="30"/>
          <w:highlight w:val="none"/>
          <w:lang w:val="zh-CN"/>
        </w:rPr>
        <w:t>11</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4"/>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需要补充的其他内容</w:t>
      </w:r>
    </w:p>
    <w:p>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需要补充的其他内容：见投标人须知前附表。</w:t>
      </w: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r>
        <w:rPr>
          <w:rFonts w:ascii="宋体" w:hAnsi="宋体" w:eastAsia="宋体" w:cs="宋体"/>
          <w:b/>
          <w:bCs/>
          <w:color w:val="auto"/>
          <w:spacing w:val="1"/>
          <w:kern w:val="0"/>
          <w:sz w:val="28"/>
          <w:szCs w:val="32"/>
          <w:highlight w:val="none"/>
          <w:lang w:val="zh-CN"/>
        </w:rPr>
        <w:br w:type="page"/>
      </w:r>
      <w:bookmarkStart w:id="178" w:name="_Toc111186781"/>
      <w:bookmarkStart w:id="179" w:name="_Toc5282"/>
      <w:bookmarkStart w:id="180" w:name="_Toc193357997"/>
    </w:p>
    <w:bookmarkEnd w:id="178"/>
    <w:bookmarkEnd w:id="179"/>
    <w:bookmarkEnd w:id="180"/>
    <w:p>
      <w:pPr>
        <w:pStyle w:val="2"/>
        <w:rPr>
          <w:rFonts w:hint="eastAsia" w:ascii="宋体" w:hAnsi="宋体"/>
          <w:color w:val="auto"/>
          <w:highlight w:val="none"/>
        </w:rPr>
      </w:pPr>
      <w:bookmarkStart w:id="181" w:name="_Toc193358002"/>
      <w:bookmarkStart w:id="182" w:name="_Toc111186786"/>
      <w:r>
        <w:rPr>
          <w:rFonts w:hint="eastAsia" w:ascii="宋体" w:hAnsi="宋体"/>
          <w:color w:val="auto"/>
          <w:highlight w:val="none"/>
        </w:rPr>
        <w:t>第三章</w:t>
      </w:r>
      <w:r>
        <w:rPr>
          <w:rFonts w:ascii="宋体" w:hAnsi="宋体"/>
          <w:color w:val="auto"/>
          <w:highlight w:val="none"/>
        </w:rPr>
        <w:t xml:space="preserve">  </w:t>
      </w:r>
      <w:r>
        <w:rPr>
          <w:rFonts w:hint="eastAsia" w:ascii="宋体" w:hAnsi="宋体"/>
          <w:color w:val="auto"/>
          <w:highlight w:val="none"/>
        </w:rPr>
        <w:t>评标</w:t>
      </w:r>
      <w:r>
        <w:rPr>
          <w:rFonts w:hint="eastAsia" w:ascii="宋体" w:hAnsi="宋体"/>
          <w:color w:val="auto"/>
          <w:highlight w:val="none"/>
          <w:u w:val="single"/>
        </w:rPr>
        <w:t>、定标</w:t>
      </w:r>
      <w:r>
        <w:rPr>
          <w:rFonts w:hint="eastAsia" w:ascii="宋体" w:hAnsi="宋体"/>
          <w:color w:val="auto"/>
          <w:highlight w:val="none"/>
        </w:rPr>
        <w:t>办法（</w:t>
      </w:r>
      <w:r>
        <w:rPr>
          <w:rFonts w:hint="eastAsia" w:ascii="宋体" w:hAnsi="宋体"/>
          <w:color w:val="auto"/>
          <w:highlight w:val="none"/>
          <w:u w:val="single"/>
        </w:rPr>
        <w:t>评定分离</w:t>
      </w:r>
      <w:r>
        <w:rPr>
          <w:rFonts w:hint="eastAsia" w:ascii="宋体" w:hAnsi="宋体"/>
          <w:color w:val="auto"/>
          <w:highlight w:val="none"/>
        </w:rPr>
        <w:t>）</w:t>
      </w:r>
      <w:bookmarkEnd w:id="181"/>
      <w:bookmarkEnd w:id="182"/>
    </w:p>
    <w:p>
      <w:pPr>
        <w:pStyle w:val="3"/>
        <w:wordWrap w:val="0"/>
        <w:rPr>
          <w:rFonts w:hint="eastAsia" w:ascii="宋体" w:hAnsi="宋体"/>
          <w:color w:val="auto"/>
          <w:highlight w:val="none"/>
        </w:rPr>
      </w:pPr>
      <w:bookmarkStart w:id="183" w:name="_Toc193358003"/>
      <w:bookmarkStart w:id="184" w:name="_Toc32538"/>
      <w:bookmarkStart w:id="185" w:name="_Toc111186787"/>
      <w:r>
        <w:rPr>
          <w:rFonts w:hint="eastAsia" w:ascii="宋体" w:hAnsi="宋体"/>
          <w:color w:val="auto"/>
          <w:highlight w:val="none"/>
        </w:rPr>
        <w:t>（适用于技术文件为暗标形式）</w:t>
      </w:r>
    </w:p>
    <w:p>
      <w:pPr>
        <w:pStyle w:val="3"/>
        <w:wordWrap w:val="0"/>
        <w:rPr>
          <w:rFonts w:hint="eastAsia" w:ascii="宋体" w:hAnsi="宋体"/>
          <w:color w:val="auto"/>
          <w:highlight w:val="none"/>
        </w:rPr>
      </w:pPr>
      <w:r>
        <w:rPr>
          <w:rFonts w:hint="eastAsia" w:ascii="宋体" w:hAnsi="宋体"/>
          <w:color w:val="auto"/>
          <w:highlight w:val="none"/>
        </w:rPr>
        <w:t>评标办法前附表</w:t>
      </w:r>
      <w:bookmarkEnd w:id="183"/>
      <w:bookmarkEnd w:id="184"/>
      <w:bookmarkEnd w:id="185"/>
    </w:p>
    <w:tbl>
      <w:tblPr>
        <w:tblStyle w:val="45"/>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50"/>
        <w:gridCol w:w="1643"/>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pPr>
              <w:wordWrap w:val="0"/>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976" w:type="dxa"/>
            <w:vAlign w:val="center"/>
          </w:tcPr>
          <w:p>
            <w:pPr>
              <w:wordWrap w:val="0"/>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1</w:t>
            </w:r>
          </w:p>
        </w:tc>
        <w:tc>
          <w:tcPr>
            <w:tcW w:w="850"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5976" w:type="dxa"/>
            <w:vAlign w:val="center"/>
          </w:tcPr>
          <w:p>
            <w:pPr>
              <w:wordWrap w:val="0"/>
              <w:spacing w:line="276" w:lineRule="auto"/>
              <w:rPr>
                <w:rFonts w:hint="eastAsia" w:ascii="宋体" w:hAnsi="宋体" w:eastAsia="宋体" w:cs="宋体"/>
                <w:color w:val="auto"/>
                <w:szCs w:val="21"/>
                <w:highlight w:val="none"/>
              </w:rPr>
            </w:pPr>
            <w:bookmarkStart w:id="186" w:name="OLE_LINK18"/>
            <w:r>
              <w:rPr>
                <w:rFonts w:hint="eastAsia" w:ascii="宋体" w:hAnsi="宋体" w:eastAsia="宋体" w:cs="宋体"/>
                <w:color w:val="auto"/>
                <w:szCs w:val="21"/>
                <w:highlight w:val="none"/>
                <w:u w:val="single"/>
              </w:rPr>
              <w:t>本项目采用评定分离办法。其中，评</w:t>
            </w:r>
            <w:bookmarkStart w:id="187" w:name="OLE_LINK17"/>
            <w:r>
              <w:rPr>
                <w:rFonts w:hint="eastAsia" w:ascii="宋体" w:hAnsi="宋体" w:eastAsia="宋体" w:cs="宋体"/>
                <w:color w:val="auto"/>
                <w:szCs w:val="21"/>
                <w:highlight w:val="none"/>
                <w:u w:val="single"/>
              </w:rPr>
              <w:t>标阶段采用“有限数量制”评标法，评标委员会对投标文件进行资格评审、商务文件形式评审、商务文件响应性评审、勘察设计方案响应性评审，并对通过上述评审的投标单位进行资信业绩部分详细评审、勘察设计方案部分详细评审、投标报价评审。评标委员会计算各有效投标文件的综合得分，并按照综合得分从高到低排列先后次序（注：综合评分相同的，以技术文件得分高的排前；技术文件得分也相同的，以商务文件得分高的排前；如仍存在相同情况，则对具有相同情况的投标人，由评标委员会采用记名投票方式，确定投标人最终名次的排序），向招标人推荐前</w:t>
            </w:r>
            <w:r>
              <w:rPr>
                <w:rFonts w:ascii="宋体" w:hAnsi="宋体" w:eastAsia="宋体" w:cs="宋体"/>
                <w:color w:val="auto"/>
                <w:szCs w:val="21"/>
                <w:highlight w:val="none"/>
                <w:u w:val="single"/>
              </w:rPr>
              <w:t>3名有效的投标人为合格中标候选人进入定标阶段</w:t>
            </w:r>
            <w:r>
              <w:rPr>
                <w:rFonts w:hint="eastAsia" w:ascii="宋体" w:hAnsi="宋体" w:eastAsia="宋体" w:cs="宋体"/>
                <w:color w:val="auto"/>
                <w:szCs w:val="21"/>
                <w:highlight w:val="none"/>
                <w:u w:val="single"/>
              </w:rPr>
              <w:t>，不足</w:t>
            </w:r>
            <w:r>
              <w:rPr>
                <w:rFonts w:ascii="宋体" w:hAnsi="宋体" w:eastAsia="宋体" w:cs="宋体"/>
                <w:color w:val="auto"/>
                <w:szCs w:val="21"/>
                <w:highlight w:val="none"/>
                <w:u w:val="single"/>
              </w:rPr>
              <w:t>3名的，则本项目招标失败，招标人应依法重新组织招标</w:t>
            </w:r>
            <w:r>
              <w:rPr>
                <w:rFonts w:hint="eastAsia" w:ascii="宋体" w:hAnsi="宋体" w:eastAsia="宋体" w:cs="宋体"/>
                <w:color w:val="auto"/>
                <w:szCs w:val="21"/>
                <w:highlight w:val="none"/>
                <w:u w:val="single"/>
              </w:rPr>
              <w:t>。【进入定标阶段不排序，按统一社会信用代码后</w:t>
            </w:r>
            <w:r>
              <w:rPr>
                <w:rFonts w:ascii="宋体" w:hAnsi="宋体" w:eastAsia="宋体" w:cs="宋体"/>
                <w:color w:val="auto"/>
                <w:szCs w:val="21"/>
                <w:highlight w:val="none"/>
                <w:u w:val="single"/>
              </w:rPr>
              <w:t>4位（除校验码外）大小排位（如联合体投标，以主办方为准），如统一社会信用代码后4位出现字母情况的，字母以“0”进行代替大小排位；如出现后4位（除校验码外）大小一致的，则随机排位】</w:t>
            </w:r>
            <w:bookmarkEnd w:id="186"/>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2.1.1</w:t>
            </w:r>
          </w:p>
        </w:tc>
        <w:tc>
          <w:tcPr>
            <w:tcW w:w="850" w:type="dxa"/>
            <w:vMerge w:val="restar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pacing w:val="-1"/>
                <w:kern w:val="0"/>
                <w:szCs w:val="21"/>
                <w:highlight w:val="none"/>
              </w:rPr>
              <w:t>营业执照或事业单位法人证书</w:t>
            </w:r>
          </w:p>
        </w:tc>
        <w:tc>
          <w:tcPr>
            <w:tcW w:w="5976" w:type="dxa"/>
            <w:vAlign w:val="center"/>
          </w:tcPr>
          <w:p>
            <w:pPr>
              <w:wordWrap w:val="0"/>
              <w:spacing w:line="276" w:lineRule="auto"/>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3.5.1项规定，具备有</w:t>
            </w:r>
            <w:r>
              <w:rPr>
                <w:rFonts w:hint="eastAsia" w:ascii="宋体" w:hAnsi="宋体" w:eastAsia="宋体" w:cs="宋体"/>
                <w:color w:val="auto"/>
                <w:kern w:val="0"/>
                <w:szCs w:val="21"/>
                <w:highlight w:val="none"/>
              </w:rPr>
              <w:t>效的营业执照或事业单位法人证书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pacing w:val="-1"/>
                <w:kern w:val="0"/>
                <w:szCs w:val="21"/>
                <w:highlight w:val="none"/>
              </w:rPr>
              <w:t>资质要求</w:t>
            </w:r>
          </w:p>
        </w:tc>
        <w:tc>
          <w:tcPr>
            <w:tcW w:w="5976" w:type="dxa"/>
            <w:vAlign w:val="center"/>
          </w:tcPr>
          <w:p>
            <w:pPr>
              <w:wordWrap w:val="0"/>
              <w:spacing w:line="276" w:lineRule="auto"/>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87"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pacing w:val="-1"/>
                <w:kern w:val="0"/>
                <w:szCs w:val="21"/>
                <w:highlight w:val="none"/>
              </w:rPr>
              <w:t>项目负责人</w:t>
            </w:r>
          </w:p>
        </w:tc>
        <w:tc>
          <w:tcPr>
            <w:tcW w:w="5976" w:type="dxa"/>
            <w:vAlign w:val="center"/>
          </w:tcPr>
          <w:p>
            <w:pPr>
              <w:wordWrap w:val="0"/>
              <w:spacing w:line="276" w:lineRule="auto"/>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1643" w:type="dxa"/>
          </w:tcPr>
          <w:p>
            <w:pPr>
              <w:wordWrap w:val="0"/>
              <w:spacing w:line="276" w:lineRule="auto"/>
              <w:jc w:val="center"/>
              <w:rPr>
                <w:rFonts w:hint="eastAsia" w:ascii="宋体" w:hAnsi="宋体" w:eastAsia="宋体" w:cs="宋体"/>
                <w:strike/>
                <w:color w:val="auto"/>
                <w:spacing w:val="-1"/>
                <w:kern w:val="0"/>
                <w:szCs w:val="21"/>
                <w:highlight w:val="none"/>
              </w:rPr>
            </w:pPr>
            <w:r>
              <w:rPr>
                <w:rFonts w:ascii="宋体" w:hAnsi="宋体" w:eastAsia="宋体" w:cs="宋体"/>
                <w:strike/>
                <w:color w:val="auto"/>
                <w:spacing w:val="-2"/>
                <w:highlight w:val="none"/>
              </w:rPr>
              <w:t>其他</w:t>
            </w:r>
            <w:r>
              <w:rPr>
                <w:rFonts w:ascii="宋体" w:hAnsi="宋体" w:eastAsia="宋体" w:cs="宋体"/>
                <w:strike/>
                <w:color w:val="auto"/>
                <w:spacing w:val="-1"/>
                <w:highlight w:val="none"/>
              </w:rPr>
              <w:t>主要人员</w:t>
            </w:r>
          </w:p>
        </w:tc>
        <w:tc>
          <w:tcPr>
            <w:tcW w:w="5976" w:type="dxa"/>
          </w:tcPr>
          <w:p>
            <w:pPr>
              <w:wordWrap w:val="0"/>
              <w:spacing w:line="276" w:lineRule="auto"/>
              <w:rPr>
                <w:rFonts w:hint="eastAsia" w:ascii="宋体" w:hAnsi="宋体" w:eastAsia="宋体" w:cs="宋体"/>
                <w:strike/>
                <w:color w:val="auto"/>
                <w:kern w:val="0"/>
                <w:szCs w:val="21"/>
                <w:highlight w:val="none"/>
              </w:rPr>
            </w:pPr>
            <w:r>
              <w:rPr>
                <w:rFonts w:ascii="宋体" w:hAnsi="宋体" w:eastAsia="宋体" w:cs="宋体"/>
                <w:strike/>
                <w:color w:val="auto"/>
                <w:spacing w:val="-4"/>
                <w:highlight w:val="none"/>
              </w:rPr>
              <w:t>符合第二章</w:t>
            </w:r>
            <w:r>
              <w:rPr>
                <w:rFonts w:ascii="宋体" w:hAnsi="宋体" w:eastAsia="宋体" w:cs="Times New Roman"/>
                <w:strike/>
                <w:color w:val="auto"/>
                <w:spacing w:val="-4"/>
                <w:highlight w:val="none"/>
              </w:rPr>
              <w:t>“</w:t>
            </w:r>
            <w:r>
              <w:rPr>
                <w:rFonts w:ascii="宋体" w:hAnsi="宋体" w:eastAsia="宋体" w:cs="宋体"/>
                <w:strike/>
                <w:color w:val="auto"/>
                <w:spacing w:val="-4"/>
                <w:highlight w:val="none"/>
              </w:rPr>
              <w:t>投</w:t>
            </w:r>
            <w:r>
              <w:rPr>
                <w:rFonts w:ascii="宋体" w:hAnsi="宋体" w:eastAsia="宋体" w:cs="宋体"/>
                <w:strike/>
                <w:color w:val="auto"/>
                <w:spacing w:val="-2"/>
                <w:highlight w:val="none"/>
              </w:rPr>
              <w:t>标人须知</w:t>
            </w:r>
            <w:r>
              <w:rPr>
                <w:rFonts w:ascii="宋体" w:hAnsi="宋体" w:eastAsia="宋体" w:cs="Times New Roman"/>
                <w:strike/>
                <w:color w:val="auto"/>
                <w:spacing w:val="-2"/>
                <w:highlight w:val="none"/>
              </w:rPr>
              <w:t>”</w:t>
            </w:r>
            <w:r>
              <w:rPr>
                <w:rFonts w:ascii="宋体" w:hAnsi="宋体" w:eastAsia="宋体" w:cs="宋体"/>
                <w:strike/>
                <w:color w:val="auto"/>
                <w:spacing w:val="-2"/>
                <w:highlight w:val="none"/>
              </w:rPr>
              <w:t xml:space="preserve">第 </w:t>
            </w:r>
            <w:r>
              <w:rPr>
                <w:rFonts w:ascii="宋体" w:hAnsi="宋体" w:eastAsia="宋体" w:cs="Times New Roman"/>
                <w:strike/>
                <w:color w:val="auto"/>
                <w:spacing w:val="-2"/>
                <w:highlight w:val="none"/>
              </w:rPr>
              <w:t xml:space="preserve">1.4.1 </w:t>
            </w:r>
            <w:r>
              <w:rPr>
                <w:rFonts w:ascii="宋体" w:hAnsi="宋体" w:eastAsia="宋体" w:cs="宋体"/>
                <w:strike/>
                <w:color w:val="auto"/>
                <w:spacing w:val="-2"/>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1643" w:type="dxa"/>
          </w:tcPr>
          <w:p>
            <w:pPr>
              <w:wordWrap w:val="0"/>
              <w:spacing w:line="276" w:lineRule="auto"/>
              <w:jc w:val="center"/>
              <w:rPr>
                <w:rFonts w:hint="eastAsia" w:ascii="宋体" w:hAnsi="宋体" w:eastAsia="宋体" w:cs="宋体"/>
                <w:strike/>
                <w:color w:val="auto"/>
                <w:spacing w:val="-2"/>
                <w:highlight w:val="none"/>
              </w:rPr>
            </w:pPr>
            <w:r>
              <w:rPr>
                <w:rFonts w:ascii="宋体" w:hAnsi="宋体" w:eastAsia="宋体" w:cs="宋体"/>
                <w:strike/>
                <w:color w:val="auto"/>
                <w:spacing w:val="-2"/>
                <w:highlight w:val="none"/>
              </w:rPr>
              <w:t>业绩</w:t>
            </w:r>
            <w:r>
              <w:rPr>
                <w:rFonts w:ascii="宋体" w:hAnsi="宋体" w:eastAsia="宋体" w:cs="宋体"/>
                <w:strike/>
                <w:color w:val="auto"/>
                <w:spacing w:val="-1"/>
                <w:highlight w:val="none"/>
              </w:rPr>
              <w:t>要求</w:t>
            </w:r>
          </w:p>
        </w:tc>
        <w:tc>
          <w:tcPr>
            <w:tcW w:w="5976" w:type="dxa"/>
          </w:tcPr>
          <w:p>
            <w:pPr>
              <w:wordWrap w:val="0"/>
              <w:spacing w:line="276" w:lineRule="auto"/>
              <w:rPr>
                <w:rFonts w:hint="eastAsia" w:ascii="宋体" w:hAnsi="宋体" w:eastAsia="宋体" w:cs="宋体"/>
                <w:strike/>
                <w:color w:val="auto"/>
                <w:spacing w:val="-4"/>
                <w:highlight w:val="none"/>
              </w:rPr>
            </w:pPr>
            <w:r>
              <w:rPr>
                <w:rFonts w:ascii="宋体" w:hAnsi="宋体" w:eastAsia="宋体" w:cs="宋体"/>
                <w:strike/>
                <w:color w:val="auto"/>
                <w:spacing w:val="-4"/>
                <w:highlight w:val="none"/>
              </w:rPr>
              <w:t>符合第二章</w:t>
            </w:r>
            <w:r>
              <w:rPr>
                <w:rFonts w:ascii="宋体" w:hAnsi="宋体" w:eastAsia="宋体" w:cs="Times New Roman"/>
                <w:strike/>
                <w:color w:val="auto"/>
                <w:spacing w:val="-4"/>
                <w:highlight w:val="none"/>
              </w:rPr>
              <w:t>“</w:t>
            </w:r>
            <w:r>
              <w:rPr>
                <w:rFonts w:ascii="宋体" w:hAnsi="宋体" w:eastAsia="宋体" w:cs="宋体"/>
                <w:strike/>
                <w:color w:val="auto"/>
                <w:spacing w:val="-4"/>
                <w:highlight w:val="none"/>
              </w:rPr>
              <w:t>投</w:t>
            </w:r>
            <w:r>
              <w:rPr>
                <w:rFonts w:ascii="宋体" w:hAnsi="宋体" w:eastAsia="宋体" w:cs="宋体"/>
                <w:strike/>
                <w:color w:val="auto"/>
                <w:spacing w:val="-2"/>
                <w:highlight w:val="none"/>
              </w:rPr>
              <w:t>标人须知</w:t>
            </w:r>
            <w:r>
              <w:rPr>
                <w:rFonts w:ascii="宋体" w:hAnsi="宋体" w:eastAsia="宋体" w:cs="Times New Roman"/>
                <w:strike/>
                <w:color w:val="auto"/>
                <w:spacing w:val="-2"/>
                <w:highlight w:val="none"/>
              </w:rPr>
              <w:t>”</w:t>
            </w:r>
            <w:r>
              <w:rPr>
                <w:rFonts w:ascii="宋体" w:hAnsi="宋体" w:eastAsia="宋体" w:cs="宋体"/>
                <w:strike/>
                <w:color w:val="auto"/>
                <w:spacing w:val="-2"/>
                <w:highlight w:val="none"/>
              </w:rPr>
              <w:t xml:space="preserve">第 </w:t>
            </w:r>
            <w:r>
              <w:rPr>
                <w:rFonts w:ascii="宋体" w:hAnsi="宋体" w:eastAsia="宋体" w:cs="Times New Roman"/>
                <w:strike/>
                <w:color w:val="auto"/>
                <w:spacing w:val="-2"/>
                <w:highlight w:val="none"/>
              </w:rPr>
              <w:t xml:space="preserve">1.4.1 </w:t>
            </w:r>
            <w:r>
              <w:rPr>
                <w:rFonts w:ascii="宋体" w:hAnsi="宋体" w:eastAsia="宋体" w:cs="宋体"/>
                <w:strike/>
                <w:color w:val="auto"/>
                <w:spacing w:val="-2"/>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pPr>
              <w:wordWrap w:val="0"/>
              <w:spacing w:line="276" w:lineRule="auto"/>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pacing w:val="-2"/>
                <w:highlight w:val="none"/>
              </w:rPr>
              <w:t>投标人</w:t>
            </w:r>
            <w:r>
              <w:rPr>
                <w:rFonts w:hint="eastAsia" w:ascii="宋体" w:hAnsi="宋体" w:eastAsia="宋体" w:cs="宋体"/>
                <w:color w:val="auto"/>
                <w:spacing w:val="-2"/>
                <w:highlight w:val="none"/>
                <w:u w:val="single"/>
              </w:rPr>
              <w:t>（若联合体投标，指联合体各方）</w:t>
            </w:r>
            <w:r>
              <w:rPr>
                <w:rFonts w:hint="eastAsia" w:ascii="宋体" w:hAnsi="宋体" w:eastAsia="宋体" w:cs="宋体"/>
                <w:color w:val="auto"/>
                <w:spacing w:val="-2"/>
                <w:highlight w:val="none"/>
              </w:rPr>
              <w:t>未被列入“在一定期限内依法取消参加依法必须进行招标的项目的投标资格”。</w:t>
            </w:r>
          </w:p>
        </w:tc>
        <w:tc>
          <w:tcPr>
            <w:tcW w:w="5976" w:type="dxa"/>
            <w:vAlign w:val="center"/>
          </w:tcPr>
          <w:p>
            <w:pPr>
              <w:wordWrap w:val="0"/>
              <w:spacing w:line="276" w:lineRule="auto"/>
              <w:rPr>
                <w:rFonts w:hint="eastAsia" w:ascii="宋体" w:hAnsi="宋体" w:eastAsia="宋体" w:cs="宋体"/>
                <w:b/>
                <w:bCs/>
                <w:color w:val="auto"/>
                <w:szCs w:val="21"/>
                <w:highlight w:val="none"/>
              </w:rPr>
            </w:pPr>
            <w:bookmarkStart w:id="188" w:name="_Hlk194404757"/>
            <w:r>
              <w:rPr>
                <w:rFonts w:hint="eastAsia" w:ascii="宋体" w:hAnsi="宋体" w:eastAsia="宋体" w:cs="宋体"/>
                <w:color w:val="auto"/>
                <w:spacing w:val="-4"/>
                <w:highlight w:val="none"/>
              </w:rPr>
              <w:t>具体名单以递交投标文件截止时间“信用广州”网站公布的“黑名单”为准。</w:t>
            </w:r>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投标人</w:t>
            </w:r>
            <w:r>
              <w:rPr>
                <w:rFonts w:hint="eastAsia" w:ascii="宋体" w:hAnsi="宋体" w:eastAsia="宋体" w:cs="宋体"/>
                <w:color w:val="auto"/>
                <w:spacing w:val="-2"/>
                <w:highlight w:val="none"/>
                <w:u w:val="single"/>
              </w:rPr>
              <w:t>（若联合体投标，指联合体各方）</w:t>
            </w:r>
            <w:r>
              <w:rPr>
                <w:rFonts w:hint="eastAsia" w:ascii="宋体" w:hAnsi="宋体" w:eastAsia="宋体" w:cs="宋体"/>
                <w:color w:val="auto"/>
                <w:spacing w:val="-2"/>
                <w:highlight w:val="none"/>
              </w:rPr>
              <w:t>未在以往工程中因不充分履约行为被本项目招标人书面拒绝投标的。</w:t>
            </w:r>
          </w:p>
        </w:tc>
        <w:tc>
          <w:tcPr>
            <w:tcW w:w="5976" w:type="dxa"/>
            <w:vAlign w:val="center"/>
          </w:tcPr>
          <w:p>
            <w:pPr>
              <w:wordWrap w:val="0"/>
              <w:spacing w:line="276" w:lineRule="auto"/>
              <w:rPr>
                <w:rFonts w:hint="eastAsia" w:ascii="宋体" w:hAnsi="宋体" w:eastAsia="宋体" w:cs="宋体"/>
                <w:color w:val="auto"/>
                <w:spacing w:val="-4"/>
                <w:highlight w:val="none"/>
              </w:rPr>
            </w:pPr>
            <w:r>
              <w:rPr>
                <w:rFonts w:hint="eastAsia" w:ascii="宋体" w:hAnsi="宋体" w:eastAsia="宋体" w:cs="宋体"/>
                <w:color w:val="auto"/>
                <w:spacing w:val="-2"/>
                <w:highlight w:val="none"/>
              </w:rPr>
              <w:t>名单详见本项目招标公告附件一《被招标人拒绝投标的企业名单》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pacing w:val="-1"/>
                <w:kern w:val="0"/>
                <w:szCs w:val="21"/>
                <w:highlight w:val="none"/>
              </w:rPr>
              <w:t>不存在禁止投标的情形</w:t>
            </w:r>
          </w:p>
        </w:tc>
        <w:tc>
          <w:tcPr>
            <w:tcW w:w="5976" w:type="dxa"/>
            <w:vAlign w:val="center"/>
          </w:tcPr>
          <w:p>
            <w:pPr>
              <w:wordWrap w:val="0"/>
              <w:spacing w:line="276" w:lineRule="auto"/>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不存在第二章“投标人须知”第</w:t>
            </w:r>
            <w:r>
              <w:rPr>
                <w:rFonts w:ascii="宋体" w:hAnsi="宋体" w:eastAsia="宋体" w:cs="宋体"/>
                <w:color w:val="auto"/>
                <w:kern w:val="0"/>
                <w:szCs w:val="21"/>
                <w:highlight w:val="none"/>
              </w:rPr>
              <w:t>1.4.3项规定的任何一种情形（按投标人提供的《投标人声明》内容进行评审）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pacing w:val="-1"/>
                <w:kern w:val="0"/>
                <w:szCs w:val="21"/>
                <w:highlight w:val="none"/>
              </w:rPr>
              <w:t>其他要求</w:t>
            </w:r>
          </w:p>
        </w:tc>
        <w:tc>
          <w:tcPr>
            <w:tcW w:w="5976" w:type="dxa"/>
            <w:vAlign w:val="center"/>
          </w:tcPr>
          <w:p>
            <w:pPr>
              <w:wordWrap w:val="0"/>
              <w:spacing w:line="276" w:lineRule="auto"/>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2.1.2</w:t>
            </w:r>
          </w:p>
        </w:tc>
        <w:tc>
          <w:tcPr>
            <w:tcW w:w="850" w:type="dxa"/>
            <w:vMerge w:val="restar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商务文件形式评审标准</w:t>
            </w: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976" w:type="dxa"/>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5976" w:type="dxa"/>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投标人声明、廉洁承诺书、法定代表人身份证明；委托投标的还应提供法人授权委托证明书。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w:t>
            </w:r>
            <w:r>
              <w:rPr>
                <w:rFonts w:ascii="宋体" w:hAnsi="宋体" w:eastAsia="宋体" w:cs="宋体"/>
                <w:color w:val="auto"/>
                <w:szCs w:val="21"/>
                <w:highlight w:val="none"/>
              </w:rPr>
              <w:t>字</w:t>
            </w:r>
            <w:r>
              <w:rPr>
                <w:rFonts w:hint="eastAsia" w:ascii="宋体" w:hAnsi="宋体" w:eastAsia="宋体" w:cs="宋体"/>
                <w:color w:val="auto"/>
                <w:szCs w:val="21"/>
                <w:highlight w:val="none"/>
              </w:rPr>
              <w:t>盖章</w:t>
            </w:r>
          </w:p>
        </w:tc>
        <w:tc>
          <w:tcPr>
            <w:tcW w:w="5976" w:type="dxa"/>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有法定代表人或其委托代理人签字或加盖单位</w:t>
            </w:r>
            <w:r>
              <w:rPr>
                <w:rFonts w:ascii="宋体" w:hAnsi="宋体" w:eastAsia="宋体" w:cs="宋体"/>
                <w:color w:val="auto"/>
                <w:szCs w:val="21"/>
                <w:highlight w:val="none"/>
              </w:rPr>
              <w:t>章。由法定代表人签字的，应附法定代表人身份证明，由代理人签字的，应附授权委托书，身份证明或授权委托书应符合第六章“投标文件格式”</w:t>
            </w:r>
            <w:r>
              <w:rPr>
                <w:rFonts w:hint="eastAsia" w:ascii="宋体" w:hAnsi="宋体" w:eastAsia="宋体" w:cs="宋体"/>
                <w:color w:val="auto"/>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976" w:type="dxa"/>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Times New Roman"/>
                <w:b/>
                <w:color w:val="auto"/>
                <w:szCs w:val="21"/>
                <w:highlight w:val="none"/>
                <w:u w:val="single"/>
              </w:rPr>
              <w:t>①投标函及投标函附录、②投标人声明</w:t>
            </w:r>
            <w:r>
              <w:rPr>
                <w:rFonts w:hint="eastAsia" w:ascii="宋体" w:hAnsi="宋体" w:eastAsia="宋体" w:cs="Times New Roman"/>
                <w:color w:val="auto"/>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pPr>
              <w:wordWrap w:val="0"/>
              <w:autoSpaceDE w:val="0"/>
              <w:autoSpaceDN w:val="0"/>
              <w:spacing w:line="276" w:lineRule="auto"/>
              <w:jc w:val="left"/>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提交符合招标文件要求的联合体协议书，明确各方职责分工、权利义务，并承诺就中标项目向招标人承担连带责任，</w:t>
            </w:r>
            <w:r>
              <w:rPr>
                <w:rFonts w:hint="eastAsia" w:ascii="宋体" w:hAnsi="宋体" w:eastAsia="宋体" w:cs="宋体"/>
                <w:color w:val="auto"/>
                <w:szCs w:val="21"/>
                <w:highlight w:val="none"/>
              </w:rPr>
              <w:t>并明确联合体主办方</w:t>
            </w:r>
            <w:r>
              <w:rPr>
                <w:rFonts w:hint="eastAsia" w:ascii="宋体" w:hAnsi="宋体" w:eastAsia="宋体" w:cs="宋体"/>
                <w:color w:val="auto"/>
                <w:spacing w:val="1"/>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备选投标方案</w:t>
            </w:r>
          </w:p>
        </w:tc>
        <w:tc>
          <w:tcPr>
            <w:tcW w:w="5976" w:type="dxa"/>
            <w:vAlign w:val="center"/>
          </w:tcPr>
          <w:p>
            <w:pPr>
              <w:wordWrap w:val="0"/>
              <w:autoSpaceDE w:val="0"/>
              <w:autoSpaceDN w:val="0"/>
              <w:spacing w:line="276" w:lineRule="auto"/>
              <w:jc w:val="left"/>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olor w:val="auto"/>
                <w:highlight w:val="none"/>
              </w:rPr>
              <w:t>投标人机器码</w:t>
            </w:r>
          </w:p>
        </w:tc>
        <w:tc>
          <w:tcPr>
            <w:tcW w:w="5976" w:type="dxa"/>
            <w:vAlign w:val="center"/>
          </w:tcPr>
          <w:p>
            <w:pPr>
              <w:wordWrap w:val="0"/>
              <w:autoSpaceDE w:val="0"/>
              <w:autoSpaceDN w:val="0"/>
              <w:spacing w:line="276" w:lineRule="auto"/>
              <w:jc w:val="left"/>
              <w:rPr>
                <w:rFonts w:hint="eastAsia" w:ascii="宋体" w:hAnsi="宋体" w:eastAsia="宋体" w:cs="宋体"/>
                <w:color w:val="auto"/>
                <w:spacing w:val="1"/>
                <w:kern w:val="0"/>
                <w:szCs w:val="21"/>
                <w:highlight w:val="none"/>
              </w:rPr>
            </w:pPr>
            <w:r>
              <w:rPr>
                <w:rFonts w:hint="eastAsia" w:ascii="宋体" w:hAnsi="宋体" w:eastAsia="宋体"/>
                <w:color w:val="auto"/>
                <w:highlight w:val="none"/>
              </w:rPr>
              <w:t>投标人与本项目其他投标人加密打包投标文件电脑机器特征码不一致，</w:t>
            </w:r>
            <w:r>
              <w:rPr>
                <w:rFonts w:ascii="宋体" w:hAnsi="宋体" w:eastAsia="宋体"/>
                <w:color w:val="auto"/>
                <w:highlight w:val="none"/>
              </w:rPr>
              <w:t>以广州交易集团有限公司（广州公共资源交易中心）交易平台开标系统的检索信息为准</w:t>
            </w:r>
            <w:r>
              <w:rPr>
                <w:rFonts w:hint="eastAsia" w:ascii="宋体" w:hAnsi="宋体" w:eastAsia="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2.1.3</w:t>
            </w:r>
          </w:p>
        </w:tc>
        <w:tc>
          <w:tcPr>
            <w:tcW w:w="850" w:type="dxa"/>
            <w:vMerge w:val="restar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商务文件响应性评审标准</w:t>
            </w: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976" w:type="dxa"/>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976" w:type="dxa"/>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勘察设计服务期限</w:t>
            </w:r>
          </w:p>
        </w:tc>
        <w:tc>
          <w:tcPr>
            <w:tcW w:w="5976" w:type="dxa"/>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76" w:type="dxa"/>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76" w:type="dxa"/>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投标保证金</w:t>
            </w:r>
          </w:p>
        </w:tc>
        <w:tc>
          <w:tcPr>
            <w:tcW w:w="5976" w:type="dxa"/>
            <w:vAlign w:val="center"/>
          </w:tcPr>
          <w:p>
            <w:pPr>
              <w:wordWrap w:val="0"/>
              <w:spacing w:line="276" w:lineRule="auto"/>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符合第二章“投标人须知”第</w:t>
            </w:r>
            <w:r>
              <w:rPr>
                <w:rFonts w:ascii="宋体" w:hAnsi="宋体" w:eastAsia="宋体" w:cs="宋体"/>
                <w:strike/>
                <w:color w:val="auto"/>
                <w:szCs w:val="21"/>
                <w:highlight w:val="none"/>
              </w:rPr>
              <w:t>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串通投标情形</w:t>
            </w:r>
          </w:p>
        </w:tc>
        <w:tc>
          <w:tcPr>
            <w:tcW w:w="5976" w:type="dxa"/>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不存在串通投标情形（串通投标情形以《广东省实施〈中华人民共和国招标投标法〉办法》第十六条规定的为准）。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7619" w:type="dxa"/>
            <w:gridSpan w:val="2"/>
            <w:vAlign w:val="center"/>
          </w:tcPr>
          <w:p>
            <w:pPr>
              <w:wordWrap w:val="0"/>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商务文件响应性评审标准中“投标内容”、“勘察设计服务期限”、“质量标准”、“投标有效期”，以投标人在投标函附录中的承诺为准。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87" w:type="dxa"/>
            <w:vMerge w:val="restart"/>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2.1.4</w:t>
            </w:r>
          </w:p>
        </w:tc>
        <w:tc>
          <w:tcPr>
            <w:tcW w:w="850" w:type="dxa"/>
            <w:vMerge w:val="restart"/>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勘察设计方案响应性评审标准</w:t>
            </w:r>
          </w:p>
        </w:tc>
        <w:tc>
          <w:tcPr>
            <w:tcW w:w="1643" w:type="dxa"/>
            <w:vAlign w:val="center"/>
          </w:tcPr>
          <w:p>
            <w:pPr>
              <w:spacing w:line="276" w:lineRule="auto"/>
              <w:jc w:val="center"/>
              <w:rPr>
                <w:rFonts w:hint="eastAsia" w:ascii="宋体" w:hAnsi="宋体" w:eastAsia="宋体" w:cs="宋体"/>
                <w:color w:val="auto"/>
                <w:szCs w:val="21"/>
                <w:highlight w:val="none"/>
                <w:u w:val="single"/>
              </w:rPr>
            </w:pPr>
            <w:r>
              <w:rPr>
                <w:rFonts w:hint="eastAsia" w:ascii="宋体" w:hAnsi="宋体" w:eastAsia="宋体" w:cs="Times New Roman"/>
                <w:color w:val="auto"/>
                <w:szCs w:val="20"/>
                <w:highlight w:val="none"/>
              </w:rPr>
              <w:t>编制要求</w:t>
            </w:r>
          </w:p>
        </w:tc>
        <w:tc>
          <w:tcPr>
            <w:tcW w:w="5976" w:type="dxa"/>
            <w:vAlign w:val="center"/>
          </w:tcPr>
          <w:p>
            <w:pPr>
              <w:wordWrap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未发现投标人在勘察设计方案内标注名称、印章、商标、图形等记认符号，使人辨认出投标人或其专业技术人员的身份。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未发现互相雷同和串通投标</w:t>
            </w:r>
          </w:p>
        </w:tc>
        <w:tc>
          <w:tcPr>
            <w:tcW w:w="5976" w:type="dxa"/>
            <w:vAlign w:val="center"/>
          </w:tcPr>
          <w:p>
            <w:pPr>
              <w:wordWrap w:val="0"/>
              <w:spacing w:line="276" w:lineRule="auto"/>
              <w:jc w:val="left"/>
              <w:rPr>
                <w:rFonts w:hint="eastAsia"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未发现明显抄袭行为</w:t>
            </w:r>
          </w:p>
        </w:tc>
        <w:tc>
          <w:tcPr>
            <w:tcW w:w="5976" w:type="dxa"/>
            <w:vAlign w:val="center"/>
          </w:tcPr>
          <w:p>
            <w:pPr>
              <w:wordWrap w:val="0"/>
              <w:spacing w:line="276" w:lineRule="auto"/>
              <w:jc w:val="left"/>
              <w:rPr>
                <w:rFonts w:hint="eastAsia"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87"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hint="eastAsia" w:ascii="宋体" w:hAnsi="宋体" w:eastAsia="宋体" w:cs="宋体"/>
                <w:color w:val="auto"/>
                <w:szCs w:val="21"/>
                <w:highlight w:val="none"/>
              </w:rPr>
            </w:pP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未发现侵犯他人著作权和特许权</w:t>
            </w:r>
          </w:p>
        </w:tc>
        <w:tc>
          <w:tcPr>
            <w:tcW w:w="5976" w:type="dxa"/>
            <w:vAlign w:val="center"/>
          </w:tcPr>
          <w:p>
            <w:pPr>
              <w:wordWrap w:val="0"/>
              <w:spacing w:line="276" w:lineRule="auto"/>
              <w:jc w:val="left"/>
              <w:rPr>
                <w:rFonts w:hint="eastAsia"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pPr>
              <w:wordWrap w:val="0"/>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5976" w:type="dxa"/>
            <w:vAlign w:val="center"/>
          </w:tcPr>
          <w:p>
            <w:pPr>
              <w:wordWrap w:val="0"/>
              <w:spacing w:line="276"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2.2.1</w:t>
            </w: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tc>
        <w:tc>
          <w:tcPr>
            <w:tcW w:w="5976" w:type="dxa"/>
            <w:vAlign w:val="center"/>
          </w:tcPr>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资信业绩部分</w:t>
            </w:r>
            <w:r>
              <w:rPr>
                <w:rFonts w:ascii="宋体" w:hAnsi="宋体" w:eastAsia="宋体" w:cs="宋体"/>
                <w:color w:val="auto"/>
                <w:szCs w:val="21"/>
                <w:highlight w:val="none"/>
              </w:rPr>
              <w:t>A：</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w:t>
            </w:r>
            <w:r>
              <w:rPr>
                <w:rFonts w:ascii="宋体" w:hAnsi="宋体" w:eastAsia="宋体" w:cs="宋体"/>
                <w:b/>
                <w:color w:val="auto"/>
                <w:szCs w:val="21"/>
                <w:highlight w:val="none"/>
                <w:u w:val="single"/>
              </w:rPr>
              <w:t>30%</w:t>
            </w:r>
            <w:r>
              <w:rPr>
                <w:rFonts w:hint="eastAsia" w:ascii="宋体" w:hAnsi="宋体" w:eastAsia="宋体" w:cs="宋体"/>
                <w:color w:val="auto"/>
                <w:szCs w:val="21"/>
                <w:highlight w:val="none"/>
              </w:rPr>
              <w:t>）</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勘察设计方案</w:t>
            </w:r>
            <w:r>
              <w:rPr>
                <w:rFonts w:hint="eastAsia" w:ascii="宋体" w:hAnsi="宋体" w:eastAsia="宋体" w:cs="宋体"/>
                <w:color w:val="auto"/>
                <w:szCs w:val="21"/>
                <w:highlight w:val="none"/>
              </w:rPr>
              <w:t>部分</w:t>
            </w:r>
            <w:r>
              <w:rPr>
                <w:rFonts w:ascii="宋体" w:hAnsi="宋体" w:eastAsia="宋体" w:cs="宋体"/>
                <w:color w:val="auto"/>
                <w:szCs w:val="21"/>
                <w:highlight w:val="none"/>
              </w:rPr>
              <w:t>B：</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w:t>
            </w:r>
            <w:r>
              <w:rPr>
                <w:rFonts w:ascii="宋体" w:hAnsi="宋体" w:eastAsia="宋体" w:cs="宋体"/>
                <w:b/>
                <w:color w:val="auto"/>
                <w:szCs w:val="21"/>
                <w:highlight w:val="none"/>
                <w:u w:val="single"/>
              </w:rPr>
              <w:t>60%</w:t>
            </w:r>
            <w:r>
              <w:rPr>
                <w:rFonts w:hint="eastAsia" w:ascii="宋体" w:hAnsi="宋体" w:eastAsia="宋体" w:cs="宋体"/>
                <w:color w:val="auto"/>
                <w:szCs w:val="21"/>
                <w:highlight w:val="none"/>
              </w:rPr>
              <w:t>）</w:t>
            </w:r>
          </w:p>
          <w:p>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ascii="宋体" w:hAnsi="宋体" w:eastAsia="宋体" w:cs="宋体"/>
                <w:color w:val="auto"/>
                <w:szCs w:val="21"/>
                <w:highlight w:val="none"/>
              </w:rPr>
              <w:t>C：</w:t>
            </w:r>
            <w:r>
              <w:rPr>
                <w:rFonts w:ascii="宋体" w:hAnsi="宋体" w:eastAsia="宋体" w:cs="宋体"/>
                <w:color w:val="auto"/>
                <w:szCs w:val="21"/>
                <w:highlight w:val="none"/>
                <w:u w:val="single"/>
              </w:rPr>
              <w:t>100</w:t>
            </w:r>
            <w:r>
              <w:rPr>
                <w:rFonts w:ascii="宋体" w:hAnsi="宋体" w:eastAsia="宋体" w:cs="宋体"/>
                <w:color w:val="auto"/>
                <w:szCs w:val="21"/>
                <w:highlight w:val="none"/>
              </w:rPr>
              <w:t>分</w:t>
            </w:r>
            <w:r>
              <w:rPr>
                <w:rFonts w:hint="eastAsia" w:ascii="宋体" w:hAnsi="宋体" w:eastAsia="宋体" w:cs="宋体"/>
                <w:color w:val="auto"/>
                <w:szCs w:val="21"/>
                <w:highlight w:val="none"/>
              </w:rPr>
              <w:t>（权重</w:t>
            </w:r>
            <w:r>
              <w:rPr>
                <w:rFonts w:ascii="宋体" w:hAnsi="宋体" w:eastAsia="宋体" w:cs="宋体"/>
                <w:b/>
                <w:color w:val="auto"/>
                <w:szCs w:val="21"/>
                <w:highlight w:val="none"/>
                <w:u w:val="single"/>
              </w:rPr>
              <w:t>10%</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（注：投标人如满足招标文件第二章《投标人须知前附表》</w:t>
            </w:r>
            <w:r>
              <w:rPr>
                <w:rFonts w:ascii="宋体" w:hAnsi="宋体" w:eastAsia="宋体" w:cs="宋体"/>
                <w:b/>
                <w:color w:val="auto"/>
                <w:szCs w:val="21"/>
                <w:highlight w:val="none"/>
                <w:u w:val="single"/>
              </w:rPr>
              <w:t>规定</w:t>
            </w:r>
            <w:r>
              <w:rPr>
                <w:rFonts w:hint="eastAsia" w:ascii="宋体" w:hAnsi="宋体" w:eastAsia="宋体" w:cs="宋体"/>
                <w:b/>
                <w:color w:val="auto"/>
                <w:szCs w:val="21"/>
                <w:highlight w:val="none"/>
                <w:u w:val="single"/>
              </w:rPr>
              <w:t>的</w:t>
            </w:r>
            <w:r>
              <w:rPr>
                <w:rFonts w:ascii="宋体" w:hAnsi="宋体" w:eastAsia="宋体" w:cs="宋体"/>
                <w:b/>
                <w:color w:val="auto"/>
                <w:szCs w:val="21"/>
                <w:highlight w:val="none"/>
                <w:u w:val="single"/>
              </w:rPr>
              <w:t>投标报价得分评审优惠政策的，若原报价己满分，仍可突破满分上限继续享受加分优惠，以实际计算结果作为最终价格分</w:t>
            </w:r>
            <w:r>
              <w:rPr>
                <w:rFonts w:hint="eastAsia" w:ascii="宋体" w:hAnsi="宋体" w:eastAsia="宋体" w:cs="宋体"/>
                <w:b/>
                <w:color w:val="auto"/>
                <w:szCs w:val="21"/>
                <w:highlight w:val="none"/>
                <w:u w:val="single"/>
              </w:rPr>
              <w:t>。</w:t>
            </w:r>
            <w:r>
              <w:rPr>
                <w:rFonts w:ascii="宋体" w:hAnsi="宋体" w:eastAsia="宋体" w:cs="宋体"/>
                <w:b/>
                <w:color w:val="auto"/>
                <w:szCs w:val="21"/>
                <w:highlight w:val="none"/>
                <w:u w:val="single"/>
              </w:rPr>
              <w:t>）</w:t>
            </w:r>
          </w:p>
          <w:p>
            <w:pPr>
              <w:wordWrap w:val="0"/>
              <w:spacing w:line="276" w:lineRule="auto"/>
              <w:rPr>
                <w:rFonts w:hint="eastAsia" w:ascii="宋体" w:hAnsi="宋体" w:eastAsia="宋体" w:cs="Times New Roman"/>
                <w:b/>
                <w:color w:val="auto"/>
                <w:szCs w:val="21"/>
                <w:highlight w:val="none"/>
                <w:u w:val="single"/>
              </w:rPr>
            </w:pPr>
            <w:r>
              <w:rPr>
                <w:rFonts w:hint="eastAsia" w:ascii="宋体" w:hAnsi="宋体" w:eastAsia="宋体" w:cs="Times New Roman"/>
                <w:bCs/>
                <w:color w:val="auto"/>
                <w:szCs w:val="21"/>
                <w:highlight w:val="none"/>
              </w:rPr>
              <w:t>其他评分因素</w:t>
            </w:r>
            <w:r>
              <w:rPr>
                <w:rFonts w:ascii="宋体" w:hAnsi="宋体" w:eastAsia="宋体" w:cs="Times New Roman"/>
                <w:bCs/>
                <w:color w:val="auto"/>
                <w:szCs w:val="21"/>
                <w:highlight w:val="none"/>
              </w:rPr>
              <w:t>D：</w:t>
            </w:r>
            <w:r>
              <w:rPr>
                <w:rFonts w:ascii="宋体" w:hAnsi="宋体" w:eastAsia="宋体" w:cs="Times New Roman"/>
                <w:bCs/>
                <w:color w:val="auto"/>
                <w:szCs w:val="21"/>
                <w:highlight w:val="none"/>
                <w:u w:val="single"/>
              </w:rPr>
              <w:t>/</w:t>
            </w:r>
          </w:p>
          <w:p>
            <w:pPr>
              <w:wordWrap w:val="0"/>
              <w:spacing w:line="276" w:lineRule="auto"/>
              <w:rPr>
                <w:rFonts w:hint="eastAsia"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投标人总得分</w:t>
            </w:r>
            <w:r>
              <w:rPr>
                <w:rFonts w:ascii="宋体" w:hAnsi="宋体" w:eastAsia="宋体" w:cs="Times New Roman"/>
                <w:b/>
                <w:color w:val="auto"/>
                <w:szCs w:val="21"/>
                <w:highlight w:val="none"/>
                <w:u w:val="single"/>
              </w:rPr>
              <w:t>=A×30%+B×60%+C×10%。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2.2.2</w:t>
            </w: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976" w:type="dxa"/>
            <w:vAlign w:val="center"/>
          </w:tcPr>
          <w:p>
            <w:pPr>
              <w:pStyle w:val="43"/>
              <w:spacing w:after="0" w:line="276" w:lineRule="auto"/>
              <w:ind w:firstLine="0" w:firstLineChars="0"/>
              <w:rPr>
                <w:rFonts w:hint="eastAsia" w:ascii="宋体" w:hAnsi="宋体" w:cs="宋体"/>
                <w:strike/>
                <w:color w:val="auto"/>
                <w:sz w:val="21"/>
                <w:szCs w:val="21"/>
                <w:highlight w:val="none"/>
                <w:u w:val="single"/>
              </w:rPr>
            </w:pPr>
            <w:r>
              <w:rPr>
                <w:rFonts w:hint="eastAsia" w:ascii="宋体" w:hAnsi="宋体" w:cs="宋体"/>
                <w:color w:val="auto"/>
                <w:sz w:val="21"/>
                <w:szCs w:val="21"/>
                <w:highlight w:val="none"/>
                <w:u w:val="single"/>
              </w:rPr>
              <w:t>当通过初步评审的有效投标人大于</w:t>
            </w:r>
            <w:r>
              <w:rPr>
                <w:rFonts w:ascii="宋体" w:hAnsi="宋体" w:cs="宋体"/>
                <w:color w:val="auto"/>
                <w:sz w:val="21"/>
                <w:szCs w:val="21"/>
                <w:highlight w:val="none"/>
                <w:u w:val="single"/>
              </w:rPr>
              <w:t>5名时，</w:t>
            </w:r>
            <w:r>
              <w:rPr>
                <w:rFonts w:hint="eastAsia" w:ascii="宋体" w:hAnsi="宋体" w:cs="宋体"/>
                <w:color w:val="auto"/>
                <w:sz w:val="21"/>
                <w:szCs w:val="21"/>
                <w:highlight w:val="none"/>
                <w:u w:val="single"/>
              </w:rPr>
              <w:t>有效投标价去掉一个最高价和一个最低价，取余下有效投标人的投标价的算术平均值作为评标基准价；</w:t>
            </w:r>
          </w:p>
          <w:p>
            <w:pPr>
              <w:spacing w:line="276" w:lineRule="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u w:val="single"/>
              </w:rPr>
              <w:t>当通过初步审查的有效投标人小于或等于</w:t>
            </w:r>
            <w:r>
              <w:rPr>
                <w:rFonts w:ascii="宋体" w:hAnsi="宋体" w:eastAsia="宋体" w:cs="宋体"/>
                <w:color w:val="auto"/>
                <w:szCs w:val="21"/>
                <w:highlight w:val="none"/>
                <w:u w:val="single"/>
              </w:rPr>
              <w:t>5名时，取所有</w:t>
            </w:r>
            <w:r>
              <w:rPr>
                <w:rFonts w:hint="eastAsia" w:ascii="宋体" w:hAnsi="宋体" w:eastAsia="宋体" w:cs="宋体"/>
                <w:color w:val="auto"/>
                <w:szCs w:val="21"/>
                <w:highlight w:val="none"/>
                <w:u w:val="single"/>
              </w:rPr>
              <w:t>的有效投标价的算术平均值作为评标基准价；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2.2.3</w:t>
            </w: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5976" w:type="dxa"/>
            <w:vAlign w:val="center"/>
          </w:tcPr>
          <w:p>
            <w:pPr>
              <w:spacing w:line="276" w:lineRule="auto"/>
              <w:jc w:val="center"/>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u w:val="single"/>
              </w:rPr>
              <w:t>投标报价的偏差率</w:t>
            </w:r>
            <w:r>
              <w:rPr>
                <w:rFonts w:ascii="宋体" w:hAnsi="宋体" w:eastAsia="宋体" w:cs="宋体"/>
                <w:b/>
                <w:color w:val="auto"/>
                <w:szCs w:val="21"/>
                <w:highlight w:val="none"/>
                <w:u w:val="single"/>
              </w:rPr>
              <w:t>=（有效投标报价-评标基准价）/评标基准价×100%（偏差率出现小数点时，保留小数点后2位，第三位小数四舍五入。）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2.2.4（1）</w:t>
            </w: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资信业绩评分标准</w:t>
            </w:r>
          </w:p>
        </w:tc>
        <w:tc>
          <w:tcPr>
            <w:tcW w:w="5976" w:type="dxa"/>
            <w:vAlign w:val="center"/>
          </w:tcPr>
          <w:p>
            <w:pPr>
              <w:wordWrap w:val="0"/>
              <w:spacing w:line="27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2.2.4（2）</w:t>
            </w: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勘察设计方案</w:t>
            </w:r>
            <w:r>
              <w:rPr>
                <w:rFonts w:hint="eastAsia" w:ascii="宋体" w:hAnsi="宋体" w:eastAsia="宋体" w:cs="宋体"/>
                <w:color w:val="auto"/>
                <w:szCs w:val="21"/>
                <w:highlight w:val="none"/>
              </w:rPr>
              <w:t>评分标准</w:t>
            </w:r>
          </w:p>
        </w:tc>
        <w:tc>
          <w:tcPr>
            <w:tcW w:w="5976" w:type="dxa"/>
            <w:vAlign w:val="center"/>
          </w:tcPr>
          <w:p>
            <w:pPr>
              <w:wordWrap w:val="0"/>
              <w:spacing w:line="27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2.2.4（3）</w:t>
            </w:r>
          </w:p>
        </w:tc>
        <w:tc>
          <w:tcPr>
            <w:tcW w:w="1643" w:type="dxa"/>
            <w:vAlign w:val="center"/>
          </w:tcPr>
          <w:p>
            <w:pPr>
              <w:wordWrap w:val="0"/>
              <w:spacing w:line="27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投标报价评分标准</w:t>
            </w:r>
          </w:p>
        </w:tc>
        <w:tc>
          <w:tcPr>
            <w:tcW w:w="5976" w:type="dxa"/>
            <w:vAlign w:val="center"/>
          </w:tcPr>
          <w:p>
            <w:pPr>
              <w:spacing w:line="276"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以评标基准价作为计算各有效投标人报价得分的基础，当投标报价等于评标基准价时得</w:t>
            </w:r>
            <w:r>
              <w:rPr>
                <w:rFonts w:ascii="宋体" w:hAnsi="宋体" w:eastAsia="宋体" w:cs="宋体"/>
                <w:b/>
                <w:color w:val="auto"/>
                <w:szCs w:val="21"/>
                <w:highlight w:val="none"/>
                <w:u w:val="single"/>
              </w:rPr>
              <w:t>100分，投标报价与评标基准价之差，每上偏1%扣1.5</w:t>
            </w:r>
            <w:r>
              <w:rPr>
                <w:rFonts w:hint="eastAsia" w:ascii="宋体" w:hAnsi="宋体" w:eastAsia="宋体" w:cs="宋体"/>
                <w:b/>
                <w:color w:val="auto"/>
                <w:szCs w:val="21"/>
                <w:highlight w:val="none"/>
                <w:u w:val="single"/>
              </w:rPr>
              <w:t>分，下偏</w:t>
            </w:r>
            <w:r>
              <w:rPr>
                <w:rFonts w:ascii="宋体" w:hAnsi="宋体" w:eastAsia="宋体" w:cs="宋体"/>
                <w:b/>
                <w:color w:val="auto"/>
                <w:szCs w:val="21"/>
                <w:highlight w:val="none"/>
                <w:u w:val="single"/>
              </w:rPr>
              <w:t>1%扣1</w:t>
            </w:r>
            <w:r>
              <w:rPr>
                <w:rFonts w:hint="eastAsia" w:ascii="宋体" w:hAnsi="宋体" w:eastAsia="宋体" w:cs="宋体"/>
                <w:b/>
                <w:color w:val="auto"/>
                <w:szCs w:val="21"/>
                <w:highlight w:val="none"/>
                <w:u w:val="single"/>
              </w:rPr>
              <w:t>分，扣至</w:t>
            </w:r>
            <w:r>
              <w:rPr>
                <w:rFonts w:ascii="宋体" w:hAnsi="宋体" w:eastAsia="宋体" w:cs="宋体"/>
                <w:b/>
                <w:color w:val="auto"/>
                <w:szCs w:val="21"/>
                <w:highlight w:val="none"/>
                <w:u w:val="single"/>
              </w:rPr>
              <w:t>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2.2.4（4）</w:t>
            </w:r>
          </w:p>
        </w:tc>
        <w:tc>
          <w:tcPr>
            <w:tcW w:w="1643" w:type="dxa"/>
            <w:vAlign w:val="center"/>
          </w:tcPr>
          <w:p>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其他因素评分标准</w:t>
            </w:r>
          </w:p>
        </w:tc>
        <w:tc>
          <w:tcPr>
            <w:tcW w:w="5976" w:type="dxa"/>
            <w:vAlign w:val="center"/>
          </w:tcPr>
          <w:p>
            <w:pPr>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p>
        </w:tc>
      </w:tr>
    </w:tbl>
    <w:p>
      <w:pPr>
        <w:wordWrap w:val="0"/>
        <w:rPr>
          <w:rFonts w:hint="eastAsia" w:ascii="宋体" w:hAnsi="宋体" w:eastAsia="宋体" w:cs="宋体"/>
          <w:color w:val="auto"/>
          <w:szCs w:val="24"/>
          <w:highlight w:val="none"/>
        </w:rPr>
      </w:pPr>
      <w:r>
        <w:rPr>
          <w:rFonts w:ascii="宋体" w:hAnsi="宋体" w:eastAsia="宋体" w:cs="宋体"/>
          <w:color w:val="auto"/>
          <w:szCs w:val="24"/>
          <w:highlight w:val="none"/>
        </w:rPr>
        <w:t xml:space="preserve"> </w:t>
      </w: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pPr>
        <w:pStyle w:val="3"/>
        <w:rPr>
          <w:rFonts w:hint="eastAsia" w:ascii="宋体" w:hAnsi="宋体"/>
          <w:color w:val="auto"/>
          <w:sz w:val="32"/>
          <w:szCs w:val="24"/>
          <w:highlight w:val="none"/>
        </w:rPr>
      </w:pPr>
      <w:bookmarkStart w:id="189" w:name="_Toc26447"/>
      <w:r>
        <w:rPr>
          <w:rFonts w:hint="eastAsia" w:ascii="宋体" w:hAnsi="宋体"/>
          <w:color w:val="auto"/>
          <w:highlight w:val="none"/>
        </w:rPr>
        <w:t>评标</w:t>
      </w:r>
      <w:r>
        <w:rPr>
          <w:rFonts w:hint="eastAsia" w:ascii="宋体" w:hAnsi="宋体"/>
          <w:color w:val="auto"/>
          <w:highlight w:val="none"/>
          <w:u w:val="single"/>
        </w:rPr>
        <w:t>、定标</w:t>
      </w:r>
      <w:r>
        <w:rPr>
          <w:rFonts w:hint="eastAsia" w:ascii="宋体" w:hAnsi="宋体"/>
          <w:color w:val="auto"/>
          <w:highlight w:val="none"/>
        </w:rPr>
        <w:t>办法修改表</w:t>
      </w:r>
      <w:bookmarkEnd w:id="189"/>
    </w:p>
    <w:p>
      <w:pPr>
        <w:pStyle w:val="43"/>
        <w:pBdr>
          <w:bottom w:val="single" w:color="auto" w:sz="6" w:space="1"/>
        </w:pBdr>
        <w:wordWrap w:val="0"/>
        <w:spacing w:after="0" w:line="360" w:lineRule="auto"/>
        <w:ind w:firstLine="424" w:firstLineChars="201"/>
        <w:rPr>
          <w:rFonts w:hint="eastAsia" w:ascii="宋体" w:hAnsi="宋体"/>
          <w:b/>
          <w:color w:val="auto"/>
          <w:sz w:val="21"/>
          <w:szCs w:val="21"/>
          <w:highlight w:val="none"/>
        </w:rPr>
      </w:pPr>
      <w:r>
        <w:rPr>
          <w:rFonts w:hint="eastAsia" w:ascii="宋体" w:hAnsi="宋体"/>
          <w:b/>
          <w:color w:val="auto"/>
          <w:sz w:val="21"/>
          <w:szCs w:val="21"/>
          <w:highlight w:val="none"/>
        </w:rPr>
        <w:t>声明：本评标办法使用</w:t>
      </w:r>
      <w:r>
        <w:rPr>
          <w:rFonts w:ascii="宋体" w:hAnsi="宋体"/>
          <w:b/>
          <w:color w:val="auto"/>
          <w:sz w:val="21"/>
          <w:szCs w:val="21"/>
          <w:highlight w:val="none"/>
        </w:rPr>
        <w:t>SWZB2024-11招标文件范本的评标办法条款，与该条款不同之处，均在本表中列明，并以现文为准，原文不再有效。</w:t>
      </w:r>
    </w:p>
    <w:p>
      <w:pPr>
        <w:spacing w:line="360" w:lineRule="auto"/>
        <w:ind w:firstLine="422" w:firstLineChars="200"/>
        <w:rPr>
          <w:rFonts w:hint="eastAsia" w:ascii="宋体" w:hAnsi="宋体" w:eastAsia="宋体" w:cs="宋体"/>
          <w:b/>
          <w:color w:val="auto"/>
          <w:szCs w:val="21"/>
          <w:highlight w:val="none"/>
        </w:rPr>
      </w:pPr>
      <w:bookmarkStart w:id="190" w:name="OLE_LINK26"/>
      <w:r>
        <w:rPr>
          <w:rFonts w:hint="eastAsia" w:ascii="宋体" w:hAnsi="宋体" w:eastAsia="宋体" w:cs="宋体"/>
          <w:b/>
          <w:color w:val="auto"/>
          <w:szCs w:val="21"/>
          <w:highlight w:val="none"/>
        </w:rPr>
        <w:t>条款号：</w:t>
      </w:r>
      <w:r>
        <w:rPr>
          <w:rFonts w:ascii="宋体" w:hAnsi="宋体" w:eastAsia="宋体" w:cs="宋体"/>
          <w:b/>
          <w:color w:val="auto"/>
          <w:szCs w:val="21"/>
          <w:highlight w:val="none"/>
        </w:rPr>
        <w:t xml:space="preserve">1.            </w:t>
      </w:r>
      <w:r>
        <w:rPr>
          <w:rFonts w:hint="eastAsia" w:ascii="宋体" w:hAnsi="宋体" w:eastAsia="宋体" w:cs="宋体"/>
          <w:b/>
          <w:color w:val="auto"/>
          <w:szCs w:val="21"/>
          <w:highlight w:val="none"/>
        </w:rPr>
        <w:t>修改类型：修改</w:t>
      </w:r>
    </w:p>
    <w:p>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ascii="宋体" w:hAnsi="宋体" w:eastAsia="宋体" w:cs="宋体"/>
          <w:color w:val="auto"/>
          <w:szCs w:val="21"/>
          <w:highlight w:val="none"/>
        </w:rPr>
        <w:t>1.评标方法</w:t>
      </w:r>
    </w:p>
    <w:p>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本次评标采用综合评估法。评标委员会对满足招标文件实质性要求的投标文件，按照本章第</w:t>
      </w:r>
      <w:r>
        <w:rPr>
          <w:rFonts w:ascii="宋体" w:hAnsi="宋体" w:eastAsia="宋体" w:cs="宋体"/>
          <w:color w:val="auto"/>
          <w:szCs w:val="21"/>
          <w:highlight w:val="none"/>
        </w:rPr>
        <w:t>2.2款规定的评分标准进行打分， 并按得分由高到低顺序推荐中标候选人，或根据招标人授 权直接确定中标人，但投标报价低于其成本的除外。综合评分相等时， 以投标报价低的优先； 投标报价也相等的，以勘察设计方案得分高的优先；如果勘察设计方案得分也相等，按照评标办法前附表的规定确定中标候选人顺序。</w:t>
      </w:r>
    </w:p>
    <w:p>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ascii="宋体" w:hAnsi="宋体" w:eastAsia="宋体" w:cs="宋体"/>
          <w:color w:val="auto"/>
          <w:szCs w:val="21"/>
          <w:highlight w:val="none"/>
        </w:rPr>
        <w:t>1.</w:t>
      </w:r>
      <w:r>
        <w:rPr>
          <w:rFonts w:hint="eastAsia" w:ascii="宋体" w:hAnsi="宋体" w:eastAsia="宋体" w:cs="宋体"/>
          <w:b/>
          <w:bCs/>
          <w:color w:val="auto"/>
          <w:szCs w:val="21"/>
          <w:highlight w:val="none"/>
          <w:u w:val="single"/>
        </w:rPr>
        <w:t>评定分离办法</w:t>
      </w:r>
    </w:p>
    <w:p>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本项目采用评定分离办法。其中，评标阶段采用“有限数量制”评标法，评标委员会对投标文件进行资格评审、商务文件形式评审、商务文件响应性评审、勘察设计方案响应性评审，并对通过上述评审的投标单位进行资信业绩部分详细评审、勘察设计方案部分详细评审、投标报价评审。评标委员会计算各有效投标文件的综合得分，并按照综合得分从高到低排列先后次序（注：综合评分相同的，以技术文件得分高的排前；技术文件得分也相同的，以商务文件得分高的排前；如仍存在相同情况，则对具有相同情况的投标人，由评标委员会采用记名投票方式，确定投标人最终名次的排序），向招标人推荐前</w:t>
      </w:r>
      <w:r>
        <w:rPr>
          <w:rFonts w:ascii="宋体" w:hAnsi="宋体" w:eastAsia="宋体" w:cs="宋体"/>
          <w:b/>
          <w:bCs/>
          <w:color w:val="auto"/>
          <w:szCs w:val="21"/>
          <w:highlight w:val="none"/>
          <w:u w:val="single"/>
        </w:rPr>
        <w:t>3名有效的投标人为合格中标候选人进入定标阶段</w:t>
      </w:r>
      <w:r>
        <w:rPr>
          <w:rFonts w:hint="eastAsia" w:ascii="宋体" w:hAnsi="宋体" w:eastAsia="宋体" w:cs="宋体"/>
          <w:b/>
          <w:bCs/>
          <w:color w:val="auto"/>
          <w:szCs w:val="21"/>
          <w:highlight w:val="none"/>
          <w:u w:val="single"/>
        </w:rPr>
        <w:t>，不足</w:t>
      </w:r>
      <w:r>
        <w:rPr>
          <w:rFonts w:ascii="宋体" w:hAnsi="宋体" w:eastAsia="宋体" w:cs="宋体"/>
          <w:b/>
          <w:bCs/>
          <w:color w:val="auto"/>
          <w:szCs w:val="21"/>
          <w:highlight w:val="none"/>
          <w:u w:val="single"/>
        </w:rPr>
        <w:t>3名的，则本项目招标失败，招标人应依法重新组织招标</w:t>
      </w:r>
      <w:r>
        <w:rPr>
          <w:rFonts w:hint="eastAsia" w:ascii="宋体" w:hAnsi="宋体" w:eastAsia="宋体" w:cs="宋体"/>
          <w:b/>
          <w:bCs/>
          <w:color w:val="auto"/>
          <w:szCs w:val="21"/>
          <w:highlight w:val="none"/>
          <w:u w:val="single"/>
        </w:rPr>
        <w:t>。【进入定标阶段不排序，按统一社会信用代码后</w:t>
      </w:r>
      <w:r>
        <w:rPr>
          <w:rFonts w:ascii="宋体" w:hAnsi="宋体" w:eastAsia="宋体" w:cs="宋体"/>
          <w:b/>
          <w:bCs/>
          <w:color w:val="auto"/>
          <w:szCs w:val="21"/>
          <w:highlight w:val="none"/>
          <w:u w:val="single"/>
        </w:rPr>
        <w:t>4位（除校验码外）大小排位（如联合体投标，以主办方为准），如统一社会信用代码后4位出现字母情况的，字母以“0”进行代替大小排位；如出现后4位（除校验码外）大小一致的，则随机排位】</w:t>
      </w:r>
    </w:p>
    <w:bookmarkEnd w:id="190"/>
    <w:p>
      <w:pPr>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r>
        <w:rPr>
          <w:rFonts w:ascii="宋体" w:hAnsi="宋体" w:eastAsia="宋体" w:cs="宋体"/>
          <w:color w:val="auto"/>
          <w:szCs w:val="21"/>
          <w:highlight w:val="none"/>
        </w:rPr>
        <w:t xml:space="preserve">3.              </w:t>
      </w:r>
      <w:r>
        <w:rPr>
          <w:rFonts w:hint="eastAsia" w:ascii="宋体" w:hAnsi="宋体" w:eastAsia="宋体" w:cs="宋体"/>
          <w:color w:val="auto"/>
          <w:szCs w:val="21"/>
          <w:highlight w:val="none"/>
        </w:rPr>
        <w:t>修改类型：修改</w:t>
      </w:r>
    </w:p>
    <w:p>
      <w:pPr>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原文：</w:t>
      </w:r>
      <w:r>
        <w:rPr>
          <w:rFonts w:ascii="宋体" w:hAnsi="宋体" w:eastAsia="宋体" w:cs="宋体"/>
          <w:color w:val="auto"/>
          <w:szCs w:val="21"/>
          <w:highlight w:val="none"/>
        </w:rPr>
        <w:t>3.评标程序</w:t>
      </w:r>
    </w:p>
    <w:p>
      <w:pPr>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现文：</w:t>
      </w:r>
      <w:r>
        <w:rPr>
          <w:rFonts w:ascii="宋体" w:hAnsi="宋体" w:eastAsia="宋体" w:cs="宋体"/>
          <w:color w:val="auto"/>
          <w:szCs w:val="21"/>
          <w:highlight w:val="none"/>
        </w:rPr>
        <w:t>3.评标程序</w:t>
      </w:r>
    </w:p>
    <w:p>
      <w:pP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u w:val="single"/>
        </w:rPr>
        <w:t>评标委员会在开始评标前，应了解评标专家的职责及守则，认真阅读《评标委员会成员声明》的内容并签名，签字后方可进行评标。</w:t>
      </w:r>
      <w:r>
        <w:rPr>
          <w:rFonts w:hint="eastAsia" w:ascii="宋体" w:hAnsi="宋体" w:eastAsia="宋体" w:cs="宋体"/>
          <w:color w:val="auto"/>
          <w:szCs w:val="21"/>
          <w:highlight w:val="none"/>
          <w:u w:val="single"/>
        </w:rPr>
        <w:t>评标活动按</w:t>
      </w:r>
      <w:r>
        <w:rPr>
          <w:rFonts w:hint="eastAsia" w:ascii="宋体" w:hAnsi="宋体" w:eastAsia="宋体" w:cs="宋体"/>
          <w:bCs/>
          <w:color w:val="auto"/>
          <w:szCs w:val="21"/>
          <w:highlight w:val="none"/>
          <w:u w:val="single"/>
        </w:rPr>
        <w:t>以下步</w:t>
      </w:r>
      <w:r>
        <w:rPr>
          <w:rFonts w:hint="eastAsia" w:ascii="宋体" w:hAnsi="宋体" w:eastAsia="宋体" w:cs="宋体"/>
          <w:color w:val="auto"/>
          <w:szCs w:val="21"/>
          <w:highlight w:val="none"/>
          <w:u w:val="single"/>
        </w:rPr>
        <w:t>骤进行：</w:t>
      </w:r>
    </w:p>
    <w:p>
      <w:pP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1）商务文件初步评审（含商务文件形式评审、商务文件响应性评审）及资格评审；</w:t>
      </w:r>
    </w:p>
    <w:p>
      <w:pP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2）资信业绩部分详细评审；</w:t>
      </w:r>
    </w:p>
    <w:p>
      <w:pP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3）勘察设计方案响应性评审；</w:t>
      </w:r>
    </w:p>
    <w:p>
      <w:pP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4）勘察设计方案部分详细评审；</w:t>
      </w:r>
    </w:p>
    <w:p>
      <w:pP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5）揭晓技术文件评审结果；</w:t>
      </w:r>
    </w:p>
    <w:p>
      <w:pPr>
        <w:spacing w:line="360" w:lineRule="auto"/>
        <w:ind w:firstLine="422" w:firstLineChars="201"/>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w:t>
      </w:r>
      <w:r>
        <w:rPr>
          <w:rFonts w:ascii="宋体" w:hAnsi="宋体" w:eastAsia="宋体" w:cs="宋体"/>
          <w:bCs/>
          <w:color w:val="auto"/>
          <w:szCs w:val="21"/>
          <w:highlight w:val="none"/>
          <w:u w:val="single"/>
        </w:rPr>
        <w:t>6）投标报价详细评审；</w:t>
      </w:r>
    </w:p>
    <w:p>
      <w:pP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u w:val="single"/>
        </w:rPr>
        <w:t>（</w:t>
      </w:r>
      <w:r>
        <w:rPr>
          <w:rFonts w:ascii="宋体" w:hAnsi="宋体" w:eastAsia="宋体" w:cs="宋体"/>
          <w:bCs/>
          <w:color w:val="auto"/>
          <w:szCs w:val="21"/>
          <w:highlight w:val="none"/>
          <w:u w:val="single"/>
        </w:rPr>
        <w:t>7）</w:t>
      </w:r>
      <w:r>
        <w:rPr>
          <w:rFonts w:hint="eastAsia" w:ascii="宋体" w:hAnsi="宋体" w:eastAsia="宋体" w:cs="宋体"/>
          <w:color w:val="auto"/>
          <w:szCs w:val="21"/>
          <w:highlight w:val="none"/>
          <w:u w:val="single"/>
        </w:rPr>
        <w:t>汇总投标人总得分；</w:t>
      </w:r>
    </w:p>
    <w:p>
      <w:pPr>
        <w:pBdr>
          <w:bottom w:val="single" w:color="auto" w:sz="6" w:space="1"/>
        </w:pBd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u w:val="single"/>
        </w:rPr>
        <w:t>（</w:t>
      </w:r>
      <w:r>
        <w:rPr>
          <w:rFonts w:ascii="宋体" w:hAnsi="宋体" w:eastAsia="宋体" w:cs="宋体"/>
          <w:bCs/>
          <w:color w:val="auto"/>
          <w:szCs w:val="21"/>
          <w:highlight w:val="none"/>
          <w:u w:val="single"/>
        </w:rPr>
        <w:t>8）</w:t>
      </w:r>
      <w:r>
        <w:rPr>
          <w:rFonts w:hint="eastAsia" w:ascii="宋体" w:hAnsi="宋体" w:eastAsia="宋体" w:cs="宋体"/>
          <w:color w:val="auto"/>
          <w:szCs w:val="21"/>
          <w:highlight w:val="none"/>
          <w:u w:val="single"/>
        </w:rPr>
        <w:t>推荐</w:t>
      </w:r>
      <w:r>
        <w:rPr>
          <w:rFonts w:hint="eastAsia" w:ascii="宋体" w:hAnsi="宋体" w:eastAsia="宋体" w:cs="宋体"/>
          <w:bCs/>
          <w:color w:val="auto"/>
          <w:szCs w:val="21"/>
          <w:highlight w:val="none"/>
          <w:u w:val="single"/>
        </w:rPr>
        <w:t>合格中标候选人</w:t>
      </w:r>
      <w:r>
        <w:rPr>
          <w:rFonts w:hint="eastAsia" w:ascii="宋体" w:hAnsi="宋体" w:eastAsia="宋体" w:cs="宋体"/>
          <w:color w:val="auto"/>
          <w:szCs w:val="21"/>
          <w:highlight w:val="none"/>
          <w:u w:val="single"/>
        </w:rPr>
        <w:t>，提交评标报告。</w:t>
      </w:r>
    </w:p>
    <w:p>
      <w:pPr>
        <w:wordWrap w:val="0"/>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条款号：3.1.1        修改类型：修改</w:t>
      </w:r>
    </w:p>
    <w:p>
      <w:pPr>
        <w:wordWrap w:val="0"/>
        <w:spacing w:line="360" w:lineRule="auto"/>
        <w:ind w:firstLine="422" w:firstLineChars="200"/>
        <w:rPr>
          <w:rFonts w:hint="eastAsia" w:ascii="宋体" w:hAnsi="宋体" w:eastAsia="宋体"/>
          <w:color w:val="auto"/>
          <w:szCs w:val="21"/>
          <w:highlight w:val="none"/>
        </w:rPr>
      </w:pPr>
      <w:r>
        <w:rPr>
          <w:rFonts w:ascii="宋体" w:hAnsi="宋体" w:eastAsia="宋体"/>
          <w:b/>
          <w:bCs/>
          <w:color w:val="auto"/>
          <w:szCs w:val="21"/>
          <w:highlight w:val="none"/>
        </w:rPr>
        <w:t>原文：</w:t>
      </w:r>
      <w:r>
        <w:rPr>
          <w:rFonts w:ascii="宋体" w:hAnsi="宋体" w:eastAsia="宋体" w:cs="宋体"/>
          <w:color w:val="auto"/>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pBdr>
          <w:bottom w:val="single" w:color="auto" w:sz="6" w:space="1"/>
        </w:pBdr>
        <w:wordWrap w:val="0"/>
        <w:spacing w:line="360" w:lineRule="auto"/>
        <w:ind w:firstLine="422" w:firstLineChars="200"/>
        <w:rPr>
          <w:rFonts w:hint="eastAsia" w:ascii="宋体" w:hAnsi="宋体" w:eastAsia="宋体" w:cs="宋体"/>
          <w:color w:val="auto"/>
          <w:szCs w:val="21"/>
          <w:highlight w:val="none"/>
        </w:rPr>
      </w:pPr>
      <w:r>
        <w:rPr>
          <w:rFonts w:ascii="宋体" w:hAnsi="宋体" w:eastAsia="宋体"/>
          <w:b/>
          <w:bCs/>
          <w:color w:val="auto"/>
          <w:szCs w:val="21"/>
          <w:highlight w:val="none"/>
        </w:rPr>
        <w:t>现文：</w:t>
      </w:r>
      <w:r>
        <w:rPr>
          <w:rFonts w:ascii="宋体" w:hAnsi="宋体" w:eastAsia="宋体" w:cs="宋体"/>
          <w:color w:val="auto"/>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eastAsia="宋体" w:cs="宋体"/>
          <w:color w:val="auto"/>
          <w:szCs w:val="21"/>
          <w:highlight w:val="none"/>
          <w:u w:val="single"/>
        </w:rPr>
        <w:t>如果有否决投标提议，则评标委员会成员共同表决，按照少数服从多数的原则决定是否否决其投标。</w:t>
      </w:r>
    </w:p>
    <w:p>
      <w:pPr>
        <w:wordWrap w:val="0"/>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条款号：3.2.1(1)      修改类型：修改</w:t>
      </w:r>
    </w:p>
    <w:p>
      <w:pPr>
        <w:wordWrap w:val="0"/>
        <w:spacing w:line="360" w:lineRule="auto"/>
        <w:ind w:firstLine="422" w:firstLineChars="200"/>
        <w:rPr>
          <w:rFonts w:hint="eastAsia" w:ascii="宋体" w:hAnsi="宋体" w:eastAsia="宋体"/>
          <w:color w:val="auto"/>
          <w:szCs w:val="21"/>
          <w:highlight w:val="none"/>
        </w:rPr>
      </w:pPr>
      <w:r>
        <w:rPr>
          <w:rFonts w:ascii="宋体" w:hAnsi="宋体" w:eastAsia="宋体"/>
          <w:b/>
          <w:bCs/>
          <w:color w:val="auto"/>
          <w:szCs w:val="21"/>
          <w:highlight w:val="none"/>
        </w:rPr>
        <w:t>原文：</w:t>
      </w:r>
      <w:r>
        <w:rPr>
          <w:rFonts w:hint="eastAsia" w:ascii="宋体" w:hAnsi="宋体" w:eastAsia="宋体"/>
          <w:color w:val="auto"/>
          <w:szCs w:val="21"/>
          <w:highlight w:val="none"/>
        </w:rPr>
        <w:t>（</w:t>
      </w:r>
      <w:r>
        <w:rPr>
          <w:rFonts w:ascii="宋体" w:hAnsi="宋体" w:eastAsia="宋体"/>
          <w:color w:val="auto"/>
          <w:szCs w:val="21"/>
          <w:highlight w:val="none"/>
        </w:rPr>
        <w:t>1）按本章第2.2.4（1）目规定的评审因素和分值对资信业绩部分计算出得分A，资信业绩部分评审得分A为各评标专家打分的算术平均值；</w:t>
      </w:r>
    </w:p>
    <w:p>
      <w:pPr>
        <w:pBdr>
          <w:bottom w:val="single" w:color="auto" w:sz="6" w:space="1"/>
        </w:pBdr>
        <w:wordWrap w:val="0"/>
        <w:spacing w:line="360" w:lineRule="auto"/>
        <w:ind w:firstLine="424" w:firstLineChars="201"/>
        <w:rPr>
          <w:rFonts w:hint="eastAsia" w:ascii="宋体" w:hAnsi="宋体" w:eastAsia="宋体"/>
          <w:color w:val="auto"/>
          <w:szCs w:val="21"/>
          <w:highlight w:val="none"/>
        </w:rPr>
      </w:pPr>
      <w:r>
        <w:rPr>
          <w:rFonts w:ascii="宋体" w:hAnsi="宋体" w:eastAsia="宋体"/>
          <w:b/>
          <w:bCs/>
          <w:color w:val="auto"/>
          <w:szCs w:val="21"/>
          <w:highlight w:val="none"/>
        </w:rPr>
        <w:t>现文：</w:t>
      </w:r>
      <w:r>
        <w:rPr>
          <w:rFonts w:hint="eastAsia" w:ascii="宋体" w:hAnsi="宋体" w:eastAsia="宋体"/>
          <w:color w:val="auto"/>
          <w:szCs w:val="21"/>
          <w:highlight w:val="none"/>
        </w:rPr>
        <w:t>（</w:t>
      </w:r>
      <w:r>
        <w:rPr>
          <w:rFonts w:ascii="宋体" w:hAnsi="宋体" w:eastAsia="宋体"/>
          <w:color w:val="auto"/>
          <w:szCs w:val="21"/>
          <w:highlight w:val="none"/>
        </w:rPr>
        <w:t>1）按本章第2.2.4（1）目规定的评审因素和分值对资信业绩部分计算出得分A，资信业绩部分评审得分A为各评标专家打分</w:t>
      </w:r>
      <w:r>
        <w:rPr>
          <w:rFonts w:ascii="宋体" w:hAnsi="宋体" w:eastAsia="宋体"/>
          <w:color w:val="auto"/>
          <w:szCs w:val="21"/>
          <w:highlight w:val="none"/>
          <w:u w:val="single"/>
        </w:rPr>
        <w:t>中去掉一个最高分和去掉一个最低分后的剩余评标专家打分的算术平均值</w:t>
      </w:r>
      <w:r>
        <w:rPr>
          <w:rFonts w:ascii="宋体" w:hAnsi="宋体" w:eastAsia="宋体"/>
          <w:color w:val="auto"/>
          <w:szCs w:val="21"/>
          <w:highlight w:val="none"/>
        </w:rPr>
        <w:t>；</w:t>
      </w:r>
    </w:p>
    <w:p>
      <w:pPr>
        <w:wordWrap w:val="0"/>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条款号：3.2.1(2)      修改类型：修改</w:t>
      </w:r>
    </w:p>
    <w:p>
      <w:pPr>
        <w:wordWrap w:val="0"/>
        <w:spacing w:line="360" w:lineRule="auto"/>
        <w:ind w:firstLine="422" w:firstLineChars="200"/>
        <w:rPr>
          <w:rFonts w:hint="eastAsia" w:ascii="宋体" w:hAnsi="宋体" w:eastAsia="宋体"/>
          <w:color w:val="auto"/>
          <w:szCs w:val="21"/>
          <w:highlight w:val="none"/>
        </w:rPr>
      </w:pPr>
      <w:r>
        <w:rPr>
          <w:rFonts w:ascii="宋体" w:hAnsi="宋体" w:eastAsia="宋体"/>
          <w:b/>
          <w:bCs/>
          <w:color w:val="auto"/>
          <w:szCs w:val="21"/>
          <w:highlight w:val="none"/>
        </w:rPr>
        <w:t>原文：</w:t>
      </w:r>
      <w:r>
        <w:rPr>
          <w:rFonts w:hint="eastAsia" w:ascii="宋体" w:hAnsi="宋体" w:eastAsia="宋体"/>
          <w:color w:val="auto"/>
          <w:szCs w:val="21"/>
          <w:highlight w:val="none"/>
        </w:rPr>
        <w:t>（</w:t>
      </w:r>
      <w:r>
        <w:rPr>
          <w:rFonts w:ascii="宋体" w:hAnsi="宋体" w:eastAsia="宋体"/>
          <w:color w:val="auto"/>
          <w:szCs w:val="21"/>
          <w:highlight w:val="none"/>
        </w:rPr>
        <w:t>2）按本章第2.2.4（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w:t>
      </w:r>
      <w:r>
        <w:rPr>
          <w:rFonts w:hint="eastAsia" w:ascii="宋体" w:hAnsi="宋体" w:eastAsia="宋体"/>
          <w:color w:val="auto"/>
          <w:szCs w:val="21"/>
          <w:highlight w:val="none"/>
        </w:rPr>
        <w:t>一，招标人自行选择）；</w:t>
      </w:r>
    </w:p>
    <w:p>
      <w:pPr>
        <w:pBdr>
          <w:bottom w:val="single" w:color="auto" w:sz="6" w:space="1"/>
        </w:pBdr>
        <w:wordWrap w:val="0"/>
        <w:spacing w:line="360" w:lineRule="auto"/>
        <w:ind w:firstLine="422" w:firstLineChars="200"/>
        <w:rPr>
          <w:rFonts w:hint="eastAsia" w:ascii="宋体" w:hAnsi="宋体" w:eastAsia="宋体"/>
          <w:color w:val="auto"/>
          <w:szCs w:val="21"/>
          <w:highlight w:val="none"/>
        </w:rPr>
      </w:pPr>
      <w:r>
        <w:rPr>
          <w:rFonts w:ascii="宋体" w:hAnsi="宋体" w:eastAsia="宋体"/>
          <w:b/>
          <w:bCs/>
          <w:color w:val="auto"/>
          <w:szCs w:val="21"/>
          <w:highlight w:val="none"/>
        </w:rPr>
        <w:t>现文：</w:t>
      </w:r>
      <w:r>
        <w:rPr>
          <w:rFonts w:hint="eastAsia" w:ascii="宋体" w:hAnsi="宋体" w:eastAsia="宋体"/>
          <w:color w:val="auto"/>
          <w:szCs w:val="21"/>
          <w:highlight w:val="none"/>
        </w:rPr>
        <w:t>（</w:t>
      </w:r>
      <w:r>
        <w:rPr>
          <w:rFonts w:ascii="宋体" w:hAnsi="宋体" w:eastAsia="宋体"/>
          <w:color w:val="auto"/>
          <w:szCs w:val="21"/>
          <w:highlight w:val="none"/>
        </w:rPr>
        <w:t>2）按本章第2.2.4（2）目规定的评审因素和分值对勘察设计方案部分计算出得分B，</w:t>
      </w:r>
      <w:r>
        <w:rPr>
          <w:rFonts w:hint="eastAsia" w:ascii="宋体" w:hAnsi="宋体" w:eastAsia="宋体"/>
          <w:color w:val="auto"/>
          <w:szCs w:val="21"/>
          <w:highlight w:val="none"/>
        </w:rPr>
        <w:t>①勘察设计方案部分评审得分</w:t>
      </w:r>
      <w:r>
        <w:rPr>
          <w:rFonts w:ascii="宋体" w:hAnsi="宋体" w:eastAsia="宋体"/>
          <w:color w:val="auto"/>
          <w:szCs w:val="21"/>
          <w:highlight w:val="none"/>
        </w:rPr>
        <w:t>B为从各评标专家打分中去掉一个最高分和去掉一个最低分后的剩余评标专家打分的算术平均值</w:t>
      </w:r>
      <w:r>
        <w:rPr>
          <w:rFonts w:ascii="宋体" w:hAnsi="宋体" w:eastAsia="宋体"/>
          <w:strike/>
          <w:color w:val="auto"/>
          <w:szCs w:val="21"/>
          <w:highlight w:val="none"/>
        </w:rPr>
        <w:t>或②</w:t>
      </w:r>
      <w:r>
        <w:rPr>
          <w:rFonts w:hint="eastAsia" w:ascii="宋体" w:hAnsi="宋体" w:eastAsia="宋体"/>
          <w:strike/>
          <w:color w:val="auto"/>
          <w:szCs w:val="21"/>
          <w:highlight w:val="none"/>
        </w:rPr>
        <w:t>勘察设计方案部分评审得分</w:t>
      </w:r>
      <w:r>
        <w:rPr>
          <w:rFonts w:ascii="宋体" w:hAnsi="宋体" w:eastAsia="宋体"/>
          <w:strike/>
          <w:color w:val="auto"/>
          <w:szCs w:val="21"/>
          <w:highlight w:val="none"/>
        </w:rPr>
        <w:t>B为各评标专家打分的算术平均值</w:t>
      </w:r>
      <w:r>
        <w:rPr>
          <w:rFonts w:hint="eastAsia" w:ascii="宋体" w:hAnsi="宋体" w:eastAsia="宋体"/>
          <w:strike/>
          <w:color w:val="auto"/>
          <w:szCs w:val="21"/>
          <w:highlight w:val="none"/>
        </w:rPr>
        <w:t>（二选一，招标人自行选择）</w:t>
      </w:r>
      <w:r>
        <w:rPr>
          <w:rFonts w:hint="eastAsia" w:ascii="宋体" w:hAnsi="宋体" w:eastAsia="宋体"/>
          <w:color w:val="auto"/>
          <w:szCs w:val="21"/>
          <w:highlight w:val="none"/>
        </w:rPr>
        <w:t>；</w:t>
      </w:r>
    </w:p>
    <w:p>
      <w:pPr>
        <w:wordWrap w:val="0"/>
        <w:spacing w:line="360" w:lineRule="auto"/>
        <w:ind w:firstLine="422" w:firstLineChars="200"/>
        <w:rPr>
          <w:rFonts w:hint="eastAsia" w:ascii="宋体" w:hAnsi="宋体" w:eastAsia="宋体"/>
          <w:b/>
          <w:bCs/>
          <w:color w:val="auto"/>
          <w:szCs w:val="21"/>
          <w:highlight w:val="none"/>
        </w:rPr>
      </w:pPr>
      <w:r>
        <w:rPr>
          <w:rFonts w:ascii="宋体" w:hAnsi="宋体" w:eastAsia="宋体"/>
          <w:b/>
          <w:bCs/>
          <w:color w:val="auto"/>
          <w:szCs w:val="21"/>
          <w:highlight w:val="none"/>
        </w:rPr>
        <w:t>条款号：3.2.3        修改类型：修改</w:t>
      </w:r>
    </w:p>
    <w:p>
      <w:pPr>
        <w:wordWrap w:val="0"/>
        <w:spacing w:line="360" w:lineRule="auto"/>
        <w:ind w:firstLine="422" w:firstLineChars="200"/>
        <w:rPr>
          <w:rFonts w:hint="eastAsia" w:ascii="宋体" w:hAnsi="宋体" w:eastAsia="宋体"/>
          <w:color w:val="auto"/>
          <w:szCs w:val="21"/>
          <w:highlight w:val="none"/>
        </w:rPr>
      </w:pPr>
      <w:r>
        <w:rPr>
          <w:rFonts w:ascii="宋体" w:hAnsi="宋体" w:eastAsia="宋体"/>
          <w:b/>
          <w:bCs/>
          <w:color w:val="auto"/>
          <w:szCs w:val="21"/>
          <w:highlight w:val="none"/>
        </w:rPr>
        <w:t>原文：</w:t>
      </w:r>
      <w:r>
        <w:rPr>
          <w:rFonts w:ascii="宋体" w:hAnsi="宋体" w:eastAsia="宋体" w:cs="宋体"/>
          <w:color w:val="auto"/>
          <w:szCs w:val="21"/>
          <w:highlight w:val="none"/>
        </w:rPr>
        <w:t xml:space="preserve">3.2.3 </w:t>
      </w:r>
      <w:r>
        <w:rPr>
          <w:rFonts w:hint="eastAsia" w:ascii="宋体" w:hAnsi="宋体" w:eastAsia="宋体" w:cs="宋体"/>
          <w:color w:val="auto"/>
          <w:szCs w:val="21"/>
          <w:highlight w:val="none"/>
        </w:rPr>
        <w:t>投标人得分</w:t>
      </w:r>
      <w:r>
        <w:rPr>
          <w:rFonts w:ascii="宋体" w:hAnsi="宋体" w:eastAsia="宋体" w:cs="宋体"/>
          <w:color w:val="auto"/>
          <w:szCs w:val="21"/>
          <w:highlight w:val="none"/>
        </w:rPr>
        <w:t>=A+B+C+D。</w:t>
      </w:r>
    </w:p>
    <w:p>
      <w:pPr>
        <w:pBdr>
          <w:bottom w:val="single" w:color="auto" w:sz="6" w:space="1"/>
        </w:pBdr>
        <w:wordWrap w:val="0"/>
        <w:spacing w:line="360" w:lineRule="auto"/>
        <w:ind w:firstLine="422" w:firstLineChars="200"/>
        <w:rPr>
          <w:rFonts w:hint="eastAsia" w:ascii="宋体" w:hAnsi="宋体" w:eastAsia="宋体" w:cs="宋体"/>
          <w:color w:val="auto"/>
          <w:szCs w:val="21"/>
          <w:highlight w:val="none"/>
        </w:rPr>
      </w:pPr>
      <w:r>
        <w:rPr>
          <w:rFonts w:ascii="宋体" w:hAnsi="宋体" w:eastAsia="宋体"/>
          <w:b/>
          <w:bCs/>
          <w:color w:val="auto"/>
          <w:szCs w:val="21"/>
          <w:highlight w:val="none"/>
        </w:rPr>
        <w:t>现文：</w:t>
      </w:r>
      <w:r>
        <w:rPr>
          <w:rFonts w:ascii="宋体" w:hAnsi="宋体" w:eastAsia="宋体" w:cs="宋体"/>
          <w:color w:val="auto"/>
          <w:szCs w:val="21"/>
          <w:highlight w:val="none"/>
        </w:rPr>
        <w:t xml:space="preserve">3.2.3 </w:t>
      </w:r>
      <w:r>
        <w:rPr>
          <w:rFonts w:hint="eastAsia" w:ascii="宋体" w:hAnsi="宋体" w:eastAsia="宋体" w:cs="宋体"/>
          <w:b/>
          <w:bCs/>
          <w:color w:val="auto"/>
          <w:szCs w:val="21"/>
          <w:highlight w:val="none"/>
          <w:u w:val="single"/>
        </w:rPr>
        <w:t>评标委员会按评标办法前附表第</w:t>
      </w:r>
      <w:r>
        <w:rPr>
          <w:rFonts w:ascii="宋体" w:hAnsi="宋体" w:eastAsia="宋体" w:cs="宋体"/>
          <w:b/>
          <w:bCs/>
          <w:color w:val="auto"/>
          <w:szCs w:val="21"/>
          <w:highlight w:val="none"/>
          <w:u w:val="single"/>
        </w:rPr>
        <w:t>2.2.1款的公式计算各投标人的总得分。</w:t>
      </w:r>
    </w:p>
    <w:p>
      <w:pPr>
        <w:wordWrap w:val="0"/>
        <w:spacing w:line="360" w:lineRule="auto"/>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条款号：</w:t>
      </w:r>
      <w:r>
        <w:rPr>
          <w:rFonts w:ascii="宋体" w:hAnsi="宋体" w:eastAsia="宋体"/>
          <w:b/>
          <w:color w:val="auto"/>
          <w:szCs w:val="21"/>
          <w:highlight w:val="none"/>
        </w:rPr>
        <w:t>4.           修改类型：增加</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现文：</w:t>
      </w:r>
      <w:bookmarkStart w:id="191" w:name="OLE_LINK31"/>
      <w:r>
        <w:rPr>
          <w:rFonts w:ascii="宋体" w:hAnsi="宋体" w:eastAsia="宋体" w:cs="宋体"/>
          <w:b/>
          <w:bCs/>
          <w:color w:val="auto"/>
          <w:szCs w:val="21"/>
          <w:highlight w:val="none"/>
          <w:u w:val="single"/>
        </w:rPr>
        <w:t>4.定标</w:t>
      </w:r>
    </w:p>
    <w:p>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在合格中标候选人公示期间或在定标前，如有合格中标候选人放弃中标候选人资格或者被查实存在影响中标候选人资格的违法行为等情形，且合格中标候选人至少有</w:t>
      </w:r>
      <w:r>
        <w:rPr>
          <w:rFonts w:ascii="宋体" w:hAnsi="宋体" w:eastAsia="宋体" w:cs="宋体"/>
          <w:bCs/>
          <w:color w:val="auto"/>
          <w:szCs w:val="21"/>
          <w:highlight w:val="none"/>
          <w:u w:val="single"/>
        </w:rPr>
        <w:t xml:space="preserve"> 1 名的，招标人不再递补其他合格中标候选人，可以继续定标或依法重新招标；如没有合格中标候选人的，则依法重新招标。</w:t>
      </w:r>
    </w:p>
    <w:bookmarkEnd w:id="191"/>
    <w:p>
      <w:pPr>
        <w:wordWrap w:val="0"/>
        <w:spacing w:line="360" w:lineRule="auto"/>
        <w:ind w:firstLine="420" w:firstLineChars="200"/>
        <w:rPr>
          <w:rFonts w:hint="eastAsia" w:ascii="宋体" w:hAnsi="宋体" w:eastAsia="宋体"/>
          <w:bCs/>
          <w:color w:val="auto"/>
          <w:szCs w:val="21"/>
          <w:highlight w:val="none"/>
          <w:u w:val="single"/>
        </w:rPr>
      </w:pPr>
      <w:r>
        <w:rPr>
          <w:rFonts w:ascii="宋体" w:hAnsi="宋体" w:eastAsia="宋体"/>
          <w:bCs/>
          <w:color w:val="auto"/>
          <w:szCs w:val="21"/>
          <w:highlight w:val="none"/>
          <w:u w:val="single"/>
        </w:rPr>
        <w:t xml:space="preserve">4.1 </w:t>
      </w:r>
      <w:r>
        <w:rPr>
          <w:rFonts w:hint="eastAsia" w:ascii="宋体" w:hAnsi="宋体" w:eastAsia="宋体"/>
          <w:bCs/>
          <w:color w:val="auto"/>
          <w:szCs w:val="21"/>
          <w:highlight w:val="none"/>
          <w:u w:val="single"/>
        </w:rPr>
        <w:t>定标时间和地点</w:t>
      </w:r>
    </w:p>
    <w:p>
      <w:pPr>
        <w:wordWrap w:val="0"/>
        <w:spacing w:line="360" w:lineRule="auto"/>
        <w:ind w:firstLine="420" w:firstLineChars="200"/>
        <w:rPr>
          <w:rFonts w:hint="eastAsia" w:ascii="宋体" w:hAnsi="宋体" w:eastAsia="宋体"/>
          <w:bCs/>
          <w:color w:val="auto"/>
          <w:szCs w:val="21"/>
          <w:highlight w:val="none"/>
          <w:u w:val="single"/>
        </w:rPr>
      </w:pPr>
      <w:r>
        <w:rPr>
          <w:rFonts w:hint="eastAsia" w:ascii="宋体" w:hAnsi="宋体" w:eastAsia="宋体"/>
          <w:bCs/>
          <w:color w:val="auto"/>
          <w:szCs w:val="21"/>
          <w:highlight w:val="none"/>
          <w:u w:val="single"/>
        </w:rPr>
        <w:t>招标人在合格中标候选人公示结束后</w:t>
      </w:r>
      <w:r>
        <w:rPr>
          <w:rFonts w:ascii="宋体" w:hAnsi="宋体" w:eastAsia="宋体"/>
          <w:bCs/>
          <w:color w:val="auto"/>
          <w:szCs w:val="21"/>
          <w:highlight w:val="none"/>
          <w:u w:val="single"/>
        </w:rPr>
        <w:t>5个工作日内在广州交易集团有限公司（广州公共资源交易中心）开展定标工作，招标人按规定程序在投标人须知的时间和地点完成定标工作。</w:t>
      </w:r>
    </w:p>
    <w:p>
      <w:pPr>
        <w:wordWrap w:val="0"/>
        <w:spacing w:line="360" w:lineRule="auto"/>
        <w:ind w:firstLine="420" w:firstLineChars="200"/>
        <w:rPr>
          <w:rFonts w:hint="eastAsia" w:ascii="宋体" w:hAnsi="宋体" w:eastAsia="宋体"/>
          <w:bCs/>
          <w:color w:val="auto"/>
          <w:szCs w:val="21"/>
          <w:highlight w:val="none"/>
          <w:u w:val="single"/>
        </w:rPr>
      </w:pPr>
      <w:r>
        <w:rPr>
          <w:rFonts w:ascii="宋体" w:hAnsi="宋体" w:eastAsia="宋体"/>
          <w:bCs/>
          <w:color w:val="auto"/>
          <w:szCs w:val="21"/>
          <w:highlight w:val="none"/>
          <w:u w:val="single"/>
        </w:rPr>
        <w:t xml:space="preserve">4.2 </w:t>
      </w:r>
      <w:r>
        <w:rPr>
          <w:rFonts w:hint="eastAsia" w:ascii="宋体" w:hAnsi="宋体" w:eastAsia="宋体"/>
          <w:bCs/>
          <w:color w:val="auto"/>
          <w:szCs w:val="21"/>
          <w:highlight w:val="none"/>
          <w:u w:val="single"/>
        </w:rPr>
        <w:t>定标委员会</w:t>
      </w:r>
    </w:p>
    <w:p>
      <w:pPr>
        <w:wordWrap w:val="0"/>
        <w:spacing w:line="360" w:lineRule="auto"/>
        <w:ind w:firstLine="420" w:firstLineChars="200"/>
        <w:rPr>
          <w:rFonts w:hint="eastAsia" w:ascii="宋体" w:hAnsi="宋体" w:eastAsia="宋体"/>
          <w:bCs/>
          <w:color w:val="auto"/>
          <w:szCs w:val="21"/>
          <w:highlight w:val="none"/>
          <w:u w:val="single"/>
        </w:rPr>
      </w:pPr>
      <w:r>
        <w:rPr>
          <w:rFonts w:hint="eastAsia" w:ascii="宋体" w:hAnsi="宋体" w:eastAsia="宋体"/>
          <w:bCs/>
          <w:color w:val="auto"/>
          <w:szCs w:val="21"/>
          <w:highlight w:val="none"/>
          <w:u w:val="single"/>
        </w:rPr>
        <w:t>成员数量为</w:t>
      </w:r>
      <w:r>
        <w:rPr>
          <w:rFonts w:ascii="宋体" w:hAnsi="宋体" w:eastAsia="宋体"/>
          <w:bCs/>
          <w:color w:val="auto"/>
          <w:szCs w:val="21"/>
          <w:highlight w:val="none"/>
          <w:u w:val="single"/>
        </w:rPr>
        <w:t>5人，由招标人组建。</w:t>
      </w:r>
    </w:p>
    <w:p>
      <w:pPr>
        <w:wordWrap w:val="0"/>
        <w:spacing w:line="360" w:lineRule="auto"/>
        <w:ind w:firstLine="420" w:firstLineChars="200"/>
        <w:rPr>
          <w:rFonts w:hint="eastAsia" w:ascii="宋体" w:hAnsi="宋体" w:eastAsia="宋体"/>
          <w:bCs/>
          <w:color w:val="auto"/>
          <w:szCs w:val="21"/>
          <w:highlight w:val="none"/>
          <w:u w:val="single"/>
        </w:rPr>
      </w:pPr>
      <w:r>
        <w:rPr>
          <w:rFonts w:ascii="宋体" w:hAnsi="宋体" w:eastAsia="宋体"/>
          <w:bCs/>
          <w:color w:val="auto"/>
          <w:szCs w:val="21"/>
          <w:highlight w:val="none"/>
          <w:u w:val="single"/>
        </w:rPr>
        <w:t xml:space="preserve">4.3 </w:t>
      </w:r>
      <w:r>
        <w:rPr>
          <w:rFonts w:hint="eastAsia" w:ascii="宋体" w:hAnsi="宋体" w:eastAsia="宋体"/>
          <w:bCs/>
          <w:color w:val="auto"/>
          <w:szCs w:val="21"/>
          <w:highlight w:val="none"/>
          <w:u w:val="single"/>
        </w:rPr>
        <w:t>监督小组</w:t>
      </w:r>
    </w:p>
    <w:p>
      <w:pPr>
        <w:wordWrap w:val="0"/>
        <w:spacing w:line="360" w:lineRule="auto"/>
        <w:ind w:firstLine="420" w:firstLineChars="200"/>
        <w:rPr>
          <w:rFonts w:hint="eastAsia" w:ascii="宋体" w:hAnsi="宋体" w:eastAsia="宋体"/>
          <w:bCs/>
          <w:color w:val="auto"/>
          <w:szCs w:val="21"/>
          <w:highlight w:val="none"/>
          <w:u w:val="single"/>
        </w:rPr>
      </w:pPr>
      <w:r>
        <w:rPr>
          <w:rFonts w:hint="eastAsia" w:ascii="宋体" w:hAnsi="宋体" w:eastAsia="宋体"/>
          <w:bCs/>
          <w:color w:val="auto"/>
          <w:szCs w:val="21"/>
          <w:highlight w:val="none"/>
          <w:u w:val="single"/>
        </w:rPr>
        <w:t>成员数量为</w:t>
      </w:r>
      <w:r>
        <w:rPr>
          <w:rFonts w:ascii="宋体" w:hAnsi="宋体" w:eastAsia="宋体"/>
          <w:bCs/>
          <w:color w:val="auto"/>
          <w:szCs w:val="21"/>
          <w:highlight w:val="none"/>
          <w:u w:val="single"/>
        </w:rPr>
        <w:t>2人，由招标人组建。</w:t>
      </w:r>
    </w:p>
    <w:p>
      <w:pPr>
        <w:wordWrap w:val="0"/>
        <w:spacing w:line="360" w:lineRule="auto"/>
        <w:ind w:firstLine="420" w:firstLineChars="200"/>
        <w:rPr>
          <w:rFonts w:hint="eastAsia" w:ascii="宋体" w:hAnsi="宋体" w:eastAsia="宋体"/>
          <w:bCs/>
          <w:color w:val="auto"/>
          <w:szCs w:val="21"/>
          <w:highlight w:val="none"/>
          <w:u w:val="single"/>
        </w:rPr>
      </w:pPr>
      <w:r>
        <w:rPr>
          <w:rFonts w:ascii="宋体" w:hAnsi="宋体" w:eastAsia="宋体"/>
          <w:bCs/>
          <w:color w:val="auto"/>
          <w:szCs w:val="21"/>
          <w:highlight w:val="none"/>
          <w:u w:val="single"/>
        </w:rPr>
        <w:t xml:space="preserve">4.4 </w:t>
      </w:r>
      <w:r>
        <w:rPr>
          <w:rFonts w:hint="eastAsia" w:ascii="宋体" w:hAnsi="宋体" w:eastAsia="宋体"/>
          <w:bCs/>
          <w:color w:val="auto"/>
          <w:szCs w:val="21"/>
          <w:highlight w:val="none"/>
          <w:u w:val="single"/>
        </w:rPr>
        <w:t>定标办法</w:t>
      </w:r>
    </w:p>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color w:val="auto"/>
          <w:szCs w:val="21"/>
          <w:highlight w:val="none"/>
          <w:u w:val="single"/>
        </w:rPr>
        <w:t xml:space="preserve">4.4.1 </w:t>
      </w:r>
      <w:r>
        <w:rPr>
          <w:rFonts w:hint="eastAsia" w:ascii="宋体" w:hAnsi="宋体" w:eastAsia="宋体"/>
          <w:color w:val="auto"/>
          <w:szCs w:val="21"/>
          <w:highlight w:val="none"/>
          <w:u w:val="single"/>
        </w:rPr>
        <w:t>定标办法：采用直接票决定标法（记名投票</w:t>
      </w:r>
      <w:r>
        <w:rPr>
          <w:rFonts w:ascii="宋体" w:hAnsi="宋体" w:eastAsia="宋体"/>
          <w:color w:val="auto"/>
          <w:szCs w:val="21"/>
          <w:highlight w:val="none"/>
          <w:u w:val="single"/>
        </w:rPr>
        <w:t>+撰写评语），定标委员会从</w:t>
      </w:r>
      <w:r>
        <w:rPr>
          <w:rFonts w:hint="eastAsia" w:ascii="宋体" w:hAnsi="宋体" w:eastAsia="宋体"/>
          <w:color w:val="auto"/>
          <w:szCs w:val="21"/>
          <w:highlight w:val="none"/>
          <w:u w:val="single"/>
        </w:rPr>
        <w:t>合格中标候选人当中以“记名投票</w:t>
      </w:r>
      <w:r>
        <w:rPr>
          <w:rFonts w:ascii="宋体" w:hAnsi="宋体" w:eastAsia="宋体"/>
          <w:color w:val="auto"/>
          <w:szCs w:val="21"/>
          <w:highlight w:val="none"/>
          <w:u w:val="single"/>
        </w:rPr>
        <w:t>+撰写评语”方式产生中标人。对进入定标阶段的全部合格中标候选人撰写评语。</w:t>
      </w:r>
    </w:p>
    <w:p>
      <w:pPr>
        <w:spacing w:line="360" w:lineRule="auto"/>
        <w:ind w:firstLine="420" w:firstLineChars="200"/>
        <w:rPr>
          <w:rFonts w:hint="eastAsia" w:ascii="宋体" w:hAnsi="宋体" w:eastAsia="宋体" w:cs="宋体"/>
          <w:color w:val="auto"/>
          <w:szCs w:val="21"/>
          <w:highlight w:val="none"/>
        </w:rPr>
      </w:pPr>
      <w:r>
        <w:rPr>
          <w:rFonts w:ascii="宋体" w:hAnsi="宋体" w:eastAsia="宋体"/>
          <w:color w:val="auto"/>
          <w:szCs w:val="21"/>
          <w:highlight w:val="none"/>
          <w:u w:val="single"/>
        </w:rPr>
        <w:t xml:space="preserve">4.4.2 </w:t>
      </w:r>
      <w:r>
        <w:rPr>
          <w:rFonts w:hint="eastAsia" w:ascii="宋体" w:hAnsi="宋体" w:eastAsia="宋体"/>
          <w:color w:val="auto"/>
          <w:szCs w:val="21"/>
          <w:highlight w:val="none"/>
          <w:u w:val="single"/>
        </w:rPr>
        <w:t>定标因素：答辩因素，</w:t>
      </w:r>
      <w:r>
        <w:rPr>
          <w:rFonts w:hint="eastAsia" w:ascii="宋体" w:hAnsi="宋体" w:eastAsia="宋体" w:cs="宋体"/>
          <w:bCs/>
          <w:color w:val="auto"/>
          <w:szCs w:val="21"/>
          <w:highlight w:val="none"/>
          <w:u w:val="single"/>
        </w:rPr>
        <w:t>具体因素标准详见《定标因素表》。</w:t>
      </w:r>
    </w:p>
    <w:p>
      <w:pPr>
        <w:wordWrap w:val="0"/>
        <w:spacing w:line="360" w:lineRule="auto"/>
        <w:ind w:firstLine="420" w:firstLineChars="200"/>
        <w:rPr>
          <w:rFonts w:hint="eastAsia" w:ascii="宋体" w:hAnsi="宋体" w:eastAsia="宋体"/>
          <w:bCs/>
          <w:color w:val="auto"/>
          <w:szCs w:val="21"/>
          <w:highlight w:val="none"/>
          <w:u w:val="single"/>
        </w:rPr>
      </w:pPr>
      <w:r>
        <w:rPr>
          <w:rFonts w:ascii="宋体" w:hAnsi="宋体" w:eastAsia="宋体"/>
          <w:bCs/>
          <w:color w:val="auto"/>
          <w:szCs w:val="21"/>
          <w:highlight w:val="none"/>
          <w:u w:val="single"/>
        </w:rPr>
        <w:t xml:space="preserve">4.5 </w:t>
      </w:r>
      <w:r>
        <w:rPr>
          <w:rFonts w:hint="eastAsia" w:ascii="宋体" w:hAnsi="宋体" w:eastAsia="宋体"/>
          <w:bCs/>
          <w:color w:val="auto"/>
          <w:szCs w:val="21"/>
          <w:highlight w:val="none"/>
          <w:u w:val="single"/>
        </w:rPr>
        <w:t>定标程序</w:t>
      </w:r>
    </w:p>
    <w:p>
      <w:pPr>
        <w:wordWrap w:val="0"/>
        <w:spacing w:line="360" w:lineRule="auto"/>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招标人或其委托的招标代理机构应安排</w:t>
      </w:r>
      <w:r>
        <w:rPr>
          <w:rFonts w:ascii="宋体" w:hAnsi="宋体" w:eastAsia="宋体"/>
          <w:color w:val="auto"/>
          <w:szCs w:val="21"/>
          <w:highlight w:val="none"/>
          <w:u w:val="single"/>
        </w:rPr>
        <w:t>1名熟悉情况的工作人员在定标会场担任招标项目负责人，按程序组织定标工作：</w:t>
      </w:r>
    </w:p>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bCs/>
          <w:color w:val="auto"/>
          <w:szCs w:val="21"/>
          <w:highlight w:val="none"/>
          <w:u w:val="single"/>
        </w:rPr>
        <w:t xml:space="preserve">4.5.1 </w:t>
      </w:r>
      <w:r>
        <w:rPr>
          <w:rFonts w:hint="eastAsia" w:ascii="宋体" w:hAnsi="宋体" w:eastAsia="宋体"/>
          <w:color w:val="auto"/>
          <w:szCs w:val="21"/>
          <w:highlight w:val="none"/>
          <w:u w:val="single"/>
        </w:rPr>
        <w:t>招标项目负责人宣读定标委员会组建情况及成员名单，宣读定标纪律，签订廉政责任书。</w:t>
      </w:r>
    </w:p>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bCs/>
          <w:color w:val="auto"/>
          <w:szCs w:val="21"/>
          <w:highlight w:val="none"/>
          <w:u w:val="single"/>
        </w:rPr>
        <w:t xml:space="preserve">4.5.2 </w:t>
      </w:r>
      <w:r>
        <w:rPr>
          <w:rFonts w:hint="eastAsia" w:ascii="宋体" w:hAnsi="宋体" w:eastAsia="宋体"/>
          <w:color w:val="auto"/>
          <w:szCs w:val="21"/>
          <w:highlight w:val="none"/>
          <w:u w:val="single"/>
        </w:rPr>
        <w:t>定标工作开始后，定标委员会应推荐一人为定标委员会组长，主持当次定标会议。</w:t>
      </w:r>
    </w:p>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bCs/>
          <w:color w:val="auto"/>
          <w:szCs w:val="21"/>
          <w:highlight w:val="none"/>
          <w:u w:val="single"/>
        </w:rPr>
        <w:t xml:space="preserve">4.5.3 </w:t>
      </w:r>
      <w:r>
        <w:rPr>
          <w:rFonts w:hint="eastAsia" w:ascii="宋体" w:hAnsi="宋体" w:eastAsia="宋体"/>
          <w:color w:val="auto"/>
          <w:szCs w:val="21"/>
          <w:highlight w:val="none"/>
          <w:u w:val="single"/>
        </w:rPr>
        <w:t>发放定标辅助资料：评标阶段的评标报告、合格中标候选人提交的投标文件等，并发放选票。</w:t>
      </w:r>
    </w:p>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color w:val="auto"/>
          <w:szCs w:val="21"/>
          <w:highlight w:val="none"/>
          <w:u w:val="single"/>
        </w:rPr>
        <w:t xml:space="preserve">4.5.4 </w:t>
      </w:r>
      <w:r>
        <w:rPr>
          <w:rFonts w:hint="eastAsia" w:ascii="宋体" w:hAnsi="宋体" w:eastAsia="宋体"/>
          <w:color w:val="auto"/>
          <w:szCs w:val="21"/>
          <w:highlight w:val="none"/>
          <w:u w:val="single"/>
        </w:rPr>
        <w:t>合格中标候选人答辩程序：</w:t>
      </w:r>
    </w:p>
    <w:p>
      <w:pPr>
        <w:pStyle w:val="9"/>
        <w:spacing w:line="360" w:lineRule="auto"/>
        <w:rPr>
          <w:rFonts w:hint="eastAsia" w:ascii="宋体" w:hAnsi="宋体" w:cs="宋体"/>
          <w:bCs/>
          <w:color w:val="auto"/>
          <w:szCs w:val="21"/>
          <w:highlight w:val="none"/>
          <w:u w:val="single"/>
        </w:rPr>
      </w:pPr>
      <w:r>
        <w:rPr>
          <w:rFonts w:ascii="宋体" w:hAnsi="宋体"/>
          <w:color w:val="auto"/>
          <w:szCs w:val="21"/>
          <w:highlight w:val="none"/>
          <w:u w:val="single"/>
        </w:rPr>
        <w:t>1）答辩签到：招标人或招标代理将《定标会议通知》以邮件送达各合格中标候选人，各合格中标候选人收到邮件后需在《定标会议通知》上盖章（联合体投标的，由联合体主办方盖章</w:t>
      </w:r>
      <w:r>
        <w:rPr>
          <w:rFonts w:hint="eastAsia" w:ascii="宋体" w:hAnsi="宋体"/>
          <w:color w:val="auto"/>
          <w:szCs w:val="21"/>
          <w:highlight w:val="none"/>
          <w:u w:val="single"/>
        </w:rPr>
        <w:t>）后回复邮件。</w:t>
      </w:r>
      <w:bookmarkStart w:id="192" w:name="OLE_LINK37"/>
      <w:r>
        <w:rPr>
          <w:rFonts w:hint="eastAsia" w:ascii="宋体" w:hAnsi="宋体" w:cs="宋体"/>
          <w:bCs/>
          <w:color w:val="auto"/>
          <w:szCs w:val="21"/>
          <w:highlight w:val="none"/>
          <w:u w:val="single"/>
        </w:rPr>
        <w:t>各合格中标候选人拟派项目负责人和拟派专业负责人中的</w:t>
      </w:r>
      <w:r>
        <w:rPr>
          <w:rFonts w:ascii="宋体" w:hAnsi="宋体" w:cs="宋体"/>
          <w:bCs/>
          <w:color w:val="auto"/>
          <w:szCs w:val="21"/>
          <w:highlight w:val="none"/>
          <w:u w:val="single"/>
        </w:rPr>
        <w:t>1人组成1-2人的答辩小组</w:t>
      </w:r>
      <w:r>
        <w:rPr>
          <w:rFonts w:hint="eastAsia" w:ascii="宋体" w:hAnsi="宋体" w:cs="宋体"/>
          <w:bCs/>
          <w:color w:val="auto"/>
          <w:szCs w:val="21"/>
          <w:highlight w:val="none"/>
          <w:u w:val="single"/>
        </w:rPr>
        <w:t>；</w:t>
      </w:r>
      <w:r>
        <w:rPr>
          <w:rFonts w:ascii="宋体" w:hAnsi="宋体" w:cs="宋体"/>
          <w:bCs/>
          <w:color w:val="auto"/>
          <w:szCs w:val="21"/>
          <w:highlight w:val="none"/>
          <w:u w:val="single"/>
        </w:rPr>
        <w:t>2人参加的，</w:t>
      </w:r>
      <w:r>
        <w:rPr>
          <w:rFonts w:hint="eastAsia" w:ascii="宋体" w:hAnsi="宋体" w:cs="宋体"/>
          <w:bCs/>
          <w:color w:val="auto"/>
          <w:szCs w:val="21"/>
          <w:highlight w:val="none"/>
          <w:u w:val="single"/>
        </w:rPr>
        <w:t>由拟派项目负责人作为主答辩人，拟派专业负责人中的</w:t>
      </w:r>
      <w:r>
        <w:rPr>
          <w:rFonts w:ascii="宋体" w:hAnsi="宋体" w:cs="宋体"/>
          <w:bCs/>
          <w:color w:val="auto"/>
          <w:szCs w:val="21"/>
          <w:highlight w:val="none"/>
          <w:u w:val="single"/>
        </w:rPr>
        <w:t>1人可作为副答辩人。项目负责人必须出席答辩会，未出席的将被视为放弃答辩资格。</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u w:val="single"/>
        </w:rPr>
        <w:t>答辩小组须按时携带本单位法定代表人证明书原件、法定代表人授权委托证明书原件、本人身份证原件及身份证正反面复印件、答辩人员</w:t>
      </w:r>
      <w:r>
        <w:rPr>
          <w:rFonts w:ascii="宋体" w:hAnsi="宋体" w:eastAsia="宋体" w:cs="宋体"/>
          <w:bCs/>
          <w:color w:val="auto"/>
          <w:szCs w:val="21"/>
          <w:highlight w:val="none"/>
          <w:u w:val="single"/>
        </w:rPr>
        <w:t>2025年0</w:t>
      </w:r>
      <w:r>
        <w:rPr>
          <w:rFonts w:hint="eastAsia" w:ascii="宋体" w:hAnsi="宋体" w:eastAsia="宋体" w:cs="宋体"/>
          <w:bCs/>
          <w:color w:val="auto"/>
          <w:szCs w:val="21"/>
          <w:highlight w:val="none"/>
          <w:u w:val="single"/>
          <w:lang w:val="en-US" w:eastAsia="zh-CN"/>
        </w:rPr>
        <w:t>7</w:t>
      </w:r>
      <w:r>
        <w:rPr>
          <w:rFonts w:ascii="宋体" w:hAnsi="宋体" w:eastAsia="宋体" w:cs="宋体"/>
          <w:bCs/>
          <w:color w:val="auto"/>
          <w:szCs w:val="21"/>
          <w:highlight w:val="none"/>
          <w:u w:val="single"/>
        </w:rPr>
        <w:t>月或0</w:t>
      </w:r>
      <w:r>
        <w:rPr>
          <w:rFonts w:hint="eastAsia" w:ascii="宋体" w:hAnsi="宋体" w:eastAsia="宋体" w:cs="宋体"/>
          <w:bCs/>
          <w:color w:val="auto"/>
          <w:szCs w:val="21"/>
          <w:highlight w:val="none"/>
          <w:u w:val="single"/>
          <w:lang w:val="en-US" w:eastAsia="zh-CN"/>
        </w:rPr>
        <w:t>8</w:t>
      </w:r>
      <w:r>
        <w:rPr>
          <w:rFonts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rPr>
        <w:t>在本单位缴纳的社保证明复印件（加盖单位公章）到达《定标会议通知》通知的开标室进行签到并递交以</w:t>
      </w:r>
      <w:r>
        <w:rPr>
          <w:rFonts w:ascii="宋体" w:hAnsi="宋体" w:eastAsia="宋体" w:cs="宋体"/>
          <w:bCs/>
          <w:color w:val="auto"/>
          <w:szCs w:val="21"/>
          <w:highlight w:val="none"/>
          <w:u w:val="single"/>
        </w:rPr>
        <w:t>U盘为载体的PPT演示文件（如有），签到具体时间以《定标会议通知》为准。签到完成后，拟派答辩小组需签署《答辩纪律》、《答辩人员承诺书》等文件(签署的文件以实际下发的为准)。合格中标候选人拟派答辩小组签到时未能提供上述携带证明资料的,或未能在规定的时候内进行签到的，视为放弃答辩。</w:t>
      </w:r>
      <w:r>
        <w:rPr>
          <w:rFonts w:hint="eastAsia" w:ascii="宋体" w:hAnsi="宋体" w:eastAsia="宋体" w:cs="宋体"/>
          <w:bCs/>
          <w:color w:val="auto"/>
          <w:szCs w:val="21"/>
          <w:highlight w:val="none"/>
          <w:u w:val="single"/>
        </w:rPr>
        <w:t>答辩</w:t>
      </w:r>
      <w:r>
        <w:rPr>
          <w:rFonts w:ascii="宋体" w:hAnsi="宋体" w:eastAsia="宋体" w:cs="宋体"/>
          <w:bCs/>
          <w:color w:val="auto"/>
          <w:szCs w:val="21"/>
          <w:highlight w:val="none"/>
          <w:u w:val="single"/>
        </w:rPr>
        <w:t>时，拟派答辩小组需将其所有通讯设备调成关机或静</w:t>
      </w:r>
      <w:r>
        <w:rPr>
          <w:rFonts w:hint="eastAsia" w:ascii="宋体" w:hAnsi="宋体" w:eastAsia="宋体" w:cs="宋体"/>
          <w:bCs/>
          <w:color w:val="auto"/>
          <w:szCs w:val="21"/>
          <w:highlight w:val="none"/>
          <w:u w:val="single"/>
        </w:rPr>
        <w:t>音状态交招标代理保管，待其答辩完成后退还。</w:t>
      </w:r>
    </w:p>
    <w:bookmarkEnd w:id="192"/>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color w:val="auto"/>
          <w:szCs w:val="21"/>
          <w:highlight w:val="none"/>
          <w:u w:val="single"/>
        </w:rPr>
        <w:t>2）答辩进场顺序：按拟派答辩小组签到顺序各自抽取答辩顺序号，按答辩顺序号从小到大依次进场答辩。在规定的签到时间内，如所有合格中标候选人均完成签到后，招标代理即可组织抽取答辩顺序号；在规定的签到时间内如存在合格中标候选人未完成签到的，视为放弃答辩。在签到时间截止后，招标代理组织已完成签到的合格中标候选人抽取答辩顺序。</w:t>
      </w:r>
    </w:p>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color w:val="auto"/>
          <w:szCs w:val="21"/>
          <w:highlight w:val="none"/>
          <w:u w:val="single"/>
        </w:rPr>
        <w:t>3）答辩人员的要求：答辩的人员在参加答辩时，应向招标人（招标代理）出示身份证原件，招标人（招标代理）核对确认身份无误后再进行答辩。答辩人员未能出示前述证明文件的不予参加答辩环节。</w:t>
      </w:r>
    </w:p>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color w:val="auto"/>
          <w:szCs w:val="21"/>
          <w:highlight w:val="none"/>
          <w:u w:val="single"/>
        </w:rPr>
        <w:t>4）答辩的要点与时限：答辩的要点与时限详见《定标因素表》。</w:t>
      </w:r>
      <w:r>
        <w:rPr>
          <w:rFonts w:hint="eastAsia" w:ascii="宋体" w:hAnsi="宋体" w:eastAsia="宋体"/>
          <w:color w:val="auto"/>
          <w:szCs w:val="21"/>
          <w:highlight w:val="none"/>
          <w:u w:val="single"/>
        </w:rPr>
        <w:t>合格</w:t>
      </w:r>
      <w:r>
        <w:rPr>
          <w:rFonts w:ascii="宋体" w:hAnsi="宋体" w:eastAsia="宋体"/>
          <w:color w:val="auto"/>
          <w:szCs w:val="21"/>
          <w:highlight w:val="none"/>
          <w:u w:val="single"/>
        </w:rPr>
        <w:t>中标候选人拟派项目答辩小组介绍时，可借助广州交易集团有限公司（广州公共资源交易中心）开标</w:t>
      </w:r>
      <w:r>
        <w:rPr>
          <w:rFonts w:hint="eastAsia" w:ascii="宋体" w:hAnsi="宋体" w:eastAsia="宋体"/>
          <w:color w:val="auto"/>
          <w:szCs w:val="21"/>
          <w:highlight w:val="none"/>
          <w:u w:val="single"/>
        </w:rPr>
        <w:t>室电脑播放事先准备的</w:t>
      </w:r>
      <w:r>
        <w:rPr>
          <w:rFonts w:ascii="宋体" w:hAnsi="宋体" w:eastAsia="宋体"/>
          <w:color w:val="auto"/>
          <w:szCs w:val="21"/>
          <w:highlight w:val="none"/>
          <w:u w:val="single"/>
        </w:rPr>
        <w:t>PPT（如有），并同步至定标室进行介绍，并对定标委员会提出的问题进行答辩。</w:t>
      </w:r>
    </w:p>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bCs/>
          <w:color w:val="auto"/>
          <w:szCs w:val="21"/>
          <w:highlight w:val="none"/>
          <w:u w:val="single"/>
        </w:rPr>
        <w:t xml:space="preserve">4.5.4 </w:t>
      </w:r>
      <w:r>
        <w:rPr>
          <w:rFonts w:hint="eastAsia" w:ascii="宋体" w:hAnsi="宋体" w:eastAsia="宋体"/>
          <w:color w:val="auto"/>
          <w:szCs w:val="21"/>
          <w:highlight w:val="none"/>
          <w:u w:val="single"/>
        </w:rPr>
        <w:t>定标委员会按照定标因素对进入定标阶段合格中标候选人进行评审及投票。</w:t>
      </w:r>
    </w:p>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bCs/>
          <w:color w:val="auto"/>
          <w:szCs w:val="21"/>
          <w:highlight w:val="none"/>
          <w:u w:val="single"/>
        </w:rPr>
        <w:t xml:space="preserve">4.5.5 </w:t>
      </w:r>
      <w:r>
        <w:rPr>
          <w:rFonts w:hint="eastAsia" w:ascii="宋体" w:hAnsi="宋体" w:eastAsia="宋体"/>
          <w:bCs/>
          <w:color w:val="auto"/>
          <w:szCs w:val="21"/>
          <w:highlight w:val="none"/>
          <w:u w:val="single"/>
        </w:rPr>
        <w:t>投票规则：</w:t>
      </w:r>
      <w:r>
        <w:rPr>
          <w:rFonts w:hint="eastAsia" w:ascii="宋体" w:hAnsi="宋体" w:eastAsia="宋体"/>
          <w:color w:val="auto"/>
          <w:szCs w:val="21"/>
          <w:highlight w:val="none"/>
          <w:u w:val="single"/>
        </w:rPr>
        <w:t>定标委员会根据定标因素对各合格中标候选人进行综合评审后，进行一轮一次性票决，每位定标委员会成员只有</w:t>
      </w:r>
      <w:r>
        <w:rPr>
          <w:rFonts w:ascii="宋体" w:hAnsi="宋体" w:eastAsia="宋体"/>
          <w:color w:val="auto"/>
          <w:szCs w:val="21"/>
          <w:highlight w:val="none"/>
          <w:u w:val="single"/>
        </w:rPr>
        <w:t>1票表决权（即只能对其中1家</w:t>
      </w:r>
      <w:r>
        <w:rPr>
          <w:rFonts w:hint="eastAsia" w:ascii="宋体" w:hAnsi="宋体" w:eastAsia="宋体"/>
          <w:color w:val="auto"/>
          <w:szCs w:val="21"/>
          <w:highlight w:val="none"/>
          <w:u w:val="single"/>
        </w:rPr>
        <w:t>合格</w:t>
      </w:r>
      <w:r>
        <w:rPr>
          <w:rFonts w:ascii="宋体" w:hAnsi="宋体" w:eastAsia="宋体"/>
          <w:color w:val="auto"/>
          <w:szCs w:val="21"/>
          <w:highlight w:val="none"/>
          <w:u w:val="single"/>
        </w:rPr>
        <w:t>中标候选人投票），得票数最多的合格中标候选人确定为中标人，若出现票数相同且无法决出中标人时，对票数相同的</w:t>
      </w:r>
      <w:r>
        <w:rPr>
          <w:rFonts w:hint="eastAsia" w:ascii="宋体" w:hAnsi="宋体" w:eastAsia="宋体"/>
          <w:color w:val="auto"/>
          <w:szCs w:val="21"/>
          <w:highlight w:val="none"/>
          <w:u w:val="single"/>
        </w:rPr>
        <w:t>合格</w:t>
      </w:r>
      <w:r>
        <w:rPr>
          <w:rFonts w:ascii="宋体" w:hAnsi="宋体" w:eastAsia="宋体"/>
          <w:color w:val="auto"/>
          <w:szCs w:val="21"/>
          <w:highlight w:val="none"/>
          <w:u w:val="single"/>
        </w:rPr>
        <w:t>中标候选人再进行一次性票决，直至决出中标人。定标委员会成员投票时，应按照招标文件规定的投票规则独立行使投票权，不得弃权或产生废票。</w:t>
      </w:r>
    </w:p>
    <w:p>
      <w:pPr>
        <w:wordWrap w:val="0"/>
        <w:spacing w:line="360" w:lineRule="auto"/>
        <w:ind w:firstLine="420" w:firstLineChars="200"/>
        <w:rPr>
          <w:rFonts w:hint="eastAsia" w:ascii="宋体" w:hAnsi="宋体" w:eastAsia="宋体"/>
          <w:bCs/>
          <w:color w:val="auto"/>
          <w:szCs w:val="21"/>
          <w:highlight w:val="none"/>
          <w:u w:val="single"/>
        </w:rPr>
      </w:pPr>
      <w:r>
        <w:rPr>
          <w:rFonts w:ascii="宋体" w:hAnsi="宋体" w:eastAsia="宋体"/>
          <w:bCs/>
          <w:color w:val="auto"/>
          <w:szCs w:val="21"/>
          <w:highlight w:val="none"/>
          <w:u w:val="single"/>
        </w:rPr>
        <w:t xml:space="preserve">4.5.4 </w:t>
      </w:r>
      <w:r>
        <w:rPr>
          <w:rFonts w:hint="eastAsia" w:ascii="宋体" w:hAnsi="宋体" w:eastAsia="宋体"/>
          <w:bCs/>
          <w:color w:val="auto"/>
          <w:szCs w:val="21"/>
          <w:highlight w:val="none"/>
          <w:u w:val="single"/>
        </w:rPr>
        <w:t>定标委员会根据选票情况向招标人推荐中标人。</w:t>
      </w:r>
    </w:p>
    <w:p>
      <w:pPr>
        <w:wordWrap w:val="0"/>
        <w:spacing w:line="360" w:lineRule="auto"/>
        <w:ind w:firstLine="420" w:firstLineChars="200"/>
        <w:rPr>
          <w:rFonts w:hint="eastAsia" w:ascii="宋体" w:hAnsi="宋体" w:eastAsia="宋体"/>
          <w:bCs/>
          <w:color w:val="auto"/>
          <w:szCs w:val="21"/>
          <w:highlight w:val="none"/>
          <w:u w:val="single"/>
        </w:rPr>
      </w:pPr>
      <w:r>
        <w:rPr>
          <w:rFonts w:ascii="宋体" w:hAnsi="宋体" w:eastAsia="宋体"/>
          <w:bCs/>
          <w:color w:val="auto"/>
          <w:szCs w:val="21"/>
          <w:highlight w:val="none"/>
          <w:u w:val="single"/>
        </w:rPr>
        <w:t xml:space="preserve">4.5.5 </w:t>
      </w:r>
      <w:r>
        <w:rPr>
          <w:rFonts w:hint="eastAsia" w:ascii="宋体" w:hAnsi="宋体" w:eastAsia="宋体"/>
          <w:bCs/>
          <w:color w:val="auto"/>
          <w:szCs w:val="21"/>
          <w:highlight w:val="none"/>
          <w:u w:val="single"/>
        </w:rPr>
        <w:t>编写定标报告，定标委员会全体确认后签署定标报告。定标报告由定标委员会全体成员签字。</w:t>
      </w:r>
    </w:p>
    <w:p>
      <w:pPr>
        <w:wordWrap w:val="0"/>
        <w:spacing w:line="360" w:lineRule="auto"/>
        <w:ind w:firstLine="420" w:firstLineChars="200"/>
        <w:rPr>
          <w:rFonts w:hint="eastAsia" w:ascii="宋体" w:hAnsi="宋体" w:eastAsia="宋体"/>
          <w:bCs/>
          <w:color w:val="auto"/>
          <w:szCs w:val="21"/>
          <w:highlight w:val="none"/>
          <w:u w:val="single"/>
        </w:rPr>
      </w:pPr>
      <w:r>
        <w:rPr>
          <w:rFonts w:ascii="宋体" w:hAnsi="宋体" w:eastAsia="宋体"/>
          <w:bCs/>
          <w:color w:val="auto"/>
          <w:szCs w:val="21"/>
          <w:highlight w:val="none"/>
          <w:u w:val="single"/>
        </w:rPr>
        <w:t xml:space="preserve">4.6 </w:t>
      </w:r>
      <w:r>
        <w:rPr>
          <w:rFonts w:hint="eastAsia" w:ascii="宋体" w:hAnsi="宋体" w:eastAsia="宋体"/>
          <w:bCs/>
          <w:color w:val="auto"/>
          <w:szCs w:val="21"/>
          <w:highlight w:val="none"/>
          <w:u w:val="single"/>
        </w:rPr>
        <w:t>招标人应当在定标工作完成后</w:t>
      </w:r>
      <w:r>
        <w:rPr>
          <w:rFonts w:ascii="宋体" w:hAnsi="宋体" w:eastAsia="宋体"/>
          <w:bCs/>
          <w:color w:val="auto"/>
          <w:szCs w:val="21"/>
          <w:highlight w:val="none"/>
          <w:u w:val="single"/>
        </w:rPr>
        <w:t>3日内公示中标结果。</w:t>
      </w:r>
    </w:p>
    <w:p>
      <w:pPr>
        <w:wordWrap w:val="0"/>
        <w:spacing w:line="360" w:lineRule="auto"/>
        <w:ind w:firstLine="420" w:firstLineChars="200"/>
        <w:rPr>
          <w:rFonts w:hint="eastAsia" w:ascii="宋体" w:hAnsi="宋体" w:eastAsia="宋体"/>
          <w:color w:val="auto"/>
          <w:szCs w:val="21"/>
          <w:highlight w:val="none"/>
          <w:u w:val="single"/>
        </w:rPr>
      </w:pPr>
      <w:r>
        <w:rPr>
          <w:rFonts w:ascii="宋体" w:hAnsi="宋体" w:eastAsia="宋体"/>
          <w:color w:val="auto"/>
          <w:szCs w:val="21"/>
          <w:highlight w:val="none"/>
          <w:u w:val="single"/>
        </w:rPr>
        <w:t xml:space="preserve">4.7 </w:t>
      </w:r>
      <w:r>
        <w:rPr>
          <w:rFonts w:hint="eastAsia" w:ascii="宋体" w:hAnsi="宋体" w:eastAsia="宋体"/>
          <w:color w:val="auto"/>
          <w:szCs w:val="21"/>
          <w:highlight w:val="none"/>
          <w:u w:val="single"/>
        </w:rPr>
        <w:t>如出现中标人放弃中标、或者因不可抗力提出不能履行合同、或者不按照招标文件要求提交履约担保的、或者被查实存在影响中标结果的违法行为等情形，招标人有权取消其中标人资格或解除合同，且当合格中标候选人至少有</w:t>
      </w:r>
      <w:r>
        <w:rPr>
          <w:rFonts w:ascii="宋体" w:hAnsi="宋体" w:eastAsia="宋体"/>
          <w:color w:val="auto"/>
          <w:szCs w:val="21"/>
          <w:highlight w:val="none"/>
          <w:u w:val="single"/>
        </w:rPr>
        <w:t>1名时,招标人有权不再递补其他合格中标候选人，可采用上述定标办法在其他合格中标候选人中重新票</w:t>
      </w:r>
      <w:r>
        <w:rPr>
          <w:rFonts w:hint="eastAsia" w:ascii="宋体" w:hAnsi="宋体" w:eastAsia="宋体"/>
          <w:color w:val="auto"/>
          <w:szCs w:val="21"/>
          <w:highlight w:val="none"/>
          <w:u w:val="single"/>
        </w:rPr>
        <w:t>决确定中标人，也可依法重新招标。</w:t>
      </w:r>
    </w:p>
    <w:p>
      <w:pPr>
        <w:pBdr>
          <w:bottom w:val="single" w:color="auto" w:sz="6" w:space="1"/>
        </w:pBdr>
        <w:wordWrap w:val="0"/>
        <w:spacing w:line="360" w:lineRule="auto"/>
        <w:ind w:firstLine="420" w:firstLineChars="200"/>
        <w:rPr>
          <w:rFonts w:hint="eastAsia" w:ascii="宋体" w:hAnsi="宋体" w:eastAsia="宋体"/>
          <w:color w:val="auto"/>
          <w:szCs w:val="21"/>
          <w:highlight w:val="none"/>
        </w:rPr>
      </w:pPr>
      <w:r>
        <w:rPr>
          <w:rFonts w:ascii="宋体" w:hAnsi="宋体" w:eastAsia="宋体"/>
          <w:bCs/>
          <w:color w:val="auto"/>
          <w:szCs w:val="21"/>
          <w:highlight w:val="none"/>
          <w:u w:val="single"/>
        </w:rPr>
        <w:t xml:space="preserve">4.8 </w:t>
      </w:r>
      <w:r>
        <w:rPr>
          <w:rFonts w:hint="eastAsia" w:ascii="宋体" w:hAnsi="宋体" w:eastAsia="宋体"/>
          <w:bCs/>
          <w:color w:val="auto"/>
          <w:szCs w:val="21"/>
          <w:highlight w:val="none"/>
          <w:u w:val="single"/>
        </w:rPr>
        <w:t>定标表格：</w:t>
      </w:r>
      <w:r>
        <w:rPr>
          <w:rFonts w:hint="eastAsia" w:ascii="宋体" w:hAnsi="宋体" w:eastAsia="宋体" w:cs="宋体"/>
          <w:bCs/>
          <w:color w:val="auto"/>
          <w:szCs w:val="21"/>
          <w:highlight w:val="none"/>
          <w:u w:val="single"/>
        </w:rPr>
        <w:t>详见前附表三至八。</w:t>
      </w:r>
    </w:p>
    <w:p>
      <w:pPr>
        <w:wordWrap w:val="0"/>
        <w:spacing w:line="360"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注：以上修改，仅限于本范本中有可供选择条款的情形。</w:t>
      </w:r>
    </w:p>
    <w:p>
      <w:pPr>
        <w:widowControl/>
        <w:wordWrap w:val="0"/>
        <w:spacing w:line="360" w:lineRule="auto"/>
        <w:ind w:firstLine="420" w:firstLineChars="200"/>
        <w:jc w:val="left"/>
        <w:rPr>
          <w:rFonts w:hint="eastAsia" w:ascii="宋体" w:hAnsi="宋体" w:eastAsia="宋体" w:cs="宋体"/>
          <w:color w:val="auto"/>
          <w:szCs w:val="24"/>
          <w:highlight w:val="none"/>
        </w:rPr>
      </w:pPr>
      <w:r>
        <w:rPr>
          <w:rFonts w:ascii="宋体" w:hAnsi="宋体" w:eastAsia="宋体"/>
          <w:color w:val="auto"/>
          <w:szCs w:val="21"/>
          <w:highlight w:val="none"/>
        </w:rPr>
        <w:t>（以下无正文）</w:t>
      </w:r>
      <w:r>
        <w:rPr>
          <w:rFonts w:ascii="宋体" w:hAnsi="宋体" w:eastAsia="宋体" w:cs="宋体"/>
          <w:color w:val="auto"/>
          <w:szCs w:val="24"/>
          <w:highlight w:val="none"/>
        </w:rPr>
        <w:br w:type="page"/>
      </w: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sectPr>
          <w:pgSz w:w="11905" w:h="16838"/>
          <w:pgMar w:top="1474" w:right="1701" w:bottom="1474" w:left="1701" w:header="720" w:footer="720" w:gutter="0"/>
          <w:cols w:space="720" w:num="1"/>
        </w:sectPr>
      </w:pPr>
    </w:p>
    <w:p>
      <w:pPr>
        <w:keepNext/>
        <w:keepLines/>
        <w:wordWrap w:val="0"/>
        <w:spacing w:line="360" w:lineRule="auto"/>
        <w:jc w:val="left"/>
        <w:outlineLvl w:val="1"/>
        <w:rPr>
          <w:rFonts w:hint="eastAsia" w:ascii="宋体" w:hAnsi="宋体" w:eastAsia="宋体" w:cs="宋体"/>
          <w:b/>
          <w:bCs/>
          <w:color w:val="auto"/>
          <w:kern w:val="0"/>
          <w:sz w:val="30"/>
          <w:szCs w:val="30"/>
          <w:highlight w:val="none"/>
          <w:lang w:val="zh-CN"/>
        </w:rPr>
      </w:pPr>
      <w:bookmarkStart w:id="193" w:name="_Toc2009"/>
      <w:bookmarkStart w:id="194" w:name="_Toc193358004"/>
      <w:bookmarkStart w:id="195" w:name="_Toc111186788"/>
      <w:r>
        <w:rPr>
          <w:rFonts w:ascii="宋体" w:hAnsi="宋体" w:eastAsia="宋体" w:cs="宋体"/>
          <w:b/>
          <w:bCs/>
          <w:color w:val="auto"/>
          <w:kern w:val="0"/>
          <w:sz w:val="30"/>
          <w:szCs w:val="30"/>
          <w:highlight w:val="none"/>
          <w:lang w:val="zh-CN"/>
        </w:rPr>
        <w:t xml:space="preserve">1. </w:t>
      </w:r>
      <w:r>
        <w:rPr>
          <w:rFonts w:hint="eastAsia" w:ascii="宋体" w:hAnsi="宋体" w:eastAsia="宋体" w:cs="宋体"/>
          <w:b/>
          <w:bCs/>
          <w:color w:val="auto"/>
          <w:kern w:val="0"/>
          <w:sz w:val="30"/>
          <w:szCs w:val="30"/>
          <w:highlight w:val="none"/>
          <w:lang w:val="zh-CN"/>
        </w:rPr>
        <w:t>评标方法</w:t>
      </w:r>
      <w:bookmarkEnd w:id="193"/>
      <w:bookmarkEnd w:id="194"/>
      <w:bookmarkEnd w:id="195"/>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w:t>
      </w:r>
      <w:r>
        <w:rPr>
          <w:rFonts w:ascii="宋体" w:hAnsi="宋体" w:eastAsia="宋体" w:cs="宋体"/>
          <w:color w:val="auto"/>
          <w:sz w:val="24"/>
          <w:szCs w:val="24"/>
          <w:highlight w:val="none"/>
        </w:rPr>
        <w:t>第2.2款规定的评分标准进行打分， 并按得分由高到低顺序推荐中标候选人，或根据招标人授 权直接确定中标人，但投标报价低于其成本的除外。综合评分相等时， 以投标报价低的优先； 投标报价也相等的，以勘察设计方案得分高的优先；如果勘察设计方案得分也相等，按照评标办法前附表的规定确定中标候选人顺序。</w:t>
      </w:r>
    </w:p>
    <w:p>
      <w:pPr>
        <w:wordWrap w:val="0"/>
        <w:spacing w:line="360" w:lineRule="auto"/>
        <w:ind w:firstLine="480" w:firstLineChars="200"/>
        <w:rPr>
          <w:rFonts w:hint="eastAsia" w:ascii="宋体" w:hAnsi="宋体" w:eastAsia="宋体" w:cs="宋体"/>
          <w:color w:val="auto"/>
          <w:sz w:val="24"/>
          <w:szCs w:val="24"/>
          <w:highlight w:val="none"/>
        </w:rPr>
      </w:pPr>
    </w:p>
    <w:p>
      <w:pPr>
        <w:keepNext/>
        <w:keepLines/>
        <w:wordWrap w:val="0"/>
        <w:spacing w:line="360" w:lineRule="auto"/>
        <w:jc w:val="left"/>
        <w:outlineLvl w:val="1"/>
        <w:rPr>
          <w:rFonts w:hint="eastAsia" w:ascii="宋体" w:hAnsi="宋体" w:eastAsia="宋体" w:cs="宋体"/>
          <w:b/>
          <w:bCs/>
          <w:color w:val="auto"/>
          <w:spacing w:val="1"/>
          <w:kern w:val="0"/>
          <w:sz w:val="30"/>
          <w:szCs w:val="30"/>
          <w:highlight w:val="none"/>
          <w:lang w:val="zh-CN"/>
        </w:rPr>
      </w:pPr>
      <w:bookmarkStart w:id="196" w:name="_Toc193358005"/>
      <w:bookmarkStart w:id="197" w:name="_Toc16715"/>
      <w:bookmarkStart w:id="198" w:name="_Toc111186789"/>
      <w:r>
        <w:rPr>
          <w:rFonts w:ascii="宋体" w:hAnsi="宋体" w:eastAsia="宋体" w:cs="宋体"/>
          <w:b/>
          <w:bCs/>
          <w:color w:val="auto"/>
          <w:spacing w:val="1"/>
          <w:kern w:val="0"/>
          <w:sz w:val="30"/>
          <w:szCs w:val="30"/>
          <w:highlight w:val="none"/>
          <w:lang w:val="zh-CN"/>
        </w:rPr>
        <w:t xml:space="preserve">2. </w:t>
      </w:r>
      <w:r>
        <w:rPr>
          <w:rFonts w:hint="eastAsia" w:ascii="宋体" w:hAnsi="宋体" w:eastAsia="宋体" w:cs="宋体"/>
          <w:b/>
          <w:bCs/>
          <w:color w:val="auto"/>
          <w:spacing w:val="1"/>
          <w:kern w:val="0"/>
          <w:sz w:val="30"/>
          <w:szCs w:val="30"/>
          <w:highlight w:val="none"/>
          <w:lang w:val="zh-CN"/>
        </w:rPr>
        <w:t>评审标准</w:t>
      </w:r>
      <w:bookmarkEnd w:id="196"/>
      <w:bookmarkEnd w:id="197"/>
      <w:bookmarkEnd w:id="198"/>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199" w:name="_Toc193358006"/>
      <w:r>
        <w:rPr>
          <w:rFonts w:ascii="宋体" w:hAnsi="宋体" w:eastAsia="宋体" w:cs="宋体"/>
          <w:b/>
          <w:bCs/>
          <w:color w:val="auto"/>
          <w:spacing w:val="1"/>
          <w:sz w:val="28"/>
          <w:szCs w:val="32"/>
          <w:highlight w:val="none"/>
          <w:lang w:val="zh-CN"/>
        </w:rPr>
        <w:t xml:space="preserve">2.1 </w:t>
      </w:r>
      <w:r>
        <w:rPr>
          <w:rFonts w:hint="eastAsia" w:ascii="宋体" w:hAnsi="宋体" w:eastAsia="宋体" w:cs="宋体"/>
          <w:b/>
          <w:bCs/>
          <w:color w:val="auto"/>
          <w:spacing w:val="1"/>
          <w:sz w:val="28"/>
          <w:szCs w:val="32"/>
          <w:highlight w:val="none"/>
          <w:lang w:val="zh-CN"/>
        </w:rPr>
        <w:t>初步评审标准</w:t>
      </w:r>
      <w:bookmarkEnd w:id="199"/>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2.1.1 资格评审标准：见评标办法前附表。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2.1.2 商务文件形式评审标准：见评标办法前附表。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2.1.3 商务文件响应性评审标准：见评标办法前附表。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2.1.4 勘察设计方案响应性评审标准：见评标办法前附表。</w:t>
      </w:r>
    </w:p>
    <w:p>
      <w:pPr>
        <w:wordWrap w:val="0"/>
        <w:spacing w:line="360" w:lineRule="auto"/>
        <w:ind w:firstLine="480" w:firstLineChars="200"/>
        <w:rPr>
          <w:rFonts w:hint="eastAsia" w:ascii="宋体" w:hAnsi="宋体" w:eastAsia="宋体" w:cs="宋体"/>
          <w:color w:val="auto"/>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200" w:name="_Toc193358007"/>
      <w:r>
        <w:rPr>
          <w:rFonts w:ascii="宋体" w:hAnsi="宋体" w:eastAsia="宋体" w:cs="宋体"/>
          <w:b/>
          <w:bCs/>
          <w:color w:val="auto"/>
          <w:spacing w:val="1"/>
          <w:sz w:val="28"/>
          <w:szCs w:val="32"/>
          <w:highlight w:val="none"/>
          <w:lang w:val="zh-CN"/>
        </w:rPr>
        <w:t xml:space="preserve">2.2 </w:t>
      </w:r>
      <w:r>
        <w:rPr>
          <w:rFonts w:hint="eastAsia" w:ascii="宋体" w:hAnsi="宋体" w:eastAsia="宋体" w:cs="宋体"/>
          <w:b/>
          <w:bCs/>
          <w:color w:val="auto"/>
          <w:spacing w:val="1"/>
          <w:sz w:val="28"/>
          <w:szCs w:val="32"/>
          <w:highlight w:val="none"/>
          <w:lang w:val="zh-CN"/>
        </w:rPr>
        <w:t>分值构成与评分标准</w:t>
      </w:r>
      <w:bookmarkEnd w:id="200"/>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2.2.1  分值构成</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1）资信业绩部分：见评标办法前附表；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2）勘察设计方案部分：见评标办法前附表；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3）投标报价：见评标办法前附表；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4）其他评分因素：见评标办法前附表。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2.2.2  评标基准价计算</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2.2.3  投标报价的偏差率计算</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2.2.4  评分标准</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1）资信业绩评分标准：见评标办法前附表；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2）勘察设计方案评分标准：见评标办法前附表；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3）投标报价评分标准：见评标办法前附表；</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4）其他因素评分标准：见评标办法前附表。</w:t>
      </w: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r>
        <w:rPr>
          <w:rFonts w:ascii="宋体" w:hAnsi="宋体" w:eastAsia="宋体" w:cs="宋体"/>
          <w:b/>
          <w:bCs/>
          <w:color w:val="auto"/>
          <w:spacing w:val="1"/>
          <w:sz w:val="28"/>
          <w:szCs w:val="32"/>
          <w:highlight w:val="none"/>
          <w:lang w:val="zh-CN"/>
        </w:rPr>
        <w:t>2.3 揭晓技术文件评审结果</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2.3.1 由评标委员会在中心系统揭晓，系统自动形成暗标编码表显示各投标单位对应的编码，并由评标委员会确认投标人技术文件的评审得分。</w:t>
      </w:r>
    </w:p>
    <w:p>
      <w:pPr>
        <w:wordWrap w:val="0"/>
        <w:spacing w:line="360" w:lineRule="auto"/>
        <w:ind w:firstLine="480" w:firstLineChars="200"/>
        <w:rPr>
          <w:rFonts w:hint="eastAsia" w:ascii="宋体" w:hAnsi="宋体" w:eastAsia="宋体" w:cs="宋体"/>
          <w:strike/>
          <w:color w:val="auto"/>
          <w:sz w:val="24"/>
          <w:szCs w:val="24"/>
          <w:highlight w:val="none"/>
        </w:rPr>
      </w:pPr>
    </w:p>
    <w:p>
      <w:pPr>
        <w:keepNext/>
        <w:keepLines/>
        <w:wordWrap w:val="0"/>
        <w:spacing w:line="360" w:lineRule="auto"/>
        <w:jc w:val="left"/>
        <w:outlineLvl w:val="1"/>
        <w:rPr>
          <w:rFonts w:hint="eastAsia" w:ascii="宋体" w:hAnsi="宋体" w:eastAsia="宋体" w:cs="宋体"/>
          <w:b/>
          <w:bCs/>
          <w:color w:val="auto"/>
          <w:spacing w:val="1"/>
          <w:kern w:val="0"/>
          <w:sz w:val="30"/>
          <w:szCs w:val="30"/>
          <w:highlight w:val="none"/>
          <w:lang w:val="zh-CN"/>
        </w:rPr>
      </w:pPr>
      <w:bookmarkStart w:id="201" w:name="_Toc111186790"/>
      <w:bookmarkStart w:id="202" w:name="_Toc193358008"/>
      <w:bookmarkStart w:id="203" w:name="_Toc24342"/>
      <w:r>
        <w:rPr>
          <w:rFonts w:ascii="宋体" w:hAnsi="宋体" w:eastAsia="宋体" w:cs="宋体"/>
          <w:b/>
          <w:bCs/>
          <w:color w:val="auto"/>
          <w:spacing w:val="1"/>
          <w:kern w:val="0"/>
          <w:sz w:val="30"/>
          <w:szCs w:val="30"/>
          <w:highlight w:val="none"/>
          <w:lang w:val="zh-CN"/>
        </w:rPr>
        <w:t xml:space="preserve">3. </w:t>
      </w:r>
      <w:r>
        <w:rPr>
          <w:rFonts w:hint="eastAsia" w:ascii="宋体" w:hAnsi="宋体" w:eastAsia="宋体" w:cs="宋体"/>
          <w:b/>
          <w:bCs/>
          <w:color w:val="auto"/>
          <w:spacing w:val="1"/>
          <w:kern w:val="0"/>
          <w:sz w:val="30"/>
          <w:szCs w:val="30"/>
          <w:highlight w:val="none"/>
          <w:lang w:val="zh-CN"/>
        </w:rPr>
        <w:t>评标程序</w:t>
      </w:r>
      <w:bookmarkEnd w:id="201"/>
      <w:bookmarkEnd w:id="202"/>
      <w:bookmarkEnd w:id="203"/>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204" w:name="_Toc193358010"/>
      <w:bookmarkStart w:id="205" w:name="_Toc111186791"/>
      <w:bookmarkStart w:id="206" w:name="_Toc6080"/>
      <w:r>
        <w:rPr>
          <w:rFonts w:ascii="宋体" w:hAnsi="宋体" w:eastAsia="宋体" w:cs="宋体"/>
          <w:b/>
          <w:bCs/>
          <w:color w:val="auto"/>
          <w:spacing w:val="1"/>
          <w:sz w:val="28"/>
          <w:szCs w:val="32"/>
          <w:highlight w:val="none"/>
          <w:lang w:val="zh-CN"/>
        </w:rPr>
        <w:t xml:space="preserve">3.1 </w:t>
      </w:r>
      <w:bookmarkEnd w:id="204"/>
      <w:r>
        <w:rPr>
          <w:rFonts w:hint="eastAsia" w:ascii="宋体" w:hAnsi="宋体" w:eastAsia="宋体" w:cs="宋体"/>
          <w:b/>
          <w:bCs/>
          <w:color w:val="auto"/>
          <w:spacing w:val="1"/>
          <w:sz w:val="28"/>
          <w:szCs w:val="32"/>
          <w:highlight w:val="none"/>
          <w:lang w:val="zh-CN"/>
        </w:rPr>
        <w:t>初步评审</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3.1.2 投标人有以下情形之一的，评标委员会应当否决其投标：</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2）有以他人名义投标、串通投标、弄虚作假、行贿等违法行为。</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3）以向招标人或者评标委员会成员行贿的手段谋取中标。</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1）投标文件中的大写金额与小写金额不一致的，以大写金额为准；</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2）总价金额与单价金额不一致的，以单价金额为准，但单价金额小数点有明显错误的除外。</w:t>
      </w:r>
    </w:p>
    <w:p>
      <w:pPr>
        <w:wordWrap w:val="0"/>
        <w:spacing w:line="360" w:lineRule="auto"/>
        <w:ind w:firstLine="480" w:firstLineChars="200"/>
        <w:rPr>
          <w:rFonts w:hint="eastAsia" w:ascii="宋体" w:hAnsi="宋体" w:eastAsia="宋体" w:cs="宋体"/>
          <w:color w:val="auto"/>
          <w:sz w:val="24"/>
          <w:szCs w:val="24"/>
          <w:highlight w:val="non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207" w:name="_Toc193358011"/>
      <w:r>
        <w:rPr>
          <w:rFonts w:ascii="宋体" w:hAnsi="宋体" w:eastAsia="宋体" w:cs="宋体"/>
          <w:b/>
          <w:bCs/>
          <w:color w:val="auto"/>
          <w:spacing w:val="1"/>
          <w:sz w:val="28"/>
          <w:szCs w:val="32"/>
          <w:highlight w:val="none"/>
          <w:lang w:val="zh-CN"/>
        </w:rPr>
        <w:t xml:space="preserve">3.2 </w:t>
      </w:r>
      <w:bookmarkEnd w:id="207"/>
      <w:r>
        <w:rPr>
          <w:rFonts w:hint="eastAsia" w:ascii="宋体" w:hAnsi="宋体" w:eastAsia="宋体" w:cs="宋体"/>
          <w:b/>
          <w:bCs/>
          <w:color w:val="auto"/>
          <w:spacing w:val="1"/>
          <w:sz w:val="28"/>
          <w:szCs w:val="32"/>
          <w:highlight w:val="none"/>
          <w:lang w:val="zh-CN"/>
        </w:rPr>
        <w:t>详细评审</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3.2.1 评标委员会按本章第2.2款规定的量化因素和分值进行打分，并计算出综合评估得分。</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1）目规定的评审因素和分值对资信业绩部分计算出得分A，资信业绩部分评审得分A为各评标专家打分的算术平均值；</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一，招标人自行选择）；</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3）揭晓技术文件评审结果：由评标委员会在中心系统揭晓，系统自动形成暗标编码表显示各投标单位对应的编码，并由评标委员会确认投标人技术文件的评审得分。</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3）目规定的评审因素和分值对投标报价计算出得分C；</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4）目规定的评审因素和分值对其他部分计算出得分D。</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3.2.2 评分分值计算保留小数点后两位，小数点后第三位“四舍五入”。</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3.2.3 投标人得分=A+B+C+D。</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wordWrap w:val="0"/>
        <w:spacing w:line="360" w:lineRule="auto"/>
        <w:ind w:firstLine="480" w:firstLineChars="200"/>
        <w:rPr>
          <w:rFonts w:hint="eastAsia" w:ascii="宋体" w:hAnsi="宋体" w:eastAsia="宋体" w:cs="宋体"/>
          <w:color w:val="auto"/>
          <w:sz w:val="24"/>
          <w:szCs w:val="24"/>
          <w:highlight w:val="none"/>
          <w:u w:val="singl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pPr>
      <w:bookmarkStart w:id="208" w:name="_Toc193358012"/>
      <w:r>
        <w:rPr>
          <w:rFonts w:ascii="宋体" w:hAnsi="宋体" w:eastAsia="宋体" w:cs="宋体"/>
          <w:b/>
          <w:bCs/>
          <w:color w:val="auto"/>
          <w:spacing w:val="1"/>
          <w:sz w:val="28"/>
          <w:szCs w:val="32"/>
          <w:highlight w:val="none"/>
        </w:rPr>
        <w:t xml:space="preserve">3.3 </w:t>
      </w:r>
      <w:bookmarkEnd w:id="208"/>
      <w:r>
        <w:rPr>
          <w:rFonts w:hint="eastAsia" w:ascii="宋体" w:hAnsi="宋体" w:eastAsia="宋体" w:cs="宋体"/>
          <w:b/>
          <w:bCs/>
          <w:color w:val="auto"/>
          <w:spacing w:val="1"/>
          <w:sz w:val="28"/>
          <w:szCs w:val="32"/>
          <w:highlight w:val="none"/>
          <w:lang w:val="zh-CN"/>
        </w:rPr>
        <w:t>投标文件的澄清</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3.3.1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3.3.2 澄清、说明或补正不得超出投标文件的范围且不得改变投标文件的实质性内容，并构成投标文件的组成部分。</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pPr>
        <w:wordWrap w:val="0"/>
        <w:spacing w:line="360" w:lineRule="auto"/>
        <w:ind w:firstLine="480" w:firstLineChars="200"/>
        <w:rPr>
          <w:rFonts w:hint="eastAsia" w:ascii="宋体" w:hAnsi="宋体" w:eastAsia="宋体" w:cs="宋体"/>
          <w:color w:val="auto"/>
          <w:sz w:val="24"/>
          <w:szCs w:val="24"/>
          <w:highlight w:val="none"/>
          <w:u w:val="single"/>
        </w:rPr>
      </w:pPr>
    </w:p>
    <w:p>
      <w:pPr>
        <w:keepNext/>
        <w:keepLines/>
        <w:wordWrap w:val="0"/>
        <w:spacing w:before="260" w:line="416" w:lineRule="auto"/>
        <w:outlineLvl w:val="2"/>
        <w:rPr>
          <w:rFonts w:hint="eastAsia" w:ascii="宋体" w:hAnsi="宋体" w:eastAsia="宋体" w:cs="宋体"/>
          <w:b/>
          <w:bCs/>
          <w:color w:val="auto"/>
          <w:spacing w:val="1"/>
          <w:sz w:val="28"/>
          <w:szCs w:val="32"/>
          <w:highlight w:val="none"/>
        </w:rPr>
      </w:pPr>
      <w:bookmarkStart w:id="209" w:name="_Toc193358013"/>
      <w:r>
        <w:rPr>
          <w:rFonts w:ascii="宋体" w:hAnsi="宋体" w:eastAsia="宋体" w:cs="宋体"/>
          <w:b/>
          <w:bCs/>
          <w:color w:val="auto"/>
          <w:spacing w:val="1"/>
          <w:sz w:val="28"/>
          <w:szCs w:val="32"/>
          <w:highlight w:val="none"/>
        </w:rPr>
        <w:t xml:space="preserve">3.4 </w:t>
      </w:r>
      <w:bookmarkEnd w:id="209"/>
      <w:r>
        <w:rPr>
          <w:rFonts w:hint="eastAsia" w:ascii="宋体" w:hAnsi="宋体" w:eastAsia="宋体" w:cs="宋体"/>
          <w:b/>
          <w:bCs/>
          <w:color w:val="auto"/>
          <w:spacing w:val="1"/>
          <w:sz w:val="28"/>
          <w:szCs w:val="32"/>
          <w:highlight w:val="none"/>
        </w:rPr>
        <w:t>评标结果</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3.4.1 除第二章“投标人须知”前附表授权直接确定中标人外，评标委员会按照得分由高到低的顺序推荐中标候选人，并标明排序。</w:t>
      </w:r>
    </w:p>
    <w:p>
      <w:pPr>
        <w:wordWrap w:val="0"/>
        <w:spacing w:line="360" w:lineRule="auto"/>
        <w:ind w:firstLine="480" w:firstLineChars="200"/>
        <w:rPr>
          <w:rFonts w:hint="eastAsia" w:ascii="宋体" w:hAnsi="宋体" w:eastAsia="宋体" w:cs="宋体"/>
          <w:b/>
          <w:bCs/>
          <w:color w:val="auto"/>
          <w:kern w:val="0"/>
          <w:sz w:val="24"/>
          <w:szCs w:val="24"/>
          <w:highlight w:val="none"/>
          <w:lang w:val="zh-CN"/>
        </w:rPr>
      </w:pPr>
      <w:r>
        <w:rPr>
          <w:rFonts w:ascii="宋体" w:hAnsi="宋体" w:eastAsia="宋体" w:cs="宋体"/>
          <w:color w:val="auto"/>
          <w:sz w:val="24"/>
          <w:szCs w:val="24"/>
          <w:highlight w:val="none"/>
        </w:rPr>
        <w:t>3.4.2 评标委员会完成评标后，应当向招标人提交书面评标报告和中标候选人名单。</w:t>
      </w:r>
      <w:bookmarkEnd w:id="205"/>
      <w:bookmarkEnd w:id="206"/>
    </w:p>
    <w:p>
      <w:pPr>
        <w:keepNext/>
        <w:keepLines/>
        <w:wordWrap w:val="0"/>
        <w:spacing w:line="360" w:lineRule="auto"/>
        <w:ind w:firstLine="482" w:firstLineChars="200"/>
        <w:jc w:val="center"/>
        <w:outlineLvl w:val="1"/>
        <w:rPr>
          <w:rFonts w:hint="eastAsia" w:ascii="宋体" w:hAnsi="宋体" w:eastAsia="宋体" w:cs="宋体"/>
          <w:b/>
          <w:bCs/>
          <w:color w:val="auto"/>
          <w:kern w:val="0"/>
          <w:sz w:val="24"/>
          <w:szCs w:val="24"/>
          <w:highlight w:val="none"/>
          <w:lang w:val="zh-CN"/>
        </w:rPr>
        <w:sectPr>
          <w:type w:val="continuous"/>
          <w:pgSz w:w="11905" w:h="16838"/>
          <w:pgMar w:top="1474" w:right="1701" w:bottom="1474" w:left="1701" w:header="720" w:footer="720" w:gutter="0"/>
          <w:cols w:space="720" w:num="1"/>
        </w:sectPr>
      </w:pPr>
    </w:p>
    <w:p>
      <w:pPr>
        <w:wordWrap w:val="0"/>
        <w:autoSpaceDE w:val="0"/>
        <w:autoSpaceDN w:val="0"/>
        <w:spacing w:line="276" w:lineRule="auto"/>
        <w:jc w:val="left"/>
        <w:outlineLvl w:val="3"/>
        <w:rPr>
          <w:rFonts w:hint="eastAsia" w:ascii="宋体" w:hAnsi="宋体" w:eastAsia="宋体" w:cs="宋体"/>
          <w:color w:val="auto"/>
          <w:kern w:val="0"/>
          <w:sz w:val="28"/>
          <w:szCs w:val="28"/>
          <w:highlight w:val="none"/>
          <w:lang w:val="zh-CN"/>
        </w:rPr>
      </w:pPr>
      <w:bookmarkStart w:id="210" w:name="_Toc193358019"/>
      <w:bookmarkStart w:id="211" w:name="_Toc111186799"/>
      <w:r>
        <w:rPr>
          <w:rFonts w:hint="eastAsia" w:ascii="宋体" w:hAnsi="宋体" w:eastAsia="宋体" w:cs="宋体"/>
          <w:color w:val="auto"/>
          <w:kern w:val="0"/>
          <w:sz w:val="28"/>
          <w:szCs w:val="28"/>
          <w:highlight w:val="none"/>
          <w:lang w:val="zh-CN"/>
        </w:rPr>
        <w:t>附件一：</w:t>
      </w:r>
    </w:p>
    <w:p>
      <w:pPr>
        <w:wordWrap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资信业绩评分表</w:t>
      </w:r>
    </w:p>
    <w:tbl>
      <w:tblPr>
        <w:tblStyle w:val="45"/>
        <w:tblW w:w="14309" w:type="dxa"/>
        <w:jc w:val="center"/>
        <w:tblLayout w:type="fixed"/>
        <w:tblCellMar>
          <w:top w:w="0" w:type="dxa"/>
          <w:left w:w="108" w:type="dxa"/>
          <w:bottom w:w="0" w:type="dxa"/>
          <w:right w:w="108" w:type="dxa"/>
        </w:tblCellMar>
      </w:tblPr>
      <w:tblGrid>
        <w:gridCol w:w="741"/>
        <w:gridCol w:w="900"/>
        <w:gridCol w:w="1856"/>
        <w:gridCol w:w="10144"/>
        <w:gridCol w:w="668"/>
      </w:tblGrid>
      <w:tr>
        <w:tblPrEx>
          <w:tblCellMar>
            <w:top w:w="0" w:type="dxa"/>
            <w:left w:w="108" w:type="dxa"/>
            <w:bottom w:w="0" w:type="dxa"/>
            <w:right w:w="108" w:type="dxa"/>
          </w:tblCellMar>
        </w:tblPrEx>
        <w:trPr>
          <w:trHeight w:val="20" w:hRule="atLeast"/>
          <w:jc w:val="center"/>
        </w:trPr>
        <w:tc>
          <w:tcPr>
            <w:tcW w:w="741"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Times New Roman"/>
                <w:b/>
                <w:color w:val="auto"/>
                <w:szCs w:val="21"/>
                <w:highlight w:val="none"/>
              </w:rPr>
            </w:pPr>
            <w:r>
              <w:rPr>
                <w:rFonts w:hint="eastAsia" w:ascii="宋体" w:hAnsi="宋体" w:eastAsia="宋体" w:cs="宋体"/>
                <w:b/>
                <w:color w:val="auto"/>
                <w:szCs w:val="21"/>
                <w:highlight w:val="none"/>
                <w:lang w:val="zh-CN"/>
              </w:rPr>
              <w:t>序号</w:t>
            </w:r>
          </w:p>
        </w:tc>
        <w:tc>
          <w:tcPr>
            <w:tcW w:w="900"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Times New Roman"/>
                <w:b/>
                <w:color w:val="auto"/>
                <w:szCs w:val="21"/>
                <w:highlight w:val="none"/>
              </w:rPr>
            </w:pPr>
            <w:r>
              <w:rPr>
                <w:rFonts w:hint="eastAsia" w:ascii="宋体" w:hAnsi="宋体" w:eastAsia="宋体" w:cs="宋体"/>
                <w:b/>
                <w:color w:val="auto"/>
                <w:szCs w:val="21"/>
                <w:highlight w:val="none"/>
                <w:lang w:val="zh-CN"/>
              </w:rPr>
              <w:t>项目</w:t>
            </w:r>
          </w:p>
        </w:tc>
        <w:tc>
          <w:tcPr>
            <w:tcW w:w="1856"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Times New Roman"/>
                <w:b/>
                <w:color w:val="auto"/>
                <w:szCs w:val="21"/>
                <w:highlight w:val="none"/>
              </w:rPr>
            </w:pPr>
            <w:r>
              <w:rPr>
                <w:rFonts w:hint="eastAsia" w:ascii="宋体" w:hAnsi="宋体" w:eastAsia="宋体" w:cs="宋体"/>
                <w:b/>
                <w:color w:val="auto"/>
                <w:szCs w:val="21"/>
                <w:highlight w:val="none"/>
                <w:lang w:val="zh-CN"/>
              </w:rPr>
              <w:t>分值分配</w:t>
            </w:r>
          </w:p>
        </w:tc>
        <w:tc>
          <w:tcPr>
            <w:tcW w:w="10144"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Times New Roman"/>
                <w:b/>
                <w:color w:val="auto"/>
                <w:szCs w:val="21"/>
                <w:highlight w:val="none"/>
              </w:rPr>
            </w:pPr>
            <w:r>
              <w:rPr>
                <w:rFonts w:hint="eastAsia" w:ascii="宋体" w:hAnsi="宋体" w:eastAsia="宋体" w:cs="宋体"/>
                <w:b/>
                <w:color w:val="auto"/>
                <w:szCs w:val="21"/>
                <w:highlight w:val="none"/>
                <w:lang w:val="zh-CN"/>
              </w:rPr>
              <w:t>内</w:t>
            </w:r>
            <w:r>
              <w:rPr>
                <w:rFonts w:ascii="宋体" w:hAnsi="宋体" w:eastAsia="宋体" w:cs="Times New Roman"/>
                <w:b/>
                <w:color w:val="auto"/>
                <w:szCs w:val="21"/>
                <w:highlight w:val="none"/>
              </w:rPr>
              <w:t xml:space="preserve">     </w:t>
            </w:r>
            <w:r>
              <w:rPr>
                <w:rFonts w:hint="eastAsia" w:ascii="宋体" w:hAnsi="宋体" w:eastAsia="宋体" w:cs="宋体"/>
                <w:b/>
                <w:color w:val="auto"/>
                <w:szCs w:val="21"/>
                <w:highlight w:val="none"/>
                <w:lang w:val="zh-CN"/>
              </w:rPr>
              <w:t>容</w:t>
            </w:r>
          </w:p>
        </w:tc>
        <w:tc>
          <w:tcPr>
            <w:tcW w:w="668"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lang w:val="zh-CN"/>
              </w:rPr>
              <w:t>得分</w:t>
            </w:r>
          </w:p>
        </w:tc>
      </w:tr>
      <w:tr>
        <w:tblPrEx>
          <w:tblCellMar>
            <w:top w:w="0" w:type="dxa"/>
            <w:left w:w="108" w:type="dxa"/>
            <w:bottom w:w="0" w:type="dxa"/>
            <w:right w:w="108" w:type="dxa"/>
          </w:tblCellMar>
        </w:tblPrEx>
        <w:trPr>
          <w:trHeight w:val="20" w:hRule="atLeast"/>
          <w:jc w:val="center"/>
        </w:trPr>
        <w:tc>
          <w:tcPr>
            <w:tcW w:w="741"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一</w:t>
            </w:r>
          </w:p>
        </w:tc>
        <w:tc>
          <w:tcPr>
            <w:tcW w:w="900"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企业</w:t>
            </w:r>
          </w:p>
          <w:p>
            <w:pPr>
              <w:wordWrap w:val="0"/>
              <w:topLinePunct/>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类似</w:t>
            </w:r>
          </w:p>
          <w:p>
            <w:pPr>
              <w:wordWrap w:val="0"/>
              <w:topLinePunct/>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业绩</w:t>
            </w:r>
          </w:p>
        </w:tc>
        <w:tc>
          <w:tcPr>
            <w:tcW w:w="1856"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宋体"/>
                <w:color w:val="auto"/>
                <w:szCs w:val="21"/>
                <w:highlight w:val="none"/>
                <w:lang w:val="zh-CN"/>
              </w:rPr>
            </w:pPr>
            <w:r>
              <w:rPr>
                <w:rFonts w:ascii="宋体" w:hAnsi="宋体" w:eastAsia="宋体" w:cs="宋体"/>
                <w:color w:val="auto"/>
                <w:szCs w:val="21"/>
                <w:highlight w:val="none"/>
                <w:lang w:val="zh-CN"/>
              </w:rPr>
              <w:t>[50]</w:t>
            </w:r>
          </w:p>
        </w:tc>
        <w:tc>
          <w:tcPr>
            <w:tcW w:w="10144" w:type="dxa"/>
            <w:tcBorders>
              <w:top w:val="single" w:color="auto" w:sz="6" w:space="0"/>
              <w:left w:val="single" w:color="auto" w:sz="6" w:space="0"/>
              <w:bottom w:val="single" w:color="auto" w:sz="6" w:space="0"/>
              <w:right w:val="single" w:color="auto" w:sz="6" w:space="0"/>
            </w:tcBorders>
            <w:vAlign w:val="center"/>
          </w:tcPr>
          <w:p>
            <w:pPr>
              <w:wordWrap w:val="0"/>
              <w:topLinePunct/>
              <w:rPr>
                <w:rFonts w:hint="eastAsia" w:ascii="宋体" w:hAnsi="宋体" w:cs="宋体"/>
                <w:color w:val="auto"/>
                <w:highlight w:val="none"/>
                <w:lang w:val="zh-CN"/>
              </w:rPr>
            </w:pPr>
            <w:r>
              <w:rPr>
                <w:rFonts w:hint="eastAsia" w:ascii="宋体" w:hAnsi="宋体" w:eastAsia="宋体" w:cs="宋体"/>
                <w:b/>
                <w:bCs/>
                <w:color w:val="auto"/>
                <w:highlight w:val="none"/>
                <w:lang w:val="zh-CN"/>
              </w:rPr>
              <w:t>近</w:t>
            </w:r>
            <w:r>
              <w:rPr>
                <w:rFonts w:hint="eastAsia" w:ascii="宋体" w:hAnsi="宋体" w:cs="宋体"/>
                <w:b/>
                <w:bCs/>
                <w:color w:val="auto"/>
                <w:highlight w:val="none"/>
                <w:u w:val="single"/>
              </w:rPr>
              <w:t>5</w:t>
            </w:r>
            <w:r>
              <w:rPr>
                <w:rFonts w:hint="eastAsia" w:ascii="宋体" w:hAnsi="宋体" w:eastAsia="宋体" w:cs="宋体"/>
                <w:b/>
                <w:bCs/>
                <w:color w:val="auto"/>
                <w:highlight w:val="none"/>
                <w:lang w:val="zh-CN"/>
              </w:rPr>
              <w:t>年内勘察对应类似业绩：</w:t>
            </w:r>
            <w:r>
              <w:rPr>
                <w:rFonts w:hint="eastAsia" w:ascii="宋体" w:hAnsi="宋体" w:eastAsia="宋体" w:cs="宋体"/>
                <w:color w:val="auto"/>
                <w:highlight w:val="none"/>
                <w:lang w:val="zh-CN"/>
              </w:rPr>
              <w:t>有类似</w:t>
            </w:r>
            <w:r>
              <w:rPr>
                <w:rFonts w:hint="eastAsia" w:ascii="宋体" w:hAnsi="宋体" w:eastAsia="宋体" w:cs="宋体"/>
                <w:color w:val="auto"/>
                <w:highlight w:val="none"/>
              </w:rPr>
              <w:t>勘察</w:t>
            </w:r>
            <w:r>
              <w:rPr>
                <w:rFonts w:hint="eastAsia" w:ascii="宋体" w:hAnsi="宋体" w:eastAsia="宋体" w:cs="宋体"/>
                <w:color w:val="auto"/>
                <w:highlight w:val="none"/>
                <w:lang w:val="zh-CN"/>
              </w:rPr>
              <w:t>业绩的，每项得</w:t>
            </w:r>
            <w:r>
              <w:rPr>
                <w:rFonts w:hint="eastAsia" w:ascii="宋体" w:hAnsi="宋体" w:cs="宋体"/>
                <w:color w:val="auto"/>
                <w:highlight w:val="none"/>
                <w:u w:val="single"/>
                <w:lang w:val="zh-CN"/>
              </w:rPr>
              <w:t xml:space="preserve">  </w:t>
            </w:r>
            <w:r>
              <w:rPr>
                <w:rFonts w:hint="eastAsia" w:ascii="宋体" w:hAnsi="宋体" w:cs="宋体"/>
                <w:color w:val="auto"/>
                <w:highlight w:val="none"/>
                <w:u w:val="single"/>
              </w:rPr>
              <w:t>2</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分，最高得</w:t>
            </w:r>
            <w:r>
              <w:rPr>
                <w:rFonts w:hint="eastAsia" w:ascii="宋体" w:hAnsi="宋体" w:cs="宋体"/>
                <w:color w:val="auto"/>
                <w:highlight w:val="none"/>
                <w:u w:val="single"/>
                <w:lang w:val="zh-CN"/>
              </w:rPr>
              <w:t xml:space="preserve">  </w:t>
            </w:r>
            <w:r>
              <w:rPr>
                <w:rFonts w:ascii="宋体" w:hAnsi="宋体" w:cs="宋体"/>
                <w:color w:val="auto"/>
                <w:highlight w:val="none"/>
                <w:u w:val="single"/>
              </w:rPr>
              <w:t>10</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w:t>
            </w:r>
          </w:p>
          <w:p>
            <w:pPr>
              <w:wordWrap w:val="0"/>
              <w:topLinePunct/>
              <w:rPr>
                <w:rFonts w:hint="eastAsia" w:ascii="宋体" w:hAnsi="宋体" w:cs="宋体"/>
                <w:color w:val="auto"/>
                <w:highlight w:val="none"/>
                <w:lang w:val="zh-CN"/>
              </w:rPr>
            </w:pPr>
            <w:r>
              <w:rPr>
                <w:rFonts w:hint="eastAsia" w:ascii="宋体" w:hAnsi="宋体" w:eastAsia="宋体" w:cs="宋体"/>
                <w:b/>
                <w:bCs/>
                <w:color w:val="auto"/>
                <w:highlight w:val="none"/>
                <w:lang w:val="zh-CN"/>
              </w:rPr>
              <w:t>近</w:t>
            </w:r>
            <w:r>
              <w:rPr>
                <w:rFonts w:hint="eastAsia" w:ascii="宋体" w:hAnsi="宋体" w:cs="宋体"/>
                <w:b/>
                <w:bCs/>
                <w:color w:val="auto"/>
                <w:highlight w:val="none"/>
                <w:u w:val="single"/>
              </w:rPr>
              <w:t>5</w:t>
            </w:r>
            <w:r>
              <w:rPr>
                <w:rFonts w:hint="eastAsia" w:ascii="宋体" w:hAnsi="宋体" w:eastAsia="宋体" w:cs="宋体"/>
                <w:b/>
                <w:bCs/>
                <w:color w:val="auto"/>
                <w:highlight w:val="none"/>
                <w:lang w:val="zh-CN"/>
              </w:rPr>
              <w:t>年内设计对应类似业绩：</w:t>
            </w:r>
            <w:r>
              <w:rPr>
                <w:rFonts w:hint="eastAsia" w:ascii="宋体" w:hAnsi="宋体" w:eastAsia="宋体" w:cs="宋体"/>
                <w:color w:val="auto"/>
                <w:highlight w:val="none"/>
                <w:lang w:val="zh-CN"/>
              </w:rPr>
              <w:t>有类似</w:t>
            </w:r>
            <w:r>
              <w:rPr>
                <w:rFonts w:hint="eastAsia" w:ascii="宋体" w:hAnsi="宋体" w:eastAsia="宋体" w:cs="宋体"/>
                <w:color w:val="auto"/>
                <w:highlight w:val="none"/>
              </w:rPr>
              <w:t>设计</w:t>
            </w:r>
            <w:r>
              <w:rPr>
                <w:rFonts w:hint="eastAsia" w:ascii="宋体" w:hAnsi="宋体" w:eastAsia="宋体" w:cs="宋体"/>
                <w:color w:val="auto"/>
                <w:highlight w:val="none"/>
                <w:lang w:val="zh-CN"/>
              </w:rPr>
              <w:t>业绩的，每项得</w:t>
            </w:r>
            <w:r>
              <w:rPr>
                <w:rFonts w:hint="eastAsia" w:ascii="宋体" w:hAnsi="宋体" w:cs="宋体"/>
                <w:color w:val="auto"/>
                <w:highlight w:val="none"/>
                <w:u w:val="single"/>
                <w:lang w:val="zh-CN"/>
              </w:rPr>
              <w:t xml:space="preserve">  </w:t>
            </w:r>
            <w:r>
              <w:rPr>
                <w:rFonts w:hint="eastAsia" w:ascii="宋体" w:hAnsi="宋体" w:cs="宋体"/>
                <w:color w:val="auto"/>
                <w:highlight w:val="none"/>
                <w:u w:val="single"/>
              </w:rPr>
              <w:t>8</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分，最高得</w:t>
            </w:r>
            <w:r>
              <w:rPr>
                <w:rFonts w:hint="eastAsia" w:ascii="宋体" w:hAnsi="宋体" w:cs="宋体"/>
                <w:color w:val="auto"/>
                <w:highlight w:val="none"/>
                <w:u w:val="single"/>
                <w:lang w:val="zh-CN"/>
              </w:rPr>
              <w:t xml:space="preserve"> </w:t>
            </w:r>
            <w:r>
              <w:rPr>
                <w:rFonts w:ascii="宋体" w:hAnsi="宋体" w:cs="宋体"/>
                <w:color w:val="auto"/>
                <w:highlight w:val="none"/>
                <w:u w:val="single"/>
              </w:rPr>
              <w:t>4</w:t>
            </w:r>
            <w:r>
              <w:rPr>
                <w:rFonts w:hint="eastAsia" w:ascii="宋体" w:hAnsi="宋体" w:cs="宋体"/>
                <w:color w:val="auto"/>
                <w:highlight w:val="none"/>
                <w:u w:val="single"/>
              </w:rPr>
              <w:t>0</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w:t>
            </w:r>
          </w:p>
          <w:p>
            <w:pPr>
              <w:wordWrap w:val="0"/>
              <w:topLinePunct/>
              <w:rPr>
                <w:rFonts w:hint="eastAsia" w:ascii="宋体" w:hAnsi="宋体" w:cs="宋体"/>
                <w:color w:val="auto"/>
                <w:highlight w:val="none"/>
              </w:rPr>
            </w:pPr>
            <w:r>
              <w:rPr>
                <w:rFonts w:hint="eastAsia" w:ascii="宋体" w:hAnsi="宋体" w:eastAsia="宋体" w:cs="宋体"/>
                <w:color w:val="auto"/>
                <w:highlight w:val="none"/>
              </w:rPr>
              <w:t>注：以上合计最多得</w:t>
            </w:r>
            <w:r>
              <w:rPr>
                <w:rFonts w:ascii="宋体" w:hAnsi="宋体" w:cs="宋体"/>
                <w:color w:val="auto"/>
                <w:highlight w:val="none"/>
                <w:u w:val="single"/>
              </w:rPr>
              <w:t>50</w:t>
            </w:r>
            <w:r>
              <w:rPr>
                <w:rFonts w:hint="eastAsia" w:ascii="宋体" w:hAnsi="宋体" w:eastAsia="宋体" w:cs="宋体"/>
                <w:color w:val="auto"/>
                <w:highlight w:val="none"/>
              </w:rPr>
              <w:t>分。</w:t>
            </w:r>
          </w:p>
        </w:tc>
        <w:tc>
          <w:tcPr>
            <w:tcW w:w="668"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Times New Roman"/>
                <w:color w:val="auto"/>
                <w:szCs w:val="21"/>
                <w:highlight w:val="none"/>
              </w:rPr>
            </w:pPr>
          </w:p>
        </w:tc>
      </w:tr>
      <w:tr>
        <w:tblPrEx>
          <w:tblCellMar>
            <w:top w:w="0" w:type="dxa"/>
            <w:left w:w="108" w:type="dxa"/>
            <w:bottom w:w="0" w:type="dxa"/>
            <w:right w:w="108" w:type="dxa"/>
          </w:tblCellMar>
        </w:tblPrEx>
        <w:trPr>
          <w:trHeight w:val="20" w:hRule="atLeast"/>
          <w:jc w:val="center"/>
        </w:trPr>
        <w:tc>
          <w:tcPr>
            <w:tcW w:w="741" w:type="dxa"/>
            <w:vMerge w:val="restart"/>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二</w:t>
            </w:r>
          </w:p>
        </w:tc>
        <w:tc>
          <w:tcPr>
            <w:tcW w:w="900" w:type="dxa"/>
            <w:vMerge w:val="restart"/>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人员配备及技术水平</w:t>
            </w:r>
          </w:p>
        </w:tc>
        <w:tc>
          <w:tcPr>
            <w:tcW w:w="1856" w:type="dxa"/>
            <w:vMerge w:val="restart"/>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宋体"/>
                <w:color w:val="auto"/>
                <w:szCs w:val="21"/>
                <w:highlight w:val="none"/>
              </w:rPr>
            </w:pPr>
            <w:r>
              <w:rPr>
                <w:rFonts w:ascii="宋体" w:hAnsi="宋体" w:eastAsia="宋体" w:cs="宋体"/>
                <w:color w:val="auto"/>
                <w:szCs w:val="21"/>
                <w:highlight w:val="none"/>
                <w:lang w:val="zh-CN"/>
              </w:rPr>
              <w:t>[</w:t>
            </w:r>
            <w:r>
              <w:rPr>
                <w:rFonts w:ascii="宋体" w:hAnsi="宋体" w:eastAsia="宋体" w:cs="宋体"/>
                <w:color w:val="auto"/>
                <w:szCs w:val="21"/>
                <w:highlight w:val="none"/>
              </w:rPr>
              <w:t>50</w:t>
            </w:r>
            <w:r>
              <w:rPr>
                <w:rFonts w:ascii="宋体" w:hAnsi="宋体" w:eastAsia="宋体" w:cs="宋体"/>
                <w:color w:val="auto"/>
                <w:szCs w:val="21"/>
                <w:highlight w:val="none"/>
                <w:lang w:val="zh-CN"/>
              </w:rPr>
              <w:t>]</w:t>
            </w:r>
          </w:p>
        </w:tc>
        <w:tc>
          <w:tcPr>
            <w:tcW w:w="10144" w:type="dxa"/>
            <w:tcBorders>
              <w:top w:val="single" w:color="auto" w:sz="6" w:space="0"/>
              <w:left w:val="single" w:color="auto" w:sz="6" w:space="0"/>
              <w:bottom w:val="single" w:color="auto" w:sz="6" w:space="0"/>
              <w:right w:val="single" w:color="auto" w:sz="6" w:space="0"/>
            </w:tcBorders>
            <w:vAlign w:val="center"/>
          </w:tcPr>
          <w:p>
            <w:pPr>
              <w:wordWrap w:val="0"/>
              <w:topLinePunct/>
              <w:rPr>
                <w:rFonts w:hint="eastAsia" w:ascii="宋体" w:hAnsi="宋体" w:cs="宋体"/>
                <w:color w:val="auto"/>
                <w:highlight w:val="none"/>
                <w:lang w:val="zh-CN"/>
              </w:rPr>
            </w:pPr>
            <w:r>
              <w:rPr>
                <w:rFonts w:hint="eastAsia" w:ascii="宋体" w:hAnsi="宋体" w:cs="宋体"/>
                <w:color w:val="auto"/>
                <w:highlight w:val="none"/>
              </w:rPr>
              <w:t>1</w:t>
            </w:r>
            <w:r>
              <w:rPr>
                <w:rFonts w:hint="eastAsia" w:ascii="宋体" w:hAnsi="宋体" w:eastAsia="宋体" w:cs="宋体"/>
                <w:color w:val="auto"/>
                <w:highlight w:val="none"/>
                <w:lang w:val="zh-CN"/>
              </w:rPr>
              <w:t>、项目负责人设计经历及业务能力：</w:t>
            </w:r>
          </w:p>
          <w:p>
            <w:pPr>
              <w:wordWrap w:val="0"/>
              <w:topLinePunct/>
              <w:rPr>
                <w:rFonts w:hint="eastAsia" w:ascii="宋体" w:hAnsi="宋体" w:cs="宋体"/>
                <w:strike/>
                <w:color w:val="auto"/>
                <w:highlight w:val="none"/>
                <w:lang w:val="zh-CN"/>
              </w:rPr>
            </w:pPr>
            <w:r>
              <w:rPr>
                <w:rFonts w:hint="eastAsia" w:ascii="宋体" w:hAnsi="宋体" w:eastAsia="宋体" w:cs="宋体"/>
                <w:color w:val="auto"/>
                <w:highlight w:val="none"/>
                <w:lang w:val="zh-CN"/>
              </w:rPr>
              <w:t>（</w:t>
            </w:r>
            <w:r>
              <w:rPr>
                <w:rFonts w:hint="eastAsia" w:ascii="宋体" w:hAnsi="宋体" w:cs="宋体"/>
                <w:color w:val="auto"/>
                <w:highlight w:val="none"/>
              </w:rPr>
              <w:t>1</w:t>
            </w:r>
            <w:r>
              <w:rPr>
                <w:rFonts w:hint="eastAsia" w:ascii="宋体" w:hAnsi="宋体" w:eastAsia="宋体" w:cs="宋体"/>
                <w:color w:val="auto"/>
                <w:highlight w:val="none"/>
                <w:lang w:val="zh-CN"/>
              </w:rPr>
              <w:t>）设计经历在</w:t>
            </w:r>
            <w:r>
              <w:rPr>
                <w:rFonts w:hint="eastAsia" w:ascii="宋体" w:hAnsi="宋体" w:cs="宋体"/>
                <w:color w:val="auto"/>
                <w:highlight w:val="none"/>
                <w:u w:val="single"/>
              </w:rPr>
              <w:t xml:space="preserve"> 15</w:t>
            </w:r>
            <w:r>
              <w:rPr>
                <w:rFonts w:hint="eastAsia" w:ascii="宋体" w:hAnsi="宋体" w:eastAsia="宋体" w:cs="宋体"/>
                <w:color w:val="auto"/>
                <w:highlight w:val="none"/>
                <w:lang w:val="zh-CN"/>
              </w:rPr>
              <w:t>年（</w:t>
            </w:r>
            <w:r>
              <w:rPr>
                <w:rFonts w:hint="eastAsia" w:ascii="宋体" w:hAnsi="宋体" w:eastAsia="宋体" w:cs="宋体"/>
                <w:color w:val="auto"/>
                <w:highlight w:val="none"/>
              </w:rPr>
              <w:t>含</w:t>
            </w:r>
            <w:r>
              <w:rPr>
                <w:rFonts w:hint="eastAsia" w:ascii="宋体" w:hAnsi="宋体" w:cs="宋体"/>
                <w:color w:val="auto"/>
                <w:highlight w:val="none"/>
              </w:rPr>
              <w:t>15</w:t>
            </w:r>
            <w:r>
              <w:rPr>
                <w:rFonts w:hint="eastAsia" w:ascii="宋体" w:hAnsi="宋体" w:eastAsia="宋体" w:cs="宋体"/>
                <w:color w:val="auto"/>
                <w:highlight w:val="none"/>
              </w:rPr>
              <w:t>年</w:t>
            </w:r>
            <w:r>
              <w:rPr>
                <w:rFonts w:hint="eastAsia" w:ascii="宋体" w:hAnsi="宋体" w:eastAsia="宋体" w:cs="宋体"/>
                <w:color w:val="auto"/>
                <w:highlight w:val="none"/>
                <w:lang w:val="zh-CN"/>
              </w:rPr>
              <w:t>）以上：</w:t>
            </w:r>
            <w:r>
              <w:rPr>
                <w:rFonts w:hint="eastAsia" w:ascii="宋体" w:hAnsi="宋体" w:eastAsia="宋体" w:cs="宋体"/>
                <w:color w:val="auto"/>
                <w:highlight w:val="none"/>
              </w:rPr>
              <w:t>副高级技术职称的得</w:t>
            </w:r>
            <w:r>
              <w:rPr>
                <w:rFonts w:hint="eastAsia" w:ascii="宋体" w:hAnsi="宋体"/>
                <w:color w:val="auto"/>
                <w:highlight w:val="none"/>
                <w:u w:val="single"/>
              </w:rPr>
              <w:t xml:space="preserve"> </w:t>
            </w:r>
            <w:r>
              <w:rPr>
                <w:rFonts w:ascii="宋体" w:hAnsi="宋体"/>
                <w:color w:val="auto"/>
                <w:highlight w:val="none"/>
                <w:u w:val="single"/>
              </w:rPr>
              <w:t>1</w:t>
            </w:r>
            <w:r>
              <w:rPr>
                <w:rFonts w:hint="eastAsia" w:ascii="宋体" w:hAnsi="宋体"/>
                <w:color w:val="auto"/>
                <w:highlight w:val="none"/>
                <w:u w:val="single"/>
              </w:rPr>
              <w:t xml:space="preserve">5 </w:t>
            </w:r>
            <w:r>
              <w:rPr>
                <w:rFonts w:hint="eastAsia" w:ascii="宋体" w:hAnsi="宋体" w:eastAsia="宋体" w:cs="宋体"/>
                <w:color w:val="auto"/>
                <w:highlight w:val="none"/>
              </w:rPr>
              <w:t>分</w:t>
            </w:r>
            <w:r>
              <w:rPr>
                <w:rFonts w:hint="eastAsia" w:ascii="宋体" w:hAnsi="宋体" w:eastAsia="宋体" w:cs="宋体"/>
                <w:color w:val="auto"/>
                <w:highlight w:val="none"/>
                <w:lang w:val="zh-CN"/>
              </w:rPr>
              <w:t>，</w:t>
            </w:r>
            <w:r>
              <w:rPr>
                <w:rFonts w:hint="eastAsia" w:ascii="宋体" w:hAnsi="宋体" w:eastAsia="宋体" w:cs="宋体"/>
                <w:color w:val="auto"/>
                <w:highlight w:val="none"/>
              </w:rPr>
              <w:t>中级技术职称的得</w:t>
            </w:r>
            <w:r>
              <w:rPr>
                <w:rFonts w:hint="eastAsia" w:ascii="宋体" w:hAnsi="宋体"/>
                <w:color w:val="auto"/>
                <w:highlight w:val="none"/>
                <w:u w:val="single"/>
              </w:rPr>
              <w:t xml:space="preserve"> </w:t>
            </w:r>
            <w:r>
              <w:rPr>
                <w:rFonts w:ascii="宋体" w:hAnsi="宋体"/>
                <w:color w:val="auto"/>
                <w:highlight w:val="none"/>
                <w:u w:val="single"/>
              </w:rPr>
              <w:t>10</w:t>
            </w:r>
            <w:r>
              <w:rPr>
                <w:rFonts w:hint="eastAsia" w:ascii="宋体" w:hAnsi="宋体"/>
                <w:color w:val="auto"/>
                <w:highlight w:val="none"/>
                <w:u w:val="single"/>
              </w:rPr>
              <w:t xml:space="preserve"> </w:t>
            </w:r>
            <w:r>
              <w:rPr>
                <w:rFonts w:hint="eastAsia" w:ascii="宋体" w:hAnsi="宋体" w:eastAsia="宋体" w:cs="宋体"/>
                <w:color w:val="auto"/>
                <w:highlight w:val="none"/>
              </w:rPr>
              <w:t>分，</w:t>
            </w:r>
            <w:r>
              <w:rPr>
                <w:rFonts w:hint="eastAsia" w:ascii="宋体" w:hAnsi="宋体" w:eastAsia="宋体" w:cs="宋体"/>
                <w:color w:val="auto"/>
                <w:highlight w:val="none"/>
                <w:lang w:val="zh-CN"/>
              </w:rPr>
              <w:t>其它</w:t>
            </w:r>
            <w:r>
              <w:rPr>
                <w:rFonts w:hint="eastAsia" w:ascii="宋体" w:hAnsi="宋体" w:eastAsia="宋体" w:cs="宋体"/>
                <w:color w:val="auto"/>
                <w:highlight w:val="none"/>
              </w:rPr>
              <w:t>不得</w:t>
            </w:r>
            <w:r>
              <w:rPr>
                <w:rFonts w:hint="eastAsia" w:ascii="宋体" w:hAnsi="宋体" w:eastAsia="宋体" w:cs="宋体"/>
                <w:color w:val="auto"/>
                <w:highlight w:val="none"/>
                <w:lang w:val="zh-CN"/>
              </w:rPr>
              <w:t>分。本项不累计计分，本小项最高得</w:t>
            </w: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1</w:t>
            </w:r>
            <w:r>
              <w:rPr>
                <w:rFonts w:hint="eastAsia" w:ascii="宋体" w:hAnsi="宋体" w:cs="宋体"/>
                <w:color w:val="auto"/>
                <w:highlight w:val="none"/>
                <w:u w:val="single"/>
              </w:rPr>
              <w:t>5</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w:t>
            </w:r>
            <w:r>
              <w:rPr>
                <w:rFonts w:hint="eastAsia" w:ascii="宋体" w:hAnsi="宋体" w:eastAsia="宋体" w:cs="宋体"/>
                <w:color w:val="auto"/>
                <w:highlight w:val="none"/>
              </w:rPr>
              <w:t>。</w:t>
            </w:r>
          </w:p>
          <w:p>
            <w:pPr>
              <w:wordWrap w:val="0"/>
              <w:topLinePunct/>
              <w:rPr>
                <w:rFonts w:hint="eastAsia" w:ascii="宋体" w:hAnsi="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b/>
                <w:color w:val="auto"/>
                <w:highlight w:val="none"/>
                <w:lang w:val="zh-CN"/>
              </w:rPr>
              <w:t>近</w:t>
            </w:r>
            <w:r>
              <w:rPr>
                <w:rFonts w:hint="eastAsia" w:ascii="宋体" w:hAnsi="宋体" w:cs="宋体"/>
                <w:b/>
                <w:color w:val="auto"/>
                <w:highlight w:val="none"/>
                <w:u w:val="single"/>
              </w:rPr>
              <w:t>5</w:t>
            </w:r>
            <w:r>
              <w:rPr>
                <w:rFonts w:hint="eastAsia" w:ascii="宋体" w:hAnsi="宋体" w:eastAsia="宋体" w:cs="宋体"/>
                <w:b/>
                <w:color w:val="auto"/>
                <w:highlight w:val="none"/>
                <w:lang w:val="zh-CN"/>
              </w:rPr>
              <w:t>年内</w:t>
            </w:r>
            <w:r>
              <w:rPr>
                <w:rFonts w:hint="eastAsia" w:ascii="宋体" w:hAnsi="宋体" w:eastAsia="宋体" w:cs="宋体"/>
                <w:color w:val="auto"/>
                <w:highlight w:val="none"/>
                <w:lang w:val="zh-CN"/>
              </w:rPr>
              <w:t>作为项目负责人完成过</w:t>
            </w:r>
            <w:r>
              <w:rPr>
                <w:rFonts w:hint="eastAsia" w:ascii="宋体" w:hAnsi="宋体" w:eastAsia="宋体" w:cs="宋体"/>
                <w:b/>
                <w:bCs/>
                <w:color w:val="auto"/>
                <w:highlight w:val="none"/>
                <w:lang w:val="zh-CN"/>
              </w:rPr>
              <w:t>类似设计业绩</w:t>
            </w:r>
            <w:r>
              <w:rPr>
                <w:rFonts w:hint="eastAsia" w:ascii="宋体" w:hAnsi="宋体" w:eastAsia="宋体" w:cs="宋体"/>
                <w:color w:val="auto"/>
                <w:highlight w:val="none"/>
                <w:lang w:val="zh-CN"/>
              </w:rPr>
              <w:t>，每项得</w:t>
            </w:r>
            <w:r>
              <w:rPr>
                <w:rFonts w:hint="eastAsia" w:ascii="宋体" w:hAnsi="宋体" w:cs="宋体"/>
                <w:color w:val="auto"/>
                <w:highlight w:val="none"/>
                <w:u w:val="single"/>
                <w:lang w:val="zh-CN"/>
              </w:rPr>
              <w:t xml:space="preserve">  </w:t>
            </w:r>
            <w:r>
              <w:rPr>
                <w:rFonts w:ascii="宋体" w:hAnsi="宋体" w:cs="宋体"/>
                <w:color w:val="auto"/>
                <w:highlight w:val="none"/>
                <w:u w:val="single"/>
              </w:rPr>
              <w:t>10</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分，本小项最高得</w:t>
            </w:r>
            <w:r>
              <w:rPr>
                <w:rFonts w:hint="eastAsia" w:ascii="宋体" w:hAnsi="宋体" w:cs="宋体"/>
                <w:color w:val="auto"/>
                <w:highlight w:val="none"/>
                <w:u w:val="single"/>
                <w:lang w:val="zh-CN"/>
              </w:rPr>
              <w:t xml:space="preserve">  </w:t>
            </w:r>
            <w:r>
              <w:rPr>
                <w:rFonts w:ascii="宋体" w:hAnsi="宋体" w:cs="宋体"/>
                <w:color w:val="auto"/>
                <w:highlight w:val="none"/>
                <w:u w:val="single"/>
              </w:rPr>
              <w:t>10</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w:t>
            </w:r>
          </w:p>
          <w:p>
            <w:pPr>
              <w:wordWrap w:val="0"/>
              <w:topLinePunct/>
              <w:rPr>
                <w:rFonts w:hint="eastAsia" w:ascii="宋体" w:hAnsi="宋体" w:cs="宋体"/>
                <w:color w:val="auto"/>
                <w:highlight w:val="none"/>
                <w:lang w:val="zh-CN"/>
              </w:rPr>
            </w:pPr>
            <w:r>
              <w:rPr>
                <w:rFonts w:hint="eastAsia" w:ascii="宋体" w:hAnsi="宋体" w:eastAsia="宋体" w:cs="宋体"/>
                <w:color w:val="auto"/>
                <w:highlight w:val="none"/>
                <w:lang w:val="zh-CN"/>
              </w:rPr>
              <w:t>以上合计最多得</w:t>
            </w:r>
            <w:r>
              <w:rPr>
                <w:rFonts w:hint="eastAsia" w:ascii="宋体" w:hAnsi="宋体" w:cs="宋体"/>
                <w:color w:val="auto"/>
                <w:highlight w:val="none"/>
                <w:u w:val="single"/>
                <w:lang w:val="zh-CN"/>
              </w:rPr>
              <w:t xml:space="preserve"> </w:t>
            </w:r>
            <w:r>
              <w:rPr>
                <w:rFonts w:ascii="宋体" w:hAnsi="宋体" w:cs="宋体"/>
                <w:color w:val="auto"/>
                <w:highlight w:val="none"/>
                <w:u w:val="single"/>
              </w:rPr>
              <w:t>25</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w:t>
            </w:r>
          </w:p>
        </w:tc>
        <w:tc>
          <w:tcPr>
            <w:tcW w:w="668"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Times New Roman"/>
                <w:color w:val="auto"/>
                <w:szCs w:val="21"/>
                <w:highlight w:val="none"/>
                <w:lang w:val="zh-CN"/>
              </w:rPr>
            </w:pPr>
          </w:p>
        </w:tc>
      </w:tr>
      <w:tr>
        <w:tblPrEx>
          <w:tblCellMar>
            <w:top w:w="0" w:type="dxa"/>
            <w:left w:w="108" w:type="dxa"/>
            <w:bottom w:w="0" w:type="dxa"/>
            <w:right w:w="108" w:type="dxa"/>
          </w:tblCellMar>
        </w:tblPrEx>
        <w:trPr>
          <w:trHeight w:val="20" w:hRule="atLeast"/>
          <w:jc w:val="center"/>
        </w:trPr>
        <w:tc>
          <w:tcPr>
            <w:tcW w:w="741" w:type="dxa"/>
            <w:vMerge w:val="continue"/>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宋体"/>
                <w:color w:val="auto"/>
                <w:szCs w:val="21"/>
                <w:highlight w:val="none"/>
                <w:lang w:val="zh-CN"/>
              </w:rPr>
            </w:pPr>
          </w:p>
        </w:tc>
        <w:tc>
          <w:tcPr>
            <w:tcW w:w="900" w:type="dxa"/>
            <w:vMerge w:val="continue"/>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宋体"/>
                <w:color w:val="auto"/>
                <w:szCs w:val="21"/>
                <w:highlight w:val="none"/>
                <w:lang w:val="zh-CN"/>
              </w:rPr>
            </w:pPr>
          </w:p>
        </w:tc>
        <w:tc>
          <w:tcPr>
            <w:tcW w:w="1856" w:type="dxa"/>
            <w:vMerge w:val="continue"/>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宋体"/>
                <w:color w:val="auto"/>
                <w:szCs w:val="21"/>
                <w:highlight w:val="none"/>
              </w:rPr>
            </w:pPr>
          </w:p>
        </w:tc>
        <w:tc>
          <w:tcPr>
            <w:tcW w:w="10144" w:type="dxa"/>
            <w:tcBorders>
              <w:top w:val="single" w:color="auto" w:sz="6" w:space="0"/>
              <w:left w:val="single" w:color="auto" w:sz="6" w:space="0"/>
              <w:bottom w:val="single" w:color="auto" w:sz="6" w:space="0"/>
              <w:right w:val="single" w:color="auto" w:sz="6" w:space="0"/>
            </w:tcBorders>
            <w:vAlign w:val="center"/>
          </w:tcPr>
          <w:p>
            <w:pPr>
              <w:wordWrap w:val="0"/>
              <w:topLinePunct/>
              <w:rPr>
                <w:rFonts w:hint="eastAsia" w:ascii="宋体" w:hAnsi="宋体" w:cs="宋体"/>
                <w:color w:val="auto"/>
                <w:highlight w:val="none"/>
                <w:lang w:val="zh-CN"/>
              </w:rPr>
            </w:pPr>
            <w:r>
              <w:rPr>
                <w:rFonts w:hint="eastAsia" w:ascii="宋体" w:hAnsi="宋体" w:cs="宋体"/>
                <w:color w:val="auto"/>
                <w:highlight w:val="none"/>
                <w:lang w:val="zh-CN"/>
              </w:rPr>
              <w:t>2</w:t>
            </w:r>
            <w:r>
              <w:rPr>
                <w:rFonts w:hint="eastAsia" w:ascii="宋体" w:hAnsi="宋体" w:eastAsia="宋体" w:cs="宋体"/>
                <w:color w:val="auto"/>
                <w:highlight w:val="none"/>
                <w:lang w:val="zh-CN"/>
              </w:rPr>
              <w:t>、各专业负责人设计经历：</w:t>
            </w:r>
          </w:p>
          <w:p>
            <w:pPr>
              <w:wordWrap w:val="0"/>
              <w:topLinePunct/>
              <w:rPr>
                <w:rFonts w:hint="eastAsia" w:ascii="宋体" w:hAnsi="宋体" w:cs="宋体"/>
                <w:color w:val="auto"/>
                <w:highlight w:val="none"/>
                <w:lang w:val="zh-CN"/>
              </w:rPr>
            </w:pPr>
            <w:r>
              <w:rPr>
                <w:rFonts w:hint="eastAsia" w:ascii="宋体" w:hAnsi="宋体" w:eastAsia="宋体" w:cs="宋体"/>
                <w:color w:val="auto"/>
                <w:highlight w:val="none"/>
                <w:lang w:val="zh-CN"/>
              </w:rPr>
              <w:t>各专业负责人每</w:t>
            </w:r>
            <w:r>
              <w:rPr>
                <w:rFonts w:hint="eastAsia" w:ascii="宋体" w:hAnsi="宋体" w:cs="宋体"/>
                <w:color w:val="auto"/>
                <w:highlight w:val="none"/>
                <w:lang w:val="zh-CN"/>
              </w:rPr>
              <w:t>1</w:t>
            </w:r>
            <w:r>
              <w:rPr>
                <w:rFonts w:hint="eastAsia" w:ascii="宋体" w:hAnsi="宋体" w:eastAsia="宋体" w:cs="宋体"/>
                <w:color w:val="auto"/>
                <w:highlight w:val="none"/>
                <w:lang w:val="zh-CN"/>
              </w:rPr>
              <w:t>名为</w:t>
            </w:r>
            <w:r>
              <w:rPr>
                <w:rFonts w:hint="eastAsia" w:ascii="宋体" w:hAnsi="宋体" w:eastAsia="宋体" w:cs="宋体"/>
                <w:b/>
                <w:bCs/>
                <w:color w:val="auto"/>
                <w:highlight w:val="none"/>
                <w:lang w:val="zh-CN"/>
              </w:rPr>
              <w:t>注册（岩土）工程师或</w:t>
            </w:r>
            <w:r>
              <w:rPr>
                <w:rFonts w:hint="eastAsia" w:ascii="宋体" w:hAnsi="宋体" w:eastAsia="宋体" w:cs="宋体"/>
                <w:b/>
                <w:color w:val="auto"/>
                <w:highlight w:val="none"/>
                <w:lang w:val="zh-CN"/>
              </w:rPr>
              <w:t>注册结构工程师或注册公用设备工程师或高级职称</w:t>
            </w:r>
            <w:r>
              <w:rPr>
                <w:rFonts w:hint="eastAsia" w:ascii="宋体" w:hAnsi="宋体" w:eastAsia="宋体" w:cs="宋体"/>
                <w:color w:val="auto"/>
                <w:highlight w:val="none"/>
                <w:lang w:val="zh-CN"/>
              </w:rPr>
              <w:t>得</w:t>
            </w: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 xml:space="preserve"> </w:t>
            </w:r>
            <w:r>
              <w:rPr>
                <w:rFonts w:ascii="宋体" w:hAnsi="宋体" w:cs="宋体"/>
                <w:color w:val="auto"/>
                <w:highlight w:val="none"/>
                <w:u w:val="single"/>
              </w:rPr>
              <w:t xml:space="preserve">5 </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分，每</w:t>
            </w:r>
            <w:r>
              <w:rPr>
                <w:rFonts w:hint="eastAsia" w:ascii="宋体" w:hAnsi="宋体" w:cs="宋体"/>
                <w:color w:val="auto"/>
                <w:highlight w:val="none"/>
                <w:lang w:val="zh-CN"/>
              </w:rPr>
              <w:t>1</w:t>
            </w:r>
            <w:r>
              <w:rPr>
                <w:rFonts w:hint="eastAsia" w:ascii="宋体" w:hAnsi="宋体" w:eastAsia="宋体" w:cs="宋体"/>
                <w:color w:val="auto"/>
                <w:highlight w:val="none"/>
                <w:lang w:val="zh-CN"/>
              </w:rPr>
              <w:t>名为中级职称得</w:t>
            </w: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 xml:space="preserve"> </w:t>
            </w:r>
            <w:r>
              <w:rPr>
                <w:rFonts w:ascii="宋体" w:hAnsi="宋体" w:cs="宋体"/>
                <w:color w:val="auto"/>
                <w:highlight w:val="none"/>
                <w:u w:val="single"/>
              </w:rPr>
              <w:t xml:space="preserve">3 </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分，本项最高得</w:t>
            </w:r>
            <w:r>
              <w:rPr>
                <w:rFonts w:hint="eastAsia" w:ascii="宋体" w:hAnsi="宋体" w:cs="宋体"/>
                <w:color w:val="auto"/>
                <w:highlight w:val="none"/>
                <w:u w:val="single"/>
                <w:lang w:val="zh-CN"/>
              </w:rPr>
              <w:t xml:space="preserve">  </w:t>
            </w:r>
            <w:r>
              <w:rPr>
                <w:rFonts w:hint="eastAsia" w:ascii="宋体" w:hAnsi="宋体" w:cs="宋体"/>
                <w:color w:val="auto"/>
                <w:highlight w:val="none"/>
                <w:u w:val="single"/>
              </w:rPr>
              <w:t>2</w:t>
            </w:r>
            <w:r>
              <w:rPr>
                <w:rFonts w:ascii="宋体" w:hAnsi="宋体" w:cs="宋体"/>
                <w:color w:val="auto"/>
                <w:highlight w:val="none"/>
                <w:u w:val="single"/>
              </w:rPr>
              <w:t>5</w:t>
            </w:r>
            <w:r>
              <w:rPr>
                <w:rFonts w:hint="eastAsia" w:ascii="宋体" w:hAnsi="宋体" w:cs="宋体"/>
                <w:color w:val="auto"/>
                <w:highlight w:val="none"/>
                <w:u w:val="single"/>
                <w:lang w:val="zh-CN"/>
              </w:rPr>
              <w:t xml:space="preserve">  </w:t>
            </w:r>
            <w:r>
              <w:rPr>
                <w:rFonts w:hint="eastAsia" w:ascii="宋体" w:hAnsi="宋体" w:eastAsia="宋体" w:cs="宋体"/>
                <w:color w:val="auto"/>
                <w:highlight w:val="none"/>
                <w:lang w:val="zh-CN"/>
              </w:rPr>
              <w:t>分。</w:t>
            </w:r>
          </w:p>
        </w:tc>
        <w:tc>
          <w:tcPr>
            <w:tcW w:w="668"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Times New Roman"/>
                <w:color w:val="auto"/>
                <w:szCs w:val="21"/>
                <w:highlight w:val="none"/>
                <w:lang w:val="zh-CN"/>
              </w:rPr>
            </w:pPr>
          </w:p>
        </w:tc>
      </w:tr>
      <w:tr>
        <w:tblPrEx>
          <w:tblCellMar>
            <w:top w:w="0" w:type="dxa"/>
            <w:left w:w="108" w:type="dxa"/>
            <w:bottom w:w="0" w:type="dxa"/>
            <w:right w:w="108" w:type="dxa"/>
          </w:tblCellMar>
        </w:tblPrEx>
        <w:trPr>
          <w:trHeight w:val="20" w:hRule="atLeast"/>
          <w:jc w:val="center"/>
        </w:trPr>
        <w:tc>
          <w:tcPr>
            <w:tcW w:w="1641" w:type="dxa"/>
            <w:gridSpan w:val="2"/>
            <w:tcBorders>
              <w:top w:val="single" w:color="auto" w:sz="6" w:space="0"/>
              <w:left w:val="single" w:color="auto" w:sz="6" w:space="0"/>
              <w:bottom w:val="single" w:color="auto" w:sz="6" w:space="0"/>
              <w:right w:val="single" w:color="auto" w:sz="6" w:space="0"/>
            </w:tcBorders>
            <w:vAlign w:val="center"/>
          </w:tcPr>
          <w:p>
            <w:pPr>
              <w:wordWrap w:val="0"/>
              <w:topLinePunct/>
              <w:adjustRightInd w:val="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val="zh-CN"/>
              </w:rPr>
              <w:t>总计</w:t>
            </w:r>
          </w:p>
        </w:tc>
        <w:tc>
          <w:tcPr>
            <w:tcW w:w="1856"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100</w:t>
            </w:r>
          </w:p>
        </w:tc>
        <w:tc>
          <w:tcPr>
            <w:tcW w:w="10144"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rPr>
                <w:rFonts w:hint="eastAsia" w:ascii="宋体" w:hAnsi="宋体" w:eastAsia="宋体" w:cs="Times New Roman"/>
                <w:color w:val="auto"/>
                <w:szCs w:val="21"/>
                <w:highlight w:val="none"/>
              </w:rPr>
            </w:pPr>
          </w:p>
        </w:tc>
        <w:tc>
          <w:tcPr>
            <w:tcW w:w="668" w:type="dxa"/>
            <w:tcBorders>
              <w:top w:val="single" w:color="auto" w:sz="6" w:space="0"/>
              <w:left w:val="single" w:color="auto" w:sz="6" w:space="0"/>
              <w:bottom w:val="single" w:color="auto" w:sz="6" w:space="0"/>
              <w:right w:val="single" w:color="auto" w:sz="6" w:space="0"/>
            </w:tcBorders>
            <w:vAlign w:val="center"/>
          </w:tcPr>
          <w:p>
            <w:pPr>
              <w:wordWrap w:val="0"/>
              <w:topLinePunct/>
              <w:adjustRightInd w:val="0"/>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100</w:t>
            </w:r>
          </w:p>
        </w:tc>
      </w:tr>
    </w:tbl>
    <w:p>
      <w:pPr>
        <w:rPr>
          <w:rFonts w:hint="eastAsia" w:ascii="宋体" w:hAnsi="宋体" w:eastAsia="宋体" w:cs="Times New Roman"/>
          <w:b/>
          <w:color w:val="auto"/>
          <w:szCs w:val="24"/>
          <w:highlight w:val="none"/>
        </w:rPr>
      </w:pPr>
      <w:r>
        <w:rPr>
          <w:rFonts w:hint="eastAsia" w:ascii="宋体" w:hAnsi="宋体" w:eastAsia="宋体" w:cs="Times New Roman"/>
          <w:b/>
          <w:color w:val="auto"/>
          <w:szCs w:val="24"/>
          <w:highlight w:val="none"/>
        </w:rPr>
        <w:t>备注：</w:t>
      </w:r>
    </w:p>
    <w:p>
      <w:pPr>
        <w:spacing w:line="276" w:lineRule="auto"/>
        <w:ind w:firstLine="424" w:firstLineChars="20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w:t>
      </w:r>
      <w:r>
        <w:rPr>
          <w:rFonts w:hint="eastAsia" w:ascii="宋体" w:hAnsi="宋体" w:eastAsia="宋体" w:cs="宋体"/>
          <w:b/>
          <w:color w:val="auto"/>
          <w:szCs w:val="21"/>
          <w:highlight w:val="none"/>
          <w:lang w:val="zh-CN"/>
        </w:rPr>
        <w:t>近</w:t>
      </w:r>
      <w:r>
        <w:rPr>
          <w:rFonts w:ascii="宋体" w:hAnsi="宋体" w:eastAsia="宋体" w:cs="宋体"/>
          <w:b/>
          <w:color w:val="auto"/>
          <w:szCs w:val="21"/>
          <w:highlight w:val="none"/>
          <w:u w:val="single"/>
        </w:rPr>
        <w:t xml:space="preserve">   5   </w:t>
      </w:r>
      <w:r>
        <w:rPr>
          <w:rFonts w:hint="eastAsia" w:ascii="宋体" w:hAnsi="宋体" w:eastAsia="宋体" w:cs="宋体"/>
          <w:b/>
          <w:color w:val="auto"/>
          <w:szCs w:val="21"/>
          <w:highlight w:val="none"/>
          <w:lang w:val="zh-CN"/>
        </w:rPr>
        <w:t>年内是指</w:t>
      </w:r>
      <w:r>
        <w:rPr>
          <w:rFonts w:ascii="宋体" w:hAnsi="宋体" w:eastAsia="宋体" w:cs="宋体"/>
          <w:b/>
          <w:color w:val="auto"/>
          <w:szCs w:val="21"/>
          <w:highlight w:val="none"/>
          <w:u w:val="single"/>
        </w:rPr>
        <w:t>2020</w:t>
      </w:r>
      <w:r>
        <w:rPr>
          <w:rFonts w:hint="eastAsia" w:ascii="宋体" w:hAnsi="宋体" w:eastAsia="宋体" w:cs="宋体"/>
          <w:b/>
          <w:color w:val="auto"/>
          <w:szCs w:val="21"/>
          <w:highlight w:val="none"/>
          <w:lang w:val="zh-CN"/>
        </w:rPr>
        <w:t>年</w:t>
      </w:r>
      <w:r>
        <w:rPr>
          <w:rFonts w:ascii="宋体" w:hAnsi="宋体" w:eastAsia="宋体" w:cs="宋体"/>
          <w:b/>
          <w:color w:val="auto"/>
          <w:szCs w:val="21"/>
          <w:highlight w:val="none"/>
          <w:lang w:val="zh-CN"/>
        </w:rPr>
        <w:t>1月1日至投标截止日。</w:t>
      </w:r>
    </w:p>
    <w:p>
      <w:pPr>
        <w:spacing w:line="276" w:lineRule="auto"/>
        <w:ind w:firstLine="424" w:firstLineChars="20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二、类似业绩</w:t>
      </w:r>
    </w:p>
    <w:p>
      <w:pPr>
        <w:spacing w:line="276" w:lineRule="auto"/>
        <w:ind w:firstLine="424" w:firstLineChars="201"/>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1.类似勘察业绩：</w:t>
      </w:r>
    </w:p>
    <w:p>
      <w:pPr>
        <w:spacing w:line="276" w:lineRule="auto"/>
        <w:ind w:firstLine="422" w:firstLineChars="201"/>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宋体"/>
          <w:color w:val="auto"/>
          <w:szCs w:val="21"/>
          <w:highlight w:val="none"/>
        </w:rPr>
        <w:t>需同时提供的证明材料：</w:t>
      </w:r>
    </w:p>
    <w:p>
      <w:pPr>
        <w:spacing w:line="276" w:lineRule="auto"/>
        <w:ind w:firstLine="422" w:firstLineChars="201"/>
        <w:rPr>
          <w:rFonts w:hint="eastAsia" w:ascii="宋体" w:hAnsi="宋体" w:eastAsia="宋体" w:cs="Times New Roman"/>
          <w:color w:val="auto"/>
          <w:szCs w:val="21"/>
          <w:highlight w:val="none"/>
          <w:u w:val="single"/>
        </w:rPr>
      </w:pPr>
      <w:r>
        <w:rPr>
          <w:rFonts w:hint="eastAsia" w:ascii="宋体" w:hAnsi="宋体" w:eastAsia="宋体" w:cs="宋体"/>
          <w:color w:val="auto"/>
          <w:szCs w:val="21"/>
          <w:highlight w:val="none"/>
          <w:u w:val="single"/>
        </w:rPr>
        <w:t>①</w:t>
      </w:r>
      <w:r>
        <w:rPr>
          <w:rFonts w:hint="eastAsia" w:ascii="宋体" w:hAnsi="宋体" w:eastAsia="宋体" w:cs="Times New Roman"/>
          <w:color w:val="auto"/>
          <w:szCs w:val="21"/>
          <w:highlight w:val="none"/>
          <w:u w:val="single"/>
        </w:rPr>
        <w:t>中标通知书（或免招标证明）扫描件；</w:t>
      </w:r>
    </w:p>
    <w:p>
      <w:pPr>
        <w:spacing w:line="276" w:lineRule="auto"/>
        <w:ind w:firstLine="422" w:firstLineChars="201"/>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②勘察合同关键页扫描件；</w:t>
      </w:r>
    </w:p>
    <w:p>
      <w:pPr>
        <w:spacing w:line="276"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③勘察报告盖章签字页及勘察报告成果审查合格证明文件（如勘察报告成果评审会议纪要、施工图审查报告等）清晰扫描件。</w:t>
      </w:r>
    </w:p>
    <w:p>
      <w:pPr>
        <w:spacing w:line="276"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2）业绩时间以合同签订的时间为准。</w:t>
      </w:r>
    </w:p>
    <w:p>
      <w:pPr>
        <w:spacing w:line="276" w:lineRule="auto"/>
        <w:ind w:firstLine="422" w:firstLineChars="201"/>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3）</w:t>
      </w:r>
      <w:r>
        <w:rPr>
          <w:rFonts w:hint="eastAsia" w:ascii="宋体" w:hAnsi="宋体" w:eastAsia="宋体" w:cs="宋体"/>
          <w:color w:val="auto"/>
          <w:szCs w:val="21"/>
          <w:highlight w:val="none"/>
        </w:rPr>
        <w:t>如参与评审的勘察类似业绩为联合体形式完成的，须提供合同及联合体协议书，投标人必须为承担勘察业绩工作的一方，否则不得分。</w:t>
      </w:r>
    </w:p>
    <w:p>
      <w:pPr>
        <w:snapToGrid w:val="0"/>
        <w:spacing w:line="276" w:lineRule="auto"/>
        <w:ind w:firstLine="422" w:firstLineChars="201"/>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w:t>
      </w:r>
      <w:r>
        <w:rPr>
          <w:rFonts w:hint="eastAsia" w:ascii="宋体" w:hAnsi="宋体" w:eastAsia="宋体" w:cs="宋体"/>
          <w:color w:val="auto"/>
          <w:szCs w:val="21"/>
          <w:highlight w:val="none"/>
        </w:rPr>
        <w:t>同一项目含设计和勘察的按分别满足要求的各计算一次类似设计业绩和类似勘察业绩。</w:t>
      </w:r>
    </w:p>
    <w:p>
      <w:pPr>
        <w:spacing w:line="276" w:lineRule="auto"/>
        <w:ind w:firstLine="422" w:firstLineChars="201"/>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5）未符合以上内容或未按要求提供相关证明材料不得分。</w:t>
      </w:r>
    </w:p>
    <w:p>
      <w:pPr>
        <w:spacing w:line="276" w:lineRule="auto"/>
        <w:ind w:firstLine="424" w:firstLineChars="201"/>
        <w:jc w:val="left"/>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2.企业及人员类似设计业绩：</w:t>
      </w:r>
    </w:p>
    <w:p>
      <w:pPr>
        <w:spacing w:line="276" w:lineRule="auto"/>
        <w:ind w:firstLine="422" w:firstLineChars="201"/>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）类似设计业绩是指【</w:t>
      </w:r>
      <w:r>
        <w:rPr>
          <w:rFonts w:hint="eastAsia" w:ascii="宋体" w:hAnsi="宋体" w:eastAsia="宋体" w:cs="宋体"/>
          <w:b/>
          <w:bCs/>
          <w:color w:val="auto"/>
          <w:szCs w:val="21"/>
          <w:highlight w:val="none"/>
        </w:rPr>
        <w:t>水利工程】设计项目。</w:t>
      </w:r>
    </w:p>
    <w:p>
      <w:pPr>
        <w:spacing w:line="276" w:lineRule="auto"/>
        <w:ind w:firstLine="422" w:firstLineChars="201"/>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宋体"/>
          <w:color w:val="auto"/>
          <w:szCs w:val="21"/>
          <w:highlight w:val="none"/>
        </w:rPr>
        <w:t>需同时提供的证明材料：</w:t>
      </w:r>
    </w:p>
    <w:p>
      <w:pPr>
        <w:spacing w:line="276" w:lineRule="auto"/>
        <w:ind w:firstLine="422" w:firstLineChars="201"/>
        <w:rPr>
          <w:rFonts w:hint="eastAsia" w:ascii="宋体" w:hAnsi="宋体" w:eastAsia="宋体" w:cs="Times New Roman"/>
          <w:color w:val="auto"/>
          <w:szCs w:val="21"/>
          <w:highlight w:val="none"/>
          <w:u w:val="single"/>
        </w:rPr>
      </w:pPr>
      <w:r>
        <w:rPr>
          <w:rFonts w:hint="eastAsia" w:ascii="宋体" w:hAnsi="宋体" w:eastAsia="宋体" w:cs="宋体"/>
          <w:color w:val="auto"/>
          <w:szCs w:val="21"/>
          <w:highlight w:val="none"/>
          <w:u w:val="single"/>
        </w:rPr>
        <w:t>①</w:t>
      </w:r>
      <w:r>
        <w:rPr>
          <w:rFonts w:hint="eastAsia" w:ascii="宋体" w:hAnsi="宋体" w:eastAsia="宋体" w:cs="Times New Roman"/>
          <w:color w:val="auto"/>
          <w:szCs w:val="21"/>
          <w:highlight w:val="none"/>
          <w:u w:val="single"/>
        </w:rPr>
        <w:t>中标通知书（或免招标证明）扫描件；</w:t>
      </w:r>
    </w:p>
    <w:p>
      <w:pPr>
        <w:spacing w:line="276" w:lineRule="auto"/>
        <w:ind w:firstLine="422" w:firstLineChars="201"/>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②设计合同关键页扫描件；</w:t>
      </w:r>
    </w:p>
    <w:p>
      <w:pPr>
        <w:spacing w:line="276"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③初步设计审查证明材料或初步设计会议评审纪要（或批复）或施工图审查证明材料或项目业主对其履约情况的证明材料</w:t>
      </w:r>
      <w:r>
        <w:rPr>
          <w:rFonts w:hint="eastAsia" w:ascii="宋体" w:hAnsi="宋体" w:eastAsia="宋体" w:cs="Times New Roman"/>
          <w:color w:val="auto"/>
          <w:szCs w:val="21"/>
          <w:highlight w:val="none"/>
          <w:u w:val="single"/>
        </w:rPr>
        <w:t>扫描件</w:t>
      </w:r>
      <w:r>
        <w:rPr>
          <w:rFonts w:hint="eastAsia" w:ascii="宋体" w:hAnsi="宋体" w:eastAsia="宋体" w:cs="宋体"/>
          <w:color w:val="auto"/>
          <w:szCs w:val="21"/>
          <w:highlight w:val="none"/>
          <w:u w:val="single"/>
        </w:rPr>
        <w:t>。</w:t>
      </w:r>
    </w:p>
    <w:p>
      <w:pPr>
        <w:spacing w:line="276" w:lineRule="auto"/>
        <w:ind w:firstLine="422" w:firstLineChars="201"/>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3）业绩时间以合同签订的时间为准。</w:t>
      </w:r>
      <w:r>
        <w:rPr>
          <w:rFonts w:hint="eastAsia" w:ascii="宋体" w:hAnsi="宋体" w:eastAsia="宋体" w:cs="宋体"/>
          <w:b/>
          <w:color w:val="auto"/>
          <w:szCs w:val="21"/>
          <w:highlight w:val="none"/>
        </w:rPr>
        <w:t>人员类似设计业绩证明材料需体现相应人员的名字。</w:t>
      </w:r>
    </w:p>
    <w:p>
      <w:pPr>
        <w:spacing w:line="276" w:lineRule="auto"/>
        <w:ind w:firstLine="422" w:firstLineChars="201"/>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w:t>
      </w:r>
      <w:r>
        <w:rPr>
          <w:rFonts w:hint="eastAsia" w:ascii="宋体" w:hAnsi="宋体" w:eastAsia="宋体" w:cs="宋体"/>
          <w:color w:val="auto"/>
          <w:szCs w:val="21"/>
          <w:highlight w:val="none"/>
        </w:rPr>
        <w:t>如参与评审的勘察类似业绩为联合体形式完成的，须提供合同及联合体协议书，投标人必须为承担设计业绩工作的一方，否则不得分。</w:t>
      </w:r>
    </w:p>
    <w:p>
      <w:pPr>
        <w:snapToGrid w:val="0"/>
        <w:spacing w:line="276" w:lineRule="auto"/>
        <w:ind w:firstLine="422" w:firstLineChars="201"/>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5）</w:t>
      </w:r>
      <w:r>
        <w:rPr>
          <w:rFonts w:hint="eastAsia" w:ascii="宋体" w:hAnsi="宋体" w:eastAsia="宋体" w:cs="宋体"/>
          <w:color w:val="auto"/>
          <w:szCs w:val="21"/>
          <w:highlight w:val="none"/>
        </w:rPr>
        <w:t>同一项目含设计和勘察的按分别满足要求的各计算一次类似设计业绩和类似勘察业绩。</w:t>
      </w:r>
    </w:p>
    <w:p>
      <w:pPr>
        <w:spacing w:line="276" w:lineRule="auto"/>
        <w:ind w:firstLine="422" w:firstLineChars="201"/>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6）未符合以上内容或未按要求提供相关证明材料不得分。</w:t>
      </w:r>
    </w:p>
    <w:p>
      <w:pPr>
        <w:spacing w:line="276" w:lineRule="auto"/>
        <w:ind w:firstLine="424" w:firstLineChars="20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三、项目拟投入人员</w:t>
      </w:r>
    </w:p>
    <w:p>
      <w:pPr>
        <w:spacing w:line="276" w:lineRule="auto"/>
        <w:ind w:firstLine="422" w:firstLineChars="201"/>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宋体"/>
          <w:color w:val="auto"/>
          <w:szCs w:val="21"/>
          <w:highlight w:val="none"/>
        </w:rPr>
        <w:t>需提供的证明材料：</w:t>
      </w:r>
    </w:p>
    <w:p>
      <w:pPr>
        <w:spacing w:line="276" w:lineRule="auto"/>
        <w:ind w:firstLine="422" w:firstLineChars="201"/>
        <w:rPr>
          <w:rFonts w:hint="eastAsia" w:ascii="宋体" w:hAnsi="宋体" w:eastAsia="宋体" w:cs="Times New Roman"/>
          <w:color w:val="auto"/>
          <w:szCs w:val="21"/>
          <w:highlight w:val="none"/>
          <w:u w:val="single"/>
        </w:rPr>
      </w:pPr>
      <w:r>
        <w:rPr>
          <w:rFonts w:hint="eastAsia" w:ascii="宋体" w:hAnsi="宋体" w:eastAsia="宋体" w:cs="宋体"/>
          <w:color w:val="auto"/>
          <w:szCs w:val="21"/>
          <w:highlight w:val="none"/>
          <w:u w:val="single"/>
        </w:rPr>
        <w:t>①按评分要求提供相应的职称证、注册证、身份证、毕业证等</w:t>
      </w:r>
      <w:r>
        <w:rPr>
          <w:rFonts w:hint="eastAsia" w:ascii="宋体" w:hAnsi="宋体" w:eastAsia="宋体" w:cs="Times New Roman"/>
          <w:color w:val="auto"/>
          <w:szCs w:val="21"/>
          <w:highlight w:val="none"/>
          <w:u w:val="single"/>
        </w:rPr>
        <w:t>扫描件；</w:t>
      </w:r>
    </w:p>
    <w:p>
      <w:pPr>
        <w:spacing w:line="276" w:lineRule="auto"/>
        <w:ind w:firstLine="422" w:firstLineChars="201"/>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u w:val="single"/>
        </w:rPr>
        <w:t>②近</w:t>
      </w:r>
      <w:r>
        <w:rPr>
          <w:rFonts w:ascii="宋体" w:hAnsi="宋体" w:eastAsia="宋体" w:cs="Times New Roman"/>
          <w:color w:val="auto"/>
          <w:szCs w:val="21"/>
          <w:highlight w:val="none"/>
          <w:u w:val="single"/>
        </w:rPr>
        <w:t>1个月（2025</w:t>
      </w:r>
      <w:r>
        <w:rPr>
          <w:rFonts w:hint="eastAsia" w:ascii="宋体" w:hAnsi="宋体" w:eastAsia="宋体" w:cs="Times New Roman"/>
          <w:color w:val="auto"/>
          <w:szCs w:val="21"/>
          <w:highlight w:val="none"/>
          <w:u w:val="single"/>
        </w:rPr>
        <w:t>年</w:t>
      </w:r>
      <w:r>
        <w:rPr>
          <w:rFonts w:ascii="宋体" w:hAnsi="宋体" w:eastAsia="宋体" w:cs="Times New Roman"/>
          <w:color w:val="auto"/>
          <w:szCs w:val="21"/>
          <w:highlight w:val="none"/>
          <w:u w:val="single"/>
        </w:rPr>
        <w:t xml:space="preserve"> 0</w:t>
      </w:r>
      <w:r>
        <w:rPr>
          <w:rFonts w:hint="eastAsia" w:ascii="宋体" w:hAnsi="宋体" w:eastAsia="宋体" w:cs="Times New Roman"/>
          <w:color w:val="auto"/>
          <w:szCs w:val="21"/>
          <w:highlight w:val="none"/>
          <w:u w:val="single"/>
          <w:lang w:val="en-US" w:eastAsia="zh-CN"/>
        </w:rPr>
        <w:t>7</w:t>
      </w:r>
      <w:r>
        <w:rPr>
          <w:rFonts w:ascii="宋体" w:hAnsi="宋体" w:eastAsia="宋体" w:cs="Times New Roman"/>
          <w:color w:val="auto"/>
          <w:szCs w:val="21"/>
          <w:highlight w:val="none"/>
          <w:u w:val="single"/>
        </w:rPr>
        <w:t>月或0</w:t>
      </w:r>
      <w:r>
        <w:rPr>
          <w:rFonts w:hint="eastAsia" w:ascii="宋体" w:hAnsi="宋体" w:eastAsia="宋体" w:cs="Times New Roman"/>
          <w:color w:val="auto"/>
          <w:szCs w:val="21"/>
          <w:highlight w:val="none"/>
          <w:u w:val="single"/>
          <w:lang w:val="en-US" w:eastAsia="zh-CN"/>
        </w:rPr>
        <w:t>8</w:t>
      </w:r>
      <w:r>
        <w:rPr>
          <w:rFonts w:ascii="宋体" w:hAnsi="宋体" w:eastAsia="宋体" w:cs="Times New Roman"/>
          <w:color w:val="auto"/>
          <w:szCs w:val="21"/>
          <w:highlight w:val="none"/>
          <w:u w:val="single"/>
        </w:rPr>
        <w:t>月</w:t>
      </w:r>
      <w:r>
        <w:rPr>
          <w:rFonts w:hint="eastAsia" w:ascii="宋体" w:hAnsi="宋体" w:eastAsia="宋体" w:cs="Times New Roman"/>
          <w:color w:val="auto"/>
          <w:szCs w:val="21"/>
          <w:highlight w:val="none"/>
          <w:u w:val="single"/>
        </w:rPr>
        <w:t>）社保证明（含分公司或分支机构社保缴纳记录）。</w:t>
      </w:r>
    </w:p>
    <w:p>
      <w:pPr>
        <w:spacing w:line="276" w:lineRule="auto"/>
        <w:ind w:firstLine="422" w:firstLineChars="201"/>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宋体"/>
          <w:color w:val="auto"/>
          <w:szCs w:val="21"/>
          <w:highlight w:val="none"/>
        </w:rPr>
        <w:t>注册类人员包括在广东省住房和城乡建设主管部门备案且备案的业务范围符合上述注册人员要求的香港专业人士。</w:t>
      </w:r>
    </w:p>
    <w:p>
      <w:pPr>
        <w:spacing w:line="276" w:lineRule="auto"/>
        <w:ind w:firstLine="422" w:firstLineChars="201"/>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3）设计经历从毕业证书的核发时</w:t>
      </w:r>
      <w:r>
        <w:rPr>
          <w:rFonts w:hint="eastAsia" w:ascii="宋体" w:hAnsi="宋体" w:eastAsia="宋体" w:cs="宋体"/>
          <w:color w:val="auto"/>
          <w:szCs w:val="21"/>
          <w:highlight w:val="none"/>
        </w:rPr>
        <w:t>间</w:t>
      </w:r>
      <w:r>
        <w:rPr>
          <w:rFonts w:ascii="宋体" w:hAnsi="宋体" w:eastAsia="宋体" w:cs="宋体"/>
          <w:color w:val="auto"/>
          <w:szCs w:val="21"/>
          <w:highlight w:val="none"/>
        </w:rPr>
        <w:t>[大学专科（或以上）学历]起计。</w:t>
      </w:r>
    </w:p>
    <w:p>
      <w:pPr>
        <w:spacing w:line="276" w:lineRule="auto"/>
        <w:ind w:firstLine="424" w:firstLineChars="201"/>
        <w:rPr>
          <w:rFonts w:hint="eastAsia" w:ascii="宋体" w:hAnsi="宋体" w:eastAsia="宋体" w:cs="宋体"/>
          <w:color w:val="auto"/>
          <w:szCs w:val="21"/>
          <w:highlight w:val="none"/>
          <w:u w:val="single"/>
        </w:rPr>
      </w:pPr>
      <w:r>
        <w:rPr>
          <w:rFonts w:hint="eastAsia" w:ascii="宋体" w:hAnsi="宋体" w:eastAsia="宋体" w:cs="Times New Roman"/>
          <w:b/>
          <w:color w:val="auto"/>
          <w:szCs w:val="21"/>
          <w:highlight w:val="none"/>
        </w:rPr>
        <w:t>四、以联合体方式投标的，勘察、测量专业负责人及企业类似勘察业绩按联合体共同投标协议中承担勘察工作的联合体成员的证明材料计算得分，设计专业负责人按联合体共同投标协议中承担设计工作的联合体成员的证明材料计算得分；其他各项评分内容仅按联合体主办方的证明材料计算得分。</w:t>
      </w:r>
    </w:p>
    <w:p>
      <w:pPr>
        <w:autoSpaceDE w:val="0"/>
        <w:autoSpaceDN w:val="0"/>
        <w:adjustRightInd w:val="0"/>
        <w:spacing w:line="312" w:lineRule="atLeast"/>
        <w:textAlignment w:val="baseline"/>
        <w:rPr>
          <w:rFonts w:hint="eastAsia" w:ascii="宋体" w:hAnsi="宋体" w:eastAsia="宋体" w:cs="宋体"/>
          <w:color w:val="auto"/>
          <w:szCs w:val="21"/>
          <w:highlight w:val="none"/>
        </w:rPr>
      </w:pPr>
    </w:p>
    <w:p>
      <w:pPr>
        <w:widowControl/>
        <w:jc w:val="left"/>
        <w:rPr>
          <w:rFonts w:hint="eastAsia" w:ascii="宋体" w:hAnsi="宋体" w:eastAsia="宋体" w:cs="宋体"/>
          <w:color w:val="auto"/>
          <w:szCs w:val="21"/>
          <w:highlight w:val="none"/>
        </w:rPr>
      </w:pPr>
      <w:r>
        <w:rPr>
          <w:rFonts w:ascii="宋体" w:hAnsi="宋体" w:eastAsia="宋体" w:cs="宋体"/>
          <w:color w:val="auto"/>
          <w:szCs w:val="21"/>
          <w:highlight w:val="none"/>
        </w:rPr>
        <w:br w:type="page"/>
      </w:r>
    </w:p>
    <w:p>
      <w:pPr>
        <w:wordWrap w:val="0"/>
        <w:ind w:firstLine="420" w:firstLineChars="200"/>
        <w:rPr>
          <w:rFonts w:hint="eastAsia" w:ascii="宋体" w:hAnsi="宋体" w:eastAsia="宋体" w:cs="宋体"/>
          <w:color w:val="auto"/>
          <w:szCs w:val="21"/>
          <w:highlight w:val="none"/>
        </w:rPr>
        <w:sectPr>
          <w:type w:val="continuous"/>
          <w:pgSz w:w="16838" w:h="11905" w:orient="landscape"/>
          <w:pgMar w:top="1701" w:right="1474" w:bottom="1701" w:left="1474" w:header="720" w:footer="720" w:gutter="0"/>
          <w:cols w:space="720" w:num="1"/>
        </w:sectPr>
      </w:pPr>
    </w:p>
    <w:p>
      <w:pPr>
        <w:wordWrap w:val="0"/>
        <w:autoSpaceDE w:val="0"/>
        <w:autoSpaceDN w:val="0"/>
        <w:spacing w:line="276" w:lineRule="auto"/>
        <w:jc w:val="left"/>
        <w:outlineLvl w:val="3"/>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附件二：</w:t>
      </w:r>
    </w:p>
    <w:p>
      <w:pPr>
        <w:wordWrap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勘察设计方案评分表</w:t>
      </w:r>
    </w:p>
    <w:tbl>
      <w:tblPr>
        <w:tblStyle w:val="45"/>
        <w:tblW w:w="14940"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4"/>
        <w:gridCol w:w="996"/>
        <w:gridCol w:w="1085"/>
        <w:gridCol w:w="11155"/>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04" w:type="dxa"/>
            <w:vAlign w:val="center"/>
          </w:tcPr>
          <w:p>
            <w:pPr>
              <w:wordWrap w:val="0"/>
              <w:topLinePunct/>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序号</w:t>
            </w:r>
          </w:p>
        </w:tc>
        <w:tc>
          <w:tcPr>
            <w:tcW w:w="996" w:type="dxa"/>
            <w:vAlign w:val="center"/>
          </w:tcPr>
          <w:p>
            <w:pPr>
              <w:wordWrap w:val="0"/>
              <w:topLinePunct/>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项目</w:t>
            </w:r>
          </w:p>
        </w:tc>
        <w:tc>
          <w:tcPr>
            <w:tcW w:w="1085" w:type="dxa"/>
            <w:vAlign w:val="center"/>
          </w:tcPr>
          <w:p>
            <w:pPr>
              <w:wordWrap w:val="0"/>
              <w:topLinePunct/>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分值分配</w:t>
            </w:r>
          </w:p>
        </w:tc>
        <w:tc>
          <w:tcPr>
            <w:tcW w:w="11155" w:type="dxa"/>
            <w:vAlign w:val="center"/>
          </w:tcPr>
          <w:p>
            <w:pPr>
              <w:wordWrap w:val="0"/>
              <w:topLinePunct/>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内</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容</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04" w:type="dxa"/>
            <w:vAlign w:val="center"/>
          </w:tcPr>
          <w:p>
            <w:pPr>
              <w:wordWrap w:val="0"/>
              <w:topLinePunct/>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一</w:t>
            </w:r>
          </w:p>
        </w:tc>
        <w:tc>
          <w:tcPr>
            <w:tcW w:w="996" w:type="dxa"/>
            <w:vAlign w:val="center"/>
          </w:tcPr>
          <w:p>
            <w:pPr>
              <w:topLinePunct/>
              <w:spacing w:line="276" w:lineRule="auto"/>
              <w:jc w:val="center"/>
              <w:rPr>
                <w:rFonts w:hint="eastAsia" w:ascii="宋体" w:hAnsi="宋体" w:eastAsia="宋体" w:cs="宋体"/>
                <w:color w:val="auto"/>
                <w:szCs w:val="21"/>
                <w:highlight w:val="none"/>
              </w:rPr>
            </w:pPr>
            <w:r>
              <w:rPr>
                <w:rFonts w:ascii="宋体" w:hAnsi="宋体" w:eastAsia="宋体" w:cs="Times New Roman"/>
                <w:color w:val="auto"/>
                <w:szCs w:val="21"/>
                <w:highlight w:val="none"/>
                <w:lang w:val="zh-CN"/>
              </w:rPr>
              <w:t>投标文件的符合性</w:t>
            </w:r>
          </w:p>
        </w:tc>
        <w:tc>
          <w:tcPr>
            <w:tcW w:w="1085" w:type="dxa"/>
            <w:vAlign w:val="center"/>
          </w:tcPr>
          <w:p>
            <w:pPr>
              <w:topLinePunct/>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lang w:val="zh-CN"/>
              </w:rPr>
              <w:t>[10]</w:t>
            </w:r>
          </w:p>
        </w:tc>
        <w:tc>
          <w:tcPr>
            <w:tcW w:w="11155" w:type="dxa"/>
            <w:vAlign w:val="center"/>
          </w:tcPr>
          <w:p>
            <w:pPr>
              <w:spacing w:line="276" w:lineRule="auto"/>
              <w:rPr>
                <w:rFonts w:hint="eastAsia" w:ascii="宋体" w:hAnsi="宋体" w:cs="宋体"/>
                <w:bCs/>
                <w:color w:val="auto"/>
                <w:highlight w:val="none"/>
                <w:lang w:val="zh-TW"/>
              </w:rPr>
            </w:pPr>
            <w:r>
              <w:rPr>
                <w:rFonts w:hint="eastAsia" w:ascii="宋体" w:hAnsi="宋体" w:eastAsia="宋体" w:cs="宋体"/>
                <w:bCs/>
                <w:color w:val="auto"/>
                <w:highlight w:val="none"/>
                <w:lang w:val="zh-TW"/>
              </w:rPr>
              <w:t>整个设计内容符合招标文件要求，内容全面，设计总说明书文字表达清楚、思路清晰、重点和难点突出、图纸及文卷质量高。</w:t>
            </w:r>
          </w:p>
          <w:p>
            <w:pPr>
              <w:topLinePunct/>
              <w:spacing w:line="276" w:lineRule="auto"/>
              <w:rPr>
                <w:rFonts w:hint="eastAsia" w:ascii="宋体" w:hAnsi="宋体" w:cs="宋体"/>
                <w:color w:val="auto"/>
                <w:highlight w:val="none"/>
              </w:rPr>
            </w:pPr>
            <w:r>
              <w:rPr>
                <w:rFonts w:hint="eastAsia" w:ascii="宋体" w:hAnsi="宋体" w:eastAsia="宋体" w:cs="宋体"/>
                <w:bCs/>
                <w:color w:val="auto"/>
                <w:highlight w:val="none"/>
                <w:lang w:val="zh-TW"/>
              </w:rPr>
              <w:t>优得</w:t>
            </w:r>
            <w:r>
              <w:rPr>
                <w:rFonts w:hint="eastAsia" w:ascii="宋体" w:hAnsi="宋体" w:cs="宋体"/>
                <w:bCs/>
                <w:color w:val="auto"/>
                <w:highlight w:val="none"/>
                <w:lang w:val="zh-TW"/>
              </w:rPr>
              <w:t>10</w:t>
            </w:r>
            <w:r>
              <w:rPr>
                <w:rFonts w:hint="eastAsia" w:ascii="宋体" w:hAnsi="宋体" w:cs="宋体"/>
                <w:bCs/>
                <w:color w:val="auto"/>
                <w:highlight w:val="none"/>
              </w:rPr>
              <w:t>-9</w:t>
            </w:r>
            <w:r>
              <w:rPr>
                <w:rFonts w:hint="eastAsia" w:ascii="宋体" w:hAnsi="宋体" w:eastAsia="宋体" w:cs="宋体"/>
                <w:bCs/>
                <w:color w:val="auto"/>
                <w:highlight w:val="none"/>
                <w:lang w:val="zh-TW"/>
              </w:rPr>
              <w:t>分，良得</w:t>
            </w:r>
            <w:r>
              <w:rPr>
                <w:rFonts w:hint="eastAsia" w:ascii="宋体" w:hAnsi="宋体" w:cs="宋体"/>
                <w:bCs/>
                <w:color w:val="auto"/>
                <w:highlight w:val="none"/>
              </w:rPr>
              <w:t>8-7</w:t>
            </w:r>
            <w:r>
              <w:rPr>
                <w:rFonts w:hint="eastAsia" w:ascii="宋体" w:hAnsi="宋体" w:eastAsia="宋体" w:cs="宋体"/>
                <w:bCs/>
                <w:color w:val="auto"/>
                <w:highlight w:val="none"/>
                <w:lang w:val="zh-TW"/>
              </w:rPr>
              <w:t>分，一般得</w:t>
            </w:r>
            <w:r>
              <w:rPr>
                <w:rFonts w:hint="eastAsia" w:ascii="宋体" w:hAnsi="宋体" w:cs="宋体"/>
                <w:bCs/>
                <w:color w:val="auto"/>
                <w:highlight w:val="none"/>
              </w:rPr>
              <w:t>6-</w:t>
            </w:r>
            <w:r>
              <w:rPr>
                <w:rFonts w:hint="eastAsia" w:ascii="宋体" w:hAnsi="宋体" w:cs="宋体"/>
                <w:bCs/>
                <w:color w:val="auto"/>
                <w:highlight w:val="none"/>
                <w:lang w:val="zh-TW"/>
              </w:rPr>
              <w:t>5</w:t>
            </w:r>
            <w:r>
              <w:rPr>
                <w:rFonts w:hint="eastAsia" w:ascii="宋体" w:hAnsi="宋体" w:eastAsia="宋体" w:cs="宋体"/>
                <w:bCs/>
                <w:color w:val="auto"/>
                <w:highlight w:val="none"/>
                <w:lang w:val="zh-TW"/>
              </w:rPr>
              <w:t>分，无得</w:t>
            </w:r>
            <w:r>
              <w:rPr>
                <w:rFonts w:hint="eastAsia" w:ascii="宋体" w:hAnsi="宋体" w:cs="宋体"/>
                <w:bCs/>
                <w:color w:val="auto"/>
                <w:highlight w:val="none"/>
                <w:lang w:val="zh-TW"/>
              </w:rPr>
              <w:t>0</w:t>
            </w:r>
            <w:r>
              <w:rPr>
                <w:rFonts w:hint="eastAsia" w:ascii="宋体" w:hAnsi="宋体" w:eastAsia="宋体" w:cs="宋体"/>
                <w:bCs/>
                <w:color w:val="auto"/>
                <w:highlight w:val="none"/>
                <w:lang w:val="zh-TW"/>
              </w:rPr>
              <w:t>分。</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804" w:type="dxa"/>
            <w:vMerge w:val="restart"/>
            <w:vAlign w:val="center"/>
          </w:tcPr>
          <w:p>
            <w:pPr>
              <w:wordWrap w:val="0"/>
              <w:topLinePunct/>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w:t>
            </w:r>
          </w:p>
        </w:tc>
        <w:tc>
          <w:tcPr>
            <w:tcW w:w="996" w:type="dxa"/>
            <w:vMerge w:val="restart"/>
            <w:vAlign w:val="center"/>
          </w:tcPr>
          <w:p>
            <w:pPr>
              <w:topLinePunct/>
              <w:spacing w:line="276" w:lineRule="auto"/>
              <w:jc w:val="center"/>
              <w:rPr>
                <w:rFonts w:hint="eastAsia" w:ascii="宋体" w:hAnsi="宋体" w:eastAsia="宋体" w:cs="宋体"/>
                <w:color w:val="auto"/>
                <w:szCs w:val="21"/>
                <w:highlight w:val="none"/>
                <w:lang w:val="zh-CN"/>
              </w:rPr>
            </w:pPr>
            <w:r>
              <w:rPr>
                <w:rFonts w:ascii="宋体" w:hAnsi="宋体" w:eastAsia="宋体" w:cs="Times New Roman"/>
                <w:color w:val="auto"/>
                <w:szCs w:val="21"/>
                <w:highlight w:val="none"/>
                <w:lang w:val="zh-CN"/>
              </w:rPr>
              <w:t>设计方案及勘察大纲</w:t>
            </w:r>
          </w:p>
        </w:tc>
        <w:tc>
          <w:tcPr>
            <w:tcW w:w="1085" w:type="dxa"/>
            <w:vMerge w:val="restart"/>
            <w:vAlign w:val="center"/>
          </w:tcPr>
          <w:p>
            <w:pPr>
              <w:topLinePunct/>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lang w:val="zh-CN"/>
              </w:rPr>
              <w:t>[</w:t>
            </w:r>
            <w:r>
              <w:rPr>
                <w:rFonts w:ascii="宋体" w:hAnsi="宋体" w:eastAsia="宋体" w:cs="Times New Roman"/>
                <w:color w:val="auto"/>
                <w:szCs w:val="21"/>
                <w:highlight w:val="none"/>
              </w:rPr>
              <w:t>80</w:t>
            </w:r>
            <w:r>
              <w:rPr>
                <w:rFonts w:ascii="宋体" w:hAnsi="宋体" w:eastAsia="宋体" w:cs="宋体"/>
                <w:color w:val="auto"/>
                <w:szCs w:val="21"/>
                <w:highlight w:val="none"/>
                <w:lang w:val="zh-CN"/>
              </w:rPr>
              <w:t>]</w:t>
            </w:r>
          </w:p>
        </w:tc>
        <w:tc>
          <w:tcPr>
            <w:tcW w:w="11155" w:type="dxa"/>
            <w:vAlign w:val="center"/>
          </w:tcPr>
          <w:p>
            <w:pPr>
              <w:spacing w:line="276" w:lineRule="auto"/>
              <w:rPr>
                <w:rFonts w:hint="eastAsia" w:ascii="宋体" w:hAnsi="宋体" w:cs="宋体"/>
                <w:bCs/>
                <w:color w:val="auto"/>
                <w:highlight w:val="none"/>
                <w:lang w:val="zh-TW"/>
              </w:rPr>
            </w:pPr>
            <w:r>
              <w:rPr>
                <w:rFonts w:hint="eastAsia" w:ascii="宋体" w:hAnsi="宋体" w:cs="宋体"/>
                <w:bCs/>
                <w:color w:val="auto"/>
                <w:highlight w:val="none"/>
                <w:lang w:val="zh-TW"/>
              </w:rPr>
              <w:t>1</w:t>
            </w:r>
            <w:r>
              <w:rPr>
                <w:rFonts w:hint="eastAsia" w:ascii="宋体" w:hAnsi="宋体" w:eastAsia="宋体" w:cs="宋体"/>
                <w:bCs/>
                <w:color w:val="auto"/>
                <w:highlight w:val="none"/>
                <w:lang w:val="zh-TW"/>
              </w:rPr>
              <w:t>、项目认识：对项目特点和招标文件理解全面，设计目标明确，内容明确具体、文字表达清晰。</w:t>
            </w:r>
          </w:p>
          <w:p>
            <w:pPr>
              <w:topLinePunct/>
              <w:spacing w:line="276" w:lineRule="auto"/>
              <w:rPr>
                <w:rFonts w:hint="eastAsia" w:ascii="宋体" w:hAnsi="宋体" w:cs="宋体"/>
                <w:bCs/>
                <w:color w:val="auto"/>
                <w:highlight w:val="none"/>
              </w:rPr>
            </w:pPr>
            <w:r>
              <w:rPr>
                <w:rFonts w:hint="eastAsia" w:ascii="宋体" w:hAnsi="宋体" w:eastAsia="宋体" w:cs="宋体"/>
                <w:bCs/>
                <w:color w:val="auto"/>
                <w:highlight w:val="none"/>
                <w:lang w:val="zh-TW"/>
              </w:rPr>
              <w:t>优得</w:t>
            </w:r>
            <w:r>
              <w:rPr>
                <w:rFonts w:hint="eastAsia" w:ascii="宋体" w:hAnsi="宋体" w:cs="宋体"/>
                <w:bCs/>
                <w:color w:val="auto"/>
                <w:highlight w:val="none"/>
                <w:lang w:val="zh-TW"/>
              </w:rPr>
              <w:t>10</w:t>
            </w:r>
            <w:r>
              <w:rPr>
                <w:rFonts w:hint="eastAsia" w:ascii="宋体" w:hAnsi="宋体" w:cs="宋体"/>
                <w:bCs/>
                <w:color w:val="auto"/>
                <w:highlight w:val="none"/>
              </w:rPr>
              <w:t>-9</w:t>
            </w:r>
            <w:r>
              <w:rPr>
                <w:rFonts w:hint="eastAsia" w:ascii="宋体" w:hAnsi="宋体" w:eastAsia="宋体" w:cs="宋体"/>
                <w:bCs/>
                <w:color w:val="auto"/>
                <w:highlight w:val="none"/>
                <w:lang w:val="zh-TW"/>
              </w:rPr>
              <w:t>分，良得</w:t>
            </w:r>
            <w:r>
              <w:rPr>
                <w:rFonts w:hint="eastAsia" w:ascii="宋体" w:hAnsi="宋体" w:cs="宋体"/>
                <w:bCs/>
                <w:color w:val="auto"/>
                <w:highlight w:val="none"/>
              </w:rPr>
              <w:t>8-7</w:t>
            </w:r>
            <w:r>
              <w:rPr>
                <w:rFonts w:hint="eastAsia" w:ascii="宋体" w:hAnsi="宋体" w:eastAsia="宋体" w:cs="宋体"/>
                <w:bCs/>
                <w:color w:val="auto"/>
                <w:highlight w:val="none"/>
                <w:lang w:val="zh-TW"/>
              </w:rPr>
              <w:t>分，一般得</w:t>
            </w:r>
            <w:r>
              <w:rPr>
                <w:rFonts w:hint="eastAsia" w:ascii="宋体" w:hAnsi="宋体" w:cs="宋体"/>
                <w:bCs/>
                <w:color w:val="auto"/>
                <w:highlight w:val="none"/>
              </w:rPr>
              <w:t>6-5</w:t>
            </w:r>
            <w:r>
              <w:rPr>
                <w:rFonts w:hint="eastAsia" w:ascii="宋体" w:hAnsi="宋体" w:eastAsia="宋体" w:cs="宋体"/>
                <w:bCs/>
                <w:color w:val="auto"/>
                <w:highlight w:val="none"/>
                <w:lang w:val="zh-TW"/>
              </w:rPr>
              <w:t>分，无得</w:t>
            </w:r>
            <w:r>
              <w:rPr>
                <w:rFonts w:hint="eastAsia" w:ascii="宋体" w:hAnsi="宋体" w:cs="宋体"/>
                <w:bCs/>
                <w:color w:val="auto"/>
                <w:highlight w:val="none"/>
                <w:lang w:val="zh-TW"/>
              </w:rPr>
              <w:t>0</w:t>
            </w:r>
            <w:r>
              <w:rPr>
                <w:rFonts w:hint="eastAsia" w:ascii="宋体" w:hAnsi="宋体" w:eastAsia="宋体" w:cs="宋体"/>
                <w:bCs/>
                <w:color w:val="auto"/>
                <w:highlight w:val="none"/>
                <w:lang w:val="zh-TW"/>
              </w:rPr>
              <w:t>分。</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804"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996" w:type="dxa"/>
            <w:vMerge w:val="continue"/>
            <w:textDirection w:val="tbRlV"/>
            <w:vAlign w:val="center"/>
          </w:tcPr>
          <w:p>
            <w:pPr>
              <w:topLinePunct/>
              <w:spacing w:line="276" w:lineRule="auto"/>
              <w:ind w:left="113" w:right="113"/>
              <w:jc w:val="center"/>
              <w:rPr>
                <w:rFonts w:hint="eastAsia" w:ascii="宋体" w:hAnsi="宋体" w:eastAsia="宋体" w:cs="宋体"/>
                <w:color w:val="auto"/>
                <w:szCs w:val="21"/>
                <w:highlight w:val="none"/>
              </w:rPr>
            </w:pPr>
          </w:p>
        </w:tc>
        <w:tc>
          <w:tcPr>
            <w:tcW w:w="1085" w:type="dxa"/>
            <w:vMerge w:val="continue"/>
            <w:vAlign w:val="center"/>
          </w:tcPr>
          <w:p>
            <w:pPr>
              <w:topLinePunct/>
              <w:spacing w:line="276" w:lineRule="auto"/>
              <w:jc w:val="center"/>
              <w:rPr>
                <w:rFonts w:hint="eastAsia" w:ascii="宋体" w:hAnsi="宋体" w:eastAsia="宋体" w:cs="宋体"/>
                <w:color w:val="auto"/>
                <w:szCs w:val="21"/>
                <w:highlight w:val="none"/>
              </w:rPr>
            </w:pPr>
          </w:p>
        </w:tc>
        <w:tc>
          <w:tcPr>
            <w:tcW w:w="11155" w:type="dxa"/>
            <w:vAlign w:val="center"/>
          </w:tcPr>
          <w:p>
            <w:pPr>
              <w:spacing w:line="276" w:lineRule="auto"/>
              <w:rPr>
                <w:rFonts w:hint="eastAsia" w:ascii="宋体" w:hAnsi="宋体" w:cs="宋体"/>
                <w:bCs/>
                <w:color w:val="auto"/>
                <w:highlight w:val="none"/>
                <w:lang w:val="zh-TW"/>
              </w:rPr>
            </w:pPr>
            <w:r>
              <w:rPr>
                <w:rFonts w:hint="eastAsia" w:ascii="宋体" w:hAnsi="宋体" w:cs="宋体"/>
                <w:bCs/>
                <w:color w:val="auto"/>
                <w:highlight w:val="none"/>
                <w:lang w:val="zh-TW"/>
              </w:rPr>
              <w:t>2</w:t>
            </w:r>
            <w:r>
              <w:rPr>
                <w:rFonts w:hint="eastAsia" w:ascii="宋体" w:hAnsi="宋体" w:eastAsia="宋体" w:cs="宋体"/>
                <w:bCs/>
                <w:color w:val="auto"/>
                <w:highlight w:val="none"/>
                <w:lang w:val="zh-TW"/>
              </w:rPr>
              <w:t>、对项目现状了解程度：全面掌握地形条件、地质条件、水文条件、通航条件、洪涝安全情况、两岸碧道建设情况等，内容清晰、全面、完整、了解透彻。</w:t>
            </w:r>
          </w:p>
          <w:p>
            <w:pPr>
              <w:topLinePunct/>
              <w:spacing w:line="276" w:lineRule="auto"/>
              <w:rPr>
                <w:rFonts w:hint="eastAsia" w:ascii="宋体" w:hAnsi="宋体" w:cs="宋体"/>
                <w:bCs/>
                <w:color w:val="auto"/>
                <w:highlight w:val="none"/>
              </w:rPr>
            </w:pPr>
            <w:r>
              <w:rPr>
                <w:rFonts w:hint="eastAsia" w:ascii="宋体" w:hAnsi="宋体" w:eastAsia="宋体" w:cs="宋体"/>
                <w:bCs/>
                <w:color w:val="auto"/>
                <w:highlight w:val="none"/>
                <w:lang w:val="zh-TW"/>
              </w:rPr>
              <w:t>优得</w:t>
            </w:r>
            <w:r>
              <w:rPr>
                <w:rFonts w:hint="eastAsia" w:ascii="宋体" w:hAnsi="宋体" w:cs="宋体"/>
                <w:bCs/>
                <w:color w:val="auto"/>
                <w:highlight w:val="none"/>
                <w:lang w:val="zh-TW"/>
              </w:rPr>
              <w:t>10</w:t>
            </w:r>
            <w:r>
              <w:rPr>
                <w:rFonts w:hint="eastAsia" w:ascii="宋体" w:hAnsi="宋体" w:cs="宋体"/>
                <w:bCs/>
                <w:color w:val="auto"/>
                <w:highlight w:val="none"/>
              </w:rPr>
              <w:t>-9</w:t>
            </w:r>
            <w:r>
              <w:rPr>
                <w:rFonts w:hint="eastAsia" w:ascii="宋体" w:hAnsi="宋体" w:eastAsia="宋体" w:cs="宋体"/>
                <w:bCs/>
                <w:color w:val="auto"/>
                <w:highlight w:val="none"/>
                <w:lang w:val="zh-TW"/>
              </w:rPr>
              <w:t>分，良得</w:t>
            </w:r>
            <w:r>
              <w:rPr>
                <w:rFonts w:hint="eastAsia" w:ascii="宋体" w:hAnsi="宋体" w:cs="宋体"/>
                <w:bCs/>
                <w:color w:val="auto"/>
                <w:highlight w:val="none"/>
              </w:rPr>
              <w:t>8-7</w:t>
            </w:r>
            <w:r>
              <w:rPr>
                <w:rFonts w:hint="eastAsia" w:ascii="宋体" w:hAnsi="宋体" w:eastAsia="宋体" w:cs="宋体"/>
                <w:bCs/>
                <w:color w:val="auto"/>
                <w:highlight w:val="none"/>
                <w:lang w:val="zh-TW"/>
              </w:rPr>
              <w:t>分，一般得</w:t>
            </w:r>
            <w:r>
              <w:rPr>
                <w:rFonts w:hint="eastAsia" w:ascii="宋体" w:hAnsi="宋体" w:cs="宋体"/>
                <w:bCs/>
                <w:color w:val="auto"/>
                <w:highlight w:val="none"/>
              </w:rPr>
              <w:t>6-5</w:t>
            </w:r>
            <w:r>
              <w:rPr>
                <w:rFonts w:hint="eastAsia" w:ascii="宋体" w:hAnsi="宋体" w:eastAsia="宋体" w:cs="宋体"/>
                <w:bCs/>
                <w:color w:val="auto"/>
                <w:highlight w:val="none"/>
                <w:lang w:val="zh-TW"/>
              </w:rPr>
              <w:t>分，无得</w:t>
            </w:r>
            <w:r>
              <w:rPr>
                <w:rFonts w:hint="eastAsia" w:ascii="宋体" w:hAnsi="宋体" w:cs="宋体"/>
                <w:bCs/>
                <w:color w:val="auto"/>
                <w:highlight w:val="none"/>
                <w:lang w:val="zh-TW"/>
              </w:rPr>
              <w:t>0</w:t>
            </w:r>
            <w:r>
              <w:rPr>
                <w:rFonts w:hint="eastAsia" w:ascii="宋体" w:hAnsi="宋体" w:eastAsia="宋体" w:cs="宋体"/>
                <w:bCs/>
                <w:color w:val="auto"/>
                <w:highlight w:val="none"/>
                <w:lang w:val="zh-TW"/>
              </w:rPr>
              <w:t>分。</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804"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996" w:type="dxa"/>
            <w:vMerge w:val="continue"/>
            <w:textDirection w:val="tbRlV"/>
            <w:vAlign w:val="center"/>
          </w:tcPr>
          <w:p>
            <w:pPr>
              <w:topLinePunct/>
              <w:spacing w:line="276" w:lineRule="auto"/>
              <w:ind w:left="113" w:right="113"/>
              <w:jc w:val="center"/>
              <w:rPr>
                <w:rFonts w:hint="eastAsia" w:ascii="宋体" w:hAnsi="宋体" w:eastAsia="宋体" w:cs="宋体"/>
                <w:color w:val="auto"/>
                <w:szCs w:val="21"/>
                <w:highlight w:val="none"/>
              </w:rPr>
            </w:pPr>
          </w:p>
        </w:tc>
        <w:tc>
          <w:tcPr>
            <w:tcW w:w="1085" w:type="dxa"/>
            <w:vMerge w:val="continue"/>
            <w:vAlign w:val="center"/>
          </w:tcPr>
          <w:p>
            <w:pPr>
              <w:topLinePunct/>
              <w:spacing w:line="276" w:lineRule="auto"/>
              <w:jc w:val="center"/>
              <w:rPr>
                <w:rFonts w:hint="eastAsia" w:ascii="宋体" w:hAnsi="宋体" w:eastAsia="宋体" w:cs="宋体"/>
                <w:color w:val="auto"/>
                <w:szCs w:val="21"/>
                <w:highlight w:val="none"/>
              </w:rPr>
            </w:pPr>
          </w:p>
        </w:tc>
        <w:tc>
          <w:tcPr>
            <w:tcW w:w="11155" w:type="dxa"/>
            <w:vAlign w:val="center"/>
          </w:tcPr>
          <w:p>
            <w:pPr>
              <w:spacing w:line="276" w:lineRule="auto"/>
              <w:rPr>
                <w:rFonts w:hint="eastAsia" w:ascii="宋体" w:hAnsi="宋体" w:cs="宋体"/>
                <w:bCs/>
                <w:color w:val="auto"/>
                <w:highlight w:val="none"/>
                <w:lang w:val="zh-TW"/>
              </w:rPr>
            </w:pPr>
            <w:r>
              <w:rPr>
                <w:rFonts w:hint="eastAsia" w:ascii="宋体" w:hAnsi="宋体" w:cs="宋体"/>
                <w:bCs/>
                <w:color w:val="auto"/>
                <w:highlight w:val="none"/>
                <w:lang w:val="zh-TW"/>
              </w:rPr>
              <w:t>3</w:t>
            </w:r>
            <w:r>
              <w:rPr>
                <w:rFonts w:hint="eastAsia" w:ascii="宋体" w:hAnsi="宋体" w:eastAsia="宋体" w:cs="宋体"/>
                <w:bCs/>
                <w:color w:val="auto"/>
                <w:highlight w:val="none"/>
                <w:lang w:val="zh-TW"/>
              </w:rPr>
              <w:t>、重点难点分析：对项目重点、难点分析准确，保障措施合理可行；有比较好的合理化建议。</w:t>
            </w:r>
          </w:p>
          <w:p>
            <w:pPr>
              <w:topLinePunct/>
              <w:spacing w:line="276" w:lineRule="auto"/>
              <w:rPr>
                <w:rFonts w:hint="eastAsia" w:ascii="宋体" w:hAnsi="宋体" w:cs="宋体"/>
                <w:color w:val="auto"/>
                <w:highlight w:val="none"/>
              </w:rPr>
            </w:pPr>
            <w:r>
              <w:rPr>
                <w:rFonts w:hint="eastAsia" w:ascii="宋体" w:hAnsi="宋体" w:eastAsia="宋体" w:cs="宋体"/>
                <w:bCs/>
                <w:color w:val="auto"/>
                <w:highlight w:val="none"/>
                <w:lang w:val="zh-TW"/>
              </w:rPr>
              <w:t>优得</w:t>
            </w:r>
            <w:r>
              <w:rPr>
                <w:rFonts w:hint="eastAsia" w:ascii="宋体" w:hAnsi="宋体" w:cs="宋体"/>
                <w:bCs/>
                <w:color w:val="auto"/>
                <w:highlight w:val="none"/>
                <w:lang w:val="zh-TW"/>
              </w:rPr>
              <w:t>10</w:t>
            </w:r>
            <w:r>
              <w:rPr>
                <w:rFonts w:hint="eastAsia" w:ascii="宋体" w:hAnsi="宋体" w:cs="宋体"/>
                <w:bCs/>
                <w:color w:val="auto"/>
                <w:highlight w:val="none"/>
              </w:rPr>
              <w:t>-9</w:t>
            </w:r>
            <w:r>
              <w:rPr>
                <w:rFonts w:hint="eastAsia" w:ascii="宋体" w:hAnsi="宋体" w:eastAsia="宋体" w:cs="宋体"/>
                <w:bCs/>
                <w:color w:val="auto"/>
                <w:highlight w:val="none"/>
                <w:lang w:val="zh-TW"/>
              </w:rPr>
              <w:t>分，良得</w:t>
            </w:r>
            <w:r>
              <w:rPr>
                <w:rFonts w:hint="eastAsia" w:ascii="宋体" w:hAnsi="宋体" w:cs="宋体"/>
                <w:bCs/>
                <w:color w:val="auto"/>
                <w:highlight w:val="none"/>
              </w:rPr>
              <w:t>8-7</w:t>
            </w:r>
            <w:r>
              <w:rPr>
                <w:rFonts w:hint="eastAsia" w:ascii="宋体" w:hAnsi="宋体" w:eastAsia="宋体" w:cs="宋体"/>
                <w:bCs/>
                <w:color w:val="auto"/>
                <w:highlight w:val="none"/>
                <w:lang w:val="zh-TW"/>
              </w:rPr>
              <w:t>分，一般得</w:t>
            </w:r>
            <w:r>
              <w:rPr>
                <w:rFonts w:hint="eastAsia" w:ascii="宋体" w:hAnsi="宋体" w:cs="宋体"/>
                <w:bCs/>
                <w:color w:val="auto"/>
                <w:highlight w:val="none"/>
              </w:rPr>
              <w:t>6-5</w:t>
            </w:r>
            <w:r>
              <w:rPr>
                <w:rFonts w:hint="eastAsia" w:ascii="宋体" w:hAnsi="宋体" w:eastAsia="宋体" w:cs="宋体"/>
                <w:bCs/>
                <w:color w:val="auto"/>
                <w:highlight w:val="none"/>
                <w:lang w:val="zh-TW"/>
              </w:rPr>
              <w:t>分，无得</w:t>
            </w:r>
            <w:r>
              <w:rPr>
                <w:rFonts w:hint="eastAsia" w:ascii="宋体" w:hAnsi="宋体" w:cs="宋体"/>
                <w:bCs/>
                <w:color w:val="auto"/>
                <w:highlight w:val="none"/>
                <w:lang w:val="zh-TW"/>
              </w:rPr>
              <w:t>0</w:t>
            </w:r>
            <w:r>
              <w:rPr>
                <w:rFonts w:hint="eastAsia" w:ascii="宋体" w:hAnsi="宋体" w:eastAsia="宋体" w:cs="宋体"/>
                <w:bCs/>
                <w:color w:val="auto"/>
                <w:highlight w:val="none"/>
                <w:lang w:val="zh-TW"/>
              </w:rPr>
              <w:t>分。</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804"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996" w:type="dxa"/>
            <w:vMerge w:val="continue"/>
            <w:textDirection w:val="tbRlV"/>
            <w:vAlign w:val="center"/>
          </w:tcPr>
          <w:p>
            <w:pPr>
              <w:topLinePunct/>
              <w:spacing w:line="276" w:lineRule="auto"/>
              <w:ind w:left="113" w:right="113"/>
              <w:jc w:val="center"/>
              <w:rPr>
                <w:rFonts w:hint="eastAsia" w:ascii="宋体" w:hAnsi="宋体" w:eastAsia="宋体" w:cs="宋体"/>
                <w:color w:val="auto"/>
                <w:szCs w:val="21"/>
                <w:highlight w:val="none"/>
              </w:rPr>
            </w:pPr>
          </w:p>
        </w:tc>
        <w:tc>
          <w:tcPr>
            <w:tcW w:w="1085" w:type="dxa"/>
            <w:vMerge w:val="continue"/>
            <w:vAlign w:val="center"/>
          </w:tcPr>
          <w:p>
            <w:pPr>
              <w:topLinePunct/>
              <w:spacing w:line="276" w:lineRule="auto"/>
              <w:jc w:val="center"/>
              <w:rPr>
                <w:rFonts w:hint="eastAsia" w:ascii="宋体" w:hAnsi="宋体" w:eastAsia="宋体" w:cs="宋体"/>
                <w:color w:val="auto"/>
                <w:szCs w:val="21"/>
                <w:highlight w:val="none"/>
              </w:rPr>
            </w:pPr>
          </w:p>
        </w:tc>
        <w:tc>
          <w:tcPr>
            <w:tcW w:w="11155" w:type="dxa"/>
            <w:vAlign w:val="center"/>
          </w:tcPr>
          <w:p>
            <w:pPr>
              <w:spacing w:line="276" w:lineRule="auto"/>
              <w:rPr>
                <w:rFonts w:hint="eastAsia" w:ascii="宋体" w:hAnsi="宋体" w:cs="宋体"/>
                <w:bCs/>
                <w:color w:val="auto"/>
                <w:highlight w:val="none"/>
                <w:lang w:val="zh-TW"/>
              </w:rPr>
            </w:pPr>
            <w:r>
              <w:rPr>
                <w:rFonts w:hint="eastAsia" w:ascii="宋体" w:hAnsi="宋体" w:cs="宋体"/>
                <w:bCs/>
                <w:color w:val="auto"/>
                <w:highlight w:val="none"/>
                <w:lang w:val="zh-TW"/>
              </w:rPr>
              <w:t>4</w:t>
            </w:r>
            <w:r>
              <w:rPr>
                <w:rFonts w:hint="eastAsia" w:ascii="宋体" w:hAnsi="宋体" w:eastAsia="宋体" w:cs="宋体"/>
                <w:bCs/>
                <w:color w:val="auto"/>
                <w:highlight w:val="none"/>
                <w:lang w:val="zh-TW"/>
              </w:rPr>
              <w:t>、水利设计方案：方案符合项目的实际情况，考虑现场地形、地质情况，根据流域及水系自然条件进行设计，采取合理、可靠、安全的结构形式，符合国家技术规范要求；设计方案内容全面、可行，总体布局合理，构筑物形式生态、美观、可行。</w:t>
            </w:r>
          </w:p>
          <w:p>
            <w:pPr>
              <w:topLinePunct/>
              <w:spacing w:line="276" w:lineRule="auto"/>
              <w:rPr>
                <w:rFonts w:hint="eastAsia" w:ascii="宋体" w:hAnsi="宋体"/>
                <w:color w:val="auto"/>
                <w:highlight w:val="none"/>
              </w:rPr>
            </w:pPr>
            <w:r>
              <w:rPr>
                <w:rFonts w:hint="eastAsia" w:ascii="宋体" w:hAnsi="宋体" w:eastAsia="宋体" w:cs="宋体"/>
                <w:bCs/>
                <w:color w:val="auto"/>
                <w:highlight w:val="none"/>
                <w:lang w:val="zh-TW"/>
              </w:rPr>
              <w:t>优得</w:t>
            </w:r>
            <w:r>
              <w:rPr>
                <w:rFonts w:hint="eastAsia" w:ascii="宋体" w:hAnsi="宋体" w:cs="宋体"/>
                <w:bCs/>
                <w:color w:val="auto"/>
                <w:highlight w:val="none"/>
                <w:lang w:val="zh-TW"/>
              </w:rPr>
              <w:t>10-9</w:t>
            </w:r>
            <w:r>
              <w:rPr>
                <w:rFonts w:hint="eastAsia" w:ascii="宋体" w:hAnsi="宋体" w:eastAsia="宋体" w:cs="宋体"/>
                <w:bCs/>
                <w:color w:val="auto"/>
                <w:highlight w:val="none"/>
                <w:lang w:val="zh-TW"/>
              </w:rPr>
              <w:t>分，良得</w:t>
            </w:r>
            <w:r>
              <w:rPr>
                <w:rFonts w:hint="eastAsia" w:ascii="宋体" w:hAnsi="宋体" w:cs="宋体"/>
                <w:bCs/>
                <w:color w:val="auto"/>
                <w:highlight w:val="none"/>
                <w:lang w:val="zh-TW"/>
              </w:rPr>
              <w:t>8-7</w:t>
            </w:r>
            <w:r>
              <w:rPr>
                <w:rFonts w:hint="eastAsia" w:ascii="宋体" w:hAnsi="宋体" w:eastAsia="宋体" w:cs="宋体"/>
                <w:bCs/>
                <w:color w:val="auto"/>
                <w:highlight w:val="none"/>
                <w:lang w:val="zh-TW"/>
              </w:rPr>
              <w:t>分，一般得</w:t>
            </w:r>
            <w:r>
              <w:rPr>
                <w:rFonts w:hint="eastAsia" w:ascii="宋体" w:hAnsi="宋体" w:cs="宋体"/>
                <w:bCs/>
                <w:color w:val="auto"/>
                <w:highlight w:val="none"/>
                <w:lang w:val="zh-TW"/>
              </w:rPr>
              <w:t>6-5</w:t>
            </w:r>
            <w:r>
              <w:rPr>
                <w:rFonts w:hint="eastAsia" w:ascii="宋体" w:hAnsi="宋体" w:eastAsia="宋体" w:cs="宋体"/>
                <w:bCs/>
                <w:color w:val="auto"/>
                <w:highlight w:val="none"/>
                <w:lang w:val="zh-TW"/>
              </w:rPr>
              <w:t>分，无得</w:t>
            </w:r>
            <w:r>
              <w:rPr>
                <w:rFonts w:hint="eastAsia" w:ascii="宋体" w:hAnsi="宋体" w:cs="宋体"/>
                <w:bCs/>
                <w:color w:val="auto"/>
                <w:highlight w:val="none"/>
                <w:lang w:val="zh-TW"/>
              </w:rPr>
              <w:t>0</w:t>
            </w:r>
            <w:r>
              <w:rPr>
                <w:rFonts w:hint="eastAsia" w:ascii="宋体" w:hAnsi="宋体" w:eastAsia="宋体" w:cs="宋体"/>
                <w:bCs/>
                <w:color w:val="auto"/>
                <w:highlight w:val="none"/>
                <w:lang w:val="zh-TW"/>
              </w:rPr>
              <w:t>分。</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804"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996"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1085"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11155" w:type="dxa"/>
            <w:vAlign w:val="center"/>
          </w:tcPr>
          <w:p>
            <w:pPr>
              <w:topLinePunct/>
              <w:spacing w:line="276" w:lineRule="auto"/>
              <w:rPr>
                <w:rFonts w:hint="eastAsia" w:ascii="宋体" w:hAnsi="宋体"/>
                <w:color w:val="auto"/>
                <w:highlight w:val="none"/>
              </w:rPr>
            </w:pPr>
            <w:r>
              <w:rPr>
                <w:rFonts w:ascii="宋体" w:hAnsi="宋体"/>
                <w:color w:val="auto"/>
                <w:highlight w:val="none"/>
              </w:rPr>
              <w:t>5</w:t>
            </w:r>
            <w:r>
              <w:rPr>
                <w:rFonts w:hint="eastAsia" w:ascii="宋体" w:hAnsi="宋体" w:eastAsia="宋体" w:cs="宋体"/>
                <w:color w:val="auto"/>
                <w:highlight w:val="none"/>
              </w:rPr>
              <w:t>、景观设计方案：结合防洪、排涝规划，针对现状条件、周边用地和实际需求，提出因地制宜、特色、可实施性强的景观设计方案。</w:t>
            </w:r>
          </w:p>
          <w:p>
            <w:pPr>
              <w:topLinePunct/>
              <w:spacing w:line="276" w:lineRule="auto"/>
              <w:rPr>
                <w:rFonts w:hint="eastAsia" w:ascii="宋体" w:hAnsi="宋体"/>
                <w:color w:val="auto"/>
                <w:highlight w:val="none"/>
              </w:rPr>
            </w:pPr>
            <w:r>
              <w:rPr>
                <w:rFonts w:hint="eastAsia" w:ascii="宋体" w:hAnsi="宋体" w:eastAsia="宋体" w:cs="宋体"/>
                <w:color w:val="auto"/>
                <w:highlight w:val="none"/>
              </w:rPr>
              <w:t>能够结合项目城市周边环境，综合水环境水景观进行景观重点设计。</w:t>
            </w:r>
          </w:p>
          <w:p>
            <w:pPr>
              <w:topLinePunct/>
              <w:spacing w:line="276" w:lineRule="auto"/>
              <w:rPr>
                <w:rFonts w:hint="eastAsia" w:ascii="宋体" w:hAnsi="宋体"/>
                <w:color w:val="auto"/>
                <w:highlight w:val="none"/>
              </w:rPr>
            </w:pPr>
            <w:r>
              <w:rPr>
                <w:rFonts w:hint="eastAsia" w:ascii="宋体" w:hAnsi="宋体" w:eastAsia="宋体" w:cs="宋体"/>
                <w:bCs/>
                <w:color w:val="auto"/>
                <w:highlight w:val="none"/>
                <w:lang w:val="zh-TW"/>
              </w:rPr>
              <w:t>优得</w:t>
            </w:r>
            <w:r>
              <w:rPr>
                <w:rFonts w:hint="eastAsia" w:ascii="宋体" w:hAnsi="宋体" w:cs="宋体"/>
                <w:bCs/>
                <w:color w:val="auto"/>
                <w:highlight w:val="none"/>
                <w:lang w:val="zh-TW"/>
              </w:rPr>
              <w:t>10</w:t>
            </w:r>
            <w:r>
              <w:rPr>
                <w:rFonts w:hint="eastAsia" w:ascii="宋体" w:hAnsi="宋体" w:cs="宋体"/>
                <w:bCs/>
                <w:color w:val="auto"/>
                <w:highlight w:val="none"/>
              </w:rPr>
              <w:t>-9</w:t>
            </w:r>
            <w:r>
              <w:rPr>
                <w:rFonts w:hint="eastAsia" w:ascii="宋体" w:hAnsi="宋体" w:eastAsia="宋体" w:cs="宋体"/>
                <w:bCs/>
                <w:color w:val="auto"/>
                <w:highlight w:val="none"/>
                <w:lang w:val="zh-TW"/>
              </w:rPr>
              <w:t>分，良得</w:t>
            </w:r>
            <w:r>
              <w:rPr>
                <w:rFonts w:hint="eastAsia" w:ascii="宋体" w:hAnsi="宋体" w:cs="宋体"/>
                <w:bCs/>
                <w:color w:val="auto"/>
                <w:highlight w:val="none"/>
              </w:rPr>
              <w:t>8-7</w:t>
            </w:r>
            <w:r>
              <w:rPr>
                <w:rFonts w:hint="eastAsia" w:ascii="宋体" w:hAnsi="宋体" w:eastAsia="宋体" w:cs="宋体"/>
                <w:bCs/>
                <w:color w:val="auto"/>
                <w:highlight w:val="none"/>
                <w:lang w:val="zh-TW"/>
              </w:rPr>
              <w:t>分，一般得</w:t>
            </w:r>
            <w:r>
              <w:rPr>
                <w:rFonts w:hint="eastAsia" w:ascii="宋体" w:hAnsi="宋体" w:cs="宋体"/>
                <w:bCs/>
                <w:color w:val="auto"/>
                <w:highlight w:val="none"/>
              </w:rPr>
              <w:t>6-5</w:t>
            </w:r>
            <w:r>
              <w:rPr>
                <w:rFonts w:hint="eastAsia" w:ascii="宋体" w:hAnsi="宋体" w:eastAsia="宋体" w:cs="宋体"/>
                <w:bCs/>
                <w:color w:val="auto"/>
                <w:highlight w:val="none"/>
                <w:lang w:val="zh-TW"/>
              </w:rPr>
              <w:t>分，无得</w:t>
            </w:r>
            <w:r>
              <w:rPr>
                <w:rFonts w:hint="eastAsia" w:ascii="宋体" w:hAnsi="宋体" w:cs="宋体"/>
                <w:bCs/>
                <w:color w:val="auto"/>
                <w:highlight w:val="none"/>
                <w:lang w:val="zh-TW"/>
              </w:rPr>
              <w:t>0</w:t>
            </w:r>
            <w:r>
              <w:rPr>
                <w:rFonts w:hint="eastAsia" w:ascii="宋体" w:hAnsi="宋体" w:eastAsia="宋体" w:cs="宋体"/>
                <w:bCs/>
                <w:color w:val="auto"/>
                <w:highlight w:val="none"/>
                <w:lang w:val="zh-TW"/>
              </w:rPr>
              <w:t>分。</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804"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996"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1085"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11155" w:type="dxa"/>
            <w:vAlign w:val="center"/>
          </w:tcPr>
          <w:p>
            <w:pPr>
              <w:spacing w:line="276" w:lineRule="auto"/>
              <w:rPr>
                <w:rFonts w:hint="eastAsia" w:ascii="宋体" w:hAnsi="宋体" w:cs="宋体"/>
                <w:color w:val="auto"/>
                <w:highlight w:val="none"/>
              </w:rPr>
            </w:pPr>
            <w:r>
              <w:rPr>
                <w:rFonts w:ascii="宋体" w:hAnsi="宋体" w:cs="宋体"/>
                <w:color w:val="auto"/>
                <w:highlight w:val="none"/>
              </w:rPr>
              <w:t>6</w:t>
            </w:r>
            <w:r>
              <w:rPr>
                <w:rFonts w:hint="eastAsia" w:ascii="宋体" w:hAnsi="宋体" w:eastAsia="宋体" w:cs="宋体"/>
                <w:color w:val="auto"/>
                <w:highlight w:val="none"/>
              </w:rPr>
              <w:t>、设计方案的经济性：提出的设计方案的经济优化思路，充分利用现状条件，采用优化技术与方法，降低造价、提高经济效益；应用成熟、运行维护相对简单并且价格适当的先进技术、工艺，材料设备符合国情并有成功案例；因地制宜，节约用地，尽量减少拆迁量，减少建筑材料用量，减少建筑过程和维护过程的能源消耗。</w:t>
            </w:r>
          </w:p>
          <w:p>
            <w:pPr>
              <w:topLinePunct/>
              <w:spacing w:line="276" w:lineRule="auto"/>
              <w:rPr>
                <w:rFonts w:hint="eastAsia" w:ascii="宋体" w:hAnsi="宋体" w:cs="宋体"/>
                <w:color w:val="auto"/>
                <w:highlight w:val="none"/>
              </w:rPr>
            </w:pPr>
            <w:r>
              <w:rPr>
                <w:rFonts w:hint="eastAsia" w:ascii="宋体" w:hAnsi="宋体" w:eastAsia="宋体" w:cs="宋体"/>
                <w:bCs/>
                <w:color w:val="auto"/>
                <w:highlight w:val="none"/>
                <w:lang w:val="zh-TW"/>
              </w:rPr>
              <w:t>优得</w:t>
            </w:r>
            <w:r>
              <w:rPr>
                <w:rFonts w:hint="eastAsia" w:ascii="宋体" w:hAnsi="宋体" w:cs="宋体"/>
                <w:bCs/>
                <w:color w:val="auto"/>
                <w:highlight w:val="none"/>
                <w:lang w:val="zh-TW"/>
              </w:rPr>
              <w:t>10</w:t>
            </w:r>
            <w:r>
              <w:rPr>
                <w:rFonts w:hint="eastAsia" w:ascii="宋体" w:hAnsi="宋体" w:cs="宋体"/>
                <w:bCs/>
                <w:color w:val="auto"/>
                <w:highlight w:val="none"/>
              </w:rPr>
              <w:t>-9</w:t>
            </w:r>
            <w:r>
              <w:rPr>
                <w:rFonts w:hint="eastAsia" w:ascii="宋体" w:hAnsi="宋体" w:eastAsia="宋体" w:cs="宋体"/>
                <w:bCs/>
                <w:color w:val="auto"/>
                <w:highlight w:val="none"/>
                <w:lang w:val="zh-TW"/>
              </w:rPr>
              <w:t>分，良得</w:t>
            </w:r>
            <w:r>
              <w:rPr>
                <w:rFonts w:hint="eastAsia" w:ascii="宋体" w:hAnsi="宋体" w:cs="宋体"/>
                <w:bCs/>
                <w:color w:val="auto"/>
                <w:highlight w:val="none"/>
              </w:rPr>
              <w:t>8-7</w:t>
            </w:r>
            <w:r>
              <w:rPr>
                <w:rFonts w:hint="eastAsia" w:ascii="宋体" w:hAnsi="宋体" w:eastAsia="宋体" w:cs="宋体"/>
                <w:bCs/>
                <w:color w:val="auto"/>
                <w:highlight w:val="none"/>
                <w:lang w:val="zh-TW"/>
              </w:rPr>
              <w:t>分，一般得</w:t>
            </w:r>
            <w:r>
              <w:rPr>
                <w:rFonts w:hint="eastAsia" w:ascii="宋体" w:hAnsi="宋体" w:cs="宋体"/>
                <w:bCs/>
                <w:color w:val="auto"/>
                <w:highlight w:val="none"/>
              </w:rPr>
              <w:t>6-5</w:t>
            </w:r>
            <w:r>
              <w:rPr>
                <w:rFonts w:hint="eastAsia" w:ascii="宋体" w:hAnsi="宋体" w:eastAsia="宋体" w:cs="宋体"/>
                <w:bCs/>
                <w:color w:val="auto"/>
                <w:highlight w:val="none"/>
                <w:lang w:val="zh-TW"/>
              </w:rPr>
              <w:t>分，无得</w:t>
            </w:r>
            <w:r>
              <w:rPr>
                <w:rFonts w:hint="eastAsia" w:ascii="宋体" w:hAnsi="宋体" w:cs="宋体"/>
                <w:bCs/>
                <w:color w:val="auto"/>
                <w:highlight w:val="none"/>
                <w:lang w:val="zh-TW"/>
              </w:rPr>
              <w:t>0</w:t>
            </w:r>
            <w:r>
              <w:rPr>
                <w:rFonts w:hint="eastAsia" w:ascii="宋体" w:hAnsi="宋体" w:eastAsia="宋体" w:cs="宋体"/>
                <w:bCs/>
                <w:color w:val="auto"/>
                <w:highlight w:val="none"/>
                <w:lang w:val="zh-TW"/>
              </w:rPr>
              <w:t>分。</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804"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996"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1085"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11155" w:type="dxa"/>
            <w:vAlign w:val="center"/>
          </w:tcPr>
          <w:p>
            <w:pPr>
              <w:spacing w:line="276" w:lineRule="auto"/>
              <w:rPr>
                <w:rFonts w:hint="eastAsia" w:ascii="宋体" w:hAnsi="宋体" w:cs="宋体"/>
                <w:bCs/>
                <w:color w:val="auto"/>
                <w:highlight w:val="none"/>
                <w:lang w:val="zh-TW"/>
              </w:rPr>
            </w:pPr>
            <w:r>
              <w:rPr>
                <w:rFonts w:ascii="宋体" w:hAnsi="宋体" w:cs="宋体"/>
                <w:bCs/>
                <w:color w:val="auto"/>
                <w:highlight w:val="none"/>
              </w:rPr>
              <w:t>7</w:t>
            </w:r>
            <w:r>
              <w:rPr>
                <w:rFonts w:hint="eastAsia" w:ascii="宋体" w:hAnsi="宋体" w:eastAsia="宋体" w:cs="宋体"/>
                <w:bCs/>
                <w:color w:val="auto"/>
                <w:highlight w:val="none"/>
                <w:lang w:val="zh-TW"/>
              </w:rPr>
              <w:t>、勘察方案：勘察方案合理可行，勘察的重点、难点理解准确，建议合理可行。勘察工作流程规范，工期进度计划合理可行。</w:t>
            </w:r>
          </w:p>
          <w:p>
            <w:pPr>
              <w:spacing w:line="276" w:lineRule="auto"/>
              <w:rPr>
                <w:rFonts w:hint="eastAsia" w:ascii="宋体" w:hAnsi="宋体" w:cs="宋体"/>
                <w:color w:val="auto"/>
                <w:highlight w:val="none"/>
              </w:rPr>
            </w:pPr>
            <w:r>
              <w:rPr>
                <w:rFonts w:hint="eastAsia" w:ascii="宋体" w:hAnsi="宋体" w:eastAsia="宋体" w:cs="宋体"/>
                <w:bCs/>
                <w:color w:val="auto"/>
                <w:highlight w:val="none"/>
                <w:lang w:val="zh-TW"/>
              </w:rPr>
              <w:t>优得</w:t>
            </w:r>
            <w:r>
              <w:rPr>
                <w:rFonts w:hint="eastAsia" w:ascii="宋体" w:hAnsi="宋体" w:cs="宋体"/>
                <w:bCs/>
                <w:color w:val="auto"/>
                <w:highlight w:val="none"/>
                <w:lang w:val="zh-TW"/>
              </w:rPr>
              <w:t>10</w:t>
            </w:r>
            <w:r>
              <w:rPr>
                <w:rFonts w:hint="eastAsia" w:ascii="宋体" w:hAnsi="宋体" w:cs="宋体"/>
                <w:bCs/>
                <w:color w:val="auto"/>
                <w:highlight w:val="none"/>
              </w:rPr>
              <w:t>-9</w:t>
            </w:r>
            <w:r>
              <w:rPr>
                <w:rFonts w:hint="eastAsia" w:ascii="宋体" w:hAnsi="宋体" w:eastAsia="宋体" w:cs="宋体"/>
                <w:bCs/>
                <w:color w:val="auto"/>
                <w:highlight w:val="none"/>
                <w:lang w:val="zh-TW"/>
              </w:rPr>
              <w:t>分，良得</w:t>
            </w:r>
            <w:r>
              <w:rPr>
                <w:rFonts w:hint="eastAsia" w:ascii="宋体" w:hAnsi="宋体" w:cs="宋体"/>
                <w:bCs/>
                <w:color w:val="auto"/>
                <w:highlight w:val="none"/>
              </w:rPr>
              <w:t>8-7</w:t>
            </w:r>
            <w:r>
              <w:rPr>
                <w:rFonts w:hint="eastAsia" w:ascii="宋体" w:hAnsi="宋体" w:eastAsia="宋体" w:cs="宋体"/>
                <w:bCs/>
                <w:color w:val="auto"/>
                <w:highlight w:val="none"/>
                <w:lang w:val="zh-TW"/>
              </w:rPr>
              <w:t>分，一般得</w:t>
            </w:r>
            <w:r>
              <w:rPr>
                <w:rFonts w:hint="eastAsia" w:ascii="宋体" w:hAnsi="宋体" w:cs="宋体"/>
                <w:bCs/>
                <w:color w:val="auto"/>
                <w:highlight w:val="none"/>
              </w:rPr>
              <w:t>6-5</w:t>
            </w:r>
            <w:r>
              <w:rPr>
                <w:rFonts w:hint="eastAsia" w:ascii="宋体" w:hAnsi="宋体" w:eastAsia="宋体" w:cs="宋体"/>
                <w:bCs/>
                <w:color w:val="auto"/>
                <w:highlight w:val="none"/>
                <w:lang w:val="zh-TW"/>
              </w:rPr>
              <w:t>分，无得</w:t>
            </w:r>
            <w:r>
              <w:rPr>
                <w:rFonts w:hint="eastAsia" w:ascii="宋体" w:hAnsi="宋体" w:cs="宋体"/>
                <w:bCs/>
                <w:color w:val="auto"/>
                <w:highlight w:val="none"/>
                <w:lang w:val="zh-TW"/>
              </w:rPr>
              <w:t>0</w:t>
            </w:r>
            <w:r>
              <w:rPr>
                <w:rFonts w:hint="eastAsia" w:ascii="宋体" w:hAnsi="宋体" w:eastAsia="宋体" w:cs="宋体"/>
                <w:bCs/>
                <w:color w:val="auto"/>
                <w:highlight w:val="none"/>
                <w:lang w:val="zh-TW"/>
              </w:rPr>
              <w:t>分。</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804"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996"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1085" w:type="dxa"/>
            <w:vMerge w:val="continue"/>
            <w:vAlign w:val="center"/>
          </w:tcPr>
          <w:p>
            <w:pPr>
              <w:wordWrap w:val="0"/>
              <w:topLinePunct/>
              <w:spacing w:line="276" w:lineRule="auto"/>
              <w:jc w:val="center"/>
              <w:rPr>
                <w:rFonts w:hint="eastAsia" w:ascii="宋体" w:hAnsi="宋体" w:eastAsia="宋体" w:cs="宋体"/>
                <w:color w:val="auto"/>
                <w:szCs w:val="21"/>
                <w:highlight w:val="none"/>
              </w:rPr>
            </w:pPr>
          </w:p>
        </w:tc>
        <w:tc>
          <w:tcPr>
            <w:tcW w:w="11155" w:type="dxa"/>
            <w:vAlign w:val="center"/>
          </w:tcPr>
          <w:p>
            <w:pPr>
              <w:spacing w:line="276" w:lineRule="auto"/>
              <w:rPr>
                <w:rFonts w:hint="eastAsia" w:ascii="宋体" w:hAnsi="宋体" w:cs="宋体"/>
                <w:bCs/>
                <w:color w:val="auto"/>
                <w:highlight w:val="none"/>
                <w:lang w:val="zh-TW"/>
              </w:rPr>
            </w:pPr>
            <w:r>
              <w:rPr>
                <w:rFonts w:ascii="宋体" w:hAnsi="宋体" w:cs="宋体"/>
                <w:bCs/>
                <w:color w:val="auto"/>
                <w:highlight w:val="none"/>
              </w:rPr>
              <w:t>8</w:t>
            </w:r>
            <w:r>
              <w:rPr>
                <w:rFonts w:hint="eastAsia" w:ascii="宋体" w:hAnsi="宋体" w:eastAsia="宋体" w:cs="宋体"/>
                <w:bCs/>
                <w:color w:val="auto"/>
                <w:highlight w:val="none"/>
                <w:lang w:val="zh-TW"/>
              </w:rPr>
              <w:t>、附图：设计图纸思路清晰、全面、设计合理、可实施性强，深度满足要求，包括平面布置图、断面图、水工设计图、节点设计图及节点效果图等。</w:t>
            </w:r>
          </w:p>
          <w:p>
            <w:pPr>
              <w:topLinePunct/>
              <w:spacing w:line="276" w:lineRule="auto"/>
              <w:rPr>
                <w:rFonts w:hint="eastAsia" w:ascii="宋体" w:hAnsi="宋体" w:cs="宋体"/>
                <w:color w:val="auto"/>
                <w:highlight w:val="none"/>
              </w:rPr>
            </w:pPr>
            <w:r>
              <w:rPr>
                <w:rFonts w:hint="eastAsia" w:ascii="宋体" w:hAnsi="宋体" w:eastAsia="宋体" w:cs="宋体"/>
                <w:bCs/>
                <w:color w:val="auto"/>
                <w:highlight w:val="none"/>
                <w:lang w:val="zh-TW"/>
              </w:rPr>
              <w:t>优得</w:t>
            </w:r>
            <w:r>
              <w:rPr>
                <w:rFonts w:hint="eastAsia" w:ascii="宋体" w:hAnsi="宋体" w:cs="宋体"/>
                <w:bCs/>
                <w:color w:val="auto"/>
                <w:highlight w:val="none"/>
                <w:lang w:val="zh-TW"/>
              </w:rPr>
              <w:t>10</w:t>
            </w:r>
            <w:r>
              <w:rPr>
                <w:rFonts w:hint="eastAsia" w:ascii="宋体" w:hAnsi="宋体" w:cs="宋体"/>
                <w:bCs/>
                <w:color w:val="auto"/>
                <w:highlight w:val="none"/>
              </w:rPr>
              <w:t>-9</w:t>
            </w:r>
            <w:r>
              <w:rPr>
                <w:rFonts w:hint="eastAsia" w:ascii="宋体" w:hAnsi="宋体" w:eastAsia="宋体" w:cs="宋体"/>
                <w:bCs/>
                <w:color w:val="auto"/>
                <w:highlight w:val="none"/>
                <w:lang w:val="zh-TW"/>
              </w:rPr>
              <w:t>分，良得</w:t>
            </w:r>
            <w:r>
              <w:rPr>
                <w:rFonts w:hint="eastAsia" w:ascii="宋体" w:hAnsi="宋体" w:cs="宋体"/>
                <w:bCs/>
                <w:color w:val="auto"/>
                <w:highlight w:val="none"/>
              </w:rPr>
              <w:t>8-7</w:t>
            </w:r>
            <w:r>
              <w:rPr>
                <w:rFonts w:hint="eastAsia" w:ascii="宋体" w:hAnsi="宋体" w:eastAsia="宋体" w:cs="宋体"/>
                <w:bCs/>
                <w:color w:val="auto"/>
                <w:highlight w:val="none"/>
                <w:lang w:val="zh-TW"/>
              </w:rPr>
              <w:t>分，一般得</w:t>
            </w:r>
            <w:r>
              <w:rPr>
                <w:rFonts w:hint="eastAsia" w:ascii="宋体" w:hAnsi="宋体" w:cs="宋体"/>
                <w:bCs/>
                <w:color w:val="auto"/>
                <w:highlight w:val="none"/>
              </w:rPr>
              <w:t>6-5</w:t>
            </w:r>
            <w:r>
              <w:rPr>
                <w:rFonts w:hint="eastAsia" w:ascii="宋体" w:hAnsi="宋体" w:eastAsia="宋体" w:cs="宋体"/>
                <w:bCs/>
                <w:color w:val="auto"/>
                <w:highlight w:val="none"/>
                <w:lang w:val="zh-TW"/>
              </w:rPr>
              <w:t>分，无得</w:t>
            </w:r>
            <w:r>
              <w:rPr>
                <w:rFonts w:hint="eastAsia" w:ascii="宋体" w:hAnsi="宋体" w:cs="宋体"/>
                <w:bCs/>
                <w:color w:val="auto"/>
                <w:highlight w:val="none"/>
                <w:lang w:val="zh-TW"/>
              </w:rPr>
              <w:t>0</w:t>
            </w:r>
            <w:r>
              <w:rPr>
                <w:rFonts w:hint="eastAsia" w:ascii="宋体" w:hAnsi="宋体" w:eastAsia="宋体" w:cs="宋体"/>
                <w:bCs/>
                <w:color w:val="auto"/>
                <w:highlight w:val="none"/>
                <w:lang w:val="zh-TW"/>
              </w:rPr>
              <w:t>分。</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804" w:type="dxa"/>
            <w:vAlign w:val="center"/>
          </w:tcPr>
          <w:p>
            <w:pPr>
              <w:wordWrap w:val="0"/>
              <w:topLinePunct/>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w:t>
            </w:r>
          </w:p>
        </w:tc>
        <w:tc>
          <w:tcPr>
            <w:tcW w:w="996" w:type="dxa"/>
            <w:vAlign w:val="center"/>
          </w:tcPr>
          <w:p>
            <w:pPr>
              <w:wordWrap w:val="0"/>
              <w:topLinePunct/>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服务及措施</w:t>
            </w:r>
          </w:p>
        </w:tc>
        <w:tc>
          <w:tcPr>
            <w:tcW w:w="1085" w:type="dxa"/>
            <w:vAlign w:val="center"/>
          </w:tcPr>
          <w:p>
            <w:pPr>
              <w:wordWrap w:val="0"/>
              <w:topLinePunct/>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10</w:t>
            </w:r>
          </w:p>
        </w:tc>
        <w:tc>
          <w:tcPr>
            <w:tcW w:w="11155" w:type="dxa"/>
            <w:vAlign w:val="center"/>
          </w:tcPr>
          <w:p>
            <w:pPr>
              <w:spacing w:line="276" w:lineRule="auto"/>
              <w:rPr>
                <w:rFonts w:hint="eastAsia" w:ascii="宋体" w:hAnsi="宋体" w:cs="宋体"/>
                <w:color w:val="auto"/>
                <w:highlight w:val="none"/>
              </w:rPr>
            </w:pPr>
            <w:r>
              <w:rPr>
                <w:rFonts w:hint="eastAsia" w:ascii="宋体" w:hAnsi="宋体" w:eastAsia="宋体" w:cs="宋体"/>
                <w:color w:val="auto"/>
                <w:highlight w:val="none"/>
              </w:rPr>
              <w:t>有针对本项目所制定的设计进度安排、质量保证措施、协助业主确保工程质量、控制工程规模、降低工程造价、减少设计变更等措施。</w:t>
            </w:r>
          </w:p>
          <w:p>
            <w:pPr>
              <w:spacing w:line="276" w:lineRule="auto"/>
              <w:rPr>
                <w:rFonts w:hint="eastAsia" w:ascii="宋体" w:hAnsi="宋体" w:cs="宋体"/>
                <w:bCs/>
                <w:color w:val="auto"/>
                <w:highlight w:val="none"/>
              </w:rPr>
            </w:pPr>
            <w:r>
              <w:rPr>
                <w:rFonts w:hint="eastAsia" w:ascii="宋体" w:hAnsi="宋体" w:eastAsia="宋体" w:cs="宋体"/>
                <w:color w:val="auto"/>
                <w:highlight w:val="none"/>
              </w:rPr>
              <w:t>优得</w:t>
            </w:r>
            <w:r>
              <w:rPr>
                <w:rFonts w:hint="eastAsia" w:ascii="宋体" w:hAnsi="宋体" w:cs="宋体"/>
                <w:color w:val="auto"/>
                <w:highlight w:val="none"/>
              </w:rPr>
              <w:t>10</w:t>
            </w:r>
            <w:r>
              <w:rPr>
                <w:rFonts w:hint="eastAsia" w:ascii="宋体" w:hAnsi="宋体" w:cs="宋体"/>
                <w:bCs/>
                <w:color w:val="auto"/>
                <w:highlight w:val="none"/>
              </w:rPr>
              <w:t>-</w:t>
            </w:r>
            <w:r>
              <w:rPr>
                <w:rFonts w:hint="eastAsia" w:ascii="宋体" w:hAnsi="宋体" w:cs="宋体"/>
                <w:color w:val="auto"/>
                <w:highlight w:val="none"/>
              </w:rPr>
              <w:t>9</w:t>
            </w:r>
            <w:r>
              <w:rPr>
                <w:rFonts w:hint="eastAsia" w:ascii="宋体" w:hAnsi="宋体" w:eastAsia="宋体" w:cs="宋体"/>
                <w:color w:val="auto"/>
                <w:highlight w:val="none"/>
              </w:rPr>
              <w:t>分，</w:t>
            </w:r>
            <w:r>
              <w:rPr>
                <w:rFonts w:hint="eastAsia" w:ascii="宋体" w:hAnsi="宋体" w:eastAsia="宋体" w:cs="宋体"/>
                <w:bCs/>
                <w:color w:val="auto"/>
                <w:highlight w:val="none"/>
                <w:lang w:val="zh-TW"/>
              </w:rPr>
              <w:t>良得</w:t>
            </w:r>
            <w:r>
              <w:rPr>
                <w:rFonts w:hint="eastAsia" w:ascii="宋体" w:hAnsi="宋体" w:cs="宋体"/>
                <w:bCs/>
                <w:color w:val="auto"/>
                <w:highlight w:val="none"/>
              </w:rPr>
              <w:t>8-7</w:t>
            </w:r>
            <w:r>
              <w:rPr>
                <w:rFonts w:hint="eastAsia" w:ascii="宋体" w:hAnsi="宋体" w:eastAsia="宋体" w:cs="宋体"/>
                <w:bCs/>
                <w:color w:val="auto"/>
                <w:highlight w:val="none"/>
                <w:lang w:val="zh-TW"/>
              </w:rPr>
              <w:t>分，一般得</w:t>
            </w:r>
            <w:r>
              <w:rPr>
                <w:rFonts w:hint="eastAsia" w:ascii="宋体" w:hAnsi="宋体" w:cs="宋体"/>
                <w:bCs/>
                <w:color w:val="auto"/>
                <w:highlight w:val="none"/>
              </w:rPr>
              <w:t>6-5</w:t>
            </w:r>
            <w:r>
              <w:rPr>
                <w:rFonts w:hint="eastAsia" w:ascii="宋体" w:hAnsi="宋体" w:eastAsia="宋体" w:cs="宋体"/>
                <w:bCs/>
                <w:color w:val="auto"/>
                <w:highlight w:val="none"/>
                <w:lang w:val="zh-TW"/>
              </w:rPr>
              <w:t>分</w:t>
            </w:r>
            <w:r>
              <w:rPr>
                <w:rFonts w:hint="eastAsia" w:ascii="宋体" w:hAnsi="宋体" w:cs="宋体"/>
                <w:color w:val="auto"/>
                <w:highlight w:val="none"/>
              </w:rPr>
              <w:t>,</w:t>
            </w:r>
            <w:r>
              <w:rPr>
                <w:rFonts w:hint="eastAsia" w:ascii="宋体" w:hAnsi="宋体" w:eastAsia="宋体" w:cs="宋体"/>
                <w:color w:val="auto"/>
                <w:highlight w:val="none"/>
              </w:rPr>
              <w:t>无得</w:t>
            </w:r>
            <w:r>
              <w:rPr>
                <w:rFonts w:hint="eastAsia" w:ascii="宋体" w:hAnsi="宋体" w:cs="宋体"/>
                <w:color w:val="auto"/>
                <w:highlight w:val="none"/>
              </w:rPr>
              <w:t>0</w:t>
            </w:r>
            <w:r>
              <w:rPr>
                <w:rFonts w:hint="eastAsia" w:ascii="宋体" w:hAnsi="宋体" w:eastAsia="宋体" w:cs="宋体"/>
                <w:color w:val="auto"/>
                <w:highlight w:val="none"/>
              </w:rPr>
              <w:t>分。</w:t>
            </w: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800" w:type="dxa"/>
            <w:gridSpan w:val="2"/>
            <w:vAlign w:val="center"/>
          </w:tcPr>
          <w:p>
            <w:pPr>
              <w:wordWrap w:val="0"/>
              <w:topLinePunct/>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总计</w:t>
            </w:r>
          </w:p>
        </w:tc>
        <w:tc>
          <w:tcPr>
            <w:tcW w:w="1085" w:type="dxa"/>
            <w:vAlign w:val="center"/>
          </w:tcPr>
          <w:p>
            <w:pPr>
              <w:wordWrap w:val="0"/>
              <w:topLinePunct/>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100</w:t>
            </w:r>
          </w:p>
        </w:tc>
        <w:tc>
          <w:tcPr>
            <w:tcW w:w="11155" w:type="dxa"/>
            <w:vAlign w:val="center"/>
          </w:tcPr>
          <w:p>
            <w:pPr>
              <w:wordWrap w:val="0"/>
              <w:topLinePunct/>
              <w:spacing w:line="276" w:lineRule="auto"/>
              <w:jc w:val="center"/>
              <w:rPr>
                <w:rFonts w:hint="eastAsia" w:ascii="宋体" w:hAnsi="宋体" w:eastAsia="宋体" w:cs="宋体"/>
                <w:color w:val="auto"/>
                <w:szCs w:val="21"/>
                <w:highlight w:val="none"/>
              </w:rPr>
            </w:pPr>
          </w:p>
        </w:tc>
        <w:tc>
          <w:tcPr>
            <w:tcW w:w="900" w:type="dxa"/>
            <w:vAlign w:val="center"/>
          </w:tcPr>
          <w:p>
            <w:pPr>
              <w:wordWrap w:val="0"/>
              <w:topLinePunct/>
              <w:spacing w:line="276" w:lineRule="auto"/>
              <w:jc w:val="center"/>
              <w:rPr>
                <w:rFonts w:hint="eastAsia" w:ascii="宋体" w:hAnsi="宋体" w:eastAsia="宋体" w:cs="宋体"/>
                <w:color w:val="auto"/>
                <w:szCs w:val="21"/>
                <w:highlight w:val="none"/>
              </w:rPr>
            </w:pPr>
          </w:p>
        </w:tc>
      </w:tr>
    </w:tbl>
    <w:p>
      <w:pPr>
        <w:widowControl/>
        <w:wordWrap w:val="0"/>
        <w:jc w:val="left"/>
        <w:rPr>
          <w:rFonts w:hint="eastAsia" w:ascii="宋体" w:hAnsi="宋体" w:eastAsia="宋体" w:cs="宋体"/>
          <w:color w:val="auto"/>
          <w:szCs w:val="24"/>
          <w:highlight w:val="none"/>
        </w:rPr>
      </w:pPr>
      <w:r>
        <w:rPr>
          <w:rFonts w:hint="eastAsia" w:ascii="宋体" w:hAnsi="宋体" w:eastAsia="宋体" w:cs="Times New Roman"/>
          <w:b/>
          <w:bCs/>
          <w:color w:val="auto"/>
          <w:szCs w:val="24"/>
          <w:highlight w:val="none"/>
        </w:rPr>
        <w:t>备注：分值范围的解释，评标委员会对技术标详细审查评分时，允许以</w:t>
      </w:r>
      <w:r>
        <w:rPr>
          <w:rFonts w:ascii="宋体" w:hAnsi="宋体" w:eastAsia="宋体" w:cs="Times New Roman"/>
          <w:b/>
          <w:bCs/>
          <w:color w:val="auto"/>
          <w:szCs w:val="24"/>
          <w:highlight w:val="none"/>
        </w:rPr>
        <w:t>0.5分的倍数进行评分（如1.0、1.5、2.0、2.5等，以此类推）。</w:t>
      </w:r>
    </w:p>
    <w:p>
      <w:pPr>
        <w:widowControl/>
        <w:jc w:val="left"/>
        <w:rPr>
          <w:rFonts w:hint="eastAsia" w:ascii="宋体" w:hAnsi="宋体" w:eastAsia="宋体" w:cs="宋体"/>
          <w:color w:val="auto"/>
          <w:szCs w:val="24"/>
          <w:highlight w:val="none"/>
        </w:rPr>
        <w:sectPr>
          <w:type w:val="continuous"/>
          <w:pgSz w:w="16838" w:h="11905" w:orient="landscape"/>
          <w:pgMar w:top="1701" w:right="1474" w:bottom="1701" w:left="1474" w:header="720" w:footer="720" w:gutter="0"/>
          <w:cols w:space="720" w:num="1"/>
        </w:sectPr>
      </w:pPr>
    </w:p>
    <w:p>
      <w:pPr>
        <w:wordWrap w:val="0"/>
        <w:autoSpaceDE w:val="0"/>
        <w:autoSpaceDN w:val="0"/>
        <w:spacing w:line="276" w:lineRule="auto"/>
        <w:jc w:val="left"/>
        <w:outlineLvl w:val="3"/>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附表三</w:t>
      </w:r>
      <w:r>
        <w:rPr>
          <w:rFonts w:hint="eastAsia" w:ascii="宋体" w:hAnsi="宋体" w:eastAsia="宋体" w:cs="宋体"/>
          <w:color w:val="auto"/>
          <w:kern w:val="0"/>
          <w:sz w:val="28"/>
          <w:szCs w:val="28"/>
          <w:highlight w:val="none"/>
          <w:lang w:val="zh-CN"/>
        </w:rPr>
        <w:t>：</w:t>
      </w:r>
    </w:p>
    <w:p>
      <w:pPr>
        <w:autoSpaceDE w:val="0"/>
        <w:autoSpaceDN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定标因素表（定标阶段）</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32" w:type="pct"/>
            <w:vAlign w:val="center"/>
          </w:tcPr>
          <w:p>
            <w:pPr>
              <w:autoSpaceDE w:val="0"/>
              <w:autoSpaceDN w:val="0"/>
              <w:adjustRightInd w:val="0"/>
              <w:spacing w:line="276" w:lineRule="auto"/>
              <w:jc w:val="center"/>
              <w:textAlignment w:val="baseline"/>
              <w:outlineLvl w:val="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评价项目</w:t>
            </w:r>
          </w:p>
        </w:tc>
        <w:tc>
          <w:tcPr>
            <w:tcW w:w="4168" w:type="pct"/>
            <w:vAlign w:val="center"/>
          </w:tcPr>
          <w:p>
            <w:pPr>
              <w:autoSpaceDE w:val="0"/>
              <w:autoSpaceDN w:val="0"/>
              <w:adjustRightInd w:val="0"/>
              <w:spacing w:line="276" w:lineRule="auto"/>
              <w:jc w:val="center"/>
              <w:textAlignment w:val="baseline"/>
              <w:outlineLvl w:val="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定标评价的内容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32" w:type="pct"/>
            <w:vAlign w:val="center"/>
          </w:tcPr>
          <w:p>
            <w:pPr>
              <w:autoSpaceDE w:val="0"/>
              <w:autoSpaceDN w:val="0"/>
              <w:adjustRightInd w:val="0"/>
              <w:spacing w:line="276" w:lineRule="auto"/>
              <w:jc w:val="center"/>
              <w:textAlignment w:val="baseline"/>
              <w:outlineLvl w:val="0"/>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答辩</w:t>
            </w:r>
            <w:r>
              <w:rPr>
                <w:rFonts w:hint="eastAsia" w:ascii="宋体" w:hAnsi="宋体" w:eastAsia="宋体" w:cs="宋体"/>
                <w:bCs/>
                <w:color w:val="auto"/>
                <w:kern w:val="0"/>
                <w:szCs w:val="21"/>
                <w:highlight w:val="none"/>
                <w:lang w:val="zh-CN"/>
              </w:rPr>
              <w:t>因素</w:t>
            </w:r>
          </w:p>
        </w:tc>
        <w:tc>
          <w:tcPr>
            <w:tcW w:w="4168" w:type="pct"/>
            <w:vAlign w:val="center"/>
          </w:tcPr>
          <w:p>
            <w:pPr>
              <w:autoSpaceDE w:val="0"/>
              <w:autoSpaceDN w:val="0"/>
              <w:adjustRightInd w:val="0"/>
              <w:spacing w:line="276" w:lineRule="auto"/>
              <w:textAlignment w:val="baseline"/>
              <w:outlineLvl w:val="0"/>
              <w:rPr>
                <w:rFonts w:hint="eastAsia" w:ascii="宋体" w:hAnsi="宋体" w:eastAsia="宋体" w:cs="Times New Roman"/>
                <w:color w:val="auto"/>
                <w:kern w:val="0"/>
                <w:szCs w:val="21"/>
                <w:highlight w:val="none"/>
              </w:rPr>
            </w:pPr>
            <w:r>
              <w:rPr>
                <w:rFonts w:hint="eastAsia" w:ascii="宋体" w:hAnsi="宋体" w:eastAsia="宋体" w:cs="微软雅黑"/>
                <w:color w:val="auto"/>
                <w:kern w:val="0"/>
                <w:szCs w:val="21"/>
                <w:highlight w:val="none"/>
              </w:rPr>
              <w:t>一、合格中标候选人拟派的</w:t>
            </w:r>
            <w:bookmarkStart w:id="212" w:name="OLE_LINK49"/>
            <w:r>
              <w:rPr>
                <w:rFonts w:hint="eastAsia" w:ascii="宋体" w:hAnsi="宋体" w:eastAsia="宋体" w:cs="微软雅黑"/>
                <w:color w:val="auto"/>
                <w:kern w:val="0"/>
                <w:szCs w:val="21"/>
                <w:highlight w:val="none"/>
              </w:rPr>
              <w:t>答辩小组</w:t>
            </w:r>
            <w:bookmarkEnd w:id="212"/>
            <w:r>
              <w:rPr>
                <w:rFonts w:hint="eastAsia" w:ascii="宋体" w:hAnsi="宋体" w:eastAsia="宋体" w:cs="微软雅黑"/>
                <w:color w:val="auto"/>
                <w:kern w:val="0"/>
                <w:szCs w:val="21"/>
                <w:highlight w:val="none"/>
              </w:rPr>
              <w:t>先进行现场陈述</w:t>
            </w:r>
            <w:r>
              <w:rPr>
                <w:rFonts w:hint="eastAsia" w:ascii="宋体" w:hAnsi="宋体" w:eastAsia="宋体" w:cs="Times New Roman"/>
                <w:color w:val="auto"/>
                <w:kern w:val="0"/>
                <w:szCs w:val="21"/>
                <w:highlight w:val="none"/>
              </w:rPr>
              <w:t>，陈述内容</w:t>
            </w:r>
            <w:r>
              <w:rPr>
                <w:rFonts w:hint="eastAsia" w:ascii="宋体" w:hAnsi="宋体" w:eastAsia="宋体" w:cs="微软雅黑"/>
                <w:color w:val="auto"/>
                <w:kern w:val="0"/>
                <w:szCs w:val="21"/>
                <w:highlight w:val="none"/>
              </w:rPr>
              <w:t>包括但不限于：</w:t>
            </w:r>
          </w:p>
          <w:p>
            <w:pPr>
              <w:autoSpaceDE w:val="0"/>
              <w:autoSpaceDN w:val="0"/>
              <w:adjustRightInd w:val="0"/>
              <w:spacing w:line="276" w:lineRule="auto"/>
              <w:textAlignment w:val="baseline"/>
              <w:outlineLvl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1、对整体设计内容、工作目标、任务、重难点的理解程度进行阐述；</w:t>
            </w:r>
          </w:p>
          <w:p>
            <w:pPr>
              <w:autoSpaceDE w:val="0"/>
              <w:autoSpaceDN w:val="0"/>
              <w:adjustRightInd w:val="0"/>
              <w:spacing w:line="276" w:lineRule="auto"/>
              <w:textAlignment w:val="baseline"/>
              <w:outlineLvl w:val="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本工程设计思路、设计方法、设计方案在可行性、合理性以及重难点方面进行讲解；</w:t>
            </w:r>
          </w:p>
          <w:p>
            <w:pPr>
              <w:autoSpaceDE w:val="0"/>
              <w:autoSpaceDN w:val="0"/>
              <w:adjustRightInd w:val="0"/>
              <w:spacing w:line="276" w:lineRule="auto"/>
              <w:textAlignment w:val="baseline"/>
              <w:outlineLvl w:val="0"/>
              <w:rPr>
                <w:rFonts w:hint="eastAsia" w:ascii="宋体" w:hAnsi="宋体" w:eastAsia="宋体" w:cs="宋体"/>
                <w:bCs/>
                <w:color w:val="auto"/>
                <w:kern w:val="0"/>
                <w:szCs w:val="21"/>
                <w:highlight w:val="none"/>
              </w:rPr>
            </w:pP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、对设计进度安排、质量保证措施、协助业主确保工程质量、控制工程规模、降低工程造价、减少设计变更等方面进行讲解。</w:t>
            </w:r>
          </w:p>
          <w:p>
            <w:pPr>
              <w:autoSpaceDE w:val="0"/>
              <w:autoSpaceDN w:val="0"/>
              <w:spacing w:line="276" w:lineRule="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二、</w:t>
            </w:r>
            <w:r>
              <w:rPr>
                <w:rFonts w:hint="eastAsia" w:ascii="宋体" w:hAnsi="宋体" w:eastAsia="宋体" w:cs="Times New Roman"/>
                <w:color w:val="auto"/>
                <w:kern w:val="0"/>
                <w:szCs w:val="21"/>
                <w:highlight w:val="none"/>
              </w:rPr>
              <w:t>定标委员会对答辩小组的陈述内容对其进行提问，再由答辩小组进行回答。</w:t>
            </w:r>
          </w:p>
          <w:p>
            <w:pPr>
              <w:autoSpaceDE w:val="0"/>
              <w:autoSpaceDN w:val="0"/>
              <w:spacing w:line="276" w:lineRule="auto"/>
              <w:rPr>
                <w:rFonts w:hint="eastAsia" w:ascii="宋体" w:hAnsi="宋体" w:eastAsia="宋体" w:cs="宋体"/>
                <w:b/>
                <w:color w:val="auto"/>
                <w:kern w:val="0"/>
                <w:szCs w:val="21"/>
                <w:highlight w:val="none"/>
                <w:u w:val="single"/>
              </w:rPr>
            </w:pPr>
          </w:p>
          <w:p>
            <w:pPr>
              <w:autoSpaceDE w:val="0"/>
              <w:autoSpaceDN w:val="0"/>
              <w:spacing w:line="276" w:lineRule="auto"/>
              <w:rPr>
                <w:rFonts w:hint="eastAsia" w:ascii="宋体" w:hAnsi="宋体" w:eastAsia="宋体" w:cs="宋体"/>
                <w:bCs/>
                <w:color w:val="auto"/>
                <w:kern w:val="0"/>
                <w:szCs w:val="21"/>
                <w:highlight w:val="none"/>
              </w:rPr>
            </w:pPr>
            <w:r>
              <w:rPr>
                <w:rFonts w:ascii="宋体" w:hAnsi="宋体" w:eastAsia="宋体" w:cs="宋体"/>
                <w:b/>
                <w:color w:val="auto"/>
                <w:kern w:val="0"/>
                <w:szCs w:val="21"/>
                <w:highlight w:val="none"/>
                <w:u w:val="single"/>
              </w:rPr>
              <w:t>备注：</w:t>
            </w:r>
            <w:r>
              <w:rPr>
                <w:rFonts w:hint="eastAsia" w:ascii="宋体" w:hAnsi="宋体" w:eastAsia="宋体" w:cs="宋体"/>
                <w:bCs/>
                <w:color w:val="auto"/>
                <w:kern w:val="0"/>
                <w:szCs w:val="21"/>
                <w:highlight w:val="none"/>
                <w:u w:val="single"/>
              </w:rPr>
              <w:t>答辩</w:t>
            </w:r>
            <w:r>
              <w:rPr>
                <w:rFonts w:ascii="宋体" w:hAnsi="宋体" w:eastAsia="宋体" w:cs="宋体"/>
                <w:bCs/>
                <w:color w:val="auto"/>
                <w:kern w:val="0"/>
                <w:szCs w:val="21"/>
                <w:highlight w:val="none"/>
                <w:u w:val="single"/>
              </w:rPr>
              <w:t>时长控制</w:t>
            </w:r>
            <w:r>
              <w:rPr>
                <w:rFonts w:hint="eastAsia" w:ascii="宋体" w:hAnsi="宋体" w:eastAsia="宋体" w:cs="宋体"/>
                <w:bCs/>
                <w:color w:val="auto"/>
                <w:kern w:val="0"/>
                <w:szCs w:val="21"/>
                <w:highlight w:val="none"/>
                <w:u w:val="single"/>
              </w:rPr>
              <w:t>，</w:t>
            </w:r>
            <w:r>
              <w:rPr>
                <w:rFonts w:hint="eastAsia" w:ascii="宋体" w:hAnsi="宋体" w:eastAsia="宋体" w:cs="宋体"/>
                <w:bCs/>
                <w:color w:val="auto"/>
                <w:kern w:val="0"/>
                <w:szCs w:val="21"/>
                <w:highlight w:val="none"/>
                <w:u w:val="single"/>
                <w:lang w:val="zh-CN"/>
              </w:rPr>
              <w:t>每组答辩人员的</w:t>
            </w:r>
            <w:r>
              <w:rPr>
                <w:rFonts w:hint="eastAsia" w:ascii="宋体" w:hAnsi="宋体" w:eastAsia="宋体" w:cs="宋体"/>
                <w:b/>
                <w:bCs/>
                <w:color w:val="auto"/>
                <w:kern w:val="0"/>
                <w:szCs w:val="21"/>
                <w:highlight w:val="none"/>
                <w:u w:val="single"/>
              </w:rPr>
              <w:t>陈述及答辩总时间不超过</w:t>
            </w:r>
            <w:r>
              <w:rPr>
                <w:rFonts w:ascii="宋体" w:hAnsi="宋体" w:eastAsia="宋体" w:cs="宋体"/>
                <w:b/>
                <w:bCs/>
                <w:color w:val="auto"/>
                <w:kern w:val="0"/>
                <w:szCs w:val="21"/>
                <w:highlight w:val="none"/>
                <w:u w:val="single"/>
              </w:rPr>
              <w:t>20分钟</w:t>
            </w:r>
            <w:r>
              <w:rPr>
                <w:rFonts w:hint="eastAsia" w:ascii="宋体" w:hAnsi="宋体" w:eastAsia="宋体" w:cs="宋体"/>
                <w:bCs/>
                <w:color w:val="auto"/>
                <w:kern w:val="0"/>
                <w:szCs w:val="21"/>
                <w:highlight w:val="none"/>
                <w:u w:val="single"/>
                <w:lang w:val="zh-CN"/>
              </w:rPr>
              <w:t>，其中</w:t>
            </w:r>
            <w:r>
              <w:rPr>
                <w:rFonts w:ascii="宋体" w:hAnsi="宋体" w:eastAsia="宋体" w:cs="宋体"/>
                <w:bCs/>
                <w:color w:val="auto"/>
                <w:kern w:val="0"/>
                <w:szCs w:val="21"/>
                <w:highlight w:val="none"/>
                <w:u w:val="single"/>
              </w:rPr>
              <w:t>陈述</w:t>
            </w:r>
            <w:r>
              <w:rPr>
                <w:rFonts w:hint="eastAsia" w:ascii="宋体" w:hAnsi="宋体" w:eastAsia="宋体" w:cs="宋体"/>
                <w:bCs/>
                <w:color w:val="auto"/>
                <w:kern w:val="0"/>
                <w:szCs w:val="21"/>
                <w:highlight w:val="none"/>
                <w:u w:val="single"/>
                <w:lang w:val="zh-CN"/>
              </w:rPr>
              <w:t>时间不超过</w:t>
            </w:r>
            <w:r>
              <w:rPr>
                <w:rFonts w:ascii="宋体" w:hAnsi="宋体" w:eastAsia="宋体" w:cs="宋体"/>
                <w:bCs/>
                <w:color w:val="auto"/>
                <w:kern w:val="0"/>
                <w:szCs w:val="21"/>
                <w:highlight w:val="none"/>
                <w:u w:val="single"/>
              </w:rPr>
              <w:t>10分钟。</w:t>
            </w:r>
          </w:p>
        </w:tc>
      </w:tr>
    </w:tbl>
    <w:p>
      <w:pPr>
        <w:rPr>
          <w:rFonts w:hint="eastAsia" w:ascii="宋体" w:hAnsi="宋体" w:eastAsia="宋体"/>
          <w:color w:val="auto"/>
          <w:highlight w:val="none"/>
        </w:rPr>
      </w:pPr>
    </w:p>
    <w:p>
      <w:pPr>
        <w:pStyle w:val="2"/>
        <w:rPr>
          <w:rFonts w:hint="eastAsia" w:ascii="宋体" w:hAnsi="宋体"/>
          <w:color w:val="auto"/>
          <w:highlight w:val="none"/>
        </w:rPr>
      </w:pPr>
      <w:r>
        <w:rPr>
          <w:rFonts w:ascii="宋体" w:hAnsi="宋体"/>
          <w:color w:val="auto"/>
          <w:highlight w:val="none"/>
        </w:rPr>
        <w:br w:type="page"/>
      </w:r>
    </w:p>
    <w:p>
      <w:pPr>
        <w:wordWrap w:val="0"/>
        <w:autoSpaceDE w:val="0"/>
        <w:autoSpaceDN w:val="0"/>
        <w:spacing w:line="276" w:lineRule="auto"/>
        <w:jc w:val="left"/>
        <w:outlineLvl w:val="3"/>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附表四</w:t>
      </w:r>
      <w:r>
        <w:rPr>
          <w:rFonts w:hint="eastAsia" w:ascii="宋体" w:hAnsi="宋体" w:eastAsia="宋体" w:cs="宋体"/>
          <w:color w:val="auto"/>
          <w:kern w:val="0"/>
          <w:sz w:val="28"/>
          <w:szCs w:val="28"/>
          <w:highlight w:val="none"/>
          <w:lang w:val="zh-CN"/>
        </w:rPr>
        <w:t>：</w:t>
      </w:r>
    </w:p>
    <w:p>
      <w:pPr>
        <w:autoSpaceDE w:val="0"/>
        <w:autoSpaceDN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直接票决定标选票表（定标阶段）</w:t>
      </w:r>
    </w:p>
    <w:p>
      <w:pPr>
        <w:autoSpaceDE w:val="0"/>
        <w:autoSpaceDN w:val="0"/>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bl>
      <w:tblPr>
        <w:tblStyle w:val="45"/>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2"/>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3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支持的合格中标候选人名称</w:t>
            </w:r>
          </w:p>
        </w:tc>
        <w:tc>
          <w:tcPr>
            <w:tcW w:w="2282"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623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tc>
        <w:tc>
          <w:tcPr>
            <w:tcW w:w="2282"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tc>
      </w:tr>
    </w:tbl>
    <w:p>
      <w:pPr>
        <w:autoSpaceDE w:val="0"/>
        <w:autoSpaceDN w:val="0"/>
        <w:jc w:val="left"/>
        <w:rPr>
          <w:rFonts w:hint="eastAsia" w:ascii="宋体" w:hAnsi="宋体" w:eastAsia="宋体" w:cs="宋体"/>
          <w:color w:val="auto"/>
          <w:kern w:val="0"/>
          <w:sz w:val="24"/>
          <w:szCs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定标委员签名：</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日期：</w:t>
      </w:r>
    </w:p>
    <w:p>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4"/>
          <w:szCs w:val="24"/>
          <w:highlight w:val="none"/>
        </w:rPr>
        <w:t>注：由定标委员会成员进行投票，各定标委员会成员只能投票一家合格中标候选人。</w:t>
      </w:r>
    </w:p>
    <w:p>
      <w:pPr>
        <w:widowControl/>
        <w:jc w:val="left"/>
        <w:rPr>
          <w:rFonts w:hint="eastAsia" w:ascii="宋体" w:hAnsi="宋体" w:eastAsia="宋体"/>
          <w:color w:val="auto"/>
          <w:highlight w:val="none"/>
        </w:rPr>
      </w:pPr>
      <w:r>
        <w:rPr>
          <w:rFonts w:ascii="宋体" w:hAnsi="宋体" w:eastAsia="宋体"/>
          <w:color w:val="auto"/>
          <w:highlight w:val="none"/>
        </w:rPr>
        <w:br w:type="page"/>
      </w:r>
    </w:p>
    <w:p>
      <w:pPr>
        <w:wordWrap w:val="0"/>
        <w:autoSpaceDE w:val="0"/>
        <w:autoSpaceDN w:val="0"/>
        <w:spacing w:line="276" w:lineRule="auto"/>
        <w:jc w:val="left"/>
        <w:outlineLvl w:val="3"/>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附表五</w:t>
      </w:r>
      <w:r>
        <w:rPr>
          <w:rFonts w:hint="eastAsia" w:ascii="宋体" w:hAnsi="宋体" w:eastAsia="宋体" w:cs="宋体"/>
          <w:color w:val="auto"/>
          <w:kern w:val="0"/>
          <w:sz w:val="28"/>
          <w:szCs w:val="28"/>
          <w:highlight w:val="none"/>
          <w:lang w:val="zh-CN"/>
        </w:rPr>
        <w:t>：</w:t>
      </w:r>
    </w:p>
    <w:p>
      <w:pPr>
        <w:autoSpaceDE w:val="0"/>
        <w:autoSpaceDN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直接票决定标选票汇总表（定标阶段）</w:t>
      </w:r>
    </w:p>
    <w:p>
      <w:pPr>
        <w:autoSpaceDE w:val="0"/>
        <w:autoSpaceDN w:val="0"/>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bl>
      <w:tblPr>
        <w:tblStyle w:val="45"/>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578"/>
        <w:gridCol w:w="1146"/>
        <w:gridCol w:w="1500"/>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2070"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合格中标候选人名称</w:t>
            </w:r>
          </w:p>
        </w:tc>
        <w:tc>
          <w:tcPr>
            <w:tcW w:w="663"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得票数</w:t>
            </w:r>
          </w:p>
        </w:tc>
        <w:tc>
          <w:tcPr>
            <w:tcW w:w="868"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附加投票（如有）</w:t>
            </w:r>
          </w:p>
        </w:tc>
        <w:tc>
          <w:tcPr>
            <w:tcW w:w="861"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是否被推荐</w:t>
            </w:r>
          </w:p>
          <w:p>
            <w:pPr>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1</w:t>
            </w:r>
          </w:p>
        </w:tc>
        <w:tc>
          <w:tcPr>
            <w:tcW w:w="2070" w:type="pct"/>
            <w:tcBorders>
              <w:top w:val="single" w:color="auto" w:sz="4" w:space="0"/>
              <w:left w:val="nil"/>
              <w:bottom w:val="single" w:color="auto" w:sz="4" w:space="0"/>
              <w:right w:val="single" w:color="auto" w:sz="4" w:space="0"/>
            </w:tcBorders>
            <w:vAlign w:val="center"/>
          </w:tcPr>
          <w:p>
            <w:pPr>
              <w:spacing w:line="360" w:lineRule="exact"/>
              <w:textAlignment w:val="center"/>
              <w:rPr>
                <w:rFonts w:hint="eastAsia" w:ascii="宋体" w:hAnsi="宋体" w:eastAsia="宋体" w:cs="宋体"/>
                <w:color w:val="auto"/>
                <w:kern w:val="0"/>
                <w:sz w:val="24"/>
                <w:highlight w:val="none"/>
              </w:rPr>
            </w:pPr>
          </w:p>
        </w:tc>
        <w:tc>
          <w:tcPr>
            <w:tcW w:w="663"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p>
        </w:tc>
        <w:tc>
          <w:tcPr>
            <w:tcW w:w="868"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p>
        </w:tc>
        <w:tc>
          <w:tcPr>
            <w:tcW w:w="861"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2</w:t>
            </w:r>
          </w:p>
        </w:tc>
        <w:tc>
          <w:tcPr>
            <w:tcW w:w="2070" w:type="pct"/>
            <w:tcBorders>
              <w:top w:val="single" w:color="auto" w:sz="4" w:space="0"/>
              <w:left w:val="nil"/>
              <w:bottom w:val="single" w:color="auto" w:sz="4" w:space="0"/>
              <w:right w:val="single" w:color="auto" w:sz="4" w:space="0"/>
            </w:tcBorders>
            <w:vAlign w:val="center"/>
          </w:tcPr>
          <w:p>
            <w:pPr>
              <w:spacing w:line="360" w:lineRule="exact"/>
              <w:textAlignment w:val="center"/>
              <w:rPr>
                <w:rFonts w:hint="eastAsia" w:ascii="宋体" w:hAnsi="宋体" w:eastAsia="宋体" w:cs="宋体"/>
                <w:color w:val="auto"/>
                <w:kern w:val="0"/>
                <w:sz w:val="24"/>
                <w:highlight w:val="none"/>
              </w:rPr>
            </w:pPr>
          </w:p>
        </w:tc>
        <w:tc>
          <w:tcPr>
            <w:tcW w:w="663"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p>
        </w:tc>
        <w:tc>
          <w:tcPr>
            <w:tcW w:w="868"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p>
        </w:tc>
        <w:tc>
          <w:tcPr>
            <w:tcW w:w="861"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3</w:t>
            </w:r>
          </w:p>
        </w:tc>
        <w:tc>
          <w:tcPr>
            <w:tcW w:w="2070" w:type="pct"/>
            <w:tcBorders>
              <w:top w:val="single" w:color="auto" w:sz="4" w:space="0"/>
              <w:left w:val="nil"/>
              <w:bottom w:val="single" w:color="auto" w:sz="4" w:space="0"/>
              <w:right w:val="single" w:color="auto" w:sz="4" w:space="0"/>
            </w:tcBorders>
            <w:vAlign w:val="center"/>
          </w:tcPr>
          <w:p>
            <w:pPr>
              <w:spacing w:line="360" w:lineRule="exact"/>
              <w:textAlignment w:val="center"/>
              <w:rPr>
                <w:rFonts w:hint="eastAsia" w:ascii="宋体" w:hAnsi="宋体" w:eastAsia="宋体" w:cs="宋体"/>
                <w:color w:val="auto"/>
                <w:kern w:val="0"/>
                <w:sz w:val="24"/>
                <w:highlight w:val="none"/>
              </w:rPr>
            </w:pPr>
          </w:p>
        </w:tc>
        <w:tc>
          <w:tcPr>
            <w:tcW w:w="663"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p>
        </w:tc>
        <w:tc>
          <w:tcPr>
            <w:tcW w:w="868"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p>
        </w:tc>
        <w:tc>
          <w:tcPr>
            <w:tcW w:w="861"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highlight w:val="none"/>
              </w:rPr>
            </w:pPr>
          </w:p>
        </w:tc>
      </w:tr>
    </w:tbl>
    <w:p>
      <w:pPr>
        <w:autoSpaceDE w:val="0"/>
        <w:autoSpaceDN w:val="0"/>
        <w:jc w:val="left"/>
        <w:rPr>
          <w:rFonts w:hint="eastAsia" w:ascii="宋体" w:hAnsi="宋体" w:eastAsia="宋体" w:cs="宋体"/>
          <w:color w:val="auto"/>
          <w:kern w:val="0"/>
          <w:sz w:val="24"/>
          <w:szCs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全体定标委员签名：</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日期：</w:t>
      </w:r>
    </w:p>
    <w:p>
      <w:pPr>
        <w:wordWrap w:val="0"/>
        <w:autoSpaceDE w:val="0"/>
        <w:autoSpaceDN w:val="0"/>
        <w:spacing w:line="276" w:lineRule="auto"/>
        <w:jc w:val="left"/>
        <w:outlineLvl w:val="3"/>
        <w:rPr>
          <w:rFonts w:hint="eastAsia" w:ascii="宋体" w:hAnsi="宋体" w:eastAsia="宋体"/>
          <w:b/>
          <w:color w:val="auto"/>
          <w:sz w:val="24"/>
          <w:szCs w:val="24"/>
          <w:highlight w:val="none"/>
        </w:rPr>
      </w:pPr>
      <w:r>
        <w:rPr>
          <w:rFonts w:ascii="宋体" w:hAnsi="宋体" w:eastAsia="宋体" w:cs="宋体"/>
          <w:color w:val="auto"/>
          <w:kern w:val="0"/>
          <w:sz w:val="20"/>
          <w:szCs w:val="20"/>
          <w:highlight w:val="none"/>
        </w:rPr>
        <w:br w:type="page"/>
      </w:r>
      <w:r>
        <w:rPr>
          <w:rFonts w:hint="eastAsia" w:ascii="宋体" w:hAnsi="宋体" w:eastAsia="宋体" w:cs="宋体"/>
          <w:color w:val="auto"/>
          <w:kern w:val="0"/>
          <w:sz w:val="28"/>
          <w:szCs w:val="28"/>
          <w:highlight w:val="none"/>
        </w:rPr>
        <w:t>附表六</w:t>
      </w:r>
      <w:r>
        <w:rPr>
          <w:rFonts w:hint="eastAsia" w:ascii="宋体" w:hAnsi="宋体" w:eastAsia="宋体" w:cs="宋体"/>
          <w:color w:val="auto"/>
          <w:kern w:val="0"/>
          <w:sz w:val="28"/>
          <w:szCs w:val="28"/>
          <w:highlight w:val="none"/>
          <w:lang w:val="zh-CN"/>
        </w:rPr>
        <w:t>：</w:t>
      </w:r>
    </w:p>
    <w:p>
      <w:pPr>
        <w:autoSpaceDE w:val="0"/>
        <w:autoSpaceDN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定标阶段</w:t>
      </w:r>
      <w:r>
        <w:rPr>
          <w:rFonts w:ascii="宋体" w:hAnsi="宋体" w:eastAsia="宋体" w:cs="宋体"/>
          <w:b/>
          <w:color w:val="auto"/>
          <w:kern w:val="0"/>
          <w:sz w:val="30"/>
          <w:szCs w:val="30"/>
          <w:highlight w:val="none"/>
        </w:rPr>
        <w:t>-票数相同时定标委员会个人用表</w:t>
      </w:r>
    </w:p>
    <w:p>
      <w:pPr>
        <w:autoSpaceDE w:val="0"/>
        <w:autoSpaceDN w:val="0"/>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bl>
      <w:tblPr>
        <w:tblStyle w:val="45"/>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100"/>
        <w:gridCol w:w="2150"/>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54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合格中标候选人名称</w:t>
            </w:r>
          </w:p>
        </w:tc>
        <w:tc>
          <w:tcPr>
            <w:tcW w:w="21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hint="eastAsia" w:ascii="宋体" w:hAnsi="宋体" w:eastAsia="宋体" w:cs="宋体"/>
                <w:color w:val="auto"/>
                <w:kern w:val="0"/>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hint="eastAsia" w:ascii="宋体" w:hAnsi="宋体" w:eastAsia="宋体" w:cs="宋体"/>
                <w:color w:val="auto"/>
                <w:kern w:val="0"/>
                <w:sz w:val="24"/>
                <w:szCs w:val="24"/>
                <w:highlight w:val="none"/>
              </w:rPr>
            </w:pPr>
          </w:p>
        </w:tc>
        <w:tc>
          <w:tcPr>
            <w:tcW w:w="21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54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票决意见</w:t>
            </w:r>
          </w:p>
        </w:tc>
        <w:tc>
          <w:tcPr>
            <w:tcW w:w="21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hint="eastAsia" w:ascii="宋体" w:hAnsi="宋体" w:eastAsia="宋体" w:cs="宋体"/>
                <w:color w:val="auto"/>
                <w:kern w:val="0"/>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hint="eastAsia" w:ascii="宋体" w:hAnsi="宋体" w:eastAsia="宋体" w:cs="宋体"/>
                <w:color w:val="auto"/>
                <w:kern w:val="0"/>
                <w:sz w:val="24"/>
                <w:szCs w:val="24"/>
                <w:highlight w:val="none"/>
              </w:rPr>
            </w:pPr>
          </w:p>
        </w:tc>
        <w:tc>
          <w:tcPr>
            <w:tcW w:w="21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jc w:val="center"/>
              <w:rPr>
                <w:rFonts w:hint="eastAsia" w:ascii="宋体" w:hAnsi="宋体" w:eastAsia="宋体" w:cs="宋体"/>
                <w:color w:val="auto"/>
                <w:kern w:val="0"/>
                <w:sz w:val="24"/>
                <w:szCs w:val="24"/>
                <w:highlight w:val="none"/>
              </w:rPr>
            </w:pPr>
          </w:p>
        </w:tc>
      </w:tr>
    </w:tbl>
    <w:p>
      <w:pPr>
        <w:autoSpaceDE w:val="0"/>
        <w:autoSpaceDN w:val="0"/>
        <w:jc w:val="left"/>
        <w:rPr>
          <w:rFonts w:hint="eastAsia" w:ascii="宋体" w:hAnsi="宋体" w:eastAsia="宋体" w:cs="宋体"/>
          <w:color w:val="auto"/>
          <w:kern w:val="0"/>
          <w:sz w:val="24"/>
          <w:szCs w:val="24"/>
          <w:highlight w:val="none"/>
        </w:rPr>
      </w:pPr>
    </w:p>
    <w:p>
      <w:pPr>
        <w:autoSpaceDE w:val="0"/>
        <w:autoSpaceDN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定标委员签名：</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日期：</w:t>
      </w:r>
    </w:p>
    <w:p>
      <w:pPr>
        <w:autoSpaceDE w:val="0"/>
        <w:autoSpaceDN w:val="0"/>
        <w:jc w:val="left"/>
        <w:rPr>
          <w:rFonts w:hint="eastAsia" w:ascii="宋体" w:hAnsi="宋体" w:eastAsia="宋体" w:cs="宋体"/>
          <w:color w:val="auto"/>
          <w:kern w:val="0"/>
          <w:sz w:val="24"/>
          <w:szCs w:val="24"/>
          <w:highlight w:val="none"/>
        </w:rPr>
      </w:pPr>
    </w:p>
    <w:p>
      <w:pPr>
        <w:autoSpaceDE w:val="0"/>
        <w:autoSpaceDN w:val="0"/>
        <w:spacing w:line="360" w:lineRule="auto"/>
        <w:jc w:val="left"/>
        <w:rPr>
          <w:rFonts w:hint="eastAsia" w:ascii="宋体" w:hAnsi="宋体" w:eastAsia="宋体" w:cs="宋体"/>
          <w:b/>
          <w:color w:val="auto"/>
          <w:kern w:val="0"/>
          <w:sz w:val="24"/>
          <w:szCs w:val="24"/>
          <w:highlight w:val="none"/>
        </w:rPr>
      </w:pPr>
    </w:p>
    <w:p>
      <w:pPr>
        <w:autoSpaceDE w:val="0"/>
        <w:autoSpaceDN w:val="0"/>
        <w:spacing w:line="360" w:lineRule="auto"/>
        <w:jc w:val="left"/>
        <w:rPr>
          <w:rFonts w:hint="eastAsia" w:ascii="宋体" w:hAnsi="宋体" w:eastAsia="宋体" w:cs="宋体"/>
          <w:b/>
          <w:color w:val="auto"/>
          <w:kern w:val="0"/>
          <w:sz w:val="24"/>
          <w:szCs w:val="24"/>
          <w:highlight w:val="none"/>
        </w:rPr>
      </w:pPr>
    </w:p>
    <w:p>
      <w:pPr>
        <w:autoSpaceDE w:val="0"/>
        <w:autoSpaceDN w:val="0"/>
        <w:spacing w:line="360" w:lineRule="auto"/>
        <w:jc w:val="left"/>
        <w:rPr>
          <w:rFonts w:hint="eastAsia" w:ascii="宋体" w:hAnsi="宋体" w:eastAsia="宋体" w:cs="宋体"/>
          <w:b/>
          <w:color w:val="auto"/>
          <w:kern w:val="0"/>
          <w:sz w:val="24"/>
          <w:szCs w:val="24"/>
          <w:highlight w:val="none"/>
        </w:rPr>
      </w:pPr>
    </w:p>
    <w:p>
      <w:pPr>
        <w:autoSpaceDE w:val="0"/>
        <w:autoSpaceDN w:val="0"/>
        <w:spacing w:line="360" w:lineRule="auto"/>
        <w:jc w:val="left"/>
        <w:rPr>
          <w:rFonts w:hint="eastAsia" w:ascii="宋体" w:hAnsi="宋体" w:eastAsia="宋体" w:cs="宋体"/>
          <w:b/>
          <w:color w:val="auto"/>
          <w:kern w:val="0"/>
          <w:sz w:val="24"/>
          <w:szCs w:val="24"/>
          <w:highlight w:val="none"/>
        </w:rPr>
      </w:pPr>
    </w:p>
    <w:p>
      <w:pPr>
        <w:autoSpaceDE w:val="0"/>
        <w:autoSpaceDN w:val="0"/>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w:t>
      </w:r>
    </w:p>
    <w:p>
      <w:pPr>
        <w:autoSpaceDE w:val="0"/>
        <w:autoSpaceDN w:val="0"/>
        <w:spacing w:line="360" w:lineRule="auto"/>
        <w:jc w:val="left"/>
        <w:rPr>
          <w:rFonts w:hint="eastAsia" w:ascii="宋体" w:hAnsi="宋体" w:eastAsia="宋体" w:cs="宋体"/>
          <w:b/>
          <w:color w:val="auto"/>
          <w:kern w:val="0"/>
          <w:sz w:val="24"/>
          <w:szCs w:val="24"/>
          <w:highlight w:val="none"/>
        </w:rPr>
      </w:pPr>
      <w:r>
        <w:rPr>
          <w:rFonts w:ascii="宋体" w:hAnsi="宋体" w:eastAsia="宋体" w:cs="宋体"/>
          <w:b/>
          <w:color w:val="auto"/>
          <w:kern w:val="0"/>
          <w:sz w:val="24"/>
          <w:szCs w:val="24"/>
          <w:highlight w:val="none"/>
        </w:rPr>
        <w:t>1、本表用于投票出现票数相同的情况。</w:t>
      </w:r>
    </w:p>
    <w:p>
      <w:pPr>
        <w:widowControl/>
        <w:spacing w:line="360" w:lineRule="auto"/>
        <w:jc w:val="left"/>
        <w:rPr>
          <w:rFonts w:hint="eastAsia" w:ascii="宋体" w:hAnsi="宋体" w:eastAsia="宋体" w:cs="宋体"/>
          <w:b/>
          <w:color w:val="auto"/>
          <w:kern w:val="0"/>
          <w:sz w:val="24"/>
          <w:szCs w:val="24"/>
          <w:highlight w:val="none"/>
        </w:rPr>
      </w:pPr>
      <w:r>
        <w:rPr>
          <w:rFonts w:ascii="宋体" w:hAnsi="宋体" w:eastAsia="宋体" w:cs="宋体"/>
          <w:b/>
          <w:color w:val="auto"/>
          <w:kern w:val="0"/>
          <w:sz w:val="24"/>
          <w:szCs w:val="24"/>
          <w:highlight w:val="none"/>
        </w:rPr>
        <w:t>2、由定标委员会成员进行附加投票，票决意</w:t>
      </w:r>
      <w:r>
        <w:rPr>
          <w:rFonts w:hint="eastAsia" w:ascii="宋体" w:hAnsi="宋体" w:eastAsia="宋体" w:cs="宋体"/>
          <w:b/>
          <w:color w:val="auto"/>
          <w:kern w:val="0"/>
          <w:sz w:val="24"/>
          <w:szCs w:val="24"/>
          <w:highlight w:val="none"/>
        </w:rPr>
        <w:t>见分别为“投票”或“不投票”，各定标委员会成员只有</w:t>
      </w:r>
      <w:r>
        <w:rPr>
          <w:rFonts w:ascii="宋体" w:hAnsi="宋体" w:eastAsia="宋体" w:cs="宋体"/>
          <w:b/>
          <w:color w:val="auto"/>
          <w:kern w:val="0"/>
          <w:sz w:val="24"/>
          <w:szCs w:val="24"/>
          <w:highlight w:val="none"/>
        </w:rPr>
        <w:t>1票表决权（即只能对其中一名</w:t>
      </w:r>
      <w:r>
        <w:rPr>
          <w:rFonts w:hint="eastAsia" w:ascii="宋体" w:hAnsi="宋体" w:eastAsia="宋体" w:cs="宋体"/>
          <w:b/>
          <w:color w:val="auto"/>
          <w:kern w:val="0"/>
          <w:sz w:val="24"/>
          <w:szCs w:val="24"/>
          <w:highlight w:val="none"/>
        </w:rPr>
        <w:t>合格</w:t>
      </w:r>
      <w:r>
        <w:rPr>
          <w:rFonts w:ascii="宋体" w:hAnsi="宋体" w:eastAsia="宋体" w:cs="宋体"/>
          <w:b/>
          <w:color w:val="auto"/>
          <w:kern w:val="0"/>
          <w:sz w:val="24"/>
          <w:szCs w:val="24"/>
          <w:highlight w:val="none"/>
        </w:rPr>
        <w:t>中标候选人“投票”），票决意见为“投票”的，用“○”表示；票决意见为“不投票”，用“×”表示。</w:t>
      </w:r>
    </w:p>
    <w:p>
      <w:pPr>
        <w:widowControl/>
        <w:jc w:val="left"/>
        <w:rPr>
          <w:rFonts w:hint="eastAsia" w:ascii="宋体" w:hAnsi="宋体" w:eastAsia="宋体"/>
          <w:color w:val="auto"/>
          <w:highlight w:val="none"/>
        </w:rPr>
      </w:pPr>
      <w:r>
        <w:rPr>
          <w:rFonts w:ascii="宋体" w:hAnsi="宋体" w:eastAsia="宋体"/>
          <w:color w:val="auto"/>
          <w:highlight w:val="none"/>
        </w:rPr>
        <w:br w:type="page"/>
      </w:r>
    </w:p>
    <w:p>
      <w:pPr>
        <w:wordWrap w:val="0"/>
        <w:autoSpaceDE w:val="0"/>
        <w:autoSpaceDN w:val="0"/>
        <w:spacing w:line="276" w:lineRule="auto"/>
        <w:jc w:val="left"/>
        <w:outlineLvl w:val="3"/>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附表七</w:t>
      </w:r>
      <w:r>
        <w:rPr>
          <w:rFonts w:hint="eastAsia" w:ascii="宋体" w:hAnsi="宋体" w:eastAsia="宋体" w:cs="宋体"/>
          <w:color w:val="auto"/>
          <w:kern w:val="0"/>
          <w:sz w:val="28"/>
          <w:szCs w:val="28"/>
          <w:highlight w:val="none"/>
          <w:lang w:val="zh-CN"/>
        </w:rPr>
        <w:t>：</w:t>
      </w:r>
    </w:p>
    <w:p>
      <w:pPr>
        <w:autoSpaceDE w:val="0"/>
        <w:autoSpaceDN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定标阶段</w:t>
      </w:r>
      <w:r>
        <w:rPr>
          <w:rFonts w:ascii="宋体" w:hAnsi="宋体" w:eastAsia="宋体" w:cs="宋体"/>
          <w:b/>
          <w:color w:val="auto"/>
          <w:kern w:val="0"/>
          <w:sz w:val="30"/>
          <w:szCs w:val="30"/>
          <w:highlight w:val="none"/>
        </w:rPr>
        <w:t>-票数相同时定标委员会汇总用表</w:t>
      </w:r>
    </w:p>
    <w:p>
      <w:pPr>
        <w:autoSpaceDE w:val="0"/>
        <w:autoSpaceDN w:val="0"/>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bl>
      <w:tblPr>
        <w:tblStyle w:val="45"/>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4071"/>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8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317" w:type="pct"/>
            <w:tcBorders>
              <w:top w:val="single" w:color="auto" w:sz="4" w:space="0"/>
              <w:left w:val="single" w:color="auto" w:sz="4"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合格中标候选人名称</w:t>
            </w:r>
          </w:p>
        </w:tc>
        <w:tc>
          <w:tcPr>
            <w:tcW w:w="2103" w:type="pct"/>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得票数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8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2317" w:type="pct"/>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tc>
        <w:tc>
          <w:tcPr>
            <w:tcW w:w="2103"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8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p>
        </w:tc>
        <w:tc>
          <w:tcPr>
            <w:tcW w:w="2317" w:type="pct"/>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tc>
        <w:tc>
          <w:tcPr>
            <w:tcW w:w="2103"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80"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p>
        </w:tc>
        <w:tc>
          <w:tcPr>
            <w:tcW w:w="2317" w:type="pct"/>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tc>
        <w:tc>
          <w:tcPr>
            <w:tcW w:w="2103"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tc>
      </w:tr>
    </w:tbl>
    <w:p>
      <w:pPr>
        <w:autoSpaceDE w:val="0"/>
        <w:autoSpaceDN w:val="0"/>
        <w:jc w:val="left"/>
        <w:rPr>
          <w:rFonts w:hint="eastAsia" w:ascii="宋体" w:hAnsi="宋体" w:eastAsia="宋体" w:cs="宋体"/>
          <w:color w:val="auto"/>
          <w:kern w:val="0"/>
          <w:sz w:val="24"/>
          <w:szCs w:val="24"/>
          <w:highlight w:val="none"/>
        </w:rPr>
      </w:pPr>
    </w:p>
    <w:p>
      <w:pPr>
        <w:autoSpaceDE w:val="0"/>
        <w:autoSpaceDN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全体定标委员签名：</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日期：</w:t>
      </w:r>
    </w:p>
    <w:p>
      <w:pPr>
        <w:keepNext/>
        <w:keepLines/>
        <w:wordWrap w:val="0"/>
        <w:spacing w:before="260" w:line="416" w:lineRule="auto"/>
        <w:outlineLvl w:val="2"/>
        <w:rPr>
          <w:rFonts w:hint="eastAsia"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pPr>
        <w:widowControl/>
        <w:wordWrap w:val="0"/>
        <w:jc w:val="left"/>
        <w:rPr>
          <w:rFonts w:hint="eastAsia" w:ascii="宋体" w:hAnsi="宋体" w:eastAsia="宋体" w:cs="宋体"/>
          <w:b/>
          <w:bCs/>
          <w:color w:val="auto"/>
          <w:kern w:val="0"/>
          <w:sz w:val="24"/>
          <w:szCs w:val="24"/>
          <w:highlight w:val="none"/>
          <w:lang w:val="zh-CN"/>
        </w:rPr>
        <w:sectPr>
          <w:type w:val="continuous"/>
          <w:pgSz w:w="11905" w:h="16838"/>
          <w:pgMar w:top="1474" w:right="1701" w:bottom="1474" w:left="1701" w:header="720" w:footer="720" w:gutter="0"/>
          <w:cols w:space="720" w:num="1"/>
        </w:sectPr>
      </w:pPr>
      <w:r>
        <w:rPr>
          <w:rFonts w:ascii="宋体" w:hAnsi="宋体" w:eastAsia="宋体" w:cs="宋体"/>
          <w:b/>
          <w:bCs/>
          <w:color w:val="auto"/>
          <w:kern w:val="0"/>
          <w:sz w:val="24"/>
          <w:szCs w:val="24"/>
          <w:highlight w:val="none"/>
          <w:lang w:val="zh-CN"/>
        </w:rPr>
        <w:br w:type="page"/>
      </w:r>
    </w:p>
    <w:p>
      <w:pPr>
        <w:wordWrap w:val="0"/>
        <w:autoSpaceDE w:val="0"/>
        <w:autoSpaceDN w:val="0"/>
        <w:spacing w:line="276" w:lineRule="auto"/>
        <w:jc w:val="left"/>
        <w:outlineLvl w:val="3"/>
        <w:rPr>
          <w:rFonts w:hint="eastAsia" w:ascii="宋体" w:hAnsi="宋体" w:eastAsia="宋体" w:cs="宋体"/>
          <w:color w:val="auto"/>
          <w:kern w:val="0"/>
          <w:sz w:val="28"/>
          <w:szCs w:val="28"/>
          <w:highlight w:val="none"/>
        </w:rPr>
      </w:pPr>
      <w:bookmarkStart w:id="213" w:name="_Toc27736"/>
      <w:r>
        <w:rPr>
          <w:rFonts w:hint="eastAsia" w:ascii="宋体" w:hAnsi="宋体" w:eastAsia="宋体" w:cs="宋体"/>
          <w:color w:val="auto"/>
          <w:kern w:val="0"/>
          <w:sz w:val="28"/>
          <w:szCs w:val="28"/>
          <w:highlight w:val="none"/>
        </w:rPr>
        <w:t>附表八：</w:t>
      </w:r>
    </w:p>
    <w:p>
      <w:pPr>
        <w:autoSpaceDE w:val="0"/>
        <w:autoSpaceDN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定标阶段各合格中标候选人评语</w:t>
      </w:r>
      <w:bookmarkEnd w:id="213"/>
    </w:p>
    <w:p>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项目名称：</w:t>
      </w:r>
    </w:p>
    <w:tbl>
      <w:tblPr>
        <w:tblStyle w:val="4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b/>
                <w:color w:val="auto"/>
                <w:sz w:val="24"/>
                <w:szCs w:val="24"/>
                <w:highlight w:val="none"/>
              </w:rPr>
            </w:pPr>
            <w:r>
              <w:rPr>
                <w:rFonts w:hint="eastAsia" w:ascii="宋体" w:hAnsi="宋体" w:eastAsia="宋体" w:cs="宋体"/>
                <w:b/>
                <w:color w:val="auto"/>
                <w:kern w:val="0"/>
                <w:sz w:val="24"/>
                <w:szCs w:val="24"/>
                <w:highlight w:val="none"/>
              </w:rPr>
              <w:t>合格中标候选人</w:t>
            </w:r>
            <w:r>
              <w:rPr>
                <w:rFonts w:hint="eastAsia" w:ascii="宋体" w:hAnsi="宋体" w:eastAsia="宋体"/>
                <w:b/>
                <w:color w:val="auto"/>
                <w:sz w:val="24"/>
                <w:szCs w:val="24"/>
                <w:highlight w:val="none"/>
              </w:rPr>
              <w:t>名称</w:t>
            </w:r>
          </w:p>
        </w:tc>
        <w:tc>
          <w:tcPr>
            <w:tcW w:w="62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olor w:val="auto"/>
                <w:sz w:val="24"/>
                <w:szCs w:val="24"/>
                <w:highlight w:val="none"/>
                <w:u w:val="single"/>
              </w:rPr>
            </w:pPr>
          </w:p>
        </w:tc>
        <w:tc>
          <w:tcPr>
            <w:tcW w:w="62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olor w:val="auto"/>
                <w:sz w:val="24"/>
                <w:szCs w:val="24"/>
                <w:highlight w:val="none"/>
                <w:u w:val="single"/>
              </w:rPr>
            </w:pPr>
          </w:p>
        </w:tc>
        <w:tc>
          <w:tcPr>
            <w:tcW w:w="62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olor w:val="auto"/>
                <w:sz w:val="24"/>
                <w:szCs w:val="24"/>
                <w:highlight w:val="none"/>
                <w:u w:val="single"/>
              </w:rPr>
            </w:pPr>
          </w:p>
        </w:tc>
        <w:tc>
          <w:tcPr>
            <w:tcW w:w="62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olor w:val="auto"/>
                <w:sz w:val="24"/>
                <w:szCs w:val="24"/>
                <w:highlight w:val="none"/>
                <w:u w:val="single"/>
              </w:rPr>
            </w:pPr>
          </w:p>
        </w:tc>
      </w:tr>
    </w:tbl>
    <w:p>
      <w:pPr>
        <w:adjustRightInd w:val="0"/>
        <w:snapToGrid w:val="0"/>
        <w:spacing w:line="360" w:lineRule="auto"/>
        <w:ind w:right="624" w:rightChars="297"/>
        <w:rPr>
          <w:rFonts w:hint="eastAsia" w:ascii="宋体" w:hAnsi="宋体" w:eastAsia="宋体"/>
          <w:color w:val="auto"/>
          <w:sz w:val="24"/>
          <w:szCs w:val="24"/>
          <w:highlight w:val="none"/>
        </w:rPr>
      </w:pPr>
    </w:p>
    <w:p>
      <w:pPr>
        <w:adjustRightInd w:val="0"/>
        <w:snapToGrid w:val="0"/>
        <w:spacing w:line="360" w:lineRule="auto"/>
        <w:ind w:right="624" w:rightChars="297"/>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定标委员签名：</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日期：</w:t>
      </w:r>
    </w:p>
    <w:p>
      <w:pPr>
        <w:adjustRightInd w:val="0"/>
        <w:snapToGrid w:val="0"/>
        <w:spacing w:line="360" w:lineRule="auto"/>
        <w:ind w:right="-84" w:rightChars="-40"/>
        <w:rPr>
          <w:rFonts w:hint="eastAsia" w:ascii="宋体" w:hAnsi="宋体" w:eastAsia="宋体" w:cs="宋体"/>
          <w:b/>
          <w:color w:val="auto"/>
          <w:kern w:val="0"/>
          <w:sz w:val="24"/>
          <w:szCs w:val="24"/>
          <w:highlight w:val="none"/>
          <w:u w:val="single"/>
        </w:rPr>
      </w:pPr>
    </w:p>
    <w:p>
      <w:pPr>
        <w:widowControl/>
        <w:wordWrap w:val="0"/>
        <w:jc w:val="left"/>
        <w:rPr>
          <w:rFonts w:hint="eastAsia" w:ascii="宋体" w:hAnsi="宋体" w:eastAsia="宋体" w:cs="宋体"/>
          <w:b/>
          <w:bCs/>
          <w:color w:val="auto"/>
          <w:kern w:val="0"/>
          <w:sz w:val="24"/>
          <w:szCs w:val="24"/>
          <w:highlight w:val="none"/>
          <w:lang w:val="zh-CN"/>
        </w:rPr>
      </w:pPr>
      <w:bookmarkStart w:id="214" w:name="_Toc32277"/>
      <w:r>
        <w:rPr>
          <w:rFonts w:hint="eastAsia" w:ascii="宋体" w:hAnsi="宋体" w:eastAsia="宋体" w:cs="宋体"/>
          <w:b/>
          <w:color w:val="auto"/>
          <w:kern w:val="0"/>
          <w:sz w:val="24"/>
          <w:szCs w:val="24"/>
          <w:highlight w:val="none"/>
        </w:rPr>
        <w:t>注：由定标委员会各成员依据招标文件中列出的各定标因素，给予进入定标环节的各合格中标候选人客观实际的评语，并作为投票依据。</w:t>
      </w:r>
      <w:bookmarkEnd w:id="214"/>
    </w:p>
    <w:p>
      <w:pPr>
        <w:keepNext/>
        <w:keepLines/>
        <w:wordWrap w:val="0"/>
        <w:spacing w:line="360" w:lineRule="auto"/>
        <w:ind w:firstLine="482" w:firstLineChars="200"/>
        <w:jc w:val="center"/>
        <w:outlineLvl w:val="1"/>
        <w:rPr>
          <w:rFonts w:hint="eastAsia" w:ascii="宋体" w:hAnsi="宋体" w:eastAsia="宋体" w:cs="宋体"/>
          <w:b/>
          <w:bCs/>
          <w:color w:val="auto"/>
          <w:kern w:val="0"/>
          <w:sz w:val="24"/>
          <w:szCs w:val="24"/>
          <w:highlight w:val="none"/>
          <w:lang w:val="zh-CN"/>
        </w:rPr>
        <w:sectPr>
          <w:type w:val="continuous"/>
          <w:pgSz w:w="11905" w:h="16838"/>
          <w:pgMar w:top="1474" w:right="1701" w:bottom="1474" w:left="1701" w:header="720" w:footer="720" w:gutter="0"/>
          <w:cols w:space="720" w:num="1"/>
        </w:sectPr>
      </w:pPr>
    </w:p>
    <w:p>
      <w:pPr>
        <w:wordWrap w:val="0"/>
        <w:autoSpaceDE w:val="0"/>
        <w:autoSpaceDN w:val="0"/>
        <w:spacing w:line="276" w:lineRule="auto"/>
        <w:jc w:val="left"/>
        <w:outlineLvl w:val="3"/>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附件九：</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评标委员会成员声明</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本项目招标人</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本人就参与</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项目的评标工作，作出郑重声明：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如果本人违反上述声明内容，造成的后果由本人自行承担。</w:t>
      </w:r>
    </w:p>
    <w:p>
      <w:pPr>
        <w:widowControl/>
        <w:spacing w:line="360" w:lineRule="auto"/>
        <w:jc w:val="left"/>
        <w:rPr>
          <w:rFonts w:hint="eastAsia" w:ascii="宋体" w:hAnsi="宋体" w:eastAsia="宋体" w:cs="宋体"/>
          <w:color w:val="auto"/>
          <w:szCs w:val="21"/>
          <w:highlight w:val="none"/>
          <w:u w:val="single"/>
        </w:rPr>
      </w:pPr>
      <w:r>
        <w:rPr>
          <w:rFonts w:ascii="宋体" w:hAnsi="宋体" w:eastAsia="宋体" w:cs="宋体"/>
          <w:color w:val="auto"/>
          <w:szCs w:val="21"/>
          <w:highlight w:val="none"/>
        </w:rPr>
        <w:t xml:space="preserve">                                                   声明人：</w:t>
      </w:r>
      <w:r>
        <w:rPr>
          <w:rFonts w:hint="eastAsia" w:ascii="宋体" w:hAnsi="宋体" w:eastAsia="宋体" w:cs="宋体"/>
          <w:color w:val="auto"/>
          <w:szCs w:val="21"/>
          <w:highlight w:val="none"/>
          <w:u w:val="single"/>
        </w:rPr>
        <w:t>（签名）</w:t>
      </w:r>
      <w:r>
        <w:rPr>
          <w:rFonts w:ascii="宋体" w:hAnsi="宋体" w:eastAsia="宋体" w:cs="宋体"/>
          <w:color w:val="auto"/>
          <w:szCs w:val="21"/>
          <w:highlight w:val="none"/>
          <w:u w:val="single"/>
        </w:rPr>
        <w:t xml:space="preserve">  </w:t>
      </w:r>
    </w:p>
    <w:p>
      <w:pPr>
        <w:widowControl/>
        <w:jc w:val="left"/>
        <w:rPr>
          <w:rFonts w:hint="eastAsia" w:ascii="宋体" w:hAnsi="宋体" w:eastAsia="宋体" w:cs="Times New Roman"/>
          <w:b/>
          <w:bCs/>
          <w:color w:val="auto"/>
          <w:kern w:val="0"/>
          <w:sz w:val="30"/>
          <w:szCs w:val="30"/>
          <w:highlight w:val="none"/>
          <w:lang w:val="zh-CN"/>
        </w:rPr>
      </w:pPr>
      <w:r>
        <w:rPr>
          <w:rFonts w:ascii="宋体" w:hAnsi="宋体" w:eastAsia="宋体"/>
          <w:color w:val="auto"/>
          <w:highlight w:val="none"/>
        </w:rPr>
        <w:br w:type="page"/>
      </w:r>
    </w:p>
    <w:p>
      <w:pPr>
        <w:pStyle w:val="2"/>
        <w:rPr>
          <w:rFonts w:hint="eastAsia" w:ascii="宋体" w:hAnsi="宋体"/>
          <w:color w:val="auto"/>
          <w:highlight w:val="none"/>
        </w:rPr>
      </w:pPr>
      <w:r>
        <w:rPr>
          <w:rFonts w:hint="eastAsia" w:ascii="宋体" w:hAnsi="宋体"/>
          <w:color w:val="auto"/>
          <w:highlight w:val="none"/>
        </w:rPr>
        <w:t>第四章</w:t>
      </w:r>
      <w:r>
        <w:rPr>
          <w:rFonts w:ascii="宋体" w:hAnsi="宋体"/>
          <w:color w:val="auto"/>
          <w:highlight w:val="none"/>
        </w:rPr>
        <w:t xml:space="preserve">  </w:t>
      </w:r>
      <w:r>
        <w:rPr>
          <w:rFonts w:hint="eastAsia" w:ascii="宋体" w:hAnsi="宋体"/>
          <w:color w:val="auto"/>
          <w:highlight w:val="none"/>
        </w:rPr>
        <w:t>合同条款及格式</w:t>
      </w:r>
      <w:bookmarkEnd w:id="210"/>
      <w:bookmarkEnd w:id="211"/>
    </w:p>
    <w:p>
      <w:pPr>
        <w:ind w:firstLine="420" w:firstLineChars="200"/>
        <w:rPr>
          <w:rFonts w:hint="eastAsia"/>
          <w:color w:val="auto"/>
          <w:highlight w:val="none"/>
        </w:rPr>
        <w:sectPr>
          <w:footerReference r:id="rId5" w:type="default"/>
          <w:pgSz w:w="11850" w:h="16783"/>
          <w:pgMar w:top="1440" w:right="1080" w:bottom="1440" w:left="1080" w:header="851" w:footer="992" w:gutter="0"/>
          <w:cols w:space="720" w:num="1"/>
          <w:docGrid w:type="lines" w:linePitch="312" w:charSpace="0"/>
        </w:sectPr>
      </w:pPr>
    </w:p>
    <w:p>
      <w:pPr>
        <w:ind w:firstLine="420" w:firstLineChars="200"/>
        <w:rPr>
          <w:rFonts w:hint="eastAsia"/>
          <w:color w:val="auto"/>
          <w:highlight w:val="none"/>
        </w:rPr>
      </w:pPr>
    </w:p>
    <w:p>
      <w:pPr>
        <w:ind w:firstLine="840" w:firstLineChars="400"/>
        <w:rPr>
          <w:rFonts w:hint="eastAsia"/>
          <w:color w:val="auto"/>
          <w:highlight w:val="none"/>
        </w:rPr>
      </w:pPr>
      <w:r>
        <w:rPr>
          <w:color w:val="auto"/>
          <w:highlight w:val="none"/>
        </w:rPr>
        <w:drawing>
          <wp:anchor distT="0" distB="0" distL="114300" distR="114300" simplePos="0" relativeHeight="251660288" behindDoc="0" locked="0" layoutInCell="1" allowOverlap="1">
            <wp:simplePos x="0" y="0"/>
            <wp:positionH relativeFrom="column">
              <wp:posOffset>4428490</wp:posOffset>
            </wp:positionH>
            <wp:positionV relativeFrom="paragraph">
              <wp:posOffset>-509270</wp:posOffset>
            </wp:positionV>
            <wp:extent cx="2895600" cy="2329180"/>
            <wp:effectExtent l="0" t="0" r="0" b="13970"/>
            <wp:wrapSquare wrapText="bothSides"/>
            <wp:docPr id="1"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lanxing\Desktop\93b1542184114cf8b316f10d4b2d5c42.png93b1542184114cf8b316f10d4b2d5c42"/>
                    <pic:cNvPicPr>
                      <a:picLocks noChangeAspect="1"/>
                    </pic:cNvPicPr>
                  </pic:nvPicPr>
                  <pic:blipFill>
                    <a:blip r:embed="rId9"/>
                    <a:stretch>
                      <a:fillRect/>
                    </a:stretch>
                  </pic:blipFill>
                  <pic:spPr>
                    <a:xfrm>
                      <a:off x="0" y="0"/>
                      <a:ext cx="2895600" cy="2329180"/>
                    </a:xfrm>
                    <a:prstGeom prst="rect">
                      <a:avLst/>
                    </a:prstGeom>
                    <a:noFill/>
                    <a:ln>
                      <a:noFill/>
                    </a:ln>
                  </pic:spPr>
                </pic:pic>
              </a:graphicData>
            </a:graphic>
          </wp:anchor>
        </w:drawing>
      </w:r>
      <w:r>
        <w:rPr>
          <w:color w:val="auto"/>
          <w:highlight w:val="none"/>
        </w:rPr>
        <w:drawing>
          <wp:inline distT="0" distB="0" distL="114300" distR="114300">
            <wp:extent cx="2106295" cy="219075"/>
            <wp:effectExtent l="0" t="0" r="825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2106295" cy="219075"/>
                    </a:xfrm>
                    <a:prstGeom prst="rect">
                      <a:avLst/>
                    </a:prstGeom>
                    <a:noFill/>
                    <a:ln>
                      <a:noFill/>
                    </a:ln>
                  </pic:spPr>
                </pic:pic>
              </a:graphicData>
            </a:graphic>
          </wp:inline>
        </w:drawing>
      </w:r>
    </w:p>
    <w:p>
      <w:pPr>
        <w:ind w:firstLine="7350" w:firstLineChars="3500"/>
        <w:rPr>
          <w:rFonts w:hint="eastAsia"/>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324485</wp:posOffset>
            </wp:positionH>
            <wp:positionV relativeFrom="paragraph">
              <wp:posOffset>287655</wp:posOffset>
            </wp:positionV>
            <wp:extent cx="790575" cy="161925"/>
            <wp:effectExtent l="0" t="0" r="952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790575" cy="161925"/>
                    </a:xfrm>
                    <a:prstGeom prst="rect">
                      <a:avLst/>
                    </a:prstGeom>
                    <a:noFill/>
                    <a:ln>
                      <a:noFill/>
                    </a:ln>
                  </pic:spPr>
                </pic:pic>
              </a:graphicData>
            </a:graphic>
          </wp:anchor>
        </w:drawing>
      </w:r>
      <w:r>
        <w:rPr>
          <w:rFonts w:hint="eastAsia"/>
          <w:color w:val="auto"/>
          <w:highlight w:val="none"/>
        </w:rPr>
        <w:t xml:space="preserve">                             </w:t>
      </w:r>
      <w:r>
        <w:rPr>
          <w:rFonts w:hint="eastAsia" w:ascii="方正大标宋简体" w:eastAsia="方正大标宋简体"/>
          <w:color w:val="auto"/>
          <w:sz w:val="28"/>
          <w:szCs w:val="28"/>
          <w:highlight w:val="none"/>
        </w:rPr>
        <w:t>穗开建管设[</w:t>
      </w:r>
      <w:r>
        <w:rPr>
          <w:rFonts w:hint="eastAsia" w:ascii="方正大标宋简体" w:eastAsia="方正大标宋简体"/>
          <w:color w:val="auto"/>
          <w:sz w:val="28"/>
          <w:szCs w:val="28"/>
          <w:highlight w:val="none"/>
          <w:lang w:val="en-US" w:eastAsia="zh-CN"/>
        </w:rPr>
        <w:t xml:space="preserve">   </w:t>
      </w:r>
      <w:r>
        <w:rPr>
          <w:rFonts w:hint="eastAsia" w:ascii="方正大标宋简体" w:eastAsia="方正大标宋简体"/>
          <w:color w:val="auto"/>
          <w:sz w:val="28"/>
          <w:szCs w:val="28"/>
          <w:highlight w:val="none"/>
        </w:rPr>
        <w:t>]   号</w:t>
      </w:r>
    </w:p>
    <w:p>
      <w:pPr>
        <w:ind w:firstLine="840" w:firstLineChars="400"/>
        <w:rPr>
          <w:rFonts w:hint="eastAsia"/>
          <w:color w:val="auto"/>
          <w:highlight w:val="none"/>
        </w:rPr>
      </w:pPr>
    </w:p>
    <w:p>
      <w:pPr>
        <w:ind w:firstLine="840" w:firstLineChars="400"/>
        <w:rPr>
          <w:rFonts w:hint="eastAsia"/>
          <w:color w:val="auto"/>
          <w:highlight w:val="none"/>
        </w:rPr>
      </w:pPr>
      <w:r>
        <w:rPr>
          <w:rFonts w:hint="eastAsia"/>
          <w:color w:val="auto"/>
          <w:highlight w:val="none"/>
        </w:rPr>
        <w:t xml:space="preserve">                                                              </w:t>
      </w:r>
    </w:p>
    <w:p>
      <w:pPr>
        <w:ind w:firstLine="840" w:firstLineChars="400"/>
        <w:rPr>
          <w:rFonts w:hint="eastAsia" w:ascii="宋体" w:hAnsi="宋体"/>
          <w:color w:val="auto"/>
          <w:highlight w:val="none"/>
        </w:rPr>
      </w:pPr>
      <w:r>
        <w:rPr>
          <w:rFonts w:hint="eastAsia"/>
          <w:color w:val="auto"/>
          <w:highlight w:val="none"/>
        </w:rPr>
        <w:t xml:space="preserve">                     </w:t>
      </w:r>
    </w:p>
    <w:p>
      <w:pPr>
        <w:snapToGrid w:val="0"/>
        <w:spacing w:line="440" w:lineRule="exact"/>
        <w:ind w:left="-197" w:leftChars="-94"/>
        <w:jc w:val="center"/>
        <w:rPr>
          <w:rFonts w:hint="eastAsia" w:ascii="宋体" w:hAnsi="宋体"/>
          <w:color w:val="auto"/>
          <w:highlight w:val="none"/>
        </w:rPr>
      </w:pPr>
    </w:p>
    <w:p>
      <w:pPr>
        <w:snapToGrid w:val="0"/>
        <w:spacing w:line="1300" w:lineRule="exact"/>
        <w:ind w:left="-197" w:leftChars="-94"/>
        <w:jc w:val="center"/>
        <w:rPr>
          <w:rFonts w:hint="eastAsia" w:ascii="宋体" w:hAnsi="宋体"/>
          <w:color w:val="auto"/>
          <w:highlight w:val="none"/>
        </w:rPr>
      </w:pPr>
      <w:r>
        <w:rPr>
          <w:color w:val="auto"/>
          <w:highlight w:val="none"/>
        </w:rPr>
        <w:drawing>
          <wp:anchor distT="0" distB="0" distL="114300" distR="114300" simplePos="0" relativeHeight="251662336" behindDoc="0" locked="0" layoutInCell="1" allowOverlap="1">
            <wp:simplePos x="0" y="0"/>
            <wp:positionH relativeFrom="column">
              <wp:align>center</wp:align>
            </wp:positionH>
            <wp:positionV relativeFrom="paragraph">
              <wp:posOffset>79375</wp:posOffset>
            </wp:positionV>
            <wp:extent cx="6638925" cy="581025"/>
            <wp:effectExtent l="0" t="0" r="9525" b="9525"/>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6638925" cy="581025"/>
                    </a:xfrm>
                    <a:prstGeom prst="rect">
                      <a:avLst/>
                    </a:prstGeom>
                    <a:noFill/>
                    <a:ln>
                      <a:noFill/>
                    </a:ln>
                  </pic:spPr>
                </pic:pic>
              </a:graphicData>
            </a:graphic>
          </wp:anchor>
        </w:drawing>
      </w:r>
    </w:p>
    <w:p>
      <w:pPr>
        <w:jc w:val="center"/>
        <w:rPr>
          <w:rFonts w:hint="eastAsia" w:ascii="宋体" w:hAnsi="宋体"/>
          <w:color w:val="auto"/>
          <w:highlight w:val="none"/>
        </w:rPr>
      </w:pPr>
    </w:p>
    <w:p>
      <w:pPr>
        <w:spacing w:line="480" w:lineRule="exact"/>
        <w:jc w:val="center"/>
        <w:rPr>
          <w:rFonts w:hint="eastAsia" w:ascii="宋体" w:hAnsi="宋体"/>
          <w:color w:val="auto"/>
          <w:highlight w:val="none"/>
        </w:rPr>
      </w:pPr>
    </w:p>
    <w:p>
      <w:pPr>
        <w:spacing w:line="480" w:lineRule="exac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 xml:space="preserve">       </w:t>
      </w:r>
    </w:p>
    <w:p>
      <w:pPr>
        <w:spacing w:line="480" w:lineRule="exact"/>
        <w:rPr>
          <w:rFonts w:hint="eastAsia" w:ascii="仿宋_GB2312" w:hAnsi="仿宋" w:eastAsia="仿宋_GB2312"/>
          <w:color w:val="auto"/>
          <w:sz w:val="28"/>
          <w:szCs w:val="28"/>
          <w:highlight w:val="none"/>
        </w:rPr>
      </w:pPr>
    </w:p>
    <w:p>
      <w:pPr>
        <w:spacing w:line="480" w:lineRule="exact"/>
        <w:jc w:val="center"/>
        <w:rPr>
          <w:rFonts w:hint="eastAsia" w:ascii="仿宋_GB2312" w:hAnsi="仿宋" w:eastAsia="仿宋_GB2312"/>
          <w:color w:val="auto"/>
          <w:sz w:val="28"/>
          <w:szCs w:val="28"/>
          <w:highlight w:val="none"/>
        </w:rPr>
      </w:pPr>
    </w:p>
    <w:p>
      <w:pPr>
        <w:spacing w:line="480" w:lineRule="exact"/>
        <w:ind w:firstLine="2520" w:firstLineChars="900"/>
        <w:rPr>
          <w:rFonts w:hint="eastAsia"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 xml:space="preserve"> 项目名称：</w:t>
      </w:r>
      <w:r>
        <w:rPr>
          <w:rFonts w:hint="eastAsia" w:ascii="方正大标宋简体" w:hAnsi="仿宋" w:eastAsia="方正大标宋简体"/>
          <w:color w:val="auto"/>
          <w:sz w:val="28"/>
          <w:szCs w:val="28"/>
          <w:highlight w:val="none"/>
          <w:u w:val="single"/>
        </w:rPr>
        <w:t>乌涌流域排涝体系提升工程勘察设计</w:t>
      </w:r>
    </w:p>
    <w:p>
      <w:pPr>
        <w:spacing w:line="480" w:lineRule="exact"/>
        <w:ind w:firstLine="2660" w:firstLineChars="950"/>
        <w:rPr>
          <w:rFonts w:hint="eastAsia"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lang w:eastAsia="zh-CN"/>
        </w:rPr>
        <w:t>发包人</w:t>
      </w:r>
      <w:r>
        <w:rPr>
          <w:rFonts w:hint="eastAsia" w:ascii="仿宋_GB2312" w:hAnsi="仿宋" w:eastAsia="仿宋_GB2312"/>
          <w:color w:val="auto"/>
          <w:sz w:val="28"/>
          <w:szCs w:val="28"/>
          <w:highlight w:val="none"/>
        </w:rPr>
        <w:t xml:space="preserve">： </w:t>
      </w:r>
      <w:r>
        <w:rPr>
          <w:rFonts w:hint="eastAsia" w:ascii="方正大标宋简体" w:hAnsi="仿宋" w:eastAsia="方正大标宋简体"/>
          <w:color w:val="auto"/>
          <w:sz w:val="28"/>
          <w:szCs w:val="28"/>
          <w:highlight w:val="none"/>
          <w:u w:val="single"/>
        </w:rPr>
        <w:t xml:space="preserve">广州开发区财政投资建设项目管理中心       </w:t>
      </w:r>
    </w:p>
    <w:p>
      <w:pPr>
        <w:snapToGrid w:val="0"/>
        <w:spacing w:line="440" w:lineRule="exact"/>
        <w:ind w:firstLine="2660" w:firstLineChars="950"/>
        <w:rPr>
          <w:rFonts w:hint="eastAsia" w:ascii="方正大标宋简体" w:hAnsi="宋体" w:eastAsia="方正大标宋简体"/>
          <w:color w:val="auto"/>
          <w:sz w:val="28"/>
          <w:szCs w:val="28"/>
          <w:highlight w:val="none"/>
          <w:u w:val="single"/>
        </w:rPr>
      </w:pPr>
      <w:r>
        <w:rPr>
          <w:rFonts w:hint="eastAsia" w:ascii="仿宋_GB2312" w:hAnsi="仿宋" w:eastAsia="仿宋_GB2312"/>
          <w:color w:val="auto"/>
          <w:sz w:val="28"/>
          <w:szCs w:val="28"/>
          <w:highlight w:val="none"/>
          <w:lang w:eastAsia="zh-CN"/>
        </w:rPr>
        <w:t>勘察、设计人</w:t>
      </w:r>
      <w:r>
        <w:rPr>
          <w:rFonts w:hint="eastAsia" w:ascii="仿宋_GB2312" w:hAnsi="仿宋" w:eastAsia="仿宋_GB2312"/>
          <w:color w:val="auto"/>
          <w:sz w:val="28"/>
          <w:szCs w:val="28"/>
          <w:highlight w:val="none"/>
        </w:rPr>
        <w:t>：</w:t>
      </w:r>
      <w:r>
        <w:rPr>
          <w:rFonts w:hint="eastAsia" w:ascii="方正大标宋简体" w:hAnsi="宋体" w:eastAsia="方正大标宋简体"/>
          <w:color w:val="auto"/>
          <w:sz w:val="28"/>
          <w:szCs w:val="28"/>
          <w:highlight w:val="none"/>
          <w:u w:val="single"/>
        </w:rPr>
        <w:t xml:space="preserve">                            </w:t>
      </w:r>
    </w:p>
    <w:p>
      <w:pPr>
        <w:spacing w:line="480" w:lineRule="exact"/>
        <w:ind w:firstLine="2660" w:firstLineChars="950"/>
        <w:rPr>
          <w:rFonts w:hint="eastAsia"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合同签订日期：</w:t>
      </w:r>
      <w:r>
        <w:rPr>
          <w:rFonts w:hint="eastAsia" w:ascii="仿宋_GB2312" w:hAnsi="仿宋" w:eastAsia="仿宋_GB2312"/>
          <w:color w:val="auto"/>
          <w:sz w:val="28"/>
          <w:szCs w:val="28"/>
          <w:highlight w:val="none"/>
          <w:u w:val="single"/>
        </w:rPr>
        <w:t xml:space="preserve">     </w:t>
      </w:r>
      <w:r>
        <w:rPr>
          <w:rFonts w:hint="eastAsia" w:ascii="方正大标宋简体" w:hAnsi="仿宋" w:eastAsia="方正大标宋简体"/>
          <w:color w:val="auto"/>
          <w:sz w:val="28"/>
          <w:szCs w:val="28"/>
          <w:highlight w:val="none"/>
          <w:u w:val="single"/>
          <w:lang w:val="en-US" w:eastAsia="zh-CN"/>
        </w:rPr>
        <w:t xml:space="preserve">  </w:t>
      </w:r>
      <w:r>
        <w:rPr>
          <w:rFonts w:hint="eastAsia" w:ascii="方正大标宋简体" w:hAnsi="仿宋" w:eastAsia="方正大标宋简体"/>
          <w:color w:val="auto"/>
          <w:sz w:val="28"/>
          <w:szCs w:val="28"/>
          <w:highlight w:val="none"/>
          <w:u w:val="single"/>
        </w:rPr>
        <w:t xml:space="preserve">年    月    日         </w:t>
      </w:r>
    </w:p>
    <w:p>
      <w:pPr>
        <w:spacing w:line="480" w:lineRule="exact"/>
        <w:ind w:firstLine="2660" w:firstLineChars="950"/>
        <w:rPr>
          <w:rFonts w:hint="eastAsia"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签订地点：</w:t>
      </w:r>
      <w:r>
        <w:rPr>
          <w:rFonts w:hint="eastAsia" w:ascii="仿宋_GB2312" w:hAnsi="仿宋" w:eastAsia="仿宋_GB2312"/>
          <w:color w:val="auto"/>
          <w:sz w:val="28"/>
          <w:szCs w:val="28"/>
          <w:highlight w:val="none"/>
          <w:u w:val="single"/>
        </w:rPr>
        <w:t xml:space="preserve">           </w:t>
      </w:r>
      <w:r>
        <w:rPr>
          <w:rFonts w:hint="eastAsia" w:ascii="方正大标宋简体" w:hAnsi="仿宋" w:eastAsia="方正大标宋简体"/>
          <w:color w:val="auto"/>
          <w:sz w:val="28"/>
          <w:szCs w:val="28"/>
          <w:highlight w:val="none"/>
          <w:u w:val="single"/>
        </w:rPr>
        <w:t xml:space="preserve">广州市黄埔区           </w:t>
      </w:r>
    </w:p>
    <w:p>
      <w:pPr>
        <w:spacing w:line="480" w:lineRule="exact"/>
        <w:jc w:val="center"/>
        <w:rPr>
          <w:rFonts w:hint="eastAsia" w:ascii="宋体" w:hAnsi="宋体"/>
          <w:color w:val="auto"/>
          <w:highlight w:val="none"/>
        </w:rPr>
      </w:pPr>
    </w:p>
    <w:p>
      <w:pPr>
        <w:spacing w:line="480" w:lineRule="exact"/>
        <w:jc w:val="center"/>
        <w:rPr>
          <w:rFonts w:hint="eastAsia" w:ascii="宋体" w:hAnsi="宋体"/>
          <w:color w:val="auto"/>
          <w:highlight w:val="none"/>
        </w:rPr>
      </w:pPr>
      <w:r>
        <w:rPr>
          <w:rFonts w:hint="eastAsia" w:ascii="仿宋_GB2312" w:hAnsi="仿宋" w:eastAsia="仿宋_GB2312"/>
          <w:color w:val="auto"/>
          <w:sz w:val="28"/>
          <w:szCs w:val="28"/>
          <w:highlight w:val="none"/>
        </w:rPr>
        <w:drawing>
          <wp:anchor distT="0" distB="0" distL="114300" distR="114300" simplePos="0" relativeHeight="251661312" behindDoc="0" locked="0" layoutInCell="1" allowOverlap="0">
            <wp:simplePos x="0" y="0"/>
            <wp:positionH relativeFrom="column">
              <wp:posOffset>0</wp:posOffset>
            </wp:positionH>
            <wp:positionV relativeFrom="paragraph">
              <wp:posOffset>701675</wp:posOffset>
            </wp:positionV>
            <wp:extent cx="7562850" cy="2633980"/>
            <wp:effectExtent l="0" t="0" r="0" b="13970"/>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3"/>
                    <a:stretch>
                      <a:fillRect/>
                    </a:stretch>
                  </pic:blipFill>
                  <pic:spPr>
                    <a:xfrm>
                      <a:off x="0" y="0"/>
                      <a:ext cx="7562850" cy="2633980"/>
                    </a:xfrm>
                    <a:prstGeom prst="rect">
                      <a:avLst/>
                    </a:prstGeom>
                    <a:noFill/>
                    <a:ln>
                      <a:noFill/>
                    </a:ln>
                  </pic:spPr>
                </pic:pic>
              </a:graphicData>
            </a:graphic>
          </wp:anchor>
        </w:drawing>
      </w:r>
      <w:r>
        <w:rPr>
          <w:rFonts w:hint="eastAsia" w:ascii="仿宋_GB2312" w:hAnsi="仿宋" w:eastAsia="仿宋_GB2312"/>
          <w:color w:val="auto"/>
          <w:sz w:val="28"/>
          <w:szCs w:val="28"/>
          <w:highlight w:val="none"/>
        </w:rPr>
        <w:drawing>
          <wp:anchor distT="0" distB="0" distL="114300" distR="114300" simplePos="0" relativeHeight="251658240" behindDoc="0" locked="0" layoutInCell="1" allowOverlap="1">
            <wp:simplePos x="0" y="0"/>
            <wp:positionH relativeFrom="column">
              <wp:posOffset>-180340</wp:posOffset>
            </wp:positionH>
            <wp:positionV relativeFrom="paragraph">
              <wp:posOffset>669290</wp:posOffset>
            </wp:positionV>
            <wp:extent cx="7560310" cy="2628900"/>
            <wp:effectExtent l="0" t="0" r="2540" b="0"/>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4"/>
                    <a:stretch>
                      <a:fillRect/>
                    </a:stretch>
                  </pic:blipFill>
                  <pic:spPr>
                    <a:xfrm>
                      <a:off x="0" y="0"/>
                      <a:ext cx="7560310" cy="2628900"/>
                    </a:xfrm>
                    <a:prstGeom prst="rect">
                      <a:avLst/>
                    </a:prstGeom>
                    <a:noFill/>
                    <a:ln>
                      <a:noFill/>
                    </a:ln>
                  </pic:spPr>
                </pic:pic>
              </a:graphicData>
            </a:graphic>
          </wp:anchor>
        </w:drawing>
      </w:r>
    </w:p>
    <w:p>
      <w:pPr>
        <w:spacing w:line="460" w:lineRule="exact"/>
        <w:rPr>
          <w:color w:val="auto"/>
          <w:sz w:val="44"/>
          <w:highlight w:val="none"/>
        </w:rPr>
        <w:sectPr>
          <w:pgSz w:w="11906" w:h="16838"/>
          <w:pgMar w:top="0" w:right="0" w:bottom="1418" w:left="0" w:header="851" w:footer="992" w:gutter="0"/>
          <w:cols w:space="720" w:num="1"/>
          <w:docGrid w:type="lines" w:linePitch="312" w:charSpace="0"/>
        </w:sectPr>
      </w:pPr>
    </w:p>
    <w:p>
      <w:pPr>
        <w:spacing w:line="480" w:lineRule="exact"/>
        <w:ind w:firstLine="5040"/>
        <w:rPr>
          <w:rFonts w:hint="eastAsia" w:ascii="宋体" w:hAnsi="宋体"/>
          <w:b/>
          <w:color w:val="auto"/>
          <w:sz w:val="32"/>
          <w:szCs w:val="32"/>
          <w:highlight w:val="none"/>
        </w:rPr>
      </w:pPr>
    </w:p>
    <w:p>
      <w:pPr>
        <w:widowControl/>
        <w:wordWrap w:val="0"/>
        <w:topLinePunct/>
        <w:adjustRightInd w:val="0"/>
        <w:snapToGrid w:val="0"/>
        <w:spacing w:line="480" w:lineRule="exact"/>
        <w:jc w:val="center"/>
        <w:rPr>
          <w:rFonts w:hint="eastAsia" w:ascii="仿宋_GB2312" w:eastAsia="仿宋_GB2312"/>
          <w:b/>
          <w:bCs/>
          <w:color w:val="auto"/>
          <w:spacing w:val="110"/>
          <w:sz w:val="44"/>
          <w:szCs w:val="44"/>
          <w:highlight w:val="none"/>
        </w:rPr>
      </w:pPr>
      <w:r>
        <w:rPr>
          <w:rFonts w:hint="eastAsia" w:ascii="仿宋_GB2312" w:eastAsia="仿宋_GB2312"/>
          <w:b/>
          <w:bCs/>
          <w:color w:val="auto"/>
          <w:spacing w:val="110"/>
          <w:sz w:val="44"/>
          <w:szCs w:val="44"/>
          <w:highlight w:val="none"/>
        </w:rPr>
        <w:t>一、协议书</w:t>
      </w:r>
    </w:p>
    <w:p>
      <w:pPr>
        <w:widowControl/>
        <w:wordWrap w:val="0"/>
        <w:topLinePunct/>
        <w:adjustRightInd w:val="0"/>
        <w:snapToGrid w:val="0"/>
        <w:spacing w:line="480" w:lineRule="exact"/>
        <w:jc w:val="center"/>
        <w:rPr>
          <w:rFonts w:hint="eastAsia" w:ascii="仿宋_GB2312"/>
          <w:color w:val="auto"/>
          <w:highlight w:val="none"/>
        </w:rPr>
      </w:pPr>
    </w:p>
    <w:p>
      <w:pPr>
        <w:widowControl/>
        <w:wordWrap w:val="0"/>
        <w:topLinePunct/>
        <w:adjustRightInd w:val="0"/>
        <w:snapToGrid w:val="0"/>
        <w:spacing w:line="480" w:lineRule="exact"/>
        <w:rPr>
          <w:rFonts w:hint="eastAsia" w:ascii="仿宋_GB2312"/>
          <w:color w:val="auto"/>
          <w:highlight w:val="none"/>
        </w:rPr>
      </w:pPr>
    </w:p>
    <w:p>
      <w:pPr>
        <w:widowControl/>
        <w:wordWrap w:val="0"/>
        <w:topLinePunct/>
        <w:adjustRightInd w:val="0"/>
        <w:snapToGrid w:val="0"/>
        <w:spacing w:line="560" w:lineRule="exact"/>
        <w:ind w:left="241" w:leftChars="115"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与勘察、设计人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经过双方协商一致，签订</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合同。</w:t>
      </w:r>
    </w:p>
    <w:p>
      <w:pPr>
        <w:widowControl/>
        <w:wordWrap w:val="0"/>
        <w:topLinePunct/>
        <w:adjustRightInd w:val="0"/>
        <w:snapToGrid w:val="0"/>
        <w:spacing w:line="5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一、下列文件均为本合同的组成部分。</w:t>
      </w:r>
    </w:p>
    <w:p>
      <w:pPr>
        <w:widowControl/>
        <w:wordWrap w:val="0"/>
        <w:topLinePunct/>
        <w:adjustRightInd w:val="0"/>
        <w:snapToGrid w:val="0"/>
        <w:spacing w:line="5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（1）中标通知书；</w:t>
      </w:r>
    </w:p>
    <w:p>
      <w:pPr>
        <w:widowControl/>
        <w:wordWrap w:val="0"/>
        <w:topLinePunct/>
        <w:adjustRightInd w:val="0"/>
        <w:snapToGrid w:val="0"/>
        <w:spacing w:line="5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（2）协议书；</w:t>
      </w:r>
    </w:p>
    <w:p>
      <w:pPr>
        <w:widowControl/>
        <w:wordWrap w:val="0"/>
        <w:topLinePunct/>
        <w:adjustRightInd w:val="0"/>
        <w:snapToGrid w:val="0"/>
        <w:spacing w:line="5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（3）勘察合同；</w:t>
      </w:r>
    </w:p>
    <w:p>
      <w:pPr>
        <w:widowControl/>
        <w:wordWrap w:val="0"/>
        <w:topLinePunct/>
        <w:adjustRightInd w:val="0"/>
        <w:snapToGrid w:val="0"/>
        <w:spacing w:line="5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（4）设计合同；</w:t>
      </w:r>
    </w:p>
    <w:p>
      <w:pPr>
        <w:widowControl/>
        <w:wordWrap w:val="0"/>
        <w:topLinePunct/>
        <w:adjustRightInd w:val="0"/>
        <w:snapToGrid w:val="0"/>
        <w:spacing w:line="5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（5）在实施过程中双方共同签署的补充与修正文件。</w:t>
      </w:r>
    </w:p>
    <w:p>
      <w:pPr>
        <w:widowControl/>
        <w:wordWrap w:val="0"/>
        <w:topLinePunct/>
        <w:adjustRightInd w:val="0"/>
        <w:snapToGrid w:val="0"/>
        <w:spacing w:line="56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二、工程总投资约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万元，本合同暂定价款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万元，其中勘察合同暂定价款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万元，设计合同暂定价款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万元。</w:t>
      </w:r>
    </w:p>
    <w:p>
      <w:pPr>
        <w:widowControl/>
        <w:wordWrap/>
        <w:topLinePunct w:val="0"/>
        <w:adjustRightInd w:val="0"/>
        <w:snapToGrid w:val="0"/>
        <w:spacing w:line="560" w:lineRule="exact"/>
        <w:ind w:right="11" w:firstLine="480" w:firstLineChars="200"/>
        <w:rPr>
          <w:rFonts w:hint="eastAsia" w:ascii="仿宋" w:hAnsi="仿宋" w:eastAsia="仿宋" w:cs="仿宋"/>
          <w:color w:val="auto"/>
          <w:sz w:val="24"/>
          <w:highlight w:val="none"/>
        </w:rPr>
      </w:pPr>
      <w:r>
        <w:rPr>
          <w:rFonts w:hint="eastAsia" w:ascii="仿宋" w:hAnsi="仿宋" w:eastAsia="仿宋" w:cs="仿宋"/>
          <w:bCs w:val="0"/>
          <w:snapToGrid/>
          <w:color w:val="auto"/>
          <w:kern w:val="2"/>
          <w:sz w:val="24"/>
          <w:highlight w:val="none"/>
        </w:rPr>
        <w:t>最终结算的</w:t>
      </w:r>
      <w:r>
        <w:rPr>
          <w:rFonts w:hint="eastAsia" w:ascii="仿宋" w:hAnsi="仿宋" w:eastAsia="仿宋" w:cs="仿宋"/>
          <w:bCs w:val="0"/>
          <w:snapToGrid/>
          <w:color w:val="auto"/>
          <w:kern w:val="2"/>
          <w:sz w:val="24"/>
          <w:highlight w:val="none"/>
          <w:lang w:val="en-US" w:eastAsia="zh-CN"/>
        </w:rPr>
        <w:t>勘察、设计</w:t>
      </w:r>
      <w:r>
        <w:rPr>
          <w:rFonts w:hint="eastAsia" w:ascii="仿宋" w:hAnsi="仿宋" w:eastAsia="仿宋" w:cs="仿宋"/>
          <w:bCs w:val="0"/>
          <w:snapToGrid/>
          <w:color w:val="auto"/>
          <w:kern w:val="2"/>
          <w:sz w:val="24"/>
          <w:highlight w:val="none"/>
        </w:rPr>
        <w:t>费以广州开发区财政局或其授权委托单位审定为准。</w:t>
      </w:r>
      <w:r>
        <w:rPr>
          <w:rFonts w:hint="eastAsia" w:ascii="仿宋" w:hAnsi="仿宋" w:eastAsia="仿宋" w:cs="仿宋"/>
          <w:b w:val="0"/>
          <w:bCs w:val="0"/>
          <w:i w:val="0"/>
          <w:iCs w:val="0"/>
          <w:caps w:val="0"/>
          <w:snapToGrid/>
          <w:color w:val="auto"/>
          <w:spacing w:val="0"/>
          <w:kern w:val="2"/>
          <w:sz w:val="24"/>
          <w:szCs w:val="24"/>
          <w:highlight w:val="none"/>
          <w:shd w:val="clear" w:color="auto" w:fill="auto"/>
        </w:rPr>
        <w:t>如遇审计部门审计发现本合同结算价款存在超付的情形，</w:t>
      </w:r>
      <w:r>
        <w:rPr>
          <w:rFonts w:hint="eastAsia" w:ascii="仿宋" w:hAnsi="仿宋" w:eastAsia="仿宋" w:cs="仿宋"/>
          <w:b w:val="0"/>
          <w:bCs w:val="0"/>
          <w:i w:val="0"/>
          <w:iCs w:val="0"/>
          <w:caps w:val="0"/>
          <w:snapToGrid/>
          <w:color w:val="auto"/>
          <w:spacing w:val="0"/>
          <w:kern w:val="2"/>
          <w:sz w:val="24"/>
          <w:szCs w:val="24"/>
          <w:highlight w:val="none"/>
          <w:shd w:val="clear" w:color="auto" w:fill="auto"/>
          <w:lang w:val="en-US" w:eastAsia="zh-CN"/>
        </w:rPr>
        <w:t>发包人</w:t>
      </w:r>
      <w:r>
        <w:rPr>
          <w:rFonts w:hint="eastAsia" w:ascii="仿宋" w:hAnsi="仿宋" w:eastAsia="仿宋" w:cs="仿宋"/>
          <w:b w:val="0"/>
          <w:bCs w:val="0"/>
          <w:i w:val="0"/>
          <w:iCs w:val="0"/>
          <w:caps w:val="0"/>
          <w:snapToGrid/>
          <w:color w:val="auto"/>
          <w:spacing w:val="0"/>
          <w:kern w:val="2"/>
          <w:sz w:val="24"/>
          <w:szCs w:val="24"/>
          <w:highlight w:val="none"/>
          <w:shd w:val="clear" w:color="auto" w:fill="auto"/>
        </w:rPr>
        <w:t>有权据实要求</w:t>
      </w:r>
      <w:r>
        <w:rPr>
          <w:rFonts w:hint="eastAsia" w:ascii="仿宋" w:hAnsi="仿宋" w:eastAsia="仿宋" w:cs="仿宋"/>
          <w:b w:val="0"/>
          <w:bCs w:val="0"/>
          <w:i w:val="0"/>
          <w:iCs w:val="0"/>
          <w:caps w:val="0"/>
          <w:snapToGrid/>
          <w:color w:val="auto"/>
          <w:spacing w:val="0"/>
          <w:kern w:val="2"/>
          <w:sz w:val="24"/>
          <w:szCs w:val="24"/>
          <w:highlight w:val="none"/>
          <w:shd w:val="clear" w:color="auto" w:fill="auto"/>
          <w:lang w:eastAsia="zh-CN"/>
        </w:rPr>
        <w:t>勘察、</w:t>
      </w:r>
      <w:r>
        <w:rPr>
          <w:rFonts w:hint="eastAsia" w:ascii="仿宋" w:hAnsi="仿宋" w:eastAsia="仿宋" w:cs="仿宋"/>
          <w:b w:val="0"/>
          <w:bCs w:val="0"/>
          <w:i w:val="0"/>
          <w:iCs w:val="0"/>
          <w:caps w:val="0"/>
          <w:snapToGrid/>
          <w:color w:val="auto"/>
          <w:spacing w:val="0"/>
          <w:kern w:val="2"/>
          <w:sz w:val="24"/>
          <w:szCs w:val="24"/>
          <w:highlight w:val="none"/>
          <w:shd w:val="clear" w:color="auto" w:fill="auto"/>
          <w:lang w:val="en-US" w:eastAsia="zh-CN"/>
        </w:rPr>
        <w:t>设计人</w:t>
      </w:r>
      <w:r>
        <w:rPr>
          <w:rFonts w:hint="eastAsia" w:ascii="仿宋" w:hAnsi="仿宋" w:eastAsia="仿宋" w:cs="仿宋"/>
          <w:b w:val="0"/>
          <w:bCs w:val="0"/>
          <w:i w:val="0"/>
          <w:iCs w:val="0"/>
          <w:caps w:val="0"/>
          <w:snapToGrid/>
          <w:color w:val="auto"/>
          <w:spacing w:val="0"/>
          <w:kern w:val="2"/>
          <w:sz w:val="24"/>
          <w:szCs w:val="24"/>
          <w:highlight w:val="none"/>
          <w:shd w:val="clear" w:color="auto" w:fill="auto"/>
        </w:rPr>
        <w:t>返还该部分款项</w:t>
      </w:r>
      <w:r>
        <w:rPr>
          <w:rFonts w:hint="eastAsia" w:ascii="仿宋" w:hAnsi="仿宋" w:eastAsia="仿宋" w:cs="仿宋"/>
          <w:b w:val="0"/>
          <w:bCs w:val="0"/>
          <w:i w:val="0"/>
          <w:iCs w:val="0"/>
          <w:caps w:val="0"/>
          <w:snapToGrid/>
          <w:color w:val="auto"/>
          <w:spacing w:val="0"/>
          <w:kern w:val="2"/>
          <w:sz w:val="24"/>
          <w:szCs w:val="24"/>
          <w:highlight w:val="none"/>
          <w:shd w:val="clear" w:color="auto" w:fill="auto"/>
          <w:lang w:eastAsia="zh-CN"/>
        </w:rPr>
        <w:t>。</w:t>
      </w:r>
    </w:p>
    <w:p>
      <w:pPr>
        <w:pStyle w:val="167"/>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如本合同需缴纳合同印花税，勘察、设计人需在有关税务部门规定期限及结清本合同费用前，代缴按规定属发包人缴纳的部分，代缴后发包人按代缴金额实报实销。勘察、设计人未按规定期限代缴印花税的，因此产生的滞纳金由勘察、设计人承担。</w:t>
      </w:r>
    </w:p>
    <w:p>
      <w:pPr>
        <w:topLinePunct/>
        <w:adjustRightInd w:val="0"/>
        <w:snapToGrid w:val="0"/>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四、勘察、设计人向一家或者多家小微勘察、设计企业分包的合同份额为合同总金额   %（其中：向 XXXX公司分包工程本合同金额占比为   %、向 XXXX公司分包工程本合同金额占比为   %...）（按《中小企业声明函》执行）。经查实，该分包企业若不具备承接分包工作任务相应资质的，勘察、设计人需另行分包给具备承接分包工作任务资质的小微企业，分包给小微企业的总分包合同（含专业工程分包和劳务分包）金额占比不得低于《中小企业声明函》执行,且发包人予以勘察、设计人中标价的千分之五的处罚，并限制其一定期限内参与招标人后续项目投标。（本条适用于勘察、设计人为大中型企业，且其投标出具《中小企业声明函》，并享受中小企业扶持政策，否则签订合同做删除）勘察、设计人需建立分包管理台账，定期报监理、发包人审核和检查。</w:t>
      </w:r>
    </w:p>
    <w:p>
      <w:pPr>
        <w:wordWrap w:val="0"/>
        <w:topLinePunct/>
        <w:adjustRightInd w:val="0"/>
        <w:snapToGrid w:val="0"/>
        <w:spacing w:line="5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lang w:val="en-US" w:eastAsia="zh-CN"/>
        </w:rPr>
        <w:t>五</w:t>
      </w:r>
      <w:r>
        <w:rPr>
          <w:rFonts w:hint="eastAsia" w:ascii="仿宋" w:hAnsi="仿宋" w:eastAsia="仿宋"/>
          <w:color w:val="auto"/>
          <w:sz w:val="24"/>
          <w:highlight w:val="none"/>
          <w:u w:val="single"/>
        </w:rPr>
        <w:t>、如勘察、设计人为联合体的，</w:t>
      </w:r>
      <w:r>
        <w:rPr>
          <w:rFonts w:hint="eastAsia" w:ascii="仿宋" w:hAnsi="仿宋" w:eastAsia="仿宋" w:cs="Times New Roman"/>
          <w:color w:val="auto"/>
          <w:kern w:val="2"/>
          <w:sz w:val="24"/>
          <w:szCs w:val="24"/>
          <w:highlight w:val="none"/>
          <w:u w:val="single"/>
        </w:rPr>
        <w:t>联合体协议经发包人确认后作为合同附件。在履行合同过程中，</w:t>
      </w:r>
      <w:r>
        <w:rPr>
          <w:rFonts w:hint="eastAsia" w:ascii="仿宋" w:hAnsi="仿宋" w:eastAsia="仿宋" w:cs="Times New Roman"/>
          <w:color w:val="auto"/>
          <w:sz w:val="24"/>
          <w:szCs w:val="24"/>
          <w:highlight w:val="none"/>
          <w:u w:val="single"/>
        </w:rPr>
        <w:t>不得变更联合体成员和其负责的工作范围，或者</w:t>
      </w:r>
      <w:r>
        <w:rPr>
          <w:rFonts w:hint="eastAsia" w:ascii="仿宋" w:hAnsi="仿宋" w:eastAsia="仿宋" w:cs="Times New Roman"/>
          <w:color w:val="auto"/>
          <w:kern w:val="2"/>
          <w:sz w:val="24"/>
          <w:szCs w:val="24"/>
          <w:highlight w:val="none"/>
          <w:u w:val="single"/>
        </w:rPr>
        <w:t>修改联合体协议</w:t>
      </w:r>
      <w:r>
        <w:rPr>
          <w:rFonts w:hint="eastAsia" w:ascii="仿宋" w:hAnsi="仿宋" w:eastAsia="仿宋" w:cs="Times New Roman"/>
          <w:color w:val="auto"/>
          <w:sz w:val="24"/>
          <w:szCs w:val="24"/>
          <w:highlight w:val="none"/>
          <w:u w:val="single"/>
        </w:rPr>
        <w:t>中与本合同履行相关的内容</w:t>
      </w:r>
      <w:r>
        <w:rPr>
          <w:rFonts w:hint="eastAsia" w:ascii="仿宋" w:hAnsi="仿宋" w:eastAsia="仿宋" w:cs="Times New Roman"/>
          <w:color w:val="auto"/>
          <w:sz w:val="24"/>
          <w:szCs w:val="24"/>
          <w:highlight w:val="none"/>
          <w:u w:val="single"/>
          <w:lang w:eastAsia="zh-CN"/>
        </w:rPr>
        <w:t>（非公开招标项目：</w:t>
      </w:r>
      <w:r>
        <w:rPr>
          <w:rFonts w:hint="eastAsia" w:ascii="仿宋" w:hAnsi="仿宋" w:eastAsia="仿宋" w:cs="Times New Roman"/>
          <w:color w:val="auto"/>
          <w:kern w:val="2"/>
          <w:sz w:val="24"/>
          <w:szCs w:val="24"/>
          <w:highlight w:val="none"/>
          <w:u w:val="single"/>
        </w:rPr>
        <w:t>在履行合同过程中，</w:t>
      </w:r>
      <w:r>
        <w:rPr>
          <w:rFonts w:hint="eastAsia" w:ascii="仿宋" w:hAnsi="仿宋" w:eastAsia="仿宋" w:cs="Times New Roman"/>
          <w:color w:val="auto"/>
          <w:kern w:val="2"/>
          <w:sz w:val="24"/>
          <w:szCs w:val="24"/>
          <w:highlight w:val="none"/>
          <w:u w:val="single"/>
          <w:lang w:eastAsia="zh-CN"/>
        </w:rPr>
        <w:t>未经发包人同意，</w:t>
      </w:r>
      <w:r>
        <w:rPr>
          <w:rFonts w:hint="eastAsia" w:ascii="仿宋" w:hAnsi="仿宋" w:eastAsia="仿宋" w:cs="Times New Roman"/>
          <w:color w:val="auto"/>
          <w:sz w:val="24"/>
          <w:szCs w:val="24"/>
          <w:highlight w:val="none"/>
          <w:u w:val="single"/>
        </w:rPr>
        <w:t>不得变更联合体成员和其负责的工作范围，或者</w:t>
      </w:r>
      <w:r>
        <w:rPr>
          <w:rFonts w:hint="eastAsia" w:ascii="仿宋" w:hAnsi="仿宋" w:eastAsia="仿宋" w:cs="Times New Roman"/>
          <w:color w:val="auto"/>
          <w:kern w:val="2"/>
          <w:sz w:val="24"/>
          <w:szCs w:val="24"/>
          <w:highlight w:val="none"/>
          <w:u w:val="single"/>
        </w:rPr>
        <w:t>修改联合体协议</w:t>
      </w:r>
      <w:r>
        <w:rPr>
          <w:rFonts w:hint="eastAsia" w:ascii="仿宋" w:hAnsi="仿宋" w:eastAsia="仿宋" w:cs="Times New Roman"/>
          <w:color w:val="auto"/>
          <w:sz w:val="24"/>
          <w:szCs w:val="24"/>
          <w:highlight w:val="none"/>
          <w:u w:val="single"/>
        </w:rPr>
        <w:t>中与本合同履行相关的内容</w:t>
      </w:r>
      <w:r>
        <w:rPr>
          <w:rFonts w:hint="eastAsia" w:ascii="仿宋" w:hAnsi="仿宋" w:eastAsia="仿宋" w:cs="Times New Roman"/>
          <w:color w:val="auto"/>
          <w:sz w:val="24"/>
          <w:szCs w:val="24"/>
          <w:highlight w:val="none"/>
          <w:u w:val="single"/>
          <w:lang w:eastAsia="zh-CN"/>
        </w:rPr>
        <w:t>）</w:t>
      </w:r>
      <w:r>
        <w:rPr>
          <w:rFonts w:hint="eastAsia" w:ascii="仿宋" w:hAnsi="仿宋" w:eastAsia="仿宋" w:cs="Times New Roman"/>
          <w:color w:val="auto"/>
          <w:kern w:val="2"/>
          <w:sz w:val="24"/>
          <w:szCs w:val="24"/>
          <w:highlight w:val="none"/>
          <w:u w:val="single"/>
        </w:rPr>
        <w:t>。</w:t>
      </w:r>
      <w:r>
        <w:rPr>
          <w:rFonts w:hint="eastAsia" w:ascii="仿宋" w:hAnsi="仿宋" w:eastAsia="仿宋"/>
          <w:color w:val="auto"/>
          <w:sz w:val="24"/>
          <w:highlight w:val="none"/>
          <w:u w:val="single"/>
        </w:rPr>
        <w:t>本合同协议书由联合体共同签订，勘察合同、设计合同分别由承担相应工作的联合体方签订。</w:t>
      </w:r>
      <w:r>
        <w:rPr>
          <w:rFonts w:hint="eastAsia" w:ascii="仿宋" w:hAnsi="仿宋" w:eastAsia="仿宋"/>
          <w:color w:val="auto"/>
          <w:sz w:val="24"/>
          <w:highlight w:val="none"/>
          <w:u w:val="single"/>
          <w:lang w:val="en-US" w:eastAsia="zh-CN"/>
        </w:rPr>
        <w:t xml:space="preserve"> 勘察费、设计费</w:t>
      </w:r>
      <w:r>
        <w:rPr>
          <w:rFonts w:hint="eastAsia" w:ascii="仿宋" w:hAnsi="仿宋" w:eastAsia="仿宋"/>
          <w:color w:val="auto"/>
          <w:sz w:val="24"/>
          <w:highlight w:val="none"/>
          <w:u w:val="single"/>
        </w:rPr>
        <w:t>分别由承担相应工作的联合体方负责收取，开具</w:t>
      </w:r>
      <w:r>
        <w:rPr>
          <w:rFonts w:hint="eastAsia" w:ascii="仿宋" w:hAnsi="仿宋" w:eastAsia="仿宋"/>
          <w:color w:val="auto"/>
          <w:sz w:val="24"/>
          <w:highlight w:val="none"/>
          <w:u w:val="single"/>
          <w:lang w:eastAsia="zh-CN"/>
        </w:rPr>
        <w:t>相应合同</w:t>
      </w:r>
      <w:r>
        <w:rPr>
          <w:rFonts w:hint="eastAsia" w:ascii="仿宋" w:hAnsi="仿宋" w:eastAsia="仿宋"/>
          <w:color w:val="auto"/>
          <w:sz w:val="24"/>
          <w:highlight w:val="none"/>
          <w:u w:val="single"/>
        </w:rPr>
        <w:t>价款全额发票。</w:t>
      </w:r>
      <w:r>
        <w:rPr>
          <w:rFonts w:hint="eastAsia" w:ascii="仿宋" w:hAnsi="仿宋" w:eastAsia="仿宋"/>
          <w:color w:val="auto"/>
          <w:sz w:val="24"/>
          <w:highlight w:val="none"/>
          <w:u w:val="single"/>
          <w:lang w:eastAsia="zh-CN"/>
        </w:rPr>
        <w:t>（</w:t>
      </w:r>
      <w:r>
        <w:rPr>
          <w:rFonts w:hint="eastAsia" w:ascii="仿宋" w:hAnsi="仿宋" w:eastAsia="仿宋"/>
          <w:color w:val="auto"/>
          <w:sz w:val="24"/>
          <w:highlight w:val="none"/>
          <w:u w:val="single"/>
        </w:rPr>
        <w:t>若出现多家勘察</w:t>
      </w:r>
      <w:r>
        <w:rPr>
          <w:rFonts w:hint="eastAsia" w:ascii="仿宋" w:hAnsi="仿宋" w:eastAsia="仿宋"/>
          <w:color w:val="auto"/>
          <w:sz w:val="24"/>
          <w:highlight w:val="none"/>
          <w:u w:val="single"/>
          <w:lang w:eastAsia="zh-CN"/>
        </w:rPr>
        <w:t>单位</w:t>
      </w:r>
      <w:r>
        <w:rPr>
          <w:rFonts w:hint="eastAsia" w:ascii="仿宋" w:hAnsi="仿宋" w:eastAsia="仿宋"/>
          <w:color w:val="auto"/>
          <w:sz w:val="24"/>
          <w:highlight w:val="none"/>
          <w:u w:val="single"/>
        </w:rPr>
        <w:t>或者多家设计</w:t>
      </w:r>
      <w:r>
        <w:rPr>
          <w:rFonts w:hint="eastAsia" w:ascii="仿宋" w:hAnsi="仿宋" w:eastAsia="仿宋"/>
          <w:color w:val="auto"/>
          <w:sz w:val="24"/>
          <w:highlight w:val="none"/>
          <w:u w:val="single"/>
          <w:lang w:eastAsia="zh-CN"/>
        </w:rPr>
        <w:t>单位</w:t>
      </w:r>
      <w:r>
        <w:rPr>
          <w:rFonts w:hint="eastAsia" w:ascii="仿宋" w:hAnsi="仿宋" w:eastAsia="仿宋"/>
          <w:color w:val="auto"/>
          <w:sz w:val="24"/>
          <w:highlight w:val="none"/>
          <w:u w:val="single"/>
        </w:rPr>
        <w:t>组成的联合体中标人，则由承担主要勘察任务的一家联合体成员单位负责收取勘察费，承担主要设计任务的一家联合体成员单位负责收取设计费</w:t>
      </w:r>
      <w:r>
        <w:rPr>
          <w:rFonts w:hint="eastAsia" w:ascii="仿宋" w:hAnsi="仿宋" w:eastAsia="仿宋"/>
          <w:color w:val="auto"/>
          <w:sz w:val="24"/>
          <w:highlight w:val="none"/>
          <w:u w:val="single"/>
          <w:lang w:eastAsia="zh-CN"/>
        </w:rPr>
        <w:t>）</w:t>
      </w:r>
    </w:p>
    <w:p>
      <w:pPr>
        <w:widowControl/>
        <w:wordWrap w:val="0"/>
        <w:topLinePunct/>
        <w:adjustRightInd w:val="0"/>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、本合同自发包人及勘察、设计人签字盖章后生效，发包人及勘察、设计人履行完合同约定的义务后，本合同终止。</w:t>
      </w:r>
    </w:p>
    <w:p>
      <w:pPr>
        <w:widowControl/>
        <w:wordWrap w:val="0"/>
        <w:topLinePunct/>
        <w:adjustRightInd w:val="0"/>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、本合同</w:t>
      </w:r>
      <w:r>
        <w:rPr>
          <w:rFonts w:hint="eastAsia" w:ascii="仿宋" w:hAnsi="仿宋" w:eastAsia="仿宋" w:cs="仿宋"/>
          <w:color w:val="auto"/>
          <w:sz w:val="24"/>
          <w:highlight w:val="none"/>
          <w:lang w:eastAsia="zh-CN"/>
        </w:rPr>
        <w:t>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份，其中</w:t>
      </w:r>
      <w:r>
        <w:rPr>
          <w:rFonts w:hint="eastAsia" w:ascii="仿宋" w:hAnsi="仿宋" w:eastAsia="仿宋" w:cs="仿宋"/>
          <w:color w:val="auto"/>
          <w:sz w:val="24"/>
          <w:highlight w:val="none"/>
        </w:rPr>
        <w:t>正本一式</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份，发包人执一份，勘察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设计人执一份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副</w:t>
      </w: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份，发包人执</w:t>
      </w: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rPr>
        <w:t>份，勘察设计人执</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份。</w:t>
      </w:r>
    </w:p>
    <w:p>
      <w:pPr>
        <w:widowControl/>
        <w:wordWrap w:val="0"/>
        <w:topLinePunct/>
        <w:adjustRightInd w:val="0"/>
        <w:snapToGrid w:val="0"/>
        <w:spacing w:line="480" w:lineRule="exact"/>
        <w:rPr>
          <w:rFonts w:hint="eastAsia" w:ascii="仿宋_GB2312"/>
          <w:color w:val="auto"/>
          <w:highlight w:val="none"/>
        </w:rPr>
      </w:pPr>
    </w:p>
    <w:p>
      <w:pPr>
        <w:widowControl/>
        <w:wordWrap w:val="0"/>
        <w:topLinePunct/>
        <w:adjustRightInd w:val="0"/>
        <w:snapToGrid w:val="0"/>
        <w:spacing w:line="480" w:lineRule="exact"/>
        <w:rPr>
          <w:rFonts w:hint="eastAsia" w:ascii="仿宋_GB2312" w:eastAsia="仿宋_GB2312"/>
          <w:color w:val="auto"/>
          <w:sz w:val="24"/>
          <w:highlight w:val="none"/>
        </w:rPr>
      </w:pPr>
    </w:p>
    <w:tbl>
      <w:tblPr>
        <w:tblStyle w:val="45"/>
        <w:tblW w:w="0" w:type="auto"/>
        <w:tblInd w:w="0" w:type="dxa"/>
        <w:tblLayout w:type="fixed"/>
        <w:tblCellMar>
          <w:top w:w="0" w:type="dxa"/>
          <w:left w:w="108" w:type="dxa"/>
          <w:bottom w:w="0" w:type="dxa"/>
          <w:right w:w="108" w:type="dxa"/>
        </w:tblCellMar>
      </w:tblPr>
      <w:tblGrid>
        <w:gridCol w:w="1668"/>
        <w:gridCol w:w="2596"/>
        <w:gridCol w:w="1656"/>
        <w:gridCol w:w="2608"/>
      </w:tblGrid>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发  包  人：</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盖</w:t>
            </w:r>
            <w:r>
              <w:rPr>
                <w:rFonts w:hint="eastAsia" w:ascii="仿宋_GB2312" w:eastAsia="仿宋_GB2312"/>
                <w:color w:val="auto"/>
                <w:sz w:val="24"/>
                <w:highlight w:val="none"/>
              </w:rPr>
              <w:t>章）</w:t>
            </w: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勘察设计人：</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盖</w:t>
            </w:r>
            <w:r>
              <w:rPr>
                <w:rFonts w:hint="eastAsia" w:ascii="仿宋_GB2312" w:eastAsia="仿宋_GB2312"/>
                <w:color w:val="auto"/>
                <w:sz w:val="24"/>
                <w:highlight w:val="none"/>
              </w:rPr>
              <w:t>章）</w:t>
            </w: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住 所：</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科学城揽月路创意大厦B2附楼三楼</w:t>
            </w: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住 所：</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法定代表人：</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法定代表人：</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委托代理人：</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委托代理人：</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电    话：</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电    话：</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传    真：</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传    真：</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开户银行：</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开户银行：</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账    号：</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账    号：</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邮政编码：</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510663</w:t>
            </w: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邮政编码：</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bl>
    <w:p>
      <w:pPr>
        <w:widowControl/>
        <w:wordWrap w:val="0"/>
        <w:topLinePunct/>
        <w:adjustRightInd w:val="0"/>
        <w:snapToGrid w:val="0"/>
        <w:spacing w:line="480" w:lineRule="exact"/>
        <w:ind w:left="5520" w:hanging="5520" w:hangingChars="2300"/>
        <w:rPr>
          <w:rFonts w:hint="eastAsia" w:ascii="仿宋_GB2312" w:eastAsia="仿宋_GB2312"/>
          <w:color w:val="auto"/>
          <w:sz w:val="24"/>
          <w:highlight w:val="none"/>
        </w:rPr>
      </w:pPr>
    </w:p>
    <w:p>
      <w:pPr>
        <w:widowControl/>
        <w:wordWrap w:val="0"/>
        <w:topLinePunct/>
        <w:adjustRightInd w:val="0"/>
        <w:snapToGrid w:val="0"/>
        <w:spacing w:line="480" w:lineRule="exact"/>
        <w:ind w:left="4772" w:leftChars="444" w:hanging="3840" w:hangingChars="1600"/>
        <w:rPr>
          <w:rFonts w:hint="eastAsia" w:ascii="仿宋_GB2312" w:eastAsia="仿宋_GB2312"/>
          <w:color w:val="auto"/>
          <w:sz w:val="24"/>
          <w:highlight w:val="none"/>
        </w:rPr>
      </w:pPr>
      <w:r>
        <w:rPr>
          <w:rFonts w:hint="eastAsia" w:ascii="仿宋_GB2312" w:eastAsia="仿宋_GB2312"/>
          <w:color w:val="auto"/>
          <w:sz w:val="24"/>
          <w:highlight w:val="none"/>
        </w:rPr>
        <w:t>订立时间：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日，签订地点：广州市黄埔区</w:t>
      </w:r>
    </w:p>
    <w:p>
      <w:pPr>
        <w:widowControl/>
        <w:wordWrap w:val="0"/>
        <w:topLinePunct/>
        <w:adjustRightInd w:val="0"/>
        <w:snapToGrid w:val="0"/>
        <w:spacing w:line="480" w:lineRule="exact"/>
        <w:rPr>
          <w:rFonts w:hint="eastAsia" w:ascii="仿宋_GB2312" w:eastAsia="仿宋_GB2312"/>
          <w:b/>
          <w:color w:val="auto"/>
          <w:szCs w:val="21"/>
          <w:highlight w:val="none"/>
          <w:lang w:eastAsia="zh-CN"/>
        </w:rPr>
      </w:pPr>
      <w:r>
        <w:rPr>
          <w:rFonts w:hint="eastAsia" w:ascii="仿宋_GB2312" w:eastAsia="仿宋_GB2312"/>
          <w:b/>
          <w:color w:val="auto"/>
          <w:szCs w:val="21"/>
          <w:highlight w:val="none"/>
        </w:rPr>
        <w:br w:type="page"/>
      </w:r>
      <w:r>
        <w:rPr>
          <w:rFonts w:hint="eastAsia" w:ascii="仿宋_GB2312" w:eastAsia="仿宋_GB2312"/>
          <w:b/>
          <w:color w:val="auto"/>
          <w:szCs w:val="21"/>
          <w:highlight w:val="none"/>
          <w:lang w:eastAsia="zh-CN"/>
        </w:rPr>
        <w:t>联合体协议书（扫描件）</w:t>
      </w:r>
    </w:p>
    <w:p>
      <w:pPr>
        <w:widowControl/>
        <w:wordWrap w:val="0"/>
        <w:topLinePunct/>
        <w:adjustRightInd w:val="0"/>
        <w:snapToGrid w:val="0"/>
        <w:spacing w:line="480" w:lineRule="exact"/>
        <w:rPr>
          <w:rFonts w:hint="eastAsia" w:ascii="宋体" w:hAnsi="宋体"/>
          <w:color w:val="auto"/>
          <w:szCs w:val="21"/>
          <w:highlight w:val="none"/>
        </w:rPr>
      </w:pPr>
      <w:r>
        <w:rPr>
          <w:rFonts w:hint="eastAsia" w:ascii="仿宋_GB2312" w:eastAsia="仿宋_GB2312"/>
          <w:b/>
          <w:color w:val="auto"/>
          <w:szCs w:val="21"/>
          <w:highlight w:val="none"/>
          <w:lang w:eastAsia="zh-CN"/>
        </w:rPr>
        <w:t>（如有）</w:t>
      </w:r>
      <w:r>
        <w:rPr>
          <w:rFonts w:hint="eastAsia" w:ascii="仿宋_GB2312" w:eastAsia="仿宋_GB2312"/>
          <w:b/>
          <w:color w:val="auto"/>
          <w:szCs w:val="21"/>
          <w:highlight w:val="none"/>
        </w:rPr>
        <w:br w:type="page"/>
      </w:r>
    </w:p>
    <w:p>
      <w:pPr>
        <w:widowControl/>
        <w:wordWrap w:val="0"/>
        <w:topLinePunct/>
        <w:adjustRightInd w:val="0"/>
        <w:snapToGrid w:val="0"/>
        <w:spacing w:line="480" w:lineRule="exact"/>
        <w:rPr>
          <w:rFonts w:hint="eastAsia" w:ascii="宋体" w:hAnsi="宋体"/>
          <w:color w:val="auto"/>
          <w:szCs w:val="21"/>
          <w:highlight w:val="none"/>
        </w:rPr>
      </w:pPr>
    </w:p>
    <w:p>
      <w:pPr>
        <w:widowControl/>
        <w:wordWrap w:val="0"/>
        <w:topLinePunct/>
        <w:adjustRightInd w:val="0"/>
        <w:snapToGrid w:val="0"/>
        <w:spacing w:line="480" w:lineRule="exact"/>
        <w:jc w:val="center"/>
        <w:rPr>
          <w:rFonts w:hint="eastAsia" w:ascii="仿宋_GB2312"/>
          <w:b/>
          <w:bCs/>
          <w:color w:val="auto"/>
          <w:sz w:val="36"/>
          <w:highlight w:val="none"/>
        </w:rPr>
      </w:pPr>
    </w:p>
    <w:p>
      <w:pPr>
        <w:widowControl/>
        <w:wordWrap w:val="0"/>
        <w:topLinePunct/>
        <w:adjustRightInd w:val="0"/>
        <w:snapToGrid w:val="0"/>
        <w:spacing w:line="480" w:lineRule="exact"/>
        <w:jc w:val="center"/>
        <w:rPr>
          <w:rFonts w:hint="eastAsia" w:ascii="仿宋_GB2312" w:eastAsia="仿宋_GB2312"/>
          <w:b/>
          <w:bCs/>
          <w:color w:val="auto"/>
          <w:spacing w:val="110"/>
          <w:sz w:val="44"/>
          <w:szCs w:val="44"/>
          <w:highlight w:val="none"/>
        </w:rPr>
      </w:pPr>
      <w:r>
        <w:rPr>
          <w:rFonts w:hint="eastAsia" w:ascii="仿宋_GB2312" w:eastAsia="仿宋_GB2312"/>
          <w:b/>
          <w:bCs/>
          <w:color w:val="auto"/>
          <w:spacing w:val="110"/>
          <w:sz w:val="44"/>
          <w:szCs w:val="44"/>
          <w:highlight w:val="none"/>
        </w:rPr>
        <w:t>二、勘察合同</w:t>
      </w:r>
    </w:p>
    <w:p>
      <w:pPr>
        <w:widowControl/>
        <w:wordWrap w:val="0"/>
        <w:topLinePunct/>
        <w:adjustRightInd w:val="0"/>
        <w:snapToGrid w:val="0"/>
        <w:spacing w:line="480" w:lineRule="exact"/>
        <w:rPr>
          <w:rFonts w:hint="eastAsia" w:ascii="宋体" w:hAnsi="宋体"/>
          <w:color w:val="auto"/>
          <w:szCs w:val="21"/>
          <w:highlight w:val="none"/>
        </w:rPr>
      </w:pPr>
    </w:p>
    <w:p>
      <w:pPr>
        <w:widowControl/>
        <w:wordWrap w:val="0"/>
        <w:topLinePunct/>
        <w:adjustRightInd w:val="0"/>
        <w:snapToGrid w:val="0"/>
        <w:spacing w:line="480" w:lineRule="exact"/>
        <w:rPr>
          <w:rFonts w:hint="eastAsia" w:ascii="宋体" w:hAnsi="宋体"/>
          <w:color w:val="auto"/>
          <w:szCs w:val="21"/>
          <w:highlight w:val="none"/>
        </w:rPr>
      </w:pPr>
    </w:p>
    <w:p>
      <w:pPr>
        <w:widowControl/>
        <w:wordWrap w:val="0"/>
        <w:topLinePunct/>
        <w:adjustRightInd w:val="0"/>
        <w:snapToGrid w:val="0"/>
        <w:spacing w:line="480" w:lineRule="exact"/>
        <w:rPr>
          <w:rFonts w:hint="eastAsia" w:ascii="宋体" w:hAnsi="宋体"/>
          <w:color w:val="auto"/>
          <w:szCs w:val="21"/>
          <w:highlight w:val="none"/>
        </w:rPr>
      </w:pPr>
    </w:p>
    <w:p>
      <w:pPr>
        <w:widowControl/>
        <w:wordWrap w:val="0"/>
        <w:topLinePunct/>
        <w:adjustRightInd w:val="0"/>
        <w:snapToGrid w:val="0"/>
        <w:spacing w:line="480" w:lineRule="exact"/>
        <w:rPr>
          <w:rFonts w:hint="eastAsia" w:ascii="宋体" w:hAnsi="宋体"/>
          <w:color w:val="auto"/>
          <w:szCs w:val="21"/>
          <w:highlight w:val="none"/>
        </w:rPr>
      </w:pPr>
    </w:p>
    <w:p>
      <w:pPr>
        <w:widowControl/>
        <w:wordWrap w:val="0"/>
        <w:topLinePunct/>
        <w:adjustRightInd w:val="0"/>
        <w:snapToGrid w:val="0"/>
        <w:spacing w:line="480" w:lineRule="exact"/>
        <w:rPr>
          <w:rFonts w:hint="eastAsia" w:ascii="宋体" w:hAnsi="宋体"/>
          <w:color w:val="auto"/>
          <w:szCs w:val="21"/>
          <w:highlight w:val="none"/>
        </w:rPr>
      </w:pPr>
    </w:p>
    <w:p>
      <w:pPr>
        <w:widowControl/>
        <w:wordWrap w:val="0"/>
        <w:topLinePunct/>
        <w:adjustRightInd w:val="0"/>
        <w:snapToGrid w:val="0"/>
        <w:spacing w:line="480" w:lineRule="exact"/>
        <w:rPr>
          <w:rFonts w:hint="eastAsia" w:ascii="宋体" w:hAnsi="宋体"/>
          <w:color w:val="auto"/>
          <w:szCs w:val="21"/>
          <w:highlight w:val="none"/>
        </w:rPr>
      </w:pPr>
    </w:p>
    <w:p>
      <w:pPr>
        <w:widowControl/>
        <w:wordWrap w:val="0"/>
        <w:topLinePunct/>
        <w:adjustRightInd w:val="0"/>
        <w:snapToGrid w:val="0"/>
        <w:spacing w:line="480" w:lineRule="exact"/>
        <w:rPr>
          <w:rFonts w:hint="eastAsia" w:ascii="宋体" w:hAnsi="宋体"/>
          <w:color w:val="auto"/>
          <w:szCs w:val="21"/>
          <w:highlight w:val="none"/>
        </w:rPr>
      </w:pPr>
    </w:p>
    <w:tbl>
      <w:tblPr>
        <w:tblStyle w:val="45"/>
        <w:tblW w:w="0" w:type="auto"/>
        <w:jc w:val="center"/>
        <w:tblLayout w:type="fixed"/>
        <w:tblCellMar>
          <w:top w:w="0" w:type="dxa"/>
          <w:left w:w="108" w:type="dxa"/>
          <w:bottom w:w="0" w:type="dxa"/>
          <w:right w:w="108" w:type="dxa"/>
        </w:tblCellMar>
      </w:tblPr>
      <w:tblGrid>
        <w:gridCol w:w="2093"/>
        <w:gridCol w:w="5670"/>
      </w:tblGrid>
      <w:tr>
        <w:tblPrEx>
          <w:tblCellMar>
            <w:top w:w="0" w:type="dxa"/>
            <w:left w:w="108" w:type="dxa"/>
            <w:bottom w:w="0" w:type="dxa"/>
            <w:right w:w="108" w:type="dxa"/>
          </w:tblCellMar>
        </w:tblPrEx>
        <w:trPr>
          <w:trHeight w:val="1134" w:hRule="atLeast"/>
          <w:jc w:val="center"/>
        </w:trPr>
        <w:tc>
          <w:tcPr>
            <w:tcW w:w="2093"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仿宋_GB2312" w:eastAsia="仿宋_GB2312"/>
                <w:color w:val="auto"/>
                <w:sz w:val="28"/>
                <w:highlight w:val="none"/>
              </w:rPr>
              <w:t>工程名称：</w:t>
            </w:r>
          </w:p>
        </w:tc>
        <w:tc>
          <w:tcPr>
            <w:tcW w:w="5670"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1134" w:hRule="atLeast"/>
          <w:jc w:val="center"/>
        </w:trPr>
        <w:tc>
          <w:tcPr>
            <w:tcW w:w="2093"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仿宋_GB2312" w:eastAsia="仿宋_GB2312"/>
                <w:color w:val="auto"/>
                <w:sz w:val="28"/>
                <w:highlight w:val="none"/>
              </w:rPr>
              <w:t>工程地点</w:t>
            </w:r>
            <w:r>
              <w:rPr>
                <w:rFonts w:ascii="仿宋_GB2312" w:eastAsia="仿宋_GB2312"/>
                <w:color w:val="auto"/>
                <w:sz w:val="28"/>
                <w:highlight w:val="none"/>
              </w:rPr>
              <w:t>:</w:t>
            </w:r>
          </w:p>
        </w:tc>
        <w:tc>
          <w:tcPr>
            <w:tcW w:w="5670"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1134" w:hRule="atLeast"/>
          <w:jc w:val="center"/>
        </w:trPr>
        <w:tc>
          <w:tcPr>
            <w:tcW w:w="2093" w:type="dxa"/>
            <w:noWrap w:val="0"/>
            <w:vAlign w:val="center"/>
          </w:tcPr>
          <w:p>
            <w:pPr>
              <w:widowControl/>
              <w:wordWrap w:val="0"/>
              <w:topLinePunct/>
              <w:adjustRightInd w:val="0"/>
              <w:snapToGrid w:val="0"/>
              <w:spacing w:line="480" w:lineRule="exact"/>
              <w:rPr>
                <w:rFonts w:hint="eastAsia" w:ascii="仿宋_GB2312" w:eastAsia="仿宋_GB2312"/>
                <w:color w:val="auto"/>
                <w:sz w:val="28"/>
                <w:highlight w:val="none"/>
              </w:rPr>
            </w:pPr>
            <w:r>
              <w:rPr>
                <w:rFonts w:hint="eastAsia" w:ascii="仿宋_GB2312" w:eastAsia="仿宋_GB2312"/>
                <w:color w:val="auto"/>
                <w:sz w:val="28"/>
                <w:highlight w:val="none"/>
              </w:rPr>
              <w:t>合同编号：</w:t>
            </w:r>
          </w:p>
          <w:p>
            <w:pPr>
              <w:widowControl/>
              <w:wordWrap w:val="0"/>
              <w:topLinePunct/>
              <w:adjustRightInd w:val="0"/>
              <w:snapToGrid w:val="0"/>
              <w:spacing w:line="480" w:lineRule="exact"/>
              <w:rPr>
                <w:rFonts w:hint="eastAsia" w:ascii="宋体" w:hAnsi="宋体"/>
                <w:color w:val="auto"/>
                <w:szCs w:val="21"/>
                <w:highlight w:val="none"/>
              </w:rPr>
            </w:pPr>
            <w:r>
              <w:rPr>
                <w:rFonts w:hint="eastAsia" w:ascii="仿宋_GB2312" w:eastAsia="仿宋_GB2312"/>
                <w:color w:val="auto"/>
                <w:szCs w:val="21"/>
                <w:highlight w:val="none"/>
              </w:rPr>
              <w:t>（由勘察人编填）</w:t>
            </w:r>
          </w:p>
        </w:tc>
        <w:tc>
          <w:tcPr>
            <w:tcW w:w="5670"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1134" w:hRule="atLeast"/>
          <w:jc w:val="center"/>
        </w:trPr>
        <w:tc>
          <w:tcPr>
            <w:tcW w:w="2093"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仿宋_GB2312" w:eastAsia="仿宋_GB2312"/>
                <w:color w:val="auto"/>
                <w:sz w:val="28"/>
                <w:highlight w:val="none"/>
              </w:rPr>
              <w:t>勘察证书等级：</w:t>
            </w:r>
          </w:p>
        </w:tc>
        <w:tc>
          <w:tcPr>
            <w:tcW w:w="5670"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1134" w:hRule="atLeast"/>
          <w:jc w:val="center"/>
        </w:trPr>
        <w:tc>
          <w:tcPr>
            <w:tcW w:w="2093"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仿宋_GB2312" w:eastAsia="仿宋_GB2312"/>
                <w:color w:val="auto"/>
                <w:sz w:val="28"/>
                <w:highlight w:val="none"/>
              </w:rPr>
              <w:t>发包人：</w:t>
            </w:r>
          </w:p>
        </w:tc>
        <w:tc>
          <w:tcPr>
            <w:tcW w:w="5670"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1134" w:hRule="atLeast"/>
          <w:jc w:val="center"/>
        </w:trPr>
        <w:tc>
          <w:tcPr>
            <w:tcW w:w="2093"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仿宋_GB2312" w:eastAsia="仿宋_GB2312"/>
                <w:color w:val="auto"/>
                <w:sz w:val="28"/>
                <w:highlight w:val="none"/>
              </w:rPr>
              <w:t>勘察人：</w:t>
            </w:r>
          </w:p>
        </w:tc>
        <w:tc>
          <w:tcPr>
            <w:tcW w:w="5670" w:type="dxa"/>
            <w:noWrap w:val="0"/>
            <w:vAlign w:val="center"/>
          </w:tcPr>
          <w:p>
            <w:pPr>
              <w:widowControl/>
              <w:wordWrap w:val="0"/>
              <w:topLinePunct/>
              <w:adjustRightInd w:val="0"/>
              <w:snapToGrid w:val="0"/>
              <w:spacing w:line="48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bl>
    <w:p>
      <w:pPr>
        <w:widowControl/>
        <w:wordWrap w:val="0"/>
        <w:topLinePunct/>
        <w:adjustRightInd w:val="0"/>
        <w:snapToGrid w:val="0"/>
        <w:spacing w:line="480" w:lineRule="exact"/>
        <w:rPr>
          <w:rFonts w:hint="eastAsia" w:ascii="仿宋_GB2312" w:hAnsi="宋体" w:eastAsia="仿宋_GB2312"/>
          <w:color w:val="auto"/>
          <w:sz w:val="24"/>
          <w:highlight w:val="none"/>
        </w:rPr>
      </w:pPr>
    </w:p>
    <w:p>
      <w:pPr>
        <w:widowControl/>
        <w:wordWrap w:val="0"/>
        <w:topLinePunct/>
        <w:adjustRightInd w:val="0"/>
        <w:snapToGrid w:val="0"/>
        <w:spacing w:line="480" w:lineRule="exact"/>
        <w:rPr>
          <w:rFonts w:hint="eastAsia" w:ascii="仿宋_GB2312" w:hAnsi="宋体" w:eastAsia="仿宋_GB2312"/>
          <w:color w:val="auto"/>
          <w:sz w:val="24"/>
          <w:highlight w:val="none"/>
        </w:rPr>
      </w:pPr>
      <w:r>
        <w:rPr>
          <w:rFonts w:ascii="仿宋_GB2312" w:hAnsi="宋体" w:eastAsia="仿宋_GB2312"/>
          <w:color w:val="auto"/>
          <w:sz w:val="24"/>
          <w:highlight w:val="none"/>
        </w:rPr>
        <w:br w:type="page"/>
      </w:r>
      <w:r>
        <w:rPr>
          <w:rFonts w:hint="eastAsia" w:ascii="仿宋_GB2312" w:hAnsi="宋体" w:eastAsia="仿宋_GB2312"/>
          <w:b/>
          <w:color w:val="auto"/>
          <w:sz w:val="24"/>
          <w:highlight w:val="none"/>
        </w:rPr>
        <w:t>发包人：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勘察人：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发包人委托勘察人承担</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任务。</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根据《中华人民共和国民法典》及国家有关法律、法规规定，结合本工程的具体情况，为明确责任，协作配合，确保工程勘察质量，经发包人、勘察人协商一致，签订本合同，共同遵守。</w:t>
      </w:r>
    </w:p>
    <w:p>
      <w:pPr>
        <w:widowControl/>
        <w:wordWrap w:val="0"/>
        <w:topLinePunct/>
        <w:adjustRightInd w:val="0"/>
        <w:snapToGrid w:val="0"/>
        <w:spacing w:line="480" w:lineRule="exact"/>
        <w:ind w:firstLine="472" w:firstLineChars="196"/>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第一条</w:t>
      </w:r>
      <w:r>
        <w:rPr>
          <w:rFonts w:hint="eastAsia" w:ascii="仿宋_GB2312" w:hAnsi="宋体" w:eastAsia="仿宋_GB2312"/>
          <w:color w:val="auto"/>
          <w:sz w:val="24"/>
          <w:highlight w:val="none"/>
        </w:rPr>
        <w:t>：工程概况：</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1.1工程名称:</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1.2工程建设地点:</w:t>
      </w:r>
      <w:r>
        <w:rPr>
          <w:rFonts w:hint="eastAsia" w:ascii="仿宋_GB2312"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1.3工程规模、特征:</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1.4工程勘察任务委托文号、日期: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1.5工程勘察任务（内容）与技术要求:</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满足设计要求</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1.6承接方式:</w:t>
      </w:r>
      <w:r>
        <w:rPr>
          <w:rFonts w:hint="eastAsia" w:ascii="仿宋_GB2312" w:hAnsi="宋体" w:eastAsia="仿宋_GB2312"/>
          <w:color w:val="auto"/>
          <w:sz w:val="24"/>
          <w:highlight w:val="none"/>
          <w:u w:val="single"/>
        </w:rPr>
        <w:t>按招标文件的要求</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1.7预计勘察工作量:</w:t>
      </w:r>
      <w:r>
        <w:rPr>
          <w:rFonts w:hint="eastAsia" w:ascii="宋体" w:hAnsi="宋体"/>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第二条</w:t>
      </w:r>
      <w:r>
        <w:rPr>
          <w:rFonts w:hint="eastAsia" w:ascii="仿宋_GB2312" w:hAnsi="宋体" w:eastAsia="仿宋_GB2312"/>
          <w:color w:val="auto"/>
          <w:sz w:val="24"/>
          <w:highlight w:val="none"/>
        </w:rPr>
        <w:t>：发包人应及时向勘察人提供下列文件资料，并对其准确性、可靠性负责。</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2.1提供本工程批准文件（复印件），以及用地（附红线范围）。</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2.2提供工程勘察任务委托书、技术要求和工作范围的地形图、建筑总平面布置图。</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2.3如发包人不能提供上述资料，由勘察人自行收集，费用已包含在本合同价款中。</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第三条</w:t>
      </w:r>
      <w:r>
        <w:rPr>
          <w:rFonts w:hint="eastAsia" w:ascii="仿宋_GB2312" w:hAnsi="宋体" w:eastAsia="仿宋_GB2312"/>
          <w:color w:val="auto"/>
          <w:sz w:val="24"/>
          <w:highlight w:val="none"/>
        </w:rPr>
        <w:t>：勘察人向发包人提交勘察成果资料并对其质量负责。</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勘察人负责向发包人提交勘察成果资料</w:t>
      </w:r>
      <w:r>
        <w:rPr>
          <w:rFonts w:hint="eastAsia" w:ascii="仿宋_GB2312" w:hAnsi="宋体" w:eastAsia="仿宋_GB2312"/>
          <w:color w:val="auto"/>
          <w:sz w:val="24"/>
          <w:highlight w:val="none"/>
          <w:u w:val="single"/>
        </w:rPr>
        <w:t>壹拾伍</w:t>
      </w:r>
      <w:r>
        <w:rPr>
          <w:rFonts w:hint="eastAsia" w:ascii="仿宋_GB2312" w:hAnsi="宋体" w:eastAsia="仿宋_GB2312"/>
          <w:color w:val="auto"/>
          <w:sz w:val="24"/>
          <w:highlight w:val="none"/>
        </w:rPr>
        <w:t>份、电子文件一套，发包人要求增加的份数另行收费。</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第四条</w:t>
      </w:r>
      <w:r>
        <w:rPr>
          <w:rFonts w:hint="eastAsia" w:ascii="仿宋_GB2312" w:hAnsi="宋体" w:eastAsia="仿宋_GB2312"/>
          <w:color w:val="auto"/>
          <w:sz w:val="24"/>
          <w:highlight w:val="none"/>
        </w:rPr>
        <w:t>：开工及提交勘察成果资料的时间和收费标准及付费方式。</w:t>
      </w:r>
    </w:p>
    <w:p>
      <w:pPr>
        <w:widowControl/>
        <w:wordWrap w:val="0"/>
        <w:topLinePunct/>
        <w:adjustRightInd w:val="0"/>
        <w:snapToGrid w:val="0"/>
        <w:spacing w:line="480" w:lineRule="exact"/>
        <w:ind w:firstLine="482"/>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4.1开工及提交勘察成果资料的时间。</w:t>
      </w:r>
    </w:p>
    <w:p>
      <w:pPr>
        <w:widowControl/>
        <w:wordWrap w:val="0"/>
        <w:topLinePunct/>
        <w:adjustRightInd w:val="0"/>
        <w:snapToGrid w:val="0"/>
        <w:spacing w:line="480" w:lineRule="exact"/>
        <w:ind w:firstLine="482"/>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4.1.1本工程的具体勘察工作开工日期为发包人对该项目勘察工作大纲批复之日，开工</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日</w:t>
      </w:r>
      <w:r>
        <w:rPr>
          <w:rFonts w:hint="eastAsia" w:ascii="仿宋_GB2312" w:hAnsi="宋体" w:eastAsia="仿宋_GB2312"/>
          <w:color w:val="auto"/>
          <w:sz w:val="24"/>
          <w:highlight w:val="none"/>
        </w:rPr>
        <w:t>内提交勘察成果资料，由于发包人或勘察人的原因未能按期开工或提交成果资料时，按第六条约定办理。</w:t>
      </w:r>
    </w:p>
    <w:p>
      <w:pPr>
        <w:widowControl/>
        <w:wordWrap w:val="0"/>
        <w:topLinePunct/>
        <w:adjustRightInd w:val="0"/>
        <w:snapToGrid w:val="0"/>
        <w:spacing w:line="480" w:lineRule="exact"/>
        <w:ind w:firstLine="482"/>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4.1.2勘察工作有效期限以发包人下达的开工通知书或合同约定的时间为准，如遇特殊情况（设计变更、工作量变化、不可抗力影响以及非勘察人原因造成的停、窝工等）时，工期顺延。</w:t>
      </w:r>
    </w:p>
    <w:p>
      <w:pPr>
        <w:widowControl/>
        <w:wordWrap w:val="0"/>
        <w:topLinePunct/>
        <w:adjustRightInd w:val="0"/>
        <w:snapToGrid w:val="0"/>
        <w:spacing w:line="480" w:lineRule="exact"/>
        <w:ind w:firstLine="482"/>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4.2收费标准及付费方式</w:t>
      </w:r>
    </w:p>
    <w:p>
      <w:pPr>
        <w:widowControl w:val="0"/>
        <w:wordWrap/>
        <w:topLinePunct/>
        <w:adjustRightInd w:val="0"/>
        <w:snapToGrid w:val="0"/>
        <w:spacing w:line="480" w:lineRule="exact"/>
        <w:ind w:firstLine="482"/>
        <w:rPr>
          <w:rFonts w:hint="eastAsia" w:ascii="仿宋" w:hAnsi="仿宋" w:eastAsia="仿宋"/>
          <w:color w:val="auto"/>
          <w:sz w:val="24"/>
          <w:highlight w:val="none"/>
        </w:rPr>
      </w:pPr>
      <w:r>
        <w:rPr>
          <w:rFonts w:hint="eastAsia" w:ascii="仿宋" w:hAnsi="仿宋" w:eastAsia="仿宋"/>
          <w:color w:val="auto"/>
          <w:sz w:val="24"/>
          <w:highlight w:val="none"/>
        </w:rPr>
        <w:t>4.2.1该收费含岩土工程勘察费、工程测量费(含文物、坟墓等重要构、建筑物测量。）、工程物探费、旧路路面调查及检测费</w:t>
      </w:r>
      <w:r>
        <w:rPr>
          <w:rFonts w:hint="eastAsia" w:ascii="仿宋" w:hAnsi="仿宋" w:eastAsia="仿宋"/>
          <w:color w:val="auto"/>
          <w:sz w:val="24"/>
          <w:highlight w:val="none"/>
          <w:lang w:eastAsia="zh-CN"/>
        </w:rPr>
        <w:t>，</w:t>
      </w:r>
      <w:r>
        <w:rPr>
          <w:rFonts w:hint="eastAsia" w:ascii="宋体" w:hAnsi="宋体" w:eastAsia="宋体" w:cs="宋体"/>
          <w:color w:val="auto"/>
          <w:sz w:val="24"/>
          <w:highlight w:val="none"/>
          <w:lang w:eastAsia="zh-CN"/>
        </w:rPr>
        <w:t>并按</w:t>
      </w:r>
      <w:r>
        <w:rPr>
          <w:rFonts w:hint="eastAsia" w:ascii="宋体" w:hAnsi="宋体" w:eastAsia="宋体" w:cs="宋体"/>
          <w:color w:val="auto"/>
          <w:sz w:val="24"/>
          <w:highlight w:val="none"/>
          <w:lang w:val="en-US" w:eastAsia="zh-CN"/>
        </w:rPr>
        <w:t>本合同约定的收费标准</w:t>
      </w:r>
      <w:r>
        <w:rPr>
          <w:rFonts w:hint="eastAsia" w:ascii="宋体" w:hAnsi="宋体" w:eastAsia="宋体" w:cs="宋体"/>
          <w:color w:val="auto"/>
          <w:sz w:val="24"/>
          <w:highlight w:val="none"/>
          <w:lang w:eastAsia="zh-CN"/>
        </w:rPr>
        <w:t>再统一执行</w:t>
      </w:r>
      <w:r>
        <w:rPr>
          <w:rFonts w:hint="eastAsia" w:ascii="宋体" w:hAnsi="宋体" w:eastAsia="宋体" w:cs="宋体"/>
          <w:color w:val="auto"/>
          <w:sz w:val="24"/>
          <w:highlight w:val="none"/>
          <w:lang w:val="en-US" w:eastAsia="zh-CN"/>
        </w:rPr>
        <w:t>勘察费</w:t>
      </w:r>
      <w:r>
        <w:rPr>
          <w:rFonts w:hint="eastAsia" w:ascii="宋体" w:hAnsi="宋体" w:eastAsia="宋体" w:cs="宋体"/>
          <w:color w:val="auto"/>
          <w:sz w:val="24"/>
          <w:highlight w:val="none"/>
          <w:lang w:eastAsia="zh-CN"/>
        </w:rPr>
        <w:t>中标下浮率（如有）</w:t>
      </w:r>
      <w:r>
        <w:rPr>
          <w:rFonts w:hint="eastAsia" w:ascii="宋体" w:hAnsi="宋体" w:eastAsia="宋体" w:cs="宋体"/>
          <w:color w:val="auto"/>
          <w:sz w:val="24"/>
          <w:highlight w:val="none"/>
          <w:lang w:val="en-US" w:eastAsia="zh-CN"/>
        </w:rPr>
        <w:t>计取</w:t>
      </w:r>
      <w:r>
        <w:rPr>
          <w:rFonts w:hint="eastAsia" w:ascii="宋体" w:hAnsi="宋体" w:eastAsia="宋体" w:cs="宋体"/>
          <w:color w:val="auto"/>
          <w:sz w:val="24"/>
          <w:highlight w:val="none"/>
        </w:rPr>
        <w:t>。</w:t>
      </w:r>
      <w:r>
        <w:rPr>
          <w:rFonts w:hint="eastAsia" w:ascii="仿宋" w:hAnsi="仿宋" w:eastAsia="仿宋"/>
          <w:color w:val="auto"/>
          <w:sz w:val="24"/>
          <w:highlight w:val="none"/>
        </w:rPr>
        <w:t>其中，岩土工程勘探费综合单价包干按国家发展计划委员会、建设部2002年颁布的《工程勘察设计收费标准》及《关于印发广州市黄埔区 广州开发区政府投资建设项目资金管理办法的通知》（穗埔财〔2020〕373 号）、广州开发区财政局《关于调整我区岩土工程勘察费取费标准的复函》（穗开财函[2013]615号）、《关于印发&lt;广州开发区、萝岗区政府投资建设项目岩土工程勘探综合费取费标准&gt;的通知》（穗开建管【2014】1号）、《广州开发区财政投资建设项目管理中心咨询服务类合同结算编审指引》穗开建管[2021]33号文计取；工程测量费、工程物探费，按国家发展计划委员会、建设部2002年颁布的《工程勘察设计收费标准》及穗埔财〔2020〕373 号、《广州开发区财政投资建设项目管理中心咨询服务类合同结算编审指引》穗开建管[2021]33号文计算，浮动幅度为下浮30%。用于办理规划报建用地预审、规划国土等手续的1:500地形测量收费标准按国家测绘局颁发的国家测绘产品价格收费标准计取并下浮30%。按国测财字[2002]3号文计取单价的项目，不予计取技术工作费。在合同实施期间工程测量费、物探费按实际完成工作量调整，但费率浮动幅度不变；旧路路面调查及检测费，按《关于印发广州市黄埔区 广州开发区政府投资建设项目资金管理办法的通知》（穗埔财〔2020〕373 号）及《广州开发区财政投资建设项目管理中心咨询服务类合同结算编审指引》穗开建管[2021]33号的标准并下浮20%计取。其中，路面病害调查单价不得高于0.33元/㎡，弯沉检测单价不得高于30元/点，抽芯检测单价不得高于500元/个。</w:t>
      </w:r>
    </w:p>
    <w:p>
      <w:pPr>
        <w:widowControl w:val="0"/>
        <w:wordWrap/>
        <w:topLinePunct/>
        <w:adjustRightInd w:val="0"/>
        <w:snapToGrid w:val="0"/>
        <w:spacing w:line="480" w:lineRule="exact"/>
        <w:ind w:firstLine="482"/>
        <w:rPr>
          <w:rFonts w:hint="eastAsia" w:ascii="宋体" w:hAnsi="宋体" w:eastAsia="宋体" w:cs="宋体"/>
          <w:color w:val="auto"/>
          <w:sz w:val="24"/>
          <w:highlight w:val="none"/>
          <w:lang w:val="en-US" w:eastAsia="zh-CN"/>
        </w:rPr>
      </w:pPr>
      <w:r>
        <w:rPr>
          <w:rFonts w:hint="eastAsia" w:ascii="仿宋_GB2312" w:hAnsi="宋体" w:eastAsia="仿宋_GB2312"/>
          <w:color w:val="auto"/>
          <w:sz w:val="24"/>
          <w:highlight w:val="none"/>
        </w:rPr>
        <w:t>4.2.2本工程勘察费（含岩土、测量、物探</w:t>
      </w:r>
      <w:r>
        <w:rPr>
          <w:rFonts w:hint="eastAsia" w:ascii="仿宋_GB2312" w:hAnsi="宋体" w:eastAsia="仿宋_GB2312"/>
          <w:color w:val="auto"/>
          <w:sz w:val="24"/>
          <w:highlight w:val="none"/>
          <w:lang w:eastAsia="zh-CN"/>
        </w:rPr>
        <w:t>、旧路路面调查及检测</w:t>
      </w:r>
      <w:r>
        <w:rPr>
          <w:rFonts w:hint="eastAsia" w:ascii="仿宋_GB2312" w:hAnsi="宋体" w:eastAsia="仿宋_GB2312"/>
          <w:color w:val="auto"/>
          <w:sz w:val="24"/>
          <w:highlight w:val="none"/>
          <w:lang w:val="en-US" w:eastAsia="zh-CN"/>
        </w:rPr>
        <w:t>&lt;如有&gt;</w:t>
      </w:r>
      <w:r>
        <w:rPr>
          <w:rFonts w:hint="eastAsia" w:ascii="仿宋_GB2312" w:hAnsi="宋体" w:eastAsia="仿宋_GB2312"/>
          <w:color w:val="auto"/>
          <w:sz w:val="24"/>
          <w:highlight w:val="none"/>
        </w:rPr>
        <w:t>）暂定为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万元（大写：</w:t>
      </w:r>
      <w:r>
        <w:rPr>
          <w:rFonts w:hint="eastAsia" w:ascii="仿宋_GB2312" w:hAnsi="宋体" w:eastAsia="仿宋_GB2312"/>
          <w:color w:val="auto"/>
          <w:sz w:val="24"/>
          <w:highlight w:val="none"/>
          <w:u w:val="single"/>
        </w:rPr>
        <w:t xml:space="preserve">      整</w:t>
      </w:r>
      <w:r>
        <w:rPr>
          <w:rFonts w:hint="eastAsia" w:ascii="仿宋_GB2312" w:hAnsi="宋体" w:eastAsia="仿宋_GB2312"/>
          <w:color w:val="auto"/>
          <w:sz w:val="24"/>
          <w:highlight w:val="none"/>
        </w:rPr>
        <w:t>），</w:t>
      </w:r>
      <w:r>
        <w:rPr>
          <w:rFonts w:hint="eastAsia" w:ascii="宋体" w:hAnsi="宋体" w:eastAsia="宋体" w:cs="宋体"/>
          <w:color w:val="auto"/>
          <w:sz w:val="24"/>
          <w:highlight w:val="none"/>
          <w:lang w:val="en-US" w:eastAsia="zh-CN"/>
        </w:rPr>
        <w:t>勘察费</w:t>
      </w:r>
      <w:r>
        <w:rPr>
          <w:rFonts w:hint="eastAsia" w:ascii="宋体" w:hAnsi="宋体" w:eastAsia="宋体" w:cs="宋体"/>
          <w:color w:val="auto"/>
          <w:sz w:val="24"/>
          <w:highlight w:val="none"/>
          <w:lang w:eastAsia="zh-CN"/>
        </w:rPr>
        <w:t>中标下浮率为：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（如有）</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勘察费结算以广州开发区财政局或其授权委托单位审定为准。</w:t>
      </w:r>
    </w:p>
    <w:p>
      <w:pPr>
        <w:widowControl/>
        <w:wordWrap w:val="0"/>
        <w:topLinePunct/>
        <w:adjustRightInd w:val="0"/>
        <w:snapToGrid w:val="0"/>
        <w:spacing w:line="480" w:lineRule="exact"/>
        <w:ind w:firstLine="482"/>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合同生效后15天内且财政拨款到位后，发包人向勘察人支付本合同勘察费暂定价的20％作为定金，计</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万元（本合同履行后，定金抵作勘察费）；提交勘察成果资料后30天内，勘察成果资料通过发包人验收，发包人</w:t>
      </w:r>
      <w:r>
        <w:rPr>
          <w:rFonts w:hint="eastAsia" w:ascii="仿宋_GB2312" w:eastAsia="仿宋_GB2312"/>
          <w:color w:val="auto"/>
          <w:spacing w:val="10"/>
          <w:sz w:val="24"/>
          <w:highlight w:val="none"/>
        </w:rPr>
        <w:t>累计支付至实际完成勘察工程量对应勘察费的70%</w:t>
      </w:r>
      <w:r>
        <w:rPr>
          <w:rFonts w:hint="eastAsia" w:ascii="仿宋_GB2312" w:hAnsi="宋体" w:eastAsia="仿宋_GB2312"/>
          <w:color w:val="auto"/>
          <w:sz w:val="24"/>
          <w:highlight w:val="none"/>
        </w:rPr>
        <w:t>；本工程项目完成施工图审查（或完成施工招标），勘察费结算经广州开发区财政局或其授权委托单位审定后，发包人向勘察人支付勘察费至结算价的90%；剩余的勘察费待</w:t>
      </w:r>
      <w:r>
        <w:rPr>
          <w:rFonts w:hint="eastAsia" w:ascii="仿宋_GB2312" w:hAnsi="宋体" w:eastAsia="仿宋_GB2312"/>
          <w:color w:val="auto"/>
          <w:sz w:val="24"/>
          <w:highlight w:val="none"/>
          <w:lang w:eastAsia="zh-CN"/>
        </w:rPr>
        <w:t>合同</w:t>
      </w:r>
      <w:r>
        <w:rPr>
          <w:rFonts w:hint="eastAsia" w:ascii="仿宋_GB2312" w:hAnsi="宋体" w:eastAsia="仿宋_GB2312"/>
          <w:color w:val="auto"/>
          <w:sz w:val="24"/>
          <w:highlight w:val="none"/>
        </w:rPr>
        <w:t>工程完工后发包人一次结清（不计利息）。以上勘察费必须待财政拨款到位后方能支付。</w:t>
      </w:r>
    </w:p>
    <w:p>
      <w:pPr>
        <w:widowControl/>
        <w:wordWrap w:val="0"/>
        <w:topLinePunct/>
        <w:adjustRightInd w:val="0"/>
        <w:snapToGrid w:val="0"/>
        <w:spacing w:line="480" w:lineRule="exact"/>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eastAsia="zh-CN"/>
        </w:rPr>
        <w:t>岩土</w:t>
      </w:r>
      <w:r>
        <w:rPr>
          <w:rFonts w:hint="eastAsia" w:ascii="仿宋_GB2312" w:hAnsi="宋体" w:eastAsia="仿宋_GB2312"/>
          <w:color w:val="auto"/>
          <w:sz w:val="24"/>
          <w:highlight w:val="none"/>
        </w:rPr>
        <w:t>勘察费计算依据表：（根据项目实际填）</w:t>
      </w:r>
    </w:p>
    <w:p>
      <w:pPr>
        <w:widowControl/>
        <w:wordWrap w:val="0"/>
        <w:topLinePunct/>
        <w:adjustRightInd w:val="0"/>
        <w:snapToGrid w:val="0"/>
        <w:spacing w:line="480" w:lineRule="exact"/>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测量费计算依据表：（根据项目实际填）</w:t>
      </w:r>
    </w:p>
    <w:p>
      <w:pPr>
        <w:widowControl/>
        <w:wordWrap w:val="0"/>
        <w:topLinePunct/>
        <w:adjustRightInd w:val="0"/>
        <w:snapToGrid w:val="0"/>
        <w:spacing w:line="480" w:lineRule="exact"/>
        <w:ind w:firstLine="480" w:firstLineChars="200"/>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旧路路面调查及检测费计算依据表：（根据项目实际填）</w:t>
      </w:r>
      <w:r>
        <w:rPr>
          <w:rFonts w:hint="eastAsia" w:ascii="仿宋_GB2312" w:hAnsi="宋体" w:eastAsia="仿宋_GB2312"/>
          <w:color w:val="auto"/>
          <w:sz w:val="24"/>
          <w:highlight w:val="none"/>
          <w:lang w:eastAsia="zh-CN"/>
        </w:rPr>
        <w:t>（如有）</w:t>
      </w:r>
    </w:p>
    <w:p>
      <w:pPr>
        <w:widowControl/>
        <w:wordWrap w:val="0"/>
        <w:topLinePunct/>
        <w:adjustRightInd w:val="0"/>
        <w:snapToGrid w:val="0"/>
        <w:spacing w:line="480" w:lineRule="exact"/>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注：所有勘察项目（含岩土、测量、物探</w:t>
      </w:r>
      <w:r>
        <w:rPr>
          <w:rFonts w:hint="eastAsia" w:ascii="仿宋_GB2312" w:hAnsi="宋体" w:eastAsia="仿宋_GB2312"/>
          <w:color w:val="auto"/>
          <w:sz w:val="24"/>
          <w:highlight w:val="none"/>
          <w:lang w:eastAsia="zh-CN"/>
        </w:rPr>
        <w:t>、旧路路面调查及检测</w:t>
      </w:r>
      <w:r>
        <w:rPr>
          <w:rFonts w:hint="eastAsia" w:ascii="仿宋_GB2312" w:hAnsi="宋体" w:eastAsia="仿宋_GB2312"/>
          <w:color w:val="auto"/>
          <w:sz w:val="24"/>
          <w:highlight w:val="none"/>
          <w:lang w:val="en-US" w:eastAsia="zh-CN"/>
        </w:rPr>
        <w:t>&lt;如有&gt;</w:t>
      </w:r>
      <w:r>
        <w:rPr>
          <w:rFonts w:hint="eastAsia" w:ascii="仿宋_GB2312" w:hAnsi="宋体" w:eastAsia="仿宋_GB2312"/>
          <w:color w:val="auto"/>
          <w:sz w:val="24"/>
          <w:highlight w:val="none"/>
        </w:rPr>
        <w:t>）均需报发包人根据现场实际情况确认同意后方可实施。</w:t>
      </w:r>
    </w:p>
    <w:p>
      <w:pPr>
        <w:widowControl/>
        <w:wordWrap w:val="0"/>
        <w:topLinePunct/>
        <w:adjustRightInd w:val="0"/>
        <w:snapToGrid w:val="0"/>
        <w:spacing w:line="480" w:lineRule="exact"/>
        <w:ind w:firstLine="480" w:firstLineChars="200"/>
        <w:rPr>
          <w:rFonts w:hint="eastAsia" w:ascii="仿宋" w:hAnsi="仿宋" w:eastAsia="仿宋" w:cs="仿宋"/>
          <w:b w:val="0"/>
          <w:bCs w:val="0"/>
          <w:i w:val="0"/>
          <w:iCs w:val="0"/>
          <w:caps w:val="0"/>
          <w:snapToGrid/>
          <w:color w:val="auto"/>
          <w:spacing w:val="0"/>
          <w:kern w:val="2"/>
          <w:sz w:val="24"/>
          <w:szCs w:val="24"/>
          <w:highlight w:val="none"/>
          <w:shd w:val="clear" w:color="auto" w:fill="auto"/>
          <w:lang w:eastAsia="zh-CN"/>
        </w:rPr>
      </w:pPr>
      <w:r>
        <w:rPr>
          <w:rFonts w:hint="eastAsia" w:ascii="仿宋_GB2312" w:hAnsi="宋体" w:eastAsia="仿宋_GB2312"/>
          <w:color w:val="auto"/>
          <w:sz w:val="24"/>
          <w:highlight w:val="none"/>
        </w:rPr>
        <w:t>4.2.3在签订合同或结算阶段，如发包人发现勘察人的投标报价不符合招标文件规定的，可进行修正，勘察人不得有异议。</w:t>
      </w:r>
      <w:r>
        <w:rPr>
          <w:rFonts w:hint="eastAsia" w:ascii="仿宋" w:hAnsi="仿宋" w:eastAsia="仿宋" w:cs="仿宋"/>
          <w:b w:val="0"/>
          <w:bCs w:val="0"/>
          <w:i w:val="0"/>
          <w:iCs w:val="0"/>
          <w:caps w:val="0"/>
          <w:snapToGrid/>
          <w:color w:val="auto"/>
          <w:spacing w:val="0"/>
          <w:kern w:val="2"/>
          <w:sz w:val="24"/>
          <w:szCs w:val="24"/>
          <w:highlight w:val="none"/>
          <w:shd w:val="clear" w:color="auto" w:fill="auto"/>
        </w:rPr>
        <w:t>如遇审计部门审计发现本合同结算价款存在超付的情形，</w:t>
      </w:r>
      <w:r>
        <w:rPr>
          <w:rFonts w:hint="eastAsia" w:ascii="仿宋" w:hAnsi="仿宋" w:eastAsia="仿宋" w:cs="仿宋"/>
          <w:b w:val="0"/>
          <w:bCs w:val="0"/>
          <w:i w:val="0"/>
          <w:iCs w:val="0"/>
          <w:caps w:val="0"/>
          <w:snapToGrid/>
          <w:color w:val="auto"/>
          <w:spacing w:val="0"/>
          <w:kern w:val="2"/>
          <w:sz w:val="24"/>
          <w:szCs w:val="24"/>
          <w:highlight w:val="none"/>
          <w:shd w:val="clear" w:color="auto" w:fill="auto"/>
          <w:lang w:val="en-US" w:eastAsia="zh-CN"/>
        </w:rPr>
        <w:t>发包人</w:t>
      </w:r>
      <w:r>
        <w:rPr>
          <w:rFonts w:hint="eastAsia" w:ascii="仿宋" w:hAnsi="仿宋" w:eastAsia="仿宋" w:cs="仿宋"/>
          <w:b w:val="0"/>
          <w:bCs w:val="0"/>
          <w:i w:val="0"/>
          <w:iCs w:val="0"/>
          <w:caps w:val="0"/>
          <w:snapToGrid/>
          <w:color w:val="auto"/>
          <w:spacing w:val="0"/>
          <w:kern w:val="2"/>
          <w:sz w:val="24"/>
          <w:szCs w:val="24"/>
          <w:highlight w:val="none"/>
          <w:shd w:val="clear" w:color="auto" w:fill="auto"/>
        </w:rPr>
        <w:t>有权据实要求</w:t>
      </w:r>
      <w:r>
        <w:rPr>
          <w:rFonts w:hint="eastAsia" w:ascii="仿宋" w:hAnsi="仿宋" w:eastAsia="仿宋" w:cs="仿宋"/>
          <w:b w:val="0"/>
          <w:bCs w:val="0"/>
          <w:i w:val="0"/>
          <w:iCs w:val="0"/>
          <w:caps w:val="0"/>
          <w:snapToGrid/>
          <w:color w:val="auto"/>
          <w:spacing w:val="0"/>
          <w:kern w:val="2"/>
          <w:sz w:val="24"/>
          <w:szCs w:val="24"/>
          <w:highlight w:val="none"/>
          <w:shd w:val="clear" w:color="auto" w:fill="auto"/>
          <w:lang w:eastAsia="zh-CN"/>
        </w:rPr>
        <w:t>勘察</w:t>
      </w:r>
      <w:r>
        <w:rPr>
          <w:rFonts w:hint="eastAsia" w:ascii="仿宋" w:hAnsi="仿宋" w:eastAsia="仿宋" w:cs="仿宋"/>
          <w:b w:val="0"/>
          <w:bCs w:val="0"/>
          <w:i w:val="0"/>
          <w:iCs w:val="0"/>
          <w:caps w:val="0"/>
          <w:snapToGrid/>
          <w:color w:val="auto"/>
          <w:spacing w:val="0"/>
          <w:kern w:val="2"/>
          <w:sz w:val="24"/>
          <w:szCs w:val="24"/>
          <w:highlight w:val="none"/>
          <w:shd w:val="clear" w:color="auto" w:fill="auto"/>
          <w:lang w:val="en-US" w:eastAsia="zh-CN"/>
        </w:rPr>
        <w:t>人</w:t>
      </w:r>
      <w:r>
        <w:rPr>
          <w:rFonts w:hint="eastAsia" w:ascii="仿宋" w:hAnsi="仿宋" w:eastAsia="仿宋" w:cs="仿宋"/>
          <w:b w:val="0"/>
          <w:bCs w:val="0"/>
          <w:i w:val="0"/>
          <w:iCs w:val="0"/>
          <w:caps w:val="0"/>
          <w:snapToGrid/>
          <w:color w:val="auto"/>
          <w:spacing w:val="0"/>
          <w:kern w:val="2"/>
          <w:sz w:val="24"/>
          <w:szCs w:val="24"/>
          <w:highlight w:val="none"/>
          <w:shd w:val="clear" w:color="auto" w:fill="auto"/>
        </w:rPr>
        <w:t>返还该部分款项</w:t>
      </w:r>
      <w:r>
        <w:rPr>
          <w:rFonts w:hint="eastAsia" w:ascii="仿宋" w:hAnsi="仿宋" w:eastAsia="仿宋" w:cs="仿宋"/>
          <w:b w:val="0"/>
          <w:bCs w:val="0"/>
          <w:i w:val="0"/>
          <w:iCs w:val="0"/>
          <w:caps w:val="0"/>
          <w:snapToGrid/>
          <w:color w:val="auto"/>
          <w:spacing w:val="0"/>
          <w:kern w:val="2"/>
          <w:sz w:val="24"/>
          <w:szCs w:val="24"/>
          <w:highlight w:val="none"/>
          <w:shd w:val="clear" w:color="auto" w:fill="auto"/>
          <w:lang w:eastAsia="zh-CN"/>
        </w:rPr>
        <w:t>。</w:t>
      </w:r>
    </w:p>
    <w:p>
      <w:pPr>
        <w:widowControl w:val="0"/>
        <w:wordWrap/>
        <w:topLinePunct/>
        <w:adjustRightInd w:val="0"/>
        <w:snapToGrid w:val="0"/>
        <w:spacing w:line="500" w:lineRule="exact"/>
        <w:ind w:firstLine="472" w:firstLineChars="197"/>
        <w:rPr>
          <w:rFonts w:hint="eastAsia" w:ascii="仿宋" w:hAnsi="仿宋" w:eastAsia="仿宋" w:cs="Times New Roman"/>
          <w:color w:val="auto"/>
          <w:sz w:val="24"/>
          <w:highlight w:val="none"/>
          <w:lang w:eastAsia="zh-CN"/>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eastAsia="zh-CN"/>
        </w:rPr>
        <w:t>勘察</w:t>
      </w:r>
      <w:r>
        <w:rPr>
          <w:rFonts w:hint="eastAsia" w:ascii="仿宋" w:hAnsi="仿宋" w:eastAsia="仿宋"/>
          <w:color w:val="auto"/>
          <w:sz w:val="24"/>
          <w:highlight w:val="none"/>
        </w:rPr>
        <w:t>人为联合体的，</w:t>
      </w:r>
      <w:r>
        <w:rPr>
          <w:rFonts w:hint="eastAsia" w:ascii="仿宋" w:hAnsi="仿宋" w:eastAsia="仿宋"/>
          <w:color w:val="auto"/>
          <w:sz w:val="24"/>
          <w:highlight w:val="none"/>
          <w:lang w:eastAsia="zh-CN"/>
        </w:rPr>
        <w:t>勘察</w:t>
      </w:r>
      <w:r>
        <w:rPr>
          <w:rFonts w:hint="eastAsia" w:ascii="仿宋" w:hAnsi="仿宋" w:eastAsia="仿宋"/>
          <w:color w:val="auto"/>
          <w:sz w:val="24"/>
          <w:highlight w:val="none"/>
        </w:rPr>
        <w:t>费的分配</w:t>
      </w:r>
      <w:r>
        <w:rPr>
          <w:rFonts w:hint="eastAsia" w:ascii="仿宋" w:hAnsi="仿宋" w:eastAsia="仿宋"/>
          <w:color w:val="auto"/>
          <w:sz w:val="24"/>
          <w:highlight w:val="none"/>
          <w:lang w:eastAsia="zh-CN"/>
        </w:rPr>
        <w:t>按本合同联合体协议书的</w:t>
      </w:r>
      <w:r>
        <w:rPr>
          <w:rFonts w:hint="eastAsia" w:ascii="仿宋" w:hAnsi="仿宋" w:eastAsia="仿宋" w:cs="Times New Roman"/>
          <w:color w:val="auto"/>
          <w:kern w:val="2"/>
          <w:sz w:val="24"/>
          <w:szCs w:val="24"/>
          <w:highlight w:val="none"/>
          <w:lang w:val="en-US" w:eastAsia="zh-CN" w:bidi="ar"/>
        </w:rPr>
        <w:t>工作量分摊，</w:t>
      </w:r>
      <w:r>
        <w:rPr>
          <w:rFonts w:hint="eastAsia" w:ascii="仿宋" w:hAnsi="仿宋" w:eastAsia="仿宋" w:cs="Times New Roman"/>
          <w:color w:val="auto"/>
          <w:kern w:val="2"/>
          <w:sz w:val="24"/>
          <w:szCs w:val="24"/>
          <w:highlight w:val="none"/>
          <w:u w:val="single"/>
        </w:rPr>
        <w:t>在履行合同过程中，</w:t>
      </w:r>
      <w:r>
        <w:rPr>
          <w:rFonts w:hint="eastAsia" w:ascii="仿宋" w:hAnsi="仿宋" w:eastAsia="仿宋" w:cs="Times New Roman"/>
          <w:color w:val="auto"/>
          <w:sz w:val="24"/>
          <w:szCs w:val="24"/>
          <w:highlight w:val="none"/>
          <w:u w:val="single"/>
        </w:rPr>
        <w:t>不得变更联合体成员和其负责的工作范围</w:t>
      </w: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eastAsia="zh-CN"/>
        </w:rPr>
        <w:t>（若为非公开招标项目，</w:t>
      </w:r>
      <w:r>
        <w:rPr>
          <w:rFonts w:hint="eastAsia" w:ascii="仿宋" w:hAnsi="仿宋" w:eastAsia="仿宋"/>
          <w:color w:val="auto"/>
          <w:sz w:val="24"/>
          <w:highlight w:val="none"/>
          <w:lang w:eastAsia="zh-CN"/>
        </w:rPr>
        <w:t>勘察</w:t>
      </w:r>
      <w:r>
        <w:rPr>
          <w:rFonts w:hint="eastAsia" w:ascii="仿宋" w:hAnsi="仿宋" w:eastAsia="仿宋"/>
          <w:color w:val="auto"/>
          <w:sz w:val="24"/>
          <w:highlight w:val="none"/>
        </w:rPr>
        <w:t>人为联合体的，</w:t>
      </w:r>
      <w:r>
        <w:rPr>
          <w:rFonts w:hint="eastAsia" w:ascii="仿宋" w:hAnsi="仿宋" w:eastAsia="仿宋"/>
          <w:color w:val="auto"/>
          <w:sz w:val="24"/>
          <w:highlight w:val="none"/>
          <w:lang w:eastAsia="zh-CN"/>
        </w:rPr>
        <w:t>勘察</w:t>
      </w:r>
      <w:r>
        <w:rPr>
          <w:rFonts w:hint="eastAsia" w:ascii="仿宋" w:hAnsi="仿宋" w:eastAsia="仿宋"/>
          <w:color w:val="auto"/>
          <w:sz w:val="24"/>
          <w:highlight w:val="none"/>
        </w:rPr>
        <w:t>费的分配</w:t>
      </w:r>
      <w:r>
        <w:rPr>
          <w:rFonts w:hint="eastAsia" w:ascii="仿宋" w:hAnsi="仿宋" w:eastAsia="仿宋"/>
          <w:color w:val="auto"/>
          <w:sz w:val="24"/>
          <w:highlight w:val="none"/>
          <w:lang w:eastAsia="zh-CN"/>
        </w:rPr>
        <w:t>按本合同联合体协议书的</w:t>
      </w:r>
      <w:r>
        <w:rPr>
          <w:rFonts w:hint="eastAsia" w:ascii="仿宋" w:hAnsi="仿宋" w:eastAsia="仿宋" w:cs="Times New Roman"/>
          <w:color w:val="auto"/>
          <w:kern w:val="2"/>
          <w:sz w:val="24"/>
          <w:szCs w:val="24"/>
          <w:highlight w:val="none"/>
          <w:lang w:val="en-US" w:eastAsia="zh-CN" w:bidi="ar"/>
        </w:rPr>
        <w:t>工作量分摊，</w:t>
      </w:r>
      <w:r>
        <w:rPr>
          <w:rFonts w:hint="eastAsia" w:ascii="仿宋" w:hAnsi="仿宋" w:eastAsia="仿宋" w:cs="Times New Roman"/>
          <w:color w:val="auto"/>
          <w:kern w:val="2"/>
          <w:sz w:val="24"/>
          <w:szCs w:val="24"/>
          <w:highlight w:val="none"/>
          <w:u w:val="single"/>
        </w:rPr>
        <w:t>在履行合同过程中，</w:t>
      </w:r>
      <w:r>
        <w:rPr>
          <w:rFonts w:hint="eastAsia" w:ascii="仿宋" w:hAnsi="仿宋" w:eastAsia="仿宋"/>
          <w:color w:val="auto"/>
          <w:sz w:val="24"/>
          <w:highlight w:val="none"/>
          <w:lang w:val="en-US" w:eastAsia="zh-CN"/>
        </w:rPr>
        <w:t>未经发包人同意，</w:t>
      </w:r>
      <w:r>
        <w:rPr>
          <w:rFonts w:hint="eastAsia" w:ascii="仿宋" w:hAnsi="仿宋" w:eastAsia="仿宋" w:cs="Times New Roman"/>
          <w:color w:val="auto"/>
          <w:sz w:val="24"/>
          <w:szCs w:val="24"/>
          <w:highlight w:val="none"/>
          <w:u w:val="single"/>
        </w:rPr>
        <w:t>不得变更联合体成员和其负责的工作范围</w:t>
      </w:r>
      <w:r>
        <w:rPr>
          <w:rFonts w:hint="eastAsia" w:ascii="仿宋" w:hAnsi="仿宋" w:eastAsia="仿宋" w:cs="Times New Roman"/>
          <w:color w:val="auto"/>
          <w:sz w:val="24"/>
          <w:highlight w:val="none"/>
          <w:lang w:eastAsia="zh-CN"/>
        </w:rPr>
        <w:t>）</w:t>
      </w:r>
    </w:p>
    <w:p>
      <w:pPr>
        <w:widowControl w:val="0"/>
        <w:wordWrap/>
        <w:topLinePunct/>
        <w:adjustRightInd w:val="0"/>
        <w:snapToGrid w:val="0"/>
        <w:spacing w:line="480" w:lineRule="exact"/>
        <w:ind w:firstLine="480" w:firstLineChars="200"/>
        <w:rPr>
          <w:rFonts w:hint="eastAsia" w:ascii="仿宋" w:hAnsi="仿宋" w:eastAsia="仿宋" w:cs="仿宋"/>
          <w:b w:val="0"/>
          <w:bCs w:val="0"/>
          <w:i w:val="0"/>
          <w:iCs w:val="0"/>
          <w:caps w:val="0"/>
          <w:snapToGrid/>
          <w:color w:val="auto"/>
          <w:spacing w:val="0"/>
          <w:kern w:val="2"/>
          <w:sz w:val="24"/>
          <w:szCs w:val="24"/>
          <w:highlight w:val="none"/>
          <w:shd w:val="clear" w:color="auto" w:fill="auto"/>
          <w:lang w:eastAsia="zh-CN"/>
        </w:rPr>
      </w:pPr>
      <w:r>
        <w:rPr>
          <w:rFonts w:hint="eastAsia" w:ascii="仿宋" w:hAnsi="仿宋" w:eastAsia="仿宋" w:cs="仿宋"/>
          <w:color w:val="auto"/>
          <w:sz w:val="24"/>
          <w:highlight w:val="none"/>
          <w:lang w:val="en-US" w:eastAsia="zh-CN"/>
        </w:rPr>
        <w:t>4.2.5</w:t>
      </w:r>
      <w:r>
        <w:rPr>
          <w:rFonts w:hint="eastAsia" w:ascii="仿宋" w:hAnsi="仿宋" w:eastAsia="仿宋"/>
          <w:color w:val="auto"/>
          <w:sz w:val="24"/>
          <w:highlight w:val="none"/>
          <w:lang w:eastAsia="zh-CN"/>
        </w:rPr>
        <w:t>由</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（承担主要勘察任务的一方</w:t>
      </w:r>
      <w:r>
        <w:rPr>
          <w:rFonts w:hint="eastAsia" w:ascii="仿宋" w:hAnsi="仿宋" w:eastAsia="仿宋" w:cs="Times New Roman"/>
          <w:color w:val="auto"/>
          <w:kern w:val="2"/>
          <w:sz w:val="24"/>
          <w:szCs w:val="24"/>
          <w:highlight w:val="none"/>
          <w:lang w:val="en-US" w:eastAsia="zh-CN" w:bidi="ar"/>
        </w:rPr>
        <w:t>名称</w:t>
      </w:r>
      <w:r>
        <w:rPr>
          <w:rFonts w:hint="eastAsia" w:ascii="仿宋" w:hAnsi="仿宋" w:eastAsia="仿宋"/>
          <w:color w:val="auto"/>
          <w:sz w:val="24"/>
          <w:highlight w:val="none"/>
          <w:lang w:val="en-US" w:eastAsia="zh-CN"/>
        </w:rPr>
        <w:t>）负责收取全额勘察费并开具对应价款的全额发票</w:t>
      </w:r>
      <w:r>
        <w:rPr>
          <w:rFonts w:hint="eastAsia" w:ascii="仿宋" w:hAnsi="仿宋" w:eastAsia="仿宋"/>
          <w:color w:val="auto"/>
          <w:sz w:val="24"/>
          <w:highlight w:val="none"/>
          <w:lang w:eastAsia="zh-CN"/>
        </w:rPr>
        <w:t>，收款账户名为：</w:t>
      </w:r>
      <w:r>
        <w:rPr>
          <w:rFonts w:hint="eastAsia" w:ascii="仿宋" w:hAnsi="仿宋" w:eastAsia="仿宋"/>
          <w:color w:val="auto"/>
          <w:sz w:val="24"/>
          <w:highlight w:val="none"/>
          <w:u w:val="single"/>
          <w:lang w:val="en-US" w:eastAsia="zh-CN"/>
        </w:rPr>
        <w:t xml:space="preserve">     ，开票人为：     </w:t>
      </w:r>
      <w:r>
        <w:rPr>
          <w:rFonts w:hint="eastAsia" w:ascii="仿宋" w:hAnsi="仿宋" w:eastAsia="仿宋"/>
          <w:color w:val="auto"/>
          <w:sz w:val="24"/>
          <w:highlight w:val="none"/>
          <w:lang w:val="en-US" w:eastAsia="zh-CN"/>
        </w:rPr>
        <w:t>，未经发包人同意，合同履行过程中不得擅自更改收款账户名。</w:t>
      </w:r>
    </w:p>
    <w:p>
      <w:pPr>
        <w:widowControl/>
        <w:wordWrap w:val="0"/>
        <w:topLinePunct/>
        <w:adjustRightInd w:val="0"/>
        <w:snapToGrid w:val="0"/>
        <w:spacing w:line="480" w:lineRule="exact"/>
        <w:ind w:firstLine="482"/>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第五条：</w:t>
      </w:r>
      <w:r>
        <w:rPr>
          <w:rFonts w:hint="eastAsia" w:ascii="仿宋_GB2312" w:hAnsi="宋体" w:eastAsia="仿宋_GB2312"/>
          <w:color w:val="auto"/>
          <w:sz w:val="24"/>
          <w:highlight w:val="none"/>
        </w:rPr>
        <w:t>发包人、勘察人责任</w:t>
      </w:r>
    </w:p>
    <w:p>
      <w:pPr>
        <w:widowControl/>
        <w:wordWrap w:val="0"/>
        <w:topLinePunct/>
        <w:adjustRightInd w:val="0"/>
        <w:snapToGrid w:val="0"/>
        <w:spacing w:line="480" w:lineRule="exact"/>
        <w:ind w:firstLine="482"/>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5.1发包人责任</w:t>
      </w:r>
    </w:p>
    <w:p>
      <w:pPr>
        <w:widowControl/>
        <w:wordWrap w:val="0"/>
        <w:topLinePunct/>
        <w:adjustRightInd w:val="0"/>
        <w:snapToGrid w:val="0"/>
        <w:spacing w:line="480" w:lineRule="exact"/>
        <w:ind w:firstLine="482"/>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5.1.1发包人委托任务时，必须以书面形式向勘察人明确勘察任务及技术要求，并按第二条约定提供文件资料。</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5.1.2勘察过程中的任何变更、签证，经办理正式变更签证手续后，发包人应按实际发生的工作量支付勘察费。</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5.1.3由于发包人原因或规划调整原因造成的勘察人停、窝工，工期顺延。停工6个月以上的，双方同意按已实际完成的勘察工作量对应勘察费的90%进行支付。</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5.1.4发包人应保护勘察人的投标书、勘察方案、报告书、文件、资料图纸、数据、特殊工艺(方法)、专利技术和合理化建议，未经勘察人同意，发包人不得泄露、不得擅自修改、传送或向第三人转让或用于本合同外的项目；如发生上述情况，发包人应负法律责任，勘察人有权索赔。</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5.1.5本合同有关条款中约定的发包人应负的其它责任。</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5.2勘察人责任</w:t>
      </w:r>
    </w:p>
    <w:p>
      <w:pPr>
        <w:widowControl/>
        <w:wordWrap w:val="0"/>
        <w:topLinePunct/>
        <w:adjustRightInd w:val="0"/>
        <w:snapToGrid w:val="0"/>
        <w:spacing w:line="480" w:lineRule="exact"/>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5.2.1勘察人应按国家技术规范、标准、规程和发包人的任务委托书及技术要求进行工程勘察，按本合同规定的时间提交质量合格的勘察成果资料，并对其负责。勘察人所提交的地形图测量等成果资料需满足规划报建、办理用地预审手续及规划国土部门的审批要求，否则勘察人应将地形图测量工作分包给具备相应资质并能办理上述手续的勘察测量单位负责实施，如果因为资料不合格而导致的返工测量、补充测量、完善资料、修改资料等工作及费用由勘察人承担。</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hAnsi="宋体" w:eastAsia="仿宋_GB2312"/>
          <w:color w:val="auto"/>
          <w:sz w:val="24"/>
          <w:highlight w:val="none"/>
        </w:rPr>
        <w:t>5.2.2由于勘察人提供的勘察成果资料质量不合格，勘察人应负责无偿给予补充完善使其达到质量合格；若勘察人无力补充完善，需另委托其他单位时，勘察人应承担全部勘察费用；因勘察质量造成重大经济损失或工程事故时，勘察人</w:t>
      </w:r>
      <w:r>
        <w:rPr>
          <w:rFonts w:hint="eastAsia" w:ascii="仿宋_GB2312" w:eastAsia="仿宋_GB2312"/>
          <w:color w:val="auto"/>
          <w:spacing w:val="10"/>
          <w:sz w:val="24"/>
          <w:highlight w:val="none"/>
        </w:rPr>
        <w:t>除应</w:t>
      </w:r>
      <w:r>
        <w:rPr>
          <w:rFonts w:hint="eastAsia" w:ascii="仿宋_GB2312" w:eastAsia="仿宋_GB2312"/>
          <w:color w:val="auto"/>
          <w:sz w:val="24"/>
          <w:highlight w:val="none"/>
        </w:rPr>
        <w:t>负责采取补救措施，按勘察收费的30%向发包人支付违约金外，还应按《中华人民共和国建筑法》、《建设工程质量管理条例》、《建设工程勘察设计管理条例》及有关法律法规规定承担相应法律责任。</w:t>
      </w:r>
    </w:p>
    <w:p>
      <w:pPr>
        <w:widowControl/>
        <w:wordWrap w:val="0"/>
        <w:topLinePunct/>
        <w:adjustRightInd w:val="0"/>
        <w:snapToGrid w:val="0"/>
        <w:spacing w:line="480" w:lineRule="exact"/>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5.2.3在工程勘察前，提出勘察纲要或勘察组织设计，派人与发包人的人员一起验收发包人提供的材料。</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5.2.4勘察过程中，根据工程的岩土工程条件(或工作现场地形地貌、地质和水文地质条件)及技术规范要求，向发包人提出增减工作量或修改勘察工作的意见。并办理正式变更手续。</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5.2.5在现场工作的勘察人的人员应遵守发包人的安全保卫及其它有关的规章制度，承担其有关资料保密义务。</w:t>
      </w:r>
    </w:p>
    <w:p>
      <w:pPr>
        <w:widowControl/>
        <w:wordWrap w:val="0"/>
        <w:topLinePunct/>
        <w:adjustRightInd w:val="0"/>
        <w:snapToGrid w:val="0"/>
        <w:spacing w:line="480" w:lineRule="exact"/>
        <w:ind w:firstLine="482"/>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2</w:t>
      </w:r>
      <w:r>
        <w:rPr>
          <w:rFonts w:hint="eastAsia" w:ascii="仿宋_GB2312" w:hAnsi="宋体" w:eastAsia="仿宋_GB2312"/>
          <w:color w:val="auto"/>
          <w:sz w:val="24"/>
          <w:highlight w:val="none"/>
        </w:rPr>
        <w:t>.6在勘察工作范围内，没有资料、图纸的地区（段），勘察人应负责查清地下埋藏物，勘察单位未探明地下埋藏物即进行钻探的，发生人身伤害或造成经济损失时，由勘察人承担民事责任。</w:t>
      </w:r>
    </w:p>
    <w:p>
      <w:pPr>
        <w:topLinePunct/>
        <w:adjustRightInd w:val="0"/>
        <w:snapToGrid w:val="0"/>
        <w:spacing w:line="440" w:lineRule="exact"/>
        <w:ind w:firstLine="482"/>
        <w:rPr>
          <w:rFonts w:hint="eastAsia"/>
          <w:color w:val="auto"/>
          <w:highlight w:val="none"/>
        </w:rPr>
      </w:pPr>
      <w:r>
        <w:rPr>
          <w:rFonts w:hint="eastAsia" w:ascii="仿宋" w:hAnsi="仿宋" w:eastAsia="仿宋"/>
          <w:color w:val="auto"/>
          <w:sz w:val="24"/>
          <w:highlight w:val="none"/>
        </w:rPr>
        <w:t>5.2.7勘察人应当根据工程实际及工程周边环境资料，在勘察文件中说明地质条件可能造成的工程风险。</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5.2.</w:t>
      </w:r>
      <w:r>
        <w:rPr>
          <w:rFonts w:hint="eastAsia" w:ascii="仿宋_GB2312" w:hAnsi="宋体" w:eastAsia="仿宋_GB2312"/>
          <w:color w:val="auto"/>
          <w:sz w:val="24"/>
          <w:highlight w:val="none"/>
          <w:lang w:val="en-US" w:eastAsia="zh-CN"/>
        </w:rPr>
        <w:t>8</w:t>
      </w:r>
      <w:r>
        <w:rPr>
          <w:rFonts w:hint="eastAsia" w:ascii="仿宋_GB2312" w:hAnsi="宋体" w:eastAsia="仿宋_GB2312"/>
          <w:color w:val="auto"/>
          <w:sz w:val="24"/>
          <w:highlight w:val="none"/>
        </w:rPr>
        <w:t>本合同有关条款规定和补充协议中勘察人应负的其它责任。</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第六条：</w:t>
      </w:r>
      <w:r>
        <w:rPr>
          <w:rFonts w:hint="eastAsia" w:ascii="仿宋_GB2312" w:hAnsi="宋体" w:eastAsia="仿宋_GB2312"/>
          <w:color w:val="auto"/>
          <w:sz w:val="24"/>
          <w:highlight w:val="none"/>
        </w:rPr>
        <w:t>违约责任</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6.1由于勘察人原因造成勘察成果资料质量不合格，不能满足技术要求时，勘察人应按发包人要求期限返工，其返工勘察费用由勘察人承担。</w:t>
      </w:r>
    </w:p>
    <w:p>
      <w:pPr>
        <w:widowControl/>
        <w:wordWrap w:val="0"/>
        <w:topLinePunct/>
        <w:adjustRightInd w:val="0"/>
        <w:snapToGrid w:val="0"/>
        <w:spacing w:line="480" w:lineRule="exact"/>
        <w:ind w:firstLine="480"/>
        <w:rPr>
          <w:rFonts w:hint="eastAsia" w:ascii="仿宋" w:hAnsi="仿宋" w:eastAsia="仿宋" w:cs="仿宋"/>
          <w:color w:val="auto"/>
          <w:sz w:val="24"/>
          <w:highlight w:val="none"/>
        </w:rPr>
      </w:pPr>
      <w:r>
        <w:rPr>
          <w:rFonts w:hint="eastAsia" w:ascii="仿宋_GB2312" w:hAnsi="宋体" w:eastAsia="仿宋_GB2312"/>
          <w:color w:val="auto"/>
          <w:sz w:val="24"/>
          <w:highlight w:val="none"/>
        </w:rPr>
        <w:t>6.2</w:t>
      </w:r>
      <w:r>
        <w:rPr>
          <w:rFonts w:ascii="仿宋_GB2312" w:hAnsi="宋体" w:eastAsia="仿宋_GB2312"/>
          <w:color w:val="auto"/>
          <w:sz w:val="24"/>
          <w:highlight w:val="none"/>
        </w:rPr>
        <w:t>合同履行期间，由于工程停建或其他发包人责任，发包人解除合同</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，勘察人已完成的工作量相应勘</w:t>
      </w:r>
      <w:r>
        <w:rPr>
          <w:rFonts w:hint="eastAsia" w:ascii="仿宋" w:hAnsi="仿宋" w:eastAsia="仿宋" w:cs="仿宋"/>
          <w:color w:val="auto"/>
          <w:sz w:val="24"/>
          <w:highlight w:val="none"/>
        </w:rPr>
        <w:t>察费金额不超过定金的，不退还发包人已付定金；勘察人已完成的工作量相应勘察费金额超过定金的，按勘察人实际完成工作量结算及支付勘察费（定金抵扣勘察费）。</w:t>
      </w:r>
    </w:p>
    <w:p>
      <w:pPr>
        <w:widowControl/>
        <w:wordWrap w:val="0"/>
        <w:topLinePunct/>
        <w:adjustRightInd w:val="0"/>
        <w:snapToGrid w:val="0"/>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6.3发包人未按合同约定时间（日期）拨付勘察费，每超过一日，应偿付应付未付勘察费的千分之一逾期违约金。</w:t>
      </w:r>
    </w:p>
    <w:p>
      <w:pPr>
        <w:pStyle w:val="168"/>
        <w:wordWrap w:val="0"/>
        <w:topLinePunct/>
        <w:spacing w:line="400" w:lineRule="exact"/>
        <w:ind w:left="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6.4由于勘察人原因未按合同约定时间（日期）提交勘察成果资料，每超过一日，应减收勘察费千分之三，误期损害赔偿费的最高限额为最终勘察合同价格的30%。</w:t>
      </w:r>
    </w:p>
    <w:p>
      <w:pPr>
        <w:widowControl/>
        <w:wordWrap w:val="0"/>
        <w:topLinePunct/>
        <w:adjustRightInd w:val="0"/>
        <w:snapToGrid w:val="0"/>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6.5本合同签订后，发包人不履行合同时，无权要求退还定金；勘察人不履行合同时，双倍返还定金。</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第七条：</w:t>
      </w:r>
      <w:r>
        <w:rPr>
          <w:rFonts w:hint="eastAsia" w:ascii="仿宋_GB2312" w:hAnsi="宋体" w:eastAsia="仿宋_GB2312"/>
          <w:color w:val="auto"/>
          <w:sz w:val="24"/>
          <w:highlight w:val="none"/>
        </w:rPr>
        <w:t>本合同未尽事宜，经发包人与勘察人协商一致，签订补充协议，补充协议与本合同具有同等效力。</w:t>
      </w:r>
    </w:p>
    <w:p>
      <w:pPr>
        <w:widowControl/>
        <w:wordWrap w:val="0"/>
        <w:topLinePunct/>
        <w:adjustRightInd w:val="0"/>
        <w:snapToGrid w:val="0"/>
        <w:spacing w:line="480" w:lineRule="exact"/>
        <w:ind w:firstLine="480"/>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第八条：</w:t>
      </w:r>
      <w:r>
        <w:rPr>
          <w:rFonts w:hint="eastAsia" w:ascii="仿宋_GB2312" w:hAnsi="宋体" w:eastAsia="仿宋_GB2312"/>
          <w:color w:val="auto"/>
          <w:sz w:val="24"/>
          <w:highlight w:val="none"/>
        </w:rPr>
        <w:t>其它约定事项</w:t>
      </w:r>
    </w:p>
    <w:p>
      <w:pPr>
        <w:widowControl/>
        <w:wordWrap w:val="0"/>
        <w:topLinePunct/>
        <w:adjustRightInd w:val="0"/>
        <w:snapToGrid w:val="0"/>
        <w:spacing w:line="480" w:lineRule="exact"/>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8.1 勘察人不得将本工程转包给他人。</w:t>
      </w:r>
    </w:p>
    <w:p>
      <w:pPr>
        <w:widowControl/>
        <w:wordWrap w:val="0"/>
        <w:topLinePunct/>
        <w:adjustRightInd w:val="0"/>
        <w:snapToGrid w:val="0"/>
        <w:spacing w:line="480" w:lineRule="exact"/>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8.2 勘察人在勘察过程中发现地下不明物体及发生突发事故应及时报告发包人。</w:t>
      </w:r>
    </w:p>
    <w:p>
      <w:pPr>
        <w:widowControl/>
        <w:wordWrap w:val="0"/>
        <w:topLinePunct/>
        <w:adjustRightInd w:val="0"/>
        <w:snapToGrid w:val="0"/>
        <w:spacing w:line="480" w:lineRule="exact"/>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8.3 发包人不提供施工及生活用水、用电，由勘察人自行解决。</w:t>
      </w:r>
    </w:p>
    <w:p>
      <w:pPr>
        <w:widowControl/>
        <w:wordWrap w:val="0"/>
        <w:topLinePunct/>
        <w:adjustRightInd w:val="0"/>
        <w:snapToGrid w:val="0"/>
        <w:spacing w:line="480" w:lineRule="exact"/>
        <w:ind w:firstLine="482" w:firstLineChars="200"/>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第九条：</w:t>
      </w:r>
      <w:r>
        <w:rPr>
          <w:rFonts w:hint="eastAsia" w:ascii="仿宋_GB2312" w:hAnsi="宋体" w:eastAsia="仿宋_GB2312"/>
          <w:color w:val="auto"/>
          <w:sz w:val="24"/>
          <w:highlight w:val="none"/>
        </w:rPr>
        <w:t xml:space="preserve"> 本合同在履行过程中发生的争议，由双方当事人协商解决，协商不成的按下列第</w:t>
      </w:r>
      <w:r>
        <w:rPr>
          <w:rFonts w:hint="eastAsia" w:ascii="仿宋_GB2312" w:hAnsi="宋体" w:eastAsia="仿宋_GB2312"/>
          <w:color w:val="auto"/>
          <w:sz w:val="24"/>
          <w:highlight w:val="none"/>
          <w:u w:val="single"/>
        </w:rPr>
        <w:t xml:space="preserve"> 二  </w:t>
      </w:r>
      <w:r>
        <w:rPr>
          <w:rFonts w:hint="eastAsia" w:ascii="仿宋_GB2312" w:hAnsi="宋体" w:eastAsia="仿宋_GB2312"/>
          <w:color w:val="auto"/>
          <w:sz w:val="24"/>
          <w:highlight w:val="none"/>
        </w:rPr>
        <w:t>种方式解决：</w:t>
      </w:r>
    </w:p>
    <w:p>
      <w:pPr>
        <w:pStyle w:val="40"/>
        <w:wordWrap w:val="0"/>
        <w:topLinePunct/>
        <w:adjustRightInd w:val="0"/>
        <w:snapToGrid w:val="0"/>
        <w:spacing w:before="0" w:beforeLines="0" w:beforeAutospacing="0" w:after="0" w:afterLines="0" w:afterAutospacing="0" w:line="480" w:lineRule="exact"/>
        <w:ind w:firstLine="480" w:firstLineChars="200"/>
        <w:rPr>
          <w:rFonts w:hint="eastAsia" w:ascii="仿宋_GB2312" w:eastAsia="仿宋_GB2312"/>
          <w:color w:val="auto"/>
          <w:highlight w:val="none"/>
        </w:rPr>
      </w:pPr>
      <w:r>
        <w:rPr>
          <w:rFonts w:hint="eastAsia" w:ascii="仿宋_GB2312" w:eastAsia="仿宋_GB2312"/>
          <w:color w:val="auto"/>
          <w:highlight w:val="none"/>
        </w:rPr>
        <w:t>（一）提交</w:t>
      </w:r>
      <w:r>
        <w:rPr>
          <w:rFonts w:hint="eastAsia" w:ascii="仿宋_GB2312" w:eastAsia="仿宋_GB2312"/>
          <w:color w:val="auto"/>
          <w:highlight w:val="none"/>
          <w:u w:val="single"/>
        </w:rPr>
        <w:t xml:space="preserve">  /  </w:t>
      </w:r>
      <w:r>
        <w:rPr>
          <w:rFonts w:hint="eastAsia" w:ascii="仿宋_GB2312" w:eastAsia="仿宋_GB2312"/>
          <w:color w:val="auto"/>
          <w:highlight w:val="none"/>
        </w:rPr>
        <w:t>仲裁；</w:t>
      </w:r>
    </w:p>
    <w:p>
      <w:pPr>
        <w:pStyle w:val="40"/>
        <w:wordWrap w:val="0"/>
        <w:topLinePunct/>
        <w:adjustRightInd w:val="0"/>
        <w:snapToGrid w:val="0"/>
        <w:spacing w:before="0" w:beforeLines="0" w:beforeAutospacing="0" w:after="0" w:afterLines="0" w:afterAutospacing="0" w:line="480" w:lineRule="exact"/>
        <w:ind w:firstLine="480" w:firstLineChars="200"/>
        <w:rPr>
          <w:rFonts w:hint="eastAsia" w:ascii="仿宋_GB2312" w:eastAsia="仿宋_GB2312"/>
          <w:color w:val="auto"/>
          <w:highlight w:val="none"/>
        </w:rPr>
      </w:pPr>
      <w:r>
        <w:rPr>
          <w:rFonts w:hint="eastAsia" w:ascii="仿宋_GB2312" w:eastAsia="仿宋_GB2312"/>
          <w:color w:val="auto"/>
          <w:highlight w:val="none"/>
        </w:rPr>
        <w:t>（二）依法向工程所在地人民法院起诉。</w:t>
      </w:r>
    </w:p>
    <w:p>
      <w:pPr>
        <w:widowControl/>
        <w:wordWrap w:val="0"/>
        <w:topLinePunct/>
        <w:adjustRightInd w:val="0"/>
        <w:snapToGrid w:val="0"/>
        <w:spacing w:line="480" w:lineRule="exact"/>
        <w:ind w:firstLine="482" w:firstLineChars="200"/>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 xml:space="preserve"> 第十条：</w:t>
      </w:r>
      <w:r>
        <w:rPr>
          <w:rFonts w:hint="eastAsia" w:ascii="仿宋_GB2312" w:hAnsi="宋体" w:eastAsia="仿宋_GB2312"/>
          <w:color w:val="auto"/>
          <w:sz w:val="24"/>
          <w:highlight w:val="none"/>
        </w:rPr>
        <w:t>本合同自发包人、勘察人签字盖章后生效；发包人、勘察人认为必要时，到项目所在地工商行政管理部门申请鉴证。发包人、勘察人履行完合同规定的义务后，本合同终止。</w:t>
      </w:r>
    </w:p>
    <w:p>
      <w:pPr>
        <w:widowControl/>
        <w:wordWrap w:val="0"/>
        <w:topLinePunct/>
        <w:adjustRightInd w:val="0"/>
        <w:snapToGrid w:val="0"/>
        <w:spacing w:line="480" w:lineRule="exact"/>
        <w:ind w:firstLine="420"/>
        <w:rPr>
          <w:rFonts w:hint="eastAsia" w:ascii="仿宋_GB2312" w:eastAsia="仿宋_GB2312"/>
          <w:color w:val="auto"/>
          <w:sz w:val="24"/>
          <w:highlight w:val="none"/>
        </w:rPr>
      </w:pPr>
    </w:p>
    <w:tbl>
      <w:tblPr>
        <w:tblStyle w:val="45"/>
        <w:tblW w:w="0" w:type="auto"/>
        <w:tblInd w:w="0" w:type="dxa"/>
        <w:tblLayout w:type="fixed"/>
        <w:tblCellMar>
          <w:top w:w="0" w:type="dxa"/>
          <w:left w:w="108" w:type="dxa"/>
          <w:bottom w:w="0" w:type="dxa"/>
          <w:right w:w="108" w:type="dxa"/>
        </w:tblCellMar>
      </w:tblPr>
      <w:tblGrid>
        <w:gridCol w:w="1668"/>
        <w:gridCol w:w="2596"/>
        <w:gridCol w:w="1656"/>
        <w:gridCol w:w="2608"/>
      </w:tblGrid>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发包人：</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盖</w:t>
            </w:r>
            <w:r>
              <w:rPr>
                <w:rFonts w:hint="eastAsia" w:ascii="仿宋_GB2312" w:eastAsia="仿宋_GB2312"/>
                <w:color w:val="auto"/>
                <w:sz w:val="24"/>
                <w:highlight w:val="none"/>
              </w:rPr>
              <w:t>章）</w:t>
            </w: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勘察人：</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盖</w:t>
            </w:r>
            <w:r>
              <w:rPr>
                <w:rFonts w:hint="eastAsia" w:ascii="仿宋_GB2312" w:eastAsia="仿宋_GB2312"/>
                <w:color w:val="auto"/>
                <w:sz w:val="24"/>
                <w:highlight w:val="none"/>
              </w:rPr>
              <w:t>章）</w:t>
            </w: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住 所：</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科学城揽月路创意大厦B2附楼三楼</w:t>
            </w: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住 所：</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法定代表人：</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法定代表人：</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委托代理人：</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委托代理人：</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邮政编码：</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510663</w:t>
            </w: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邮政编码：</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bl>
    <w:p>
      <w:pPr>
        <w:widowControl/>
        <w:wordWrap w:val="0"/>
        <w:topLinePunct/>
        <w:adjustRightInd w:val="0"/>
        <w:snapToGrid w:val="0"/>
        <w:spacing w:line="480" w:lineRule="exact"/>
        <w:ind w:left="5934" w:leftChars="997" w:hanging="3840" w:hangingChars="1600"/>
        <w:rPr>
          <w:rFonts w:hint="eastAsia" w:ascii="仿宋_GB2312" w:eastAsia="仿宋_GB2312"/>
          <w:color w:val="auto"/>
          <w:sz w:val="24"/>
          <w:highlight w:val="none"/>
        </w:rPr>
      </w:pPr>
      <w:r>
        <w:rPr>
          <w:rFonts w:hint="eastAsia" w:ascii="仿宋_GB2312" w:eastAsia="仿宋_GB2312"/>
          <w:color w:val="auto"/>
          <w:sz w:val="24"/>
          <w:highlight w:val="none"/>
        </w:rPr>
        <w:t>订立时间：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br w:type="page"/>
      </w:r>
    </w:p>
    <w:p>
      <w:pPr>
        <w:widowControl/>
        <w:wordWrap w:val="0"/>
        <w:topLinePunct/>
        <w:adjustRightInd w:val="0"/>
        <w:snapToGrid w:val="0"/>
        <w:spacing w:line="480" w:lineRule="exact"/>
        <w:jc w:val="center"/>
        <w:rPr>
          <w:rFonts w:hint="eastAsia" w:ascii="仿宋_GB2312" w:eastAsia="仿宋_GB2312"/>
          <w:b/>
          <w:bCs/>
          <w:color w:val="auto"/>
          <w:sz w:val="36"/>
          <w:highlight w:val="none"/>
        </w:rPr>
      </w:pPr>
    </w:p>
    <w:p>
      <w:pPr>
        <w:widowControl/>
        <w:wordWrap w:val="0"/>
        <w:topLinePunct/>
        <w:adjustRightInd w:val="0"/>
        <w:snapToGrid w:val="0"/>
        <w:spacing w:line="480" w:lineRule="exact"/>
        <w:jc w:val="center"/>
        <w:rPr>
          <w:rFonts w:hint="eastAsia" w:ascii="仿宋_GB2312" w:eastAsia="仿宋_GB2312"/>
          <w:b/>
          <w:bCs/>
          <w:color w:val="auto"/>
          <w:spacing w:val="110"/>
          <w:sz w:val="44"/>
          <w:szCs w:val="44"/>
          <w:highlight w:val="none"/>
        </w:rPr>
      </w:pPr>
      <w:r>
        <w:rPr>
          <w:rFonts w:hint="eastAsia" w:ascii="仿宋_GB2312" w:eastAsia="仿宋_GB2312"/>
          <w:b/>
          <w:bCs/>
          <w:color w:val="auto"/>
          <w:spacing w:val="110"/>
          <w:sz w:val="44"/>
          <w:szCs w:val="44"/>
          <w:highlight w:val="none"/>
        </w:rPr>
        <w:t>三、设计合同</w:t>
      </w:r>
    </w:p>
    <w:p>
      <w:pPr>
        <w:widowControl/>
        <w:wordWrap w:val="0"/>
        <w:topLinePunct/>
        <w:adjustRightInd w:val="0"/>
        <w:snapToGrid w:val="0"/>
        <w:spacing w:line="480" w:lineRule="exact"/>
        <w:jc w:val="center"/>
        <w:rPr>
          <w:rFonts w:hint="eastAsia" w:ascii="仿宋_GB2312" w:eastAsia="仿宋_GB2312"/>
          <w:b/>
          <w:bCs/>
          <w:color w:val="auto"/>
          <w:spacing w:val="110"/>
          <w:sz w:val="72"/>
          <w:highlight w:val="none"/>
        </w:rPr>
      </w:pPr>
    </w:p>
    <w:p>
      <w:pPr>
        <w:widowControl/>
        <w:wordWrap w:val="0"/>
        <w:topLinePunct/>
        <w:adjustRightInd w:val="0"/>
        <w:snapToGrid w:val="0"/>
        <w:spacing w:line="480" w:lineRule="exact"/>
        <w:jc w:val="center"/>
        <w:rPr>
          <w:rFonts w:hint="eastAsia" w:ascii="仿宋_GB2312" w:eastAsia="仿宋_GB2312"/>
          <w:color w:val="auto"/>
          <w:highlight w:val="none"/>
        </w:rPr>
      </w:pPr>
    </w:p>
    <w:p>
      <w:pPr>
        <w:widowControl/>
        <w:wordWrap w:val="0"/>
        <w:topLinePunct/>
        <w:adjustRightInd w:val="0"/>
        <w:snapToGrid w:val="0"/>
        <w:spacing w:line="480" w:lineRule="exact"/>
        <w:jc w:val="center"/>
        <w:rPr>
          <w:rFonts w:hint="eastAsia" w:ascii="仿宋_GB2312" w:eastAsia="仿宋_GB2312"/>
          <w:color w:val="auto"/>
          <w:highlight w:val="none"/>
        </w:rPr>
      </w:pPr>
    </w:p>
    <w:p>
      <w:pPr>
        <w:widowControl/>
        <w:wordWrap w:val="0"/>
        <w:topLinePunct/>
        <w:adjustRightInd w:val="0"/>
        <w:snapToGrid w:val="0"/>
        <w:spacing w:line="480" w:lineRule="exact"/>
        <w:jc w:val="center"/>
        <w:rPr>
          <w:rFonts w:hint="eastAsia" w:ascii="仿宋_GB2312" w:eastAsia="仿宋_GB2312"/>
          <w:color w:val="auto"/>
          <w:highlight w:val="none"/>
        </w:rPr>
      </w:pPr>
    </w:p>
    <w:p>
      <w:pPr>
        <w:widowControl/>
        <w:wordWrap w:val="0"/>
        <w:topLinePunct/>
        <w:adjustRightInd w:val="0"/>
        <w:snapToGrid w:val="0"/>
        <w:spacing w:line="480" w:lineRule="exact"/>
        <w:jc w:val="center"/>
        <w:rPr>
          <w:rFonts w:hint="eastAsia" w:ascii="仿宋_GB2312" w:eastAsia="仿宋_GB2312"/>
          <w:color w:val="auto"/>
          <w:highlight w:val="none"/>
        </w:rPr>
      </w:pPr>
    </w:p>
    <w:p>
      <w:pPr>
        <w:widowControl/>
        <w:wordWrap w:val="0"/>
        <w:topLinePunct/>
        <w:adjustRightInd w:val="0"/>
        <w:snapToGrid w:val="0"/>
        <w:spacing w:line="480" w:lineRule="exact"/>
        <w:jc w:val="center"/>
        <w:rPr>
          <w:rFonts w:hint="eastAsia" w:ascii="仿宋_GB2312" w:eastAsia="仿宋_GB2312"/>
          <w:color w:val="auto"/>
          <w:highlight w:val="none"/>
        </w:rPr>
      </w:pPr>
    </w:p>
    <w:tbl>
      <w:tblPr>
        <w:tblStyle w:val="45"/>
        <w:tblW w:w="0" w:type="auto"/>
        <w:jc w:val="center"/>
        <w:tblLayout w:type="fixed"/>
        <w:tblCellMar>
          <w:top w:w="0" w:type="dxa"/>
          <w:left w:w="108" w:type="dxa"/>
          <w:bottom w:w="0" w:type="dxa"/>
          <w:right w:w="108" w:type="dxa"/>
        </w:tblCellMar>
      </w:tblPr>
      <w:tblGrid>
        <w:gridCol w:w="2093"/>
        <w:gridCol w:w="4819"/>
      </w:tblGrid>
      <w:tr>
        <w:tblPrEx>
          <w:tblCellMar>
            <w:top w:w="0" w:type="dxa"/>
            <w:left w:w="108" w:type="dxa"/>
            <w:bottom w:w="0" w:type="dxa"/>
            <w:right w:w="108" w:type="dxa"/>
          </w:tblCellMar>
        </w:tblPrEx>
        <w:trPr>
          <w:trHeight w:val="1021" w:hRule="atLeast"/>
          <w:jc w:val="center"/>
        </w:trPr>
        <w:tc>
          <w:tcPr>
            <w:tcW w:w="2093" w:type="dxa"/>
            <w:noWrap w:val="0"/>
            <w:vAlign w:val="center"/>
          </w:tcPr>
          <w:p>
            <w:pPr>
              <w:widowControl/>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sz w:val="28"/>
                <w:highlight w:val="none"/>
              </w:rPr>
              <w:t>工程名称：</w:t>
            </w:r>
          </w:p>
        </w:tc>
        <w:tc>
          <w:tcPr>
            <w:tcW w:w="4819" w:type="dxa"/>
            <w:noWrap w:val="0"/>
            <w:vAlign w:val="center"/>
          </w:tcPr>
          <w:p>
            <w:pPr>
              <w:widowControl/>
              <w:wordWrap w:val="0"/>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highlight w:val="none"/>
                <w:u w:val="single"/>
              </w:rPr>
              <w:t xml:space="preserve">                                       </w:t>
            </w:r>
            <w:r>
              <w:rPr>
                <w:rFonts w:hint="eastAsia" w:ascii="仿宋_GB2312" w:eastAsia="仿宋_GB2312"/>
                <w:color w:val="auto"/>
                <w:highlight w:val="none"/>
              </w:rPr>
              <w:t>。</w:t>
            </w:r>
          </w:p>
        </w:tc>
      </w:tr>
      <w:tr>
        <w:tblPrEx>
          <w:tblCellMar>
            <w:top w:w="0" w:type="dxa"/>
            <w:left w:w="108" w:type="dxa"/>
            <w:bottom w:w="0" w:type="dxa"/>
            <w:right w:w="108" w:type="dxa"/>
          </w:tblCellMar>
        </w:tblPrEx>
        <w:trPr>
          <w:trHeight w:val="1021" w:hRule="atLeast"/>
          <w:jc w:val="center"/>
        </w:trPr>
        <w:tc>
          <w:tcPr>
            <w:tcW w:w="2093" w:type="dxa"/>
            <w:noWrap w:val="0"/>
            <w:vAlign w:val="center"/>
          </w:tcPr>
          <w:p>
            <w:pPr>
              <w:widowControl/>
              <w:wordWrap w:val="0"/>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sz w:val="28"/>
                <w:highlight w:val="none"/>
              </w:rPr>
              <w:t>工程地点:</w:t>
            </w:r>
          </w:p>
        </w:tc>
        <w:tc>
          <w:tcPr>
            <w:tcW w:w="4819" w:type="dxa"/>
            <w:noWrap w:val="0"/>
            <w:vAlign w:val="center"/>
          </w:tcPr>
          <w:p>
            <w:pPr>
              <w:widowControl/>
              <w:wordWrap w:val="0"/>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highlight w:val="none"/>
                <w:u w:val="single"/>
              </w:rPr>
              <w:t xml:space="preserve">                                       </w:t>
            </w:r>
            <w:r>
              <w:rPr>
                <w:rFonts w:hint="eastAsia" w:ascii="仿宋_GB2312" w:eastAsia="仿宋_GB2312"/>
                <w:color w:val="auto"/>
                <w:highlight w:val="none"/>
              </w:rPr>
              <w:t>。</w:t>
            </w:r>
          </w:p>
        </w:tc>
      </w:tr>
      <w:tr>
        <w:tblPrEx>
          <w:tblCellMar>
            <w:top w:w="0" w:type="dxa"/>
            <w:left w:w="108" w:type="dxa"/>
            <w:bottom w:w="0" w:type="dxa"/>
            <w:right w:w="108" w:type="dxa"/>
          </w:tblCellMar>
        </w:tblPrEx>
        <w:trPr>
          <w:trHeight w:val="1021" w:hRule="atLeast"/>
          <w:jc w:val="center"/>
        </w:trPr>
        <w:tc>
          <w:tcPr>
            <w:tcW w:w="2093" w:type="dxa"/>
            <w:noWrap w:val="0"/>
            <w:vAlign w:val="center"/>
          </w:tcPr>
          <w:p>
            <w:pPr>
              <w:widowControl/>
              <w:wordWrap w:val="0"/>
              <w:topLinePunct/>
              <w:adjustRightInd w:val="0"/>
              <w:snapToGrid w:val="0"/>
              <w:spacing w:line="480" w:lineRule="exact"/>
              <w:rPr>
                <w:rFonts w:hint="eastAsia" w:ascii="仿宋_GB2312" w:eastAsia="仿宋_GB2312"/>
                <w:color w:val="auto"/>
                <w:sz w:val="28"/>
                <w:highlight w:val="none"/>
              </w:rPr>
            </w:pPr>
            <w:r>
              <w:rPr>
                <w:rFonts w:hint="eastAsia" w:ascii="仿宋_GB2312" w:eastAsia="仿宋_GB2312"/>
                <w:color w:val="auto"/>
                <w:sz w:val="28"/>
                <w:highlight w:val="none"/>
              </w:rPr>
              <w:t>合同编号：</w:t>
            </w:r>
          </w:p>
          <w:p>
            <w:pPr>
              <w:widowControl/>
              <w:wordWrap w:val="0"/>
              <w:topLinePunct/>
              <w:adjustRightInd w:val="0"/>
              <w:snapToGrid w:val="0"/>
              <w:spacing w:line="48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（由设计人编填）</w:t>
            </w:r>
          </w:p>
        </w:tc>
        <w:tc>
          <w:tcPr>
            <w:tcW w:w="4819" w:type="dxa"/>
            <w:noWrap w:val="0"/>
            <w:vAlign w:val="center"/>
          </w:tcPr>
          <w:p>
            <w:pPr>
              <w:widowControl/>
              <w:wordWrap w:val="0"/>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highlight w:val="none"/>
                <w:u w:val="single"/>
              </w:rPr>
              <w:t xml:space="preserve">                                       </w:t>
            </w:r>
            <w:r>
              <w:rPr>
                <w:rFonts w:hint="eastAsia" w:ascii="仿宋_GB2312" w:eastAsia="仿宋_GB2312"/>
                <w:color w:val="auto"/>
                <w:highlight w:val="none"/>
              </w:rPr>
              <w:t>。</w:t>
            </w:r>
          </w:p>
        </w:tc>
      </w:tr>
      <w:tr>
        <w:tblPrEx>
          <w:tblCellMar>
            <w:top w:w="0" w:type="dxa"/>
            <w:left w:w="108" w:type="dxa"/>
            <w:bottom w:w="0" w:type="dxa"/>
            <w:right w:w="108" w:type="dxa"/>
          </w:tblCellMar>
        </w:tblPrEx>
        <w:trPr>
          <w:trHeight w:val="1021" w:hRule="atLeast"/>
          <w:jc w:val="center"/>
        </w:trPr>
        <w:tc>
          <w:tcPr>
            <w:tcW w:w="2093" w:type="dxa"/>
            <w:noWrap w:val="0"/>
            <w:vAlign w:val="center"/>
          </w:tcPr>
          <w:p>
            <w:pPr>
              <w:widowControl/>
              <w:wordWrap w:val="0"/>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sz w:val="28"/>
                <w:highlight w:val="none"/>
              </w:rPr>
              <w:t>设计证书等级：</w:t>
            </w:r>
          </w:p>
        </w:tc>
        <w:tc>
          <w:tcPr>
            <w:tcW w:w="4819" w:type="dxa"/>
            <w:noWrap w:val="0"/>
            <w:vAlign w:val="center"/>
          </w:tcPr>
          <w:p>
            <w:pPr>
              <w:widowControl/>
              <w:wordWrap w:val="0"/>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highlight w:val="none"/>
                <w:u w:val="single"/>
              </w:rPr>
              <w:t xml:space="preserve">                                       </w:t>
            </w:r>
            <w:r>
              <w:rPr>
                <w:rFonts w:hint="eastAsia" w:ascii="仿宋_GB2312" w:eastAsia="仿宋_GB2312"/>
                <w:color w:val="auto"/>
                <w:highlight w:val="none"/>
              </w:rPr>
              <w:t>。</w:t>
            </w:r>
          </w:p>
        </w:tc>
      </w:tr>
      <w:tr>
        <w:tblPrEx>
          <w:tblCellMar>
            <w:top w:w="0" w:type="dxa"/>
            <w:left w:w="108" w:type="dxa"/>
            <w:bottom w:w="0" w:type="dxa"/>
            <w:right w:w="108" w:type="dxa"/>
          </w:tblCellMar>
        </w:tblPrEx>
        <w:trPr>
          <w:trHeight w:val="1021" w:hRule="atLeast"/>
          <w:jc w:val="center"/>
        </w:trPr>
        <w:tc>
          <w:tcPr>
            <w:tcW w:w="2093" w:type="dxa"/>
            <w:noWrap w:val="0"/>
            <w:vAlign w:val="center"/>
          </w:tcPr>
          <w:p>
            <w:pPr>
              <w:widowControl/>
              <w:wordWrap w:val="0"/>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sz w:val="28"/>
                <w:highlight w:val="none"/>
              </w:rPr>
              <w:t>发包人：</w:t>
            </w:r>
          </w:p>
        </w:tc>
        <w:tc>
          <w:tcPr>
            <w:tcW w:w="4819" w:type="dxa"/>
            <w:noWrap w:val="0"/>
            <w:vAlign w:val="center"/>
          </w:tcPr>
          <w:p>
            <w:pPr>
              <w:widowControl/>
              <w:wordWrap w:val="0"/>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highlight w:val="none"/>
                <w:u w:val="single"/>
              </w:rPr>
              <w:t xml:space="preserve">                                       </w:t>
            </w:r>
            <w:r>
              <w:rPr>
                <w:rFonts w:hint="eastAsia" w:ascii="仿宋_GB2312" w:eastAsia="仿宋_GB2312"/>
                <w:color w:val="auto"/>
                <w:highlight w:val="none"/>
              </w:rPr>
              <w:t>。</w:t>
            </w:r>
          </w:p>
        </w:tc>
      </w:tr>
      <w:tr>
        <w:tblPrEx>
          <w:tblCellMar>
            <w:top w:w="0" w:type="dxa"/>
            <w:left w:w="108" w:type="dxa"/>
            <w:bottom w:w="0" w:type="dxa"/>
            <w:right w:w="108" w:type="dxa"/>
          </w:tblCellMar>
        </w:tblPrEx>
        <w:trPr>
          <w:trHeight w:val="1021" w:hRule="atLeast"/>
          <w:jc w:val="center"/>
        </w:trPr>
        <w:tc>
          <w:tcPr>
            <w:tcW w:w="2093" w:type="dxa"/>
            <w:noWrap w:val="0"/>
            <w:vAlign w:val="center"/>
          </w:tcPr>
          <w:p>
            <w:pPr>
              <w:widowControl/>
              <w:wordWrap w:val="0"/>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sz w:val="28"/>
                <w:highlight w:val="none"/>
              </w:rPr>
              <w:t>设计人：</w:t>
            </w:r>
          </w:p>
        </w:tc>
        <w:tc>
          <w:tcPr>
            <w:tcW w:w="4819" w:type="dxa"/>
            <w:noWrap w:val="0"/>
            <w:vAlign w:val="center"/>
          </w:tcPr>
          <w:p>
            <w:pPr>
              <w:widowControl/>
              <w:wordWrap w:val="0"/>
              <w:topLinePunct/>
              <w:adjustRightInd w:val="0"/>
              <w:snapToGrid w:val="0"/>
              <w:spacing w:line="480" w:lineRule="exact"/>
              <w:rPr>
                <w:rFonts w:hint="eastAsia" w:ascii="仿宋_GB2312" w:eastAsia="仿宋_GB2312"/>
                <w:color w:val="auto"/>
                <w:highlight w:val="none"/>
              </w:rPr>
            </w:pPr>
            <w:r>
              <w:rPr>
                <w:rFonts w:hint="eastAsia" w:ascii="仿宋_GB2312" w:eastAsia="仿宋_GB2312"/>
                <w:color w:val="auto"/>
                <w:highlight w:val="none"/>
                <w:u w:val="single"/>
              </w:rPr>
              <w:t xml:space="preserve">                                       </w:t>
            </w:r>
            <w:r>
              <w:rPr>
                <w:rFonts w:hint="eastAsia" w:ascii="仿宋_GB2312" w:eastAsia="仿宋_GB2312"/>
                <w:color w:val="auto"/>
                <w:highlight w:val="none"/>
              </w:rPr>
              <w:t>。</w:t>
            </w:r>
          </w:p>
        </w:tc>
      </w:tr>
    </w:tbl>
    <w:p>
      <w:pPr>
        <w:widowControl/>
        <w:wordWrap w:val="0"/>
        <w:topLinePunct/>
        <w:adjustRightInd w:val="0"/>
        <w:snapToGrid w:val="0"/>
        <w:spacing w:line="480" w:lineRule="exact"/>
        <w:rPr>
          <w:rFonts w:hint="eastAsia" w:ascii="仿宋_GB2312" w:eastAsia="仿宋_GB2312"/>
          <w:b/>
          <w:bCs/>
          <w:color w:val="auto"/>
          <w:spacing w:val="110"/>
          <w:sz w:val="72"/>
          <w:highlight w:val="none"/>
        </w:rPr>
      </w:pPr>
    </w:p>
    <w:p>
      <w:pPr>
        <w:widowControl/>
        <w:wordWrap w:val="0"/>
        <w:topLinePunct/>
        <w:adjustRightInd w:val="0"/>
        <w:snapToGrid w:val="0"/>
        <w:spacing w:line="480" w:lineRule="exact"/>
        <w:rPr>
          <w:rFonts w:hint="eastAsia" w:ascii="仿宋_GB2312" w:hAnsi="宋体" w:eastAsia="仿宋_GB2312"/>
          <w:color w:val="auto"/>
          <w:sz w:val="24"/>
          <w:highlight w:val="none"/>
          <w:u w:val="single"/>
        </w:rPr>
      </w:pPr>
      <w:r>
        <w:rPr>
          <w:rFonts w:ascii="仿宋_GB2312" w:eastAsia="仿宋_GB2312"/>
          <w:color w:val="auto"/>
          <w:sz w:val="24"/>
          <w:highlight w:val="none"/>
        </w:rPr>
        <w:br w:type="page"/>
      </w:r>
      <w:r>
        <w:rPr>
          <w:rFonts w:hint="eastAsia" w:ascii="仿宋_GB2312" w:hAnsi="宋体" w:eastAsia="仿宋_GB2312"/>
          <w:b/>
          <w:color w:val="auto"/>
          <w:sz w:val="24"/>
          <w:highlight w:val="none"/>
        </w:rPr>
        <w:t>发包人：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设计人：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发包人委托设计人承担</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设计工作。依照《中华人民共和国民法典》、《中华人民共和国建筑法》及其他有关法律、行政法规，遵循平等、自愿、公平和诚实信用的原则，经双方协商一致，订立本合同。</w:t>
      </w:r>
    </w:p>
    <w:p>
      <w:pPr>
        <w:pStyle w:val="6"/>
        <w:keepNext w:val="0"/>
        <w:keepLines w:val="0"/>
        <w:widowControl/>
        <w:wordWrap w:val="0"/>
        <w:topLinePunct/>
        <w:adjustRightInd w:val="0"/>
        <w:snapToGrid w:val="0"/>
        <w:spacing w:before="0" w:beforeLines="0" w:after="0" w:afterLines="0" w:line="480" w:lineRule="exact"/>
        <w:ind w:firstLine="307" w:firstLineChars="128"/>
        <w:rPr>
          <w:rFonts w:hint="eastAsia" w:ascii="仿宋_GB2312"/>
          <w:color w:val="auto"/>
          <w:sz w:val="24"/>
          <w:szCs w:val="24"/>
          <w:highlight w:val="none"/>
        </w:rPr>
      </w:pPr>
      <w:r>
        <w:rPr>
          <w:rFonts w:hint="eastAsia" w:ascii="仿宋_GB2312"/>
          <w:color w:val="auto"/>
          <w:sz w:val="24"/>
          <w:szCs w:val="24"/>
          <w:highlight w:val="none"/>
        </w:rPr>
        <w:t>第一条 本合同签订依据</w:t>
      </w:r>
    </w:p>
    <w:p>
      <w:pPr>
        <w:widowControl/>
        <w:tabs>
          <w:tab w:val="left" w:pos="-3060"/>
        </w:tabs>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1.1</w:t>
      </w:r>
      <w:r>
        <w:rPr>
          <w:rFonts w:hint="eastAsia" w:ascii="仿宋_GB2312" w:eastAsia="仿宋_GB2312"/>
          <w:color w:val="auto"/>
          <w:sz w:val="24"/>
          <w:highlight w:val="none"/>
        </w:rPr>
        <w:t>中华人民共和国的法律、法规、司法解释、部门规章、地方性法规、广东省、广州市、广州开发区、广州市黄埔区现行有关法律、法规和相关的工程设计技术规范、规定及标准；</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1.2</w:t>
      </w:r>
      <w:r>
        <w:rPr>
          <w:rFonts w:hint="eastAsia" w:ascii="仿宋_GB2312" w:eastAsia="仿宋_GB2312"/>
          <w:color w:val="auto"/>
          <w:sz w:val="24"/>
          <w:highlight w:val="none"/>
        </w:rPr>
        <w:t>发包人提供的设计任务书；</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1.3</w:t>
      </w:r>
      <w:r>
        <w:rPr>
          <w:rFonts w:hint="eastAsia" w:ascii="仿宋_GB2312" w:eastAsia="仿宋_GB2312"/>
          <w:color w:val="auto"/>
          <w:sz w:val="24"/>
          <w:highlight w:val="none"/>
        </w:rPr>
        <w:t>本项目的立项批复文件；</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1.4</w:t>
      </w:r>
      <w:r>
        <w:rPr>
          <w:rFonts w:hint="eastAsia" w:ascii="仿宋_GB2312" w:eastAsia="仿宋_GB2312"/>
          <w:color w:val="auto"/>
          <w:sz w:val="24"/>
          <w:highlight w:val="none"/>
        </w:rPr>
        <w:t>发包人提供的规划建设主管部门对本项目的规划设计要点；</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1.5</w:t>
      </w:r>
      <w:r>
        <w:rPr>
          <w:rFonts w:hint="eastAsia" w:ascii="仿宋_GB2312" w:eastAsia="仿宋_GB2312"/>
          <w:color w:val="auto"/>
          <w:sz w:val="24"/>
          <w:highlight w:val="none"/>
        </w:rPr>
        <w:t>发包人提供的本项目基础资料；</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1.6</w:t>
      </w:r>
      <w:r>
        <w:rPr>
          <w:rFonts w:hint="eastAsia" w:ascii="仿宋_GB2312" w:eastAsia="仿宋_GB2312"/>
          <w:color w:val="auto"/>
          <w:sz w:val="24"/>
          <w:highlight w:val="none"/>
        </w:rPr>
        <w:t>合同双方签署的本合同及一切附件和补充文件；</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1.7</w:t>
      </w:r>
      <w:r>
        <w:rPr>
          <w:rFonts w:hint="eastAsia" w:ascii="仿宋_GB2312" w:eastAsia="仿宋_GB2312"/>
          <w:color w:val="auto"/>
          <w:sz w:val="24"/>
          <w:highlight w:val="none"/>
        </w:rPr>
        <w:t>设计和建设过程中的政府审批意见，政府或发包人委托或组织的评分机构（会议）提出的及发包人发出的阶段性书面意见，双方来往的各类书面文件、会议纪要等；</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1.8</w:t>
      </w:r>
      <w:r>
        <w:rPr>
          <w:rFonts w:hint="eastAsia" w:ascii="仿宋_GB2312" w:eastAsia="仿宋_GB2312"/>
          <w:color w:val="auto"/>
          <w:sz w:val="24"/>
          <w:highlight w:val="none"/>
        </w:rPr>
        <w:t>设计中标通知书；</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1.9</w:t>
      </w:r>
      <w:r>
        <w:rPr>
          <w:rFonts w:hint="eastAsia" w:ascii="仿宋_GB2312" w:eastAsia="仿宋_GB2312"/>
          <w:color w:val="auto"/>
          <w:sz w:val="24"/>
          <w:highlight w:val="none"/>
        </w:rPr>
        <w:t>招标文件；</w:t>
      </w:r>
    </w:p>
    <w:p>
      <w:pPr>
        <w:widowControl/>
        <w:wordWrap w:val="0"/>
        <w:topLinePunct/>
        <w:adjustRightInd w:val="0"/>
        <w:snapToGrid w:val="0"/>
        <w:spacing w:line="480" w:lineRule="exact"/>
        <w:ind w:firstLine="482" w:firstLineChars="200"/>
        <w:rPr>
          <w:rFonts w:hint="eastAsia" w:ascii="仿宋_GB2312" w:eastAsia="仿宋_GB2312"/>
          <w:b/>
          <w:color w:val="auto"/>
          <w:sz w:val="24"/>
          <w:highlight w:val="none"/>
          <w:shd w:val="pct10" w:color="auto" w:fill="FFFFFF"/>
        </w:rPr>
      </w:pPr>
      <w:r>
        <w:rPr>
          <w:rFonts w:hint="eastAsia" w:ascii="仿宋_GB2312" w:eastAsia="仿宋_GB2312"/>
          <w:b/>
          <w:color w:val="auto"/>
          <w:sz w:val="24"/>
          <w:highlight w:val="none"/>
          <w:shd w:val="pct10" w:color="auto" w:fill="FFFFFF"/>
        </w:rPr>
        <w:t>2.0</w:t>
      </w:r>
      <w:r>
        <w:rPr>
          <w:rFonts w:hint="eastAsia" w:ascii="仿宋_GB2312" w:eastAsia="仿宋_GB2312"/>
          <w:color w:val="auto"/>
          <w:sz w:val="24"/>
          <w:highlight w:val="none"/>
        </w:rPr>
        <w:t>设计人参加投标的方案，以及评标委员会的意见、发包人提出的修改意见，使用权属于发包人的其他投标方案。</w:t>
      </w:r>
    </w:p>
    <w:p>
      <w:pPr>
        <w:pStyle w:val="6"/>
        <w:keepNext w:val="0"/>
        <w:keepLines w:val="0"/>
        <w:widowControl/>
        <w:wordWrap w:val="0"/>
        <w:topLinePunct/>
        <w:adjustRightInd w:val="0"/>
        <w:snapToGrid w:val="0"/>
        <w:spacing w:before="0" w:beforeLines="0" w:after="0" w:afterLines="0" w:line="480" w:lineRule="exact"/>
        <w:ind w:firstLine="307" w:firstLineChars="128"/>
        <w:rPr>
          <w:rFonts w:hint="eastAsia" w:ascii="仿宋_GB2312"/>
          <w:color w:val="auto"/>
          <w:sz w:val="24"/>
          <w:szCs w:val="24"/>
          <w:highlight w:val="none"/>
        </w:rPr>
      </w:pPr>
      <w:r>
        <w:rPr>
          <w:rFonts w:hint="eastAsia" w:ascii="仿宋_GB2312"/>
          <w:color w:val="auto"/>
          <w:sz w:val="24"/>
          <w:szCs w:val="24"/>
          <w:highlight w:val="none"/>
        </w:rPr>
        <w:t>第二条 合同文件的优先次序</w:t>
      </w:r>
    </w:p>
    <w:p>
      <w:pPr>
        <w:widowControl/>
        <w:wordWrap w:val="0"/>
        <w:topLinePunct/>
        <w:adjustRightInd w:val="0"/>
        <w:snapToGrid w:val="0"/>
        <w:spacing w:line="480" w:lineRule="exact"/>
        <w:ind w:firstLine="482"/>
        <w:rPr>
          <w:rFonts w:hint="eastAsia" w:ascii="仿宋_GB2312" w:eastAsia="仿宋_GB2312"/>
          <w:color w:val="auto"/>
          <w:sz w:val="24"/>
          <w:highlight w:val="none"/>
        </w:rPr>
      </w:pPr>
      <w:r>
        <w:rPr>
          <w:rFonts w:hint="eastAsia" w:ascii="仿宋_GB2312" w:eastAsia="仿宋_GB2312"/>
          <w:color w:val="auto"/>
          <w:sz w:val="24"/>
          <w:highlight w:val="none"/>
        </w:rPr>
        <w:t>下列文件应被认为是组成本合同的一部分，并互为补充和解释，如上述部分存在冲突之处，以如下先后排列次序为优先：</w:t>
      </w:r>
    </w:p>
    <w:p>
      <w:pPr>
        <w:widowControl/>
        <w:wordWrap w:val="0"/>
        <w:topLinePunct/>
        <w:adjustRightInd w:val="0"/>
        <w:snapToGrid w:val="0"/>
        <w:spacing w:line="480" w:lineRule="exact"/>
        <w:ind w:firstLine="482"/>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2.1</w:t>
      </w:r>
      <w:r>
        <w:rPr>
          <w:rFonts w:hint="eastAsia" w:ascii="仿宋_GB2312" w:eastAsia="仿宋_GB2312"/>
          <w:color w:val="auto"/>
          <w:sz w:val="24"/>
          <w:highlight w:val="none"/>
        </w:rPr>
        <w:t>广东省、广州市人民政府及广州开发区管委会（或黄埔区人民政府）关于本项目的有关文件；</w:t>
      </w:r>
    </w:p>
    <w:p>
      <w:pPr>
        <w:widowControl/>
        <w:wordWrap w:val="0"/>
        <w:topLinePunct/>
        <w:adjustRightInd w:val="0"/>
        <w:snapToGrid w:val="0"/>
        <w:spacing w:line="480" w:lineRule="exact"/>
        <w:ind w:firstLine="482"/>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2.2</w:t>
      </w:r>
      <w:r>
        <w:rPr>
          <w:rFonts w:hint="eastAsia" w:ascii="仿宋_GB2312" w:eastAsia="仿宋_GB2312"/>
          <w:color w:val="auto"/>
          <w:sz w:val="24"/>
          <w:highlight w:val="none"/>
        </w:rPr>
        <w:t>合同实施期间双方签订的合同补充或修正文件；</w:t>
      </w:r>
    </w:p>
    <w:p>
      <w:pPr>
        <w:widowControl/>
        <w:wordWrap w:val="0"/>
        <w:topLinePunct/>
        <w:adjustRightInd w:val="0"/>
        <w:snapToGrid w:val="0"/>
        <w:spacing w:line="480" w:lineRule="exact"/>
        <w:ind w:firstLine="482"/>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2.3</w:t>
      </w:r>
      <w:r>
        <w:rPr>
          <w:rFonts w:hint="eastAsia" w:ascii="仿宋_GB2312" w:eastAsia="仿宋_GB2312"/>
          <w:color w:val="auto"/>
          <w:sz w:val="24"/>
          <w:highlight w:val="none"/>
        </w:rPr>
        <w:t>合同条款；</w:t>
      </w:r>
    </w:p>
    <w:p>
      <w:pPr>
        <w:widowControl/>
        <w:wordWrap w:val="0"/>
        <w:topLinePunct/>
        <w:adjustRightInd w:val="0"/>
        <w:snapToGrid w:val="0"/>
        <w:spacing w:line="480" w:lineRule="exact"/>
        <w:ind w:firstLine="482"/>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2.4</w:t>
      </w:r>
      <w:r>
        <w:rPr>
          <w:rFonts w:hint="eastAsia" w:ascii="仿宋_GB2312" w:eastAsia="仿宋_GB2312"/>
          <w:color w:val="auto"/>
          <w:sz w:val="24"/>
          <w:highlight w:val="none"/>
        </w:rPr>
        <w:t>中标通知书；</w:t>
      </w:r>
    </w:p>
    <w:p>
      <w:pPr>
        <w:widowControl/>
        <w:wordWrap w:val="0"/>
        <w:topLinePunct/>
        <w:adjustRightInd w:val="0"/>
        <w:snapToGrid w:val="0"/>
        <w:spacing w:line="480" w:lineRule="exact"/>
        <w:ind w:firstLine="482"/>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2.5</w:t>
      </w:r>
      <w:r>
        <w:rPr>
          <w:rFonts w:hint="eastAsia" w:ascii="仿宋_GB2312" w:eastAsia="仿宋_GB2312"/>
          <w:color w:val="auto"/>
          <w:sz w:val="24"/>
          <w:highlight w:val="none"/>
        </w:rPr>
        <w:t>招标文件的问题澄清；</w:t>
      </w:r>
    </w:p>
    <w:p>
      <w:pPr>
        <w:widowControl/>
        <w:wordWrap w:val="0"/>
        <w:topLinePunct/>
        <w:adjustRightInd w:val="0"/>
        <w:snapToGrid w:val="0"/>
        <w:spacing w:line="480" w:lineRule="exact"/>
        <w:ind w:firstLine="482"/>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2.6</w:t>
      </w:r>
      <w:r>
        <w:rPr>
          <w:rFonts w:hint="eastAsia" w:ascii="仿宋_GB2312" w:eastAsia="仿宋_GB2312"/>
          <w:color w:val="auto"/>
          <w:sz w:val="24"/>
          <w:highlight w:val="none"/>
        </w:rPr>
        <w:t>投标文件的问题澄清；</w:t>
      </w:r>
    </w:p>
    <w:p>
      <w:pPr>
        <w:widowControl/>
        <w:wordWrap w:val="0"/>
        <w:topLinePunct/>
        <w:adjustRightInd w:val="0"/>
        <w:snapToGrid w:val="0"/>
        <w:spacing w:line="480" w:lineRule="exact"/>
        <w:ind w:firstLine="482"/>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2.7</w:t>
      </w:r>
      <w:r>
        <w:rPr>
          <w:rFonts w:hint="eastAsia" w:ascii="仿宋_GB2312" w:eastAsia="仿宋_GB2312"/>
          <w:color w:val="auto"/>
          <w:sz w:val="24"/>
          <w:highlight w:val="none"/>
        </w:rPr>
        <w:t>招标文件；</w:t>
      </w:r>
    </w:p>
    <w:p>
      <w:pPr>
        <w:widowControl/>
        <w:wordWrap w:val="0"/>
        <w:topLinePunct/>
        <w:adjustRightInd w:val="0"/>
        <w:snapToGrid w:val="0"/>
        <w:spacing w:line="480" w:lineRule="exact"/>
        <w:ind w:firstLine="482"/>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2.8</w:t>
      </w:r>
      <w:r>
        <w:rPr>
          <w:rFonts w:hint="eastAsia" w:ascii="仿宋_GB2312" w:eastAsia="仿宋_GB2312"/>
          <w:color w:val="auto"/>
          <w:sz w:val="24"/>
          <w:highlight w:val="none"/>
        </w:rPr>
        <w:t>投标文件；</w:t>
      </w:r>
    </w:p>
    <w:p>
      <w:pPr>
        <w:widowControl/>
        <w:wordWrap w:val="0"/>
        <w:topLinePunct/>
        <w:adjustRightInd w:val="0"/>
        <w:snapToGrid w:val="0"/>
        <w:spacing w:line="480" w:lineRule="exact"/>
        <w:ind w:firstLine="482"/>
        <w:rPr>
          <w:rFonts w:hint="eastAsia" w:ascii="仿宋_GB2312" w:eastAsia="仿宋_GB2312"/>
          <w:b/>
          <w:color w:val="auto"/>
          <w:sz w:val="24"/>
          <w:highlight w:val="none"/>
          <w:shd w:val="pct10" w:color="auto" w:fill="FFFFFF"/>
        </w:rPr>
      </w:pPr>
      <w:r>
        <w:rPr>
          <w:rFonts w:hint="eastAsia" w:ascii="仿宋_GB2312" w:eastAsia="仿宋_GB2312"/>
          <w:b/>
          <w:color w:val="auto"/>
          <w:sz w:val="24"/>
          <w:highlight w:val="none"/>
          <w:shd w:val="pct10" w:color="auto" w:fill="FFFFFF"/>
        </w:rPr>
        <w:t>2.9</w:t>
      </w:r>
      <w:r>
        <w:rPr>
          <w:rFonts w:hint="eastAsia" w:ascii="仿宋_GB2312" w:eastAsia="仿宋_GB2312"/>
          <w:color w:val="auto"/>
          <w:sz w:val="24"/>
          <w:highlight w:val="none"/>
        </w:rPr>
        <w:t>组成合同的其他文件。</w:t>
      </w:r>
    </w:p>
    <w:p>
      <w:pPr>
        <w:pStyle w:val="6"/>
        <w:keepNext w:val="0"/>
        <w:keepLines w:val="0"/>
        <w:widowControl/>
        <w:wordWrap w:val="0"/>
        <w:topLinePunct/>
        <w:adjustRightInd w:val="0"/>
        <w:snapToGrid w:val="0"/>
        <w:spacing w:before="0" w:beforeLines="0" w:after="0" w:afterLines="0" w:line="480" w:lineRule="exact"/>
        <w:ind w:firstLine="307" w:firstLineChars="128"/>
        <w:rPr>
          <w:rFonts w:hint="eastAsia" w:ascii="仿宋_GB2312"/>
          <w:color w:val="auto"/>
          <w:sz w:val="24"/>
          <w:szCs w:val="24"/>
          <w:highlight w:val="none"/>
        </w:rPr>
      </w:pPr>
      <w:r>
        <w:rPr>
          <w:rFonts w:hint="eastAsia" w:ascii="仿宋_GB2312"/>
          <w:color w:val="auto"/>
          <w:sz w:val="24"/>
          <w:szCs w:val="24"/>
          <w:highlight w:val="none"/>
        </w:rPr>
        <w:t>第三条 本合同设计项目的名称、规模、阶段、设计内容及设计估算投资：</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3.1</w:t>
      </w:r>
      <w:r>
        <w:rPr>
          <w:rFonts w:hint="eastAsia" w:ascii="仿宋_GB2312" w:eastAsia="仿宋_GB2312"/>
          <w:color w:val="auto"/>
          <w:sz w:val="24"/>
          <w:highlight w:val="none"/>
        </w:rPr>
        <w:t>工程名称：</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3.2</w:t>
      </w:r>
      <w:r>
        <w:rPr>
          <w:rFonts w:hint="eastAsia" w:ascii="仿宋_GB2312" w:eastAsia="仿宋_GB2312"/>
          <w:color w:val="auto"/>
          <w:sz w:val="24"/>
          <w:highlight w:val="none"/>
        </w:rPr>
        <w:t>规模：</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3.3</w:t>
      </w:r>
      <w:r>
        <w:rPr>
          <w:rFonts w:hint="eastAsia" w:ascii="仿宋_GB2312" w:eastAsia="仿宋_GB2312"/>
          <w:color w:val="auto"/>
          <w:sz w:val="24"/>
          <w:highlight w:val="none"/>
        </w:rPr>
        <w:t>阶段：</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rPr>
        <w:t>。</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3.4</w:t>
      </w:r>
      <w:r>
        <w:rPr>
          <w:rFonts w:hint="eastAsia" w:ascii="仿宋_GB2312" w:eastAsia="仿宋_GB2312"/>
          <w:color w:val="auto"/>
          <w:sz w:val="24"/>
          <w:highlight w:val="none"/>
        </w:rPr>
        <w:t>项目设计内容：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eastAsia="zh-CN"/>
        </w:rPr>
        <w:t>。</w:t>
      </w:r>
      <w:r>
        <w:rPr>
          <w:rFonts w:hint="eastAsia" w:ascii="仿宋_GB2312" w:eastAsia="仿宋_GB2312"/>
          <w:color w:val="auto"/>
          <w:sz w:val="24"/>
          <w:highlight w:val="none"/>
          <w:u w:val="single"/>
          <w:shd w:val="clear" w:color="auto" w:fill="auto"/>
          <w:lang w:eastAsia="zh-CN"/>
        </w:rPr>
        <w:t>包括</w:t>
      </w:r>
      <w:r>
        <w:rPr>
          <w:rFonts w:hint="eastAsia" w:ascii="仿宋_GB2312" w:eastAsia="仿宋_GB2312"/>
          <w:color w:val="auto"/>
          <w:sz w:val="24"/>
          <w:highlight w:val="none"/>
          <w:u w:val="single"/>
          <w:shd w:val="clear" w:color="auto" w:fill="auto"/>
        </w:rPr>
        <w:t>招标设计、初步设计及概算、施工图设计、现场服务（含工程变更）、配合编制竣工图</w:t>
      </w:r>
      <w:r>
        <w:rPr>
          <w:rFonts w:hint="eastAsia" w:ascii="仿宋_GB2312" w:eastAsia="仿宋_GB2312"/>
          <w:color w:val="auto"/>
          <w:sz w:val="24"/>
          <w:highlight w:val="none"/>
          <w:u w:val="single"/>
          <w:shd w:val="clear" w:color="auto" w:fill="auto"/>
          <w:lang w:eastAsia="zh-CN"/>
        </w:rPr>
        <w:t>及</w:t>
      </w:r>
      <w:r>
        <w:rPr>
          <w:rFonts w:hint="eastAsia" w:ascii="仿宋_GB2312" w:eastAsia="仿宋_GB2312"/>
          <w:color w:val="auto"/>
          <w:sz w:val="24"/>
          <w:highlight w:val="none"/>
          <w:u w:val="single"/>
          <w:shd w:val="clear" w:color="auto" w:fill="auto"/>
        </w:rPr>
        <w:t>相关报建等工作</w:t>
      </w:r>
      <w:r>
        <w:rPr>
          <w:rFonts w:hint="eastAsia" w:ascii="仿宋_GB2312" w:eastAsia="仿宋_GB2312"/>
          <w:color w:val="auto"/>
          <w:sz w:val="24"/>
          <w:highlight w:val="none"/>
        </w:rPr>
        <w:t>。</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3.5</w:t>
      </w:r>
      <w:r>
        <w:rPr>
          <w:rFonts w:hint="eastAsia" w:ascii="仿宋_GB2312" w:eastAsia="仿宋_GB2312"/>
          <w:color w:val="auto"/>
          <w:sz w:val="24"/>
          <w:highlight w:val="none"/>
        </w:rPr>
        <w:t>设计估算投资：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pStyle w:val="6"/>
        <w:keepNext w:val="0"/>
        <w:keepLines w:val="0"/>
        <w:widowControl/>
        <w:wordWrap w:val="0"/>
        <w:topLinePunct/>
        <w:adjustRightInd w:val="0"/>
        <w:snapToGrid w:val="0"/>
        <w:spacing w:before="0" w:beforeLines="0" w:after="0" w:afterLines="0" w:line="480" w:lineRule="exact"/>
        <w:ind w:firstLine="480" w:firstLineChars="200"/>
        <w:rPr>
          <w:rFonts w:hint="eastAsia" w:ascii="仿宋_GB2312"/>
          <w:color w:val="auto"/>
          <w:sz w:val="24"/>
          <w:szCs w:val="24"/>
          <w:highlight w:val="none"/>
        </w:rPr>
      </w:pPr>
      <w:r>
        <w:rPr>
          <w:rFonts w:hint="eastAsia" w:ascii="仿宋_GB2312"/>
          <w:color w:val="auto"/>
          <w:sz w:val="24"/>
          <w:szCs w:val="24"/>
          <w:highlight w:val="none"/>
        </w:rPr>
        <w:t xml:space="preserve">第四条 发包人应向设计人提交的有关资料及文件： </w:t>
      </w: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2769"/>
        <w:gridCol w:w="851"/>
        <w:gridCol w:w="1559"/>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exact"/>
          <w:jc w:val="center"/>
        </w:trPr>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序号</w:t>
            </w:r>
          </w:p>
        </w:tc>
        <w:tc>
          <w:tcPr>
            <w:tcW w:w="2769"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资料及文件名称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份数</w:t>
            </w:r>
          </w:p>
        </w:tc>
        <w:tc>
          <w:tcPr>
            <w:tcW w:w="1559" w:type="dxa"/>
            <w:tcBorders>
              <w:top w:val="single" w:color="auto" w:sz="6" w:space="0"/>
              <w:left w:val="single" w:color="auto" w:sz="6" w:space="0"/>
              <w:bottom w:val="single" w:color="auto" w:sz="6" w:space="0"/>
              <w:right w:val="single" w:color="auto" w:sz="4"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提交日期</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有关事宜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1</w:t>
            </w:r>
          </w:p>
        </w:tc>
        <w:tc>
          <w:tcPr>
            <w:tcW w:w="2769"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设计任务书</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1</w:t>
            </w:r>
          </w:p>
        </w:tc>
        <w:tc>
          <w:tcPr>
            <w:tcW w:w="1559" w:type="dxa"/>
            <w:tcBorders>
              <w:top w:val="single" w:color="auto" w:sz="6" w:space="0"/>
              <w:left w:val="single" w:color="auto" w:sz="6" w:space="0"/>
              <w:bottom w:val="single" w:color="auto" w:sz="6" w:space="0"/>
              <w:right w:val="single" w:color="auto" w:sz="4"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合同签订前</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2</w:t>
            </w:r>
          </w:p>
        </w:tc>
        <w:tc>
          <w:tcPr>
            <w:tcW w:w="2769"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设计基础资料</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1</w:t>
            </w:r>
          </w:p>
        </w:tc>
        <w:tc>
          <w:tcPr>
            <w:tcW w:w="1559" w:type="dxa"/>
            <w:tcBorders>
              <w:top w:val="single" w:color="auto" w:sz="6" w:space="0"/>
              <w:left w:val="single" w:color="auto" w:sz="6" w:space="0"/>
              <w:bottom w:val="single" w:color="auto" w:sz="6" w:space="0"/>
              <w:right w:val="single" w:color="auto" w:sz="4"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合同签订前</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3</w:t>
            </w:r>
          </w:p>
        </w:tc>
        <w:tc>
          <w:tcPr>
            <w:tcW w:w="2769"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政府有关批文及各阶段批复文件</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1</w:t>
            </w:r>
          </w:p>
        </w:tc>
        <w:tc>
          <w:tcPr>
            <w:tcW w:w="1559" w:type="dxa"/>
            <w:tcBorders>
              <w:top w:val="single" w:color="auto" w:sz="6" w:space="0"/>
              <w:left w:val="single" w:color="auto" w:sz="6" w:space="0"/>
              <w:bottom w:val="single" w:color="auto" w:sz="6" w:space="0"/>
              <w:right w:val="single" w:color="auto" w:sz="4"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合同签订前</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p>
        </w:tc>
      </w:tr>
    </w:tbl>
    <w:p>
      <w:pPr>
        <w:pStyle w:val="6"/>
        <w:keepNext w:val="0"/>
        <w:keepLines w:val="0"/>
        <w:widowControl/>
        <w:wordWrap w:val="0"/>
        <w:topLinePunct/>
        <w:adjustRightInd w:val="0"/>
        <w:snapToGrid w:val="0"/>
        <w:spacing w:before="0" w:beforeLines="0" w:after="0" w:afterLines="0" w:line="480" w:lineRule="exact"/>
        <w:ind w:firstLine="480" w:firstLineChars="200"/>
        <w:rPr>
          <w:rFonts w:hint="eastAsia" w:ascii="仿宋_GB2312"/>
          <w:color w:val="auto"/>
          <w:sz w:val="24"/>
          <w:szCs w:val="24"/>
          <w:highlight w:val="none"/>
        </w:rPr>
      </w:pPr>
      <w:r>
        <w:rPr>
          <w:rFonts w:hint="eastAsia" w:ascii="仿宋_GB2312"/>
          <w:color w:val="auto"/>
          <w:sz w:val="24"/>
          <w:szCs w:val="24"/>
          <w:highlight w:val="none"/>
        </w:rPr>
        <w:t>第五条 设计人应向发包人交付的设计资料及文件：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27"/>
        <w:gridCol w:w="813"/>
        <w:gridCol w:w="224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序号</w:t>
            </w:r>
          </w:p>
        </w:tc>
        <w:tc>
          <w:tcPr>
            <w:tcW w:w="2427"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资料及文件名称</w:t>
            </w:r>
          </w:p>
        </w:tc>
        <w:tc>
          <w:tcPr>
            <w:tcW w:w="813"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份数</w:t>
            </w:r>
          </w:p>
        </w:tc>
        <w:tc>
          <w:tcPr>
            <w:tcW w:w="2249"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提交日期</w:t>
            </w:r>
          </w:p>
        </w:tc>
        <w:tc>
          <w:tcPr>
            <w:tcW w:w="1701"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方案设计阶段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1</w:t>
            </w:r>
          </w:p>
        </w:tc>
        <w:tc>
          <w:tcPr>
            <w:tcW w:w="2427" w:type="dxa"/>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修改方案设计图</w:t>
            </w:r>
          </w:p>
        </w:tc>
        <w:tc>
          <w:tcPr>
            <w:tcW w:w="813"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15</w:t>
            </w:r>
          </w:p>
        </w:tc>
        <w:tc>
          <w:tcPr>
            <w:tcW w:w="2249" w:type="dxa"/>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收到方案修改意见后</w:t>
            </w:r>
            <w:r>
              <w:rPr>
                <w:rFonts w:hint="eastAsia" w:ascii="仿宋_GB2312" w:hAnsi="宋体" w:eastAsia="仿宋_GB2312"/>
                <w:bCs/>
                <w:color w:val="auto"/>
                <w:spacing w:val="20"/>
                <w:sz w:val="24"/>
                <w:highlight w:val="none"/>
                <w:u w:val="single"/>
                <w:lang w:eastAsia="zh-CN"/>
              </w:rPr>
              <w:t xml:space="preserve"> </w:t>
            </w:r>
            <w:r>
              <w:rPr>
                <w:rFonts w:hint="eastAsia" w:ascii="仿宋_GB2312" w:hAnsi="宋体" w:eastAsia="仿宋_GB2312"/>
                <w:bCs/>
                <w:color w:val="auto"/>
                <w:spacing w:val="20"/>
                <w:sz w:val="24"/>
                <w:highlight w:val="none"/>
                <w:u w:val="single"/>
                <w:lang w:val="en-US" w:eastAsia="zh-CN"/>
              </w:rPr>
              <w:t xml:space="preserve">  </w:t>
            </w:r>
            <w:r>
              <w:rPr>
                <w:rFonts w:hint="eastAsia" w:ascii="仿宋_GB2312" w:hAnsi="宋体" w:eastAsia="仿宋_GB2312"/>
                <w:bCs/>
                <w:color w:val="auto"/>
                <w:spacing w:val="20"/>
                <w:sz w:val="24"/>
                <w:highlight w:val="none"/>
              </w:rPr>
              <w:t>天</w:t>
            </w:r>
          </w:p>
        </w:tc>
        <w:tc>
          <w:tcPr>
            <w:tcW w:w="1701"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初步设计阶段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8"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2</w:t>
            </w:r>
          </w:p>
        </w:tc>
        <w:tc>
          <w:tcPr>
            <w:tcW w:w="2427" w:type="dxa"/>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初步设计图</w:t>
            </w:r>
          </w:p>
        </w:tc>
        <w:tc>
          <w:tcPr>
            <w:tcW w:w="813"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15</w:t>
            </w:r>
          </w:p>
        </w:tc>
        <w:tc>
          <w:tcPr>
            <w:tcW w:w="2249" w:type="dxa"/>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方案批复后</w:t>
            </w:r>
            <w:r>
              <w:rPr>
                <w:rFonts w:hint="eastAsia" w:ascii="仿宋_GB2312" w:hAnsi="宋体" w:eastAsia="仿宋_GB2312"/>
                <w:bCs/>
                <w:color w:val="auto"/>
                <w:spacing w:val="20"/>
                <w:sz w:val="24"/>
                <w:highlight w:val="none"/>
                <w:lang w:val="en-US" w:eastAsia="zh-CN"/>
              </w:rPr>
              <w:t xml:space="preserve">  </w:t>
            </w:r>
            <w:r>
              <w:rPr>
                <w:rFonts w:hint="eastAsia" w:ascii="仿宋_GB2312" w:hAnsi="宋体" w:eastAsia="仿宋_GB2312"/>
                <w:bCs/>
                <w:color w:val="auto"/>
                <w:spacing w:val="20"/>
                <w:sz w:val="24"/>
                <w:highlight w:val="none"/>
              </w:rPr>
              <w:t>天</w:t>
            </w:r>
          </w:p>
        </w:tc>
        <w:tc>
          <w:tcPr>
            <w:tcW w:w="1701"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8"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3</w:t>
            </w:r>
          </w:p>
        </w:tc>
        <w:tc>
          <w:tcPr>
            <w:tcW w:w="2427" w:type="dxa"/>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设计概算</w:t>
            </w:r>
          </w:p>
        </w:tc>
        <w:tc>
          <w:tcPr>
            <w:tcW w:w="813"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8</w:t>
            </w:r>
          </w:p>
        </w:tc>
        <w:tc>
          <w:tcPr>
            <w:tcW w:w="2249" w:type="dxa"/>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方案批复后</w:t>
            </w:r>
            <w:r>
              <w:rPr>
                <w:rFonts w:hint="eastAsia" w:ascii="仿宋_GB2312" w:hAnsi="宋体" w:eastAsia="仿宋_GB2312"/>
                <w:bCs/>
                <w:color w:val="auto"/>
                <w:spacing w:val="20"/>
                <w:sz w:val="24"/>
                <w:highlight w:val="none"/>
                <w:lang w:val="en-US" w:eastAsia="zh-CN"/>
              </w:rPr>
              <w:t xml:space="preserve">  </w:t>
            </w:r>
            <w:r>
              <w:rPr>
                <w:rFonts w:hint="eastAsia" w:ascii="仿宋_GB2312" w:hAnsi="宋体" w:eastAsia="仿宋_GB2312"/>
                <w:bCs/>
                <w:color w:val="auto"/>
                <w:spacing w:val="20"/>
                <w:sz w:val="24"/>
                <w:highlight w:val="none"/>
              </w:rPr>
              <w:t>天</w:t>
            </w:r>
          </w:p>
        </w:tc>
        <w:tc>
          <w:tcPr>
            <w:tcW w:w="1701"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4</w:t>
            </w:r>
          </w:p>
        </w:tc>
        <w:tc>
          <w:tcPr>
            <w:tcW w:w="2427" w:type="dxa"/>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施工设计图</w:t>
            </w:r>
          </w:p>
        </w:tc>
        <w:tc>
          <w:tcPr>
            <w:tcW w:w="813"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20</w:t>
            </w:r>
          </w:p>
        </w:tc>
        <w:tc>
          <w:tcPr>
            <w:tcW w:w="2249" w:type="dxa"/>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初步设计批复后</w:t>
            </w:r>
            <w:r>
              <w:rPr>
                <w:rFonts w:hint="eastAsia" w:ascii="仿宋_GB2312" w:hAnsi="宋体" w:eastAsia="仿宋_GB2312"/>
                <w:bCs/>
                <w:color w:val="auto"/>
                <w:spacing w:val="20"/>
                <w:sz w:val="24"/>
                <w:highlight w:val="none"/>
                <w:lang w:val="en-US" w:eastAsia="zh-CN"/>
              </w:rPr>
              <w:t xml:space="preserve">  </w:t>
            </w:r>
            <w:r>
              <w:rPr>
                <w:rFonts w:hint="eastAsia" w:ascii="仿宋_GB2312" w:hAnsi="宋体" w:eastAsia="仿宋_GB2312"/>
                <w:bCs/>
                <w:color w:val="auto"/>
                <w:spacing w:val="20"/>
                <w:sz w:val="24"/>
                <w:highlight w:val="none"/>
              </w:rPr>
              <w:t>天</w:t>
            </w:r>
          </w:p>
        </w:tc>
        <w:tc>
          <w:tcPr>
            <w:tcW w:w="1701"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p>
        </w:tc>
        <w:tc>
          <w:tcPr>
            <w:tcW w:w="2427" w:type="dxa"/>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电子文件</w:t>
            </w:r>
          </w:p>
        </w:tc>
        <w:tc>
          <w:tcPr>
            <w:tcW w:w="813"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p>
        </w:tc>
        <w:tc>
          <w:tcPr>
            <w:tcW w:w="2249" w:type="dxa"/>
            <w:noWrap w:val="0"/>
            <w:vAlign w:val="center"/>
          </w:tcPr>
          <w:p>
            <w:pPr>
              <w:widowControl/>
              <w:wordWrap w:val="0"/>
              <w:topLinePunct/>
              <w:adjustRightInd w:val="0"/>
              <w:snapToGrid w:val="0"/>
              <w:spacing w:line="480" w:lineRule="exact"/>
              <w:rPr>
                <w:rFonts w:hint="eastAsia" w:ascii="仿宋_GB2312" w:hAnsi="宋体" w:eastAsia="仿宋_GB2312"/>
                <w:bCs/>
                <w:color w:val="auto"/>
                <w:spacing w:val="20"/>
                <w:sz w:val="24"/>
                <w:highlight w:val="none"/>
              </w:rPr>
            </w:pPr>
            <w:r>
              <w:rPr>
                <w:rFonts w:hint="eastAsia" w:ascii="仿宋_GB2312" w:hAnsi="宋体" w:eastAsia="仿宋_GB2312"/>
                <w:bCs/>
                <w:color w:val="auto"/>
                <w:spacing w:val="20"/>
                <w:sz w:val="24"/>
                <w:highlight w:val="none"/>
              </w:rPr>
              <w:t>与上述文件同时提交</w:t>
            </w:r>
          </w:p>
        </w:tc>
        <w:tc>
          <w:tcPr>
            <w:tcW w:w="1701" w:type="dxa"/>
            <w:noWrap w:val="0"/>
            <w:vAlign w:val="center"/>
          </w:tcPr>
          <w:p>
            <w:pPr>
              <w:widowControl/>
              <w:wordWrap w:val="0"/>
              <w:topLinePunct/>
              <w:adjustRightInd w:val="0"/>
              <w:snapToGrid w:val="0"/>
              <w:spacing w:line="480" w:lineRule="exact"/>
              <w:jc w:val="center"/>
              <w:rPr>
                <w:rFonts w:hint="eastAsia" w:ascii="仿宋_GB2312" w:hAnsi="宋体" w:eastAsia="仿宋_GB2312"/>
                <w:bCs/>
                <w:color w:val="auto"/>
                <w:spacing w:val="20"/>
                <w:sz w:val="24"/>
                <w:highlight w:val="none"/>
              </w:rPr>
            </w:pPr>
          </w:p>
        </w:tc>
      </w:tr>
    </w:tbl>
    <w:p>
      <w:pPr>
        <w:widowControl/>
        <w:wordWrap w:val="0"/>
        <w:topLinePunct/>
        <w:adjustRightInd w:val="0"/>
        <w:snapToGrid w:val="0"/>
        <w:spacing w:line="480" w:lineRule="exact"/>
        <w:ind w:firstLine="457" w:firstLineChars="218"/>
        <w:rPr>
          <w:rFonts w:hint="eastAsia"/>
          <w:color w:val="auto"/>
          <w:highlight w:val="none"/>
        </w:rPr>
      </w:pPr>
      <w:r>
        <w:rPr>
          <w:rFonts w:hint="eastAsia"/>
          <w:color w:val="auto"/>
          <w:highlight w:val="none"/>
        </w:rPr>
        <w:t>注：</w:t>
      </w:r>
      <w:r>
        <w:rPr>
          <w:color w:val="auto"/>
          <w:highlight w:val="none"/>
        </w:rPr>
        <w:t>设计人向发包人提交的电子版本的设计文件应适用如下标准：</w:t>
      </w:r>
      <w:r>
        <w:rPr>
          <w:color w:val="auto"/>
          <w:highlight w:val="none"/>
        </w:rPr>
        <w:br w:type="textWrapping"/>
      </w:r>
      <w:r>
        <w:rPr>
          <w:rFonts w:hint="eastAsia"/>
          <w:color w:val="auto"/>
          <w:highlight w:val="none"/>
        </w:rPr>
        <w:t xml:space="preserve">    </w:t>
      </w:r>
      <w:r>
        <w:rPr>
          <w:color w:val="auto"/>
          <w:highlight w:val="none"/>
        </w:rPr>
        <w:t>1、文字资料应当使用Microsoft Word 及Excel软件。</w:t>
      </w:r>
      <w:r>
        <w:rPr>
          <w:color w:val="auto"/>
          <w:highlight w:val="none"/>
        </w:rPr>
        <w:br w:type="textWrapping"/>
      </w:r>
      <w:r>
        <w:rPr>
          <w:rFonts w:hint="eastAsia"/>
          <w:color w:val="auto"/>
          <w:highlight w:val="none"/>
        </w:rPr>
        <w:t xml:space="preserve">    </w:t>
      </w:r>
      <w:r>
        <w:rPr>
          <w:color w:val="auto"/>
          <w:highlight w:val="none"/>
        </w:rPr>
        <w:t>2、图纸资料应当使用AutoCAD及pdf文件，其中AutoCAD文件格式使用dwg格式</w:t>
      </w:r>
      <w:r>
        <w:rPr>
          <w:rFonts w:hint="eastAsia"/>
          <w:color w:val="auto"/>
          <w:highlight w:val="none"/>
        </w:rPr>
        <w:t xml:space="preserve">。  </w:t>
      </w:r>
    </w:p>
    <w:p>
      <w:pPr>
        <w:widowControl/>
        <w:wordWrap w:val="0"/>
        <w:topLinePunct/>
        <w:adjustRightInd w:val="0"/>
        <w:snapToGrid w:val="0"/>
        <w:spacing w:line="480" w:lineRule="exact"/>
        <w:ind w:firstLine="457" w:firstLineChars="218"/>
        <w:rPr>
          <w:color w:val="auto"/>
          <w:highlight w:val="none"/>
        </w:rPr>
      </w:pPr>
      <w:r>
        <w:rPr>
          <w:color w:val="auto"/>
          <w:highlight w:val="none"/>
        </w:rPr>
        <w:t>3、提供CAD图纸的同时应提供所有图纸中所使用的字体文件。如有外部引用，必须包含所有外部引用的全部文件及字体，文件名必须与图名相对应，每个文件对应一张图并注明版本号。</w:t>
      </w:r>
      <w:r>
        <w:rPr>
          <w:color w:val="auto"/>
          <w:highlight w:val="none"/>
        </w:rPr>
        <w:br w:type="textWrapping"/>
      </w:r>
      <w:r>
        <w:rPr>
          <w:rFonts w:hint="eastAsia"/>
          <w:color w:val="auto"/>
          <w:highlight w:val="none"/>
        </w:rPr>
        <w:t xml:space="preserve">    </w:t>
      </w:r>
      <w:r>
        <w:rPr>
          <w:color w:val="auto"/>
          <w:highlight w:val="none"/>
        </w:rPr>
        <w:t>4、效果图资料使用jpg格式的文件。</w:t>
      </w:r>
      <w:r>
        <w:rPr>
          <w:color w:val="auto"/>
          <w:highlight w:val="none"/>
        </w:rPr>
        <w:br w:type="textWrapping"/>
      </w:r>
      <w:r>
        <w:rPr>
          <w:rFonts w:hint="eastAsia"/>
          <w:color w:val="auto"/>
          <w:highlight w:val="none"/>
        </w:rPr>
        <w:t xml:space="preserve">    </w:t>
      </w:r>
      <w:r>
        <w:rPr>
          <w:color w:val="auto"/>
          <w:highlight w:val="none"/>
        </w:rPr>
        <w:t>5、项目电子图纸、图片及文字资料所有权归发包人，设计人不得对所提交电子文件设置加密锁、只读格式、附带专项软件启动条件，以及发包人认为不合理的限制格式。</w:t>
      </w:r>
    </w:p>
    <w:p>
      <w:pPr>
        <w:widowControl/>
        <w:wordWrap w:val="0"/>
        <w:topLinePunct/>
        <w:adjustRightInd w:val="0"/>
        <w:snapToGrid w:val="0"/>
        <w:spacing w:line="480" w:lineRule="exact"/>
        <w:ind w:firstLine="525" w:firstLineChars="218"/>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5.1</w:t>
      </w:r>
      <w:r>
        <w:rPr>
          <w:rFonts w:hint="eastAsia" w:ascii="仿宋_GB2312" w:eastAsia="仿宋_GB2312"/>
          <w:color w:val="auto"/>
          <w:sz w:val="24"/>
          <w:highlight w:val="none"/>
        </w:rPr>
        <w:t>设计文件包括设计资料、设计文件、设计图纸及其电子版本。</w:t>
      </w:r>
    </w:p>
    <w:p>
      <w:pPr>
        <w:widowControl/>
        <w:wordWrap w:val="0"/>
        <w:topLinePunct/>
        <w:adjustRightInd w:val="0"/>
        <w:snapToGrid w:val="0"/>
        <w:spacing w:line="480" w:lineRule="exact"/>
        <w:ind w:firstLine="525" w:firstLineChars="218"/>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5.2</w:t>
      </w:r>
      <w:r>
        <w:rPr>
          <w:rFonts w:hint="eastAsia" w:ascii="仿宋_GB2312" w:eastAsia="仿宋_GB2312"/>
          <w:color w:val="auto"/>
          <w:sz w:val="24"/>
          <w:highlight w:val="none"/>
        </w:rPr>
        <w:t>设计图纸含总体规划方案设计图、总设计说明以及必要的设计资料和设计计算书等附件。</w:t>
      </w:r>
    </w:p>
    <w:p>
      <w:pPr>
        <w:widowControl/>
        <w:wordWrap w:val="0"/>
        <w:topLinePunct/>
        <w:adjustRightInd w:val="0"/>
        <w:snapToGrid w:val="0"/>
        <w:spacing w:line="480" w:lineRule="exact"/>
        <w:ind w:firstLine="525" w:firstLineChars="218"/>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5.3</w:t>
      </w:r>
      <w:r>
        <w:rPr>
          <w:rFonts w:hint="eastAsia" w:ascii="仿宋_GB2312" w:eastAsia="仿宋_GB2312"/>
          <w:color w:val="auto"/>
          <w:sz w:val="24"/>
          <w:highlight w:val="none"/>
        </w:rPr>
        <w:t>设计人应按发包人制定的项目编码方式进行文件、图纸的编码，并遵守发包人制定的设计文件、图纸、资料的发放、回收和验收制度。</w:t>
      </w:r>
    </w:p>
    <w:p>
      <w:pPr>
        <w:widowControl/>
        <w:wordWrap w:val="0"/>
        <w:topLinePunct/>
        <w:adjustRightInd w:val="0"/>
        <w:snapToGrid w:val="0"/>
        <w:spacing w:line="480" w:lineRule="exact"/>
        <w:ind w:firstLine="525" w:firstLineChars="218"/>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5.4</w:t>
      </w:r>
      <w:r>
        <w:rPr>
          <w:rFonts w:hint="eastAsia" w:ascii="仿宋_GB2312" w:eastAsia="仿宋_GB2312"/>
          <w:color w:val="auto"/>
          <w:sz w:val="24"/>
          <w:highlight w:val="none"/>
        </w:rPr>
        <w:t>设计人须向发包人提交初步设计、扩大初步设计说明书及附图15份，原图15份、初步设计概算 8份、相应的电子设计文件及文档 2份（刻制成光盘）；提交设计施工图纸20份（视招标情况定，并且根据招标要求分册）、设计计算书2份、相应的电子设计文件及文档2份（刻制成光盘）。</w:t>
      </w:r>
    </w:p>
    <w:p>
      <w:pPr>
        <w:widowControl/>
        <w:wordWrap w:val="0"/>
        <w:topLinePunct/>
        <w:adjustRightInd w:val="0"/>
        <w:snapToGrid w:val="0"/>
        <w:spacing w:line="480" w:lineRule="exact"/>
        <w:ind w:firstLine="525" w:firstLineChars="218"/>
        <w:rPr>
          <w:rFonts w:hint="eastAsia" w:ascii="仿宋_GB2312" w:eastAsia="仿宋_GB2312"/>
          <w:color w:val="auto"/>
          <w:sz w:val="24"/>
          <w:highlight w:val="none"/>
          <w:shd w:val="pct10" w:color="auto" w:fill="FFFFFF"/>
        </w:rPr>
      </w:pPr>
      <w:r>
        <w:rPr>
          <w:rFonts w:hint="eastAsia" w:ascii="仿宋_GB2312" w:eastAsia="仿宋_GB2312"/>
          <w:b/>
          <w:color w:val="auto"/>
          <w:sz w:val="24"/>
          <w:highlight w:val="none"/>
          <w:shd w:val="pct10" w:color="auto" w:fill="FFFFFF"/>
        </w:rPr>
        <w:t>5.5</w:t>
      </w:r>
      <w:r>
        <w:rPr>
          <w:rFonts w:hint="eastAsia" w:ascii="仿宋_GB2312" w:eastAsia="仿宋_GB2312"/>
          <w:color w:val="auto"/>
          <w:sz w:val="24"/>
          <w:highlight w:val="none"/>
        </w:rPr>
        <w:t>在提交初步设计（部分）及施工设计文件的同时或发包人要求的其他时间，设计人提供进行招标工作所需的工程概况及招标技术规范，各一式15份。</w:t>
      </w:r>
    </w:p>
    <w:p>
      <w:pPr>
        <w:widowControl/>
        <w:wordWrap w:val="0"/>
        <w:topLinePunct/>
        <w:adjustRightInd w:val="0"/>
        <w:snapToGrid w:val="0"/>
        <w:spacing w:line="480" w:lineRule="exact"/>
        <w:ind w:firstLine="525" w:firstLineChars="218"/>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5.6</w:t>
      </w:r>
      <w:r>
        <w:rPr>
          <w:rFonts w:hint="eastAsia" w:ascii="仿宋_GB2312" w:eastAsia="仿宋_GB2312"/>
          <w:color w:val="auto"/>
          <w:sz w:val="24"/>
          <w:highlight w:val="none"/>
        </w:rPr>
        <w:t>合同双方取得设计文件或资料后应办理签收手续。</w:t>
      </w:r>
    </w:p>
    <w:p>
      <w:pPr>
        <w:widowControl/>
        <w:wordWrap w:val="0"/>
        <w:topLinePunct/>
        <w:adjustRightInd w:val="0"/>
        <w:snapToGrid w:val="0"/>
        <w:spacing w:line="480" w:lineRule="exact"/>
        <w:ind w:firstLine="525" w:firstLineChars="218"/>
        <w:rPr>
          <w:rFonts w:hint="eastAsia" w:ascii="仿宋_GB2312" w:eastAsia="仿宋_GB2312"/>
          <w:b/>
          <w:color w:val="auto"/>
          <w:sz w:val="24"/>
          <w:highlight w:val="none"/>
          <w:shd w:val="pct10" w:color="auto" w:fill="FFFFFF"/>
        </w:rPr>
      </w:pPr>
      <w:r>
        <w:rPr>
          <w:rFonts w:hint="eastAsia" w:ascii="仿宋_GB2312" w:eastAsia="仿宋_GB2312"/>
          <w:b/>
          <w:color w:val="auto"/>
          <w:sz w:val="24"/>
          <w:highlight w:val="none"/>
          <w:shd w:val="pct10" w:color="auto" w:fill="FFFFFF"/>
        </w:rPr>
        <w:t>5.7</w:t>
      </w:r>
      <w:r>
        <w:rPr>
          <w:rFonts w:hint="eastAsia" w:ascii="仿宋_GB2312" w:eastAsia="仿宋_GB2312"/>
          <w:color w:val="auto"/>
          <w:sz w:val="24"/>
          <w:highlight w:val="none"/>
        </w:rPr>
        <w:t>设计人自行承担办理运输或邮寄或电传设计文件、资料所需的费用。</w:t>
      </w:r>
    </w:p>
    <w:p>
      <w:pPr>
        <w:widowControl/>
        <w:wordWrap w:val="0"/>
        <w:topLinePunct/>
        <w:adjustRightInd w:val="0"/>
        <w:snapToGrid w:val="0"/>
        <w:spacing w:line="480" w:lineRule="exact"/>
        <w:ind w:firstLine="525" w:firstLineChars="218"/>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5.8</w:t>
      </w:r>
      <w:r>
        <w:rPr>
          <w:rFonts w:hint="eastAsia" w:ascii="仿宋_GB2312" w:eastAsia="仿宋_GB2312"/>
          <w:color w:val="auto"/>
          <w:sz w:val="24"/>
          <w:highlight w:val="none"/>
        </w:rPr>
        <w:t>设计人将设计文件交至发包人日常办公所在地或发包人临时指定的地点。设计文件的收发、传送管理按发包人有关规定办理。</w:t>
      </w:r>
    </w:p>
    <w:p>
      <w:pPr>
        <w:widowControl/>
        <w:wordWrap w:val="0"/>
        <w:topLinePunct/>
        <w:adjustRightInd w:val="0"/>
        <w:snapToGrid w:val="0"/>
        <w:spacing w:line="480" w:lineRule="exact"/>
        <w:ind w:firstLine="525" w:firstLineChars="218"/>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5.9</w:t>
      </w:r>
      <w:r>
        <w:rPr>
          <w:rFonts w:hint="eastAsia" w:ascii="仿宋_GB2312" w:eastAsia="仿宋_GB2312"/>
          <w:color w:val="auto"/>
          <w:sz w:val="24"/>
          <w:highlight w:val="none"/>
        </w:rPr>
        <w:t>设计总说明必须于提交各阶段成果时同期交付。</w:t>
      </w:r>
    </w:p>
    <w:p>
      <w:pPr>
        <w:widowControl/>
        <w:wordWrap w:val="0"/>
        <w:topLinePunct/>
        <w:adjustRightInd w:val="0"/>
        <w:snapToGrid w:val="0"/>
        <w:spacing w:line="480" w:lineRule="exact"/>
        <w:ind w:firstLine="525" w:firstLineChars="218"/>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5.10</w:t>
      </w:r>
      <w:r>
        <w:rPr>
          <w:rFonts w:hint="eastAsia" w:ascii="仿宋_GB2312" w:eastAsia="仿宋_GB2312"/>
          <w:color w:val="auto"/>
          <w:sz w:val="24"/>
          <w:highlight w:val="none"/>
        </w:rPr>
        <w:t>分包设计费已含分包单位（主设计单位）晒图费用，设计分包单位晒图不再另行支付费用。</w:t>
      </w:r>
    </w:p>
    <w:p>
      <w:pPr>
        <w:widowControl/>
        <w:wordWrap w:val="0"/>
        <w:topLinePunct/>
        <w:adjustRightInd w:val="0"/>
        <w:snapToGrid w:val="0"/>
        <w:spacing w:line="480" w:lineRule="exact"/>
        <w:ind w:firstLine="525" w:firstLineChars="218"/>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5.11</w:t>
      </w:r>
      <w:r>
        <w:rPr>
          <w:rFonts w:hint="eastAsia" w:ascii="仿宋_GB2312" w:eastAsia="仿宋_GB2312"/>
          <w:color w:val="auto"/>
          <w:sz w:val="24"/>
          <w:highlight w:val="none"/>
        </w:rPr>
        <w:t>本合同生效之日起至起至</w:t>
      </w:r>
      <w:r>
        <w:rPr>
          <w:rFonts w:hint="eastAsia" w:ascii="仿宋_GB2312" w:eastAsia="仿宋_GB2312"/>
          <w:color w:val="auto"/>
          <w:sz w:val="24"/>
          <w:highlight w:val="none"/>
          <w:lang w:eastAsia="zh-CN"/>
        </w:rPr>
        <w:t>本</w:t>
      </w:r>
      <w:r>
        <w:rPr>
          <w:rFonts w:hint="eastAsia" w:ascii="仿宋_GB2312" w:eastAsia="仿宋_GB2312"/>
          <w:color w:val="auto"/>
          <w:sz w:val="24"/>
          <w:highlight w:val="none"/>
        </w:rPr>
        <w:t>工程质量缺陷保修期</w:t>
      </w:r>
      <w:r>
        <w:rPr>
          <w:rFonts w:hint="eastAsia" w:ascii="仿宋_GB2312" w:eastAsia="仿宋_GB2312"/>
          <w:color w:val="auto"/>
          <w:sz w:val="24"/>
          <w:highlight w:val="none"/>
          <w:lang w:eastAsia="zh-CN"/>
        </w:rPr>
        <w:t>满</w:t>
      </w:r>
      <w:r>
        <w:rPr>
          <w:rFonts w:hint="eastAsia" w:ascii="仿宋_GB2312" w:eastAsia="仿宋_GB2312"/>
          <w:color w:val="auto"/>
          <w:sz w:val="24"/>
          <w:highlight w:val="none"/>
        </w:rPr>
        <w:t>为服务期限。在工程缺陷保修期内，若发现工程设计未能满足本合同的要求，设计人须继续提供服务，直至满足要求为止，对此发包方不额外支付费用。</w:t>
      </w:r>
    </w:p>
    <w:p>
      <w:pPr>
        <w:pStyle w:val="6"/>
        <w:keepNext w:val="0"/>
        <w:keepLines w:val="0"/>
        <w:widowControl/>
        <w:wordWrap w:val="0"/>
        <w:topLinePunct/>
        <w:adjustRightInd w:val="0"/>
        <w:snapToGrid w:val="0"/>
        <w:spacing w:before="0" w:beforeLines="0" w:after="0" w:afterLines="0" w:line="480" w:lineRule="exact"/>
        <w:ind w:firstLine="470" w:firstLineChars="196"/>
        <w:rPr>
          <w:rFonts w:hint="eastAsia" w:ascii="仿宋_GB2312"/>
          <w:color w:val="auto"/>
          <w:sz w:val="24"/>
          <w:szCs w:val="24"/>
          <w:highlight w:val="none"/>
        </w:rPr>
      </w:pPr>
      <w:r>
        <w:rPr>
          <w:rFonts w:hint="eastAsia" w:ascii="仿宋_GB2312"/>
          <w:color w:val="auto"/>
          <w:sz w:val="24"/>
          <w:szCs w:val="24"/>
          <w:highlight w:val="none"/>
        </w:rPr>
        <w:t>第六条 设计费金额及支付方式</w:t>
      </w:r>
    </w:p>
    <w:p>
      <w:pPr>
        <w:widowControl/>
        <w:wordWrap w:val="0"/>
        <w:topLinePunct/>
        <w:adjustRightInd w:val="0"/>
        <w:snapToGrid w:val="0"/>
        <w:spacing w:line="480" w:lineRule="exact"/>
        <w:ind w:firstLine="472" w:firstLineChars="196"/>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6.1</w:t>
      </w:r>
      <w:r>
        <w:rPr>
          <w:rFonts w:hint="eastAsia" w:ascii="仿宋_GB2312" w:eastAsia="仿宋_GB2312"/>
          <w:color w:val="auto"/>
          <w:sz w:val="24"/>
          <w:highlight w:val="none"/>
        </w:rPr>
        <w:t>设计费按国家计委、建设部颁发的《工程勘察设计收费标准》（计价格[2002]10号）及</w:t>
      </w:r>
      <w:r>
        <w:rPr>
          <w:rFonts w:hint="eastAsia" w:ascii="仿宋_GB2312" w:hAnsi="Times New Roman" w:eastAsia="仿宋_GB2312" w:cs="Times New Roman"/>
          <w:color w:val="auto"/>
          <w:sz w:val="24"/>
          <w:szCs w:val="24"/>
          <w:highlight w:val="none"/>
        </w:rPr>
        <w:t>穗埔财〔2020〕373 号</w:t>
      </w:r>
      <w:r>
        <w:rPr>
          <w:rFonts w:hint="eastAsia" w:ascii="仿宋_GB2312" w:eastAsia="仿宋_GB2312"/>
          <w:color w:val="auto"/>
          <w:sz w:val="24"/>
          <w:highlight w:val="none"/>
        </w:rPr>
        <w:t>文下浮20%计取</w:t>
      </w:r>
      <w:r>
        <w:rPr>
          <w:rFonts w:hint="eastAsia" w:ascii="宋体" w:hAnsi="宋体" w:eastAsia="宋体" w:cs="宋体"/>
          <w:color w:val="auto"/>
          <w:sz w:val="24"/>
          <w:highlight w:val="none"/>
          <w:u w:val="single"/>
          <w:lang w:val="en-US" w:eastAsia="zh-CN"/>
        </w:rPr>
        <w:t>并执行设计费中标下浮率    后</w:t>
      </w:r>
      <w:r>
        <w:rPr>
          <w:rFonts w:hint="eastAsia" w:ascii="宋体" w:hAnsi="宋体" w:eastAsia="宋体" w:cs="宋体"/>
          <w:color w:val="auto"/>
          <w:sz w:val="24"/>
          <w:highlight w:val="none"/>
        </w:rPr>
        <w:t>计取</w:t>
      </w:r>
      <w:r>
        <w:rPr>
          <w:rFonts w:hint="eastAsia" w:ascii="仿宋_GB2312" w:eastAsia="仿宋_GB2312"/>
          <w:color w:val="auto"/>
          <w:sz w:val="24"/>
          <w:highlight w:val="none"/>
        </w:rPr>
        <w:t>。本项目设计费总额暂以工程费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万元计算，暂定为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万元人民币。设计收费结算以区行业主管部门审定的建设项目投资概算中的建安费</w:t>
      </w:r>
      <w:r>
        <w:rPr>
          <w:rFonts w:hint="eastAsia" w:ascii="仿宋_GB2312" w:eastAsia="仿宋_GB2312"/>
          <w:color w:val="auto"/>
          <w:spacing w:val="10"/>
          <w:sz w:val="24"/>
          <w:highlight w:val="none"/>
        </w:rPr>
        <w:t>、设备与工器具购置费和联合试运转费之和为计费额</w:t>
      </w:r>
      <w:r>
        <w:rPr>
          <w:rFonts w:hint="eastAsia" w:ascii="仿宋_GB2312" w:eastAsia="仿宋_GB2312"/>
          <w:strike/>
          <w:color w:val="auto"/>
          <w:sz w:val="24"/>
          <w:highlight w:val="none"/>
        </w:rPr>
        <w:t>，但本工程建设项目招标控制价小于该计费额</w:t>
      </w:r>
      <w:r>
        <w:rPr>
          <w:rFonts w:hint="eastAsia" w:ascii="仿宋_GB2312" w:eastAsia="仿宋_GB2312"/>
          <w:strike/>
          <w:color w:val="auto"/>
          <w:spacing w:val="10"/>
          <w:sz w:val="24"/>
          <w:highlight w:val="none"/>
        </w:rPr>
        <w:t>的90%的，设计费结算以招标控制价为计费额，</w:t>
      </w:r>
      <w:r>
        <w:rPr>
          <w:rFonts w:hint="eastAsia" w:ascii="仿宋_GB2312" w:eastAsia="仿宋_GB2312"/>
          <w:strike/>
          <w:color w:val="auto"/>
          <w:sz w:val="24"/>
          <w:highlight w:val="none"/>
        </w:rPr>
        <w:t>并调整设计费支付。</w:t>
      </w:r>
      <w:r>
        <w:rPr>
          <w:rFonts w:hint="eastAsia" w:ascii="仿宋_GB2312" w:eastAsia="仿宋_GB2312"/>
          <w:color w:val="auto"/>
          <w:sz w:val="24"/>
          <w:highlight w:val="none"/>
        </w:rPr>
        <w:t>设计费总额包含</w:t>
      </w:r>
      <w:r>
        <w:rPr>
          <w:rFonts w:hint="eastAsia" w:ascii="仿宋_GB2312" w:eastAsia="仿宋_GB2312"/>
          <w:color w:val="auto"/>
          <w:sz w:val="24"/>
          <w:highlight w:val="none"/>
          <w:lang w:eastAsia="zh-CN"/>
        </w:rPr>
        <w:t>本项目未中标单位方案补偿费、</w:t>
      </w:r>
      <w:r>
        <w:rPr>
          <w:rFonts w:hint="eastAsia" w:ascii="仿宋_GB2312" w:eastAsia="仿宋_GB2312"/>
          <w:color w:val="auto"/>
          <w:sz w:val="24"/>
          <w:highlight w:val="none"/>
        </w:rPr>
        <w:t>本合同项目的全部设计费用、设计文件修改费用、招标配合费用、驻场服务费用、设计调研费、配合发包人进行报建、报审、验收工作、设计人委托有工程造价咨询资质单位编制初步设计概算的费用等设计人为完成本项目设计工作所发生的所有费用及税金。</w:t>
      </w:r>
    </w:p>
    <w:p>
      <w:pPr>
        <w:widowControl/>
        <w:wordWrap w:val="0"/>
        <w:topLinePunct/>
        <w:adjustRightInd w:val="0"/>
        <w:snapToGrid w:val="0"/>
        <w:spacing w:line="480" w:lineRule="exact"/>
        <w:ind w:firstLine="470" w:firstLineChars="196"/>
        <w:rPr>
          <w:rFonts w:hint="eastAsia" w:ascii="仿宋_GB2312" w:eastAsia="仿宋_GB2312"/>
          <w:b/>
          <w:color w:val="auto"/>
          <w:sz w:val="24"/>
          <w:highlight w:val="none"/>
          <w:shd w:val="pct10" w:color="auto" w:fill="FFFFFF"/>
        </w:rPr>
      </w:pPr>
      <w:r>
        <w:rPr>
          <w:rFonts w:hint="eastAsia" w:ascii="仿宋_GB2312" w:eastAsia="仿宋_GB2312"/>
          <w:color w:val="auto"/>
          <w:sz w:val="24"/>
          <w:highlight w:val="none"/>
        </w:rPr>
        <w:t>设计费用计算表：（根据工程实际附表）</w:t>
      </w:r>
    </w:p>
    <w:p>
      <w:pPr>
        <w:widowControl/>
        <w:wordWrap w:val="0"/>
        <w:topLinePunct/>
        <w:adjustRightInd w:val="0"/>
        <w:snapToGrid w:val="0"/>
        <w:spacing w:line="480" w:lineRule="exact"/>
        <w:ind w:firstLine="472" w:firstLineChars="196"/>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6.2</w:t>
      </w:r>
      <w:r>
        <w:rPr>
          <w:rFonts w:hint="eastAsia" w:ascii="仿宋_GB2312" w:eastAsia="仿宋_GB2312"/>
          <w:color w:val="auto"/>
          <w:sz w:val="24"/>
          <w:highlight w:val="none"/>
        </w:rPr>
        <w:t>设计费最终结算价以广州开发区财政局或其授权委托单位审定的结算价为准。</w:t>
      </w:r>
      <w:r>
        <w:rPr>
          <w:rFonts w:hint="eastAsia" w:ascii="仿宋_GB2312" w:hAnsi="Times New Roman" w:eastAsia="仿宋_GB2312" w:cs="Times New Roman"/>
          <w:b w:val="0"/>
          <w:bCs w:val="0"/>
          <w:i w:val="0"/>
          <w:iCs w:val="0"/>
          <w:caps w:val="0"/>
          <w:snapToGrid/>
          <w:color w:val="auto"/>
          <w:spacing w:val="0"/>
          <w:kern w:val="2"/>
          <w:sz w:val="24"/>
          <w:szCs w:val="24"/>
          <w:highlight w:val="none"/>
          <w:shd w:val="clear" w:color="auto" w:fill="auto"/>
        </w:rPr>
        <w:t>如遇审计部门审计发现本合同结算价款存在超付的情形，</w:t>
      </w:r>
      <w:r>
        <w:rPr>
          <w:rFonts w:hint="eastAsia" w:ascii="仿宋_GB2312" w:hAnsi="Times New Roman" w:eastAsia="仿宋_GB2312" w:cs="Times New Roman"/>
          <w:b w:val="0"/>
          <w:bCs w:val="0"/>
          <w:i w:val="0"/>
          <w:iCs w:val="0"/>
          <w:caps w:val="0"/>
          <w:snapToGrid/>
          <w:color w:val="auto"/>
          <w:spacing w:val="0"/>
          <w:kern w:val="2"/>
          <w:sz w:val="24"/>
          <w:szCs w:val="24"/>
          <w:highlight w:val="none"/>
          <w:shd w:val="clear" w:color="auto" w:fill="auto"/>
          <w:lang w:val="en-US" w:eastAsia="zh-CN"/>
        </w:rPr>
        <w:t>发包人</w:t>
      </w:r>
      <w:r>
        <w:rPr>
          <w:rFonts w:hint="eastAsia" w:ascii="仿宋_GB2312" w:hAnsi="Times New Roman" w:eastAsia="仿宋_GB2312" w:cs="Times New Roman"/>
          <w:b w:val="0"/>
          <w:bCs w:val="0"/>
          <w:i w:val="0"/>
          <w:iCs w:val="0"/>
          <w:caps w:val="0"/>
          <w:snapToGrid/>
          <w:color w:val="auto"/>
          <w:spacing w:val="0"/>
          <w:kern w:val="2"/>
          <w:sz w:val="24"/>
          <w:szCs w:val="24"/>
          <w:highlight w:val="none"/>
          <w:shd w:val="clear" w:color="auto" w:fill="auto"/>
        </w:rPr>
        <w:t>有权据实要求</w:t>
      </w:r>
      <w:r>
        <w:rPr>
          <w:rFonts w:hint="eastAsia" w:ascii="仿宋_GB2312" w:hAnsi="Times New Roman" w:eastAsia="仿宋_GB2312" w:cs="Times New Roman"/>
          <w:b w:val="0"/>
          <w:bCs w:val="0"/>
          <w:i w:val="0"/>
          <w:iCs w:val="0"/>
          <w:caps w:val="0"/>
          <w:snapToGrid/>
          <w:color w:val="auto"/>
          <w:spacing w:val="0"/>
          <w:kern w:val="2"/>
          <w:sz w:val="24"/>
          <w:szCs w:val="24"/>
          <w:highlight w:val="none"/>
          <w:shd w:val="clear" w:color="auto" w:fill="auto"/>
          <w:lang w:val="en-US" w:eastAsia="zh-CN"/>
        </w:rPr>
        <w:t>设计人</w:t>
      </w:r>
      <w:r>
        <w:rPr>
          <w:rFonts w:hint="eastAsia" w:ascii="仿宋_GB2312" w:hAnsi="Times New Roman" w:eastAsia="仿宋_GB2312" w:cs="Times New Roman"/>
          <w:b w:val="0"/>
          <w:bCs w:val="0"/>
          <w:i w:val="0"/>
          <w:iCs w:val="0"/>
          <w:caps w:val="0"/>
          <w:snapToGrid/>
          <w:color w:val="auto"/>
          <w:spacing w:val="0"/>
          <w:kern w:val="2"/>
          <w:sz w:val="24"/>
          <w:szCs w:val="24"/>
          <w:highlight w:val="none"/>
          <w:shd w:val="clear" w:color="auto" w:fill="auto"/>
        </w:rPr>
        <w:t>返还该部分款项</w:t>
      </w:r>
      <w:r>
        <w:rPr>
          <w:rFonts w:hint="eastAsia" w:ascii="仿宋_GB2312" w:hAnsi="Times New Roman" w:eastAsia="仿宋_GB2312" w:cs="Times New Roman"/>
          <w:b w:val="0"/>
          <w:bCs w:val="0"/>
          <w:i w:val="0"/>
          <w:iCs w:val="0"/>
          <w:caps w:val="0"/>
          <w:snapToGrid/>
          <w:color w:val="auto"/>
          <w:spacing w:val="0"/>
          <w:kern w:val="2"/>
          <w:sz w:val="24"/>
          <w:szCs w:val="24"/>
          <w:highlight w:val="none"/>
          <w:shd w:val="clear" w:color="auto" w:fill="auto"/>
          <w:lang w:eastAsia="zh-CN"/>
        </w:rPr>
        <w:t>。</w:t>
      </w:r>
    </w:p>
    <w:p>
      <w:pPr>
        <w:widowControl/>
        <w:wordWrap w:val="0"/>
        <w:topLinePunct/>
        <w:adjustRightInd w:val="0"/>
        <w:snapToGrid w:val="0"/>
        <w:spacing w:line="480" w:lineRule="exact"/>
        <w:ind w:firstLine="482" w:firstLineChars="200"/>
        <w:rPr>
          <w:rFonts w:hint="eastAsia" w:ascii="仿宋_GB2312" w:hAnsi="宋体" w:eastAsia="仿宋_GB2312"/>
          <w:color w:val="auto"/>
          <w:sz w:val="24"/>
          <w:highlight w:val="none"/>
        </w:rPr>
      </w:pPr>
      <w:r>
        <w:rPr>
          <w:rFonts w:hint="eastAsia" w:ascii="仿宋_GB2312" w:hAnsi="宋体" w:eastAsia="仿宋_GB2312"/>
          <w:b/>
          <w:color w:val="auto"/>
          <w:sz w:val="24"/>
          <w:highlight w:val="none"/>
        </w:rPr>
        <w:t>6.3</w:t>
      </w:r>
      <w:r>
        <w:rPr>
          <w:rFonts w:hint="eastAsia" w:ascii="仿宋_GB2312" w:hAnsi="宋体" w:eastAsia="仿宋_GB2312"/>
          <w:color w:val="auto"/>
          <w:sz w:val="24"/>
          <w:highlight w:val="none"/>
        </w:rPr>
        <w:t>在签订合同或结算阶段，如发包人发现设计人的投标报价不符合招标文件规定的，可进行修正，设计人不得有异议。</w:t>
      </w:r>
    </w:p>
    <w:p>
      <w:pPr>
        <w:widowControl/>
        <w:wordWrap w:val="0"/>
        <w:topLinePunct/>
        <w:adjustRightInd w:val="0"/>
        <w:snapToGrid w:val="0"/>
        <w:spacing w:line="480" w:lineRule="exact"/>
        <w:ind w:firstLine="477" w:firstLineChars="198"/>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6.4</w:t>
      </w:r>
      <w:r>
        <w:rPr>
          <w:rFonts w:hint="eastAsia" w:ascii="仿宋_GB2312" w:eastAsia="仿宋_GB2312"/>
          <w:color w:val="auto"/>
          <w:sz w:val="24"/>
          <w:highlight w:val="none"/>
        </w:rPr>
        <w:t>设计费的支付：</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6.4.1本合同签订且发包人申请财政拨款到位后，发包人支付设计费暂定价的</w:t>
      </w:r>
      <w:r>
        <w:rPr>
          <w:rFonts w:hint="eastAsia" w:ascii="仿宋_GB2312" w:eastAsia="仿宋_GB2312"/>
          <w:color w:val="auto"/>
          <w:sz w:val="24"/>
          <w:highlight w:val="none"/>
          <w:lang w:val="en-US" w:eastAsia="zh-CN"/>
        </w:rPr>
        <w:t>30</w:t>
      </w:r>
      <w:r>
        <w:rPr>
          <w:rFonts w:hint="eastAsia" w:ascii="仿宋_GB2312" w:eastAsia="仿宋_GB2312"/>
          <w:color w:val="auto"/>
          <w:sz w:val="24"/>
          <w:highlight w:val="none"/>
        </w:rPr>
        <w:t>%作为定金，计</w:t>
      </w:r>
      <w:r>
        <w:rPr>
          <w:rFonts w:hint="eastAsia" w:ascii="仿宋_GB2312" w:hAnsi="宋体" w:eastAsia="仿宋_GB2312"/>
          <w:color w:val="auto"/>
          <w:sz w:val="24"/>
          <w:highlight w:val="none"/>
          <w:u w:val="single"/>
        </w:rPr>
        <w:t xml:space="preserve">    </w:t>
      </w:r>
      <w:r>
        <w:rPr>
          <w:rFonts w:hint="eastAsia" w:ascii="仿宋_GB2312" w:eastAsia="仿宋_GB2312"/>
          <w:color w:val="auto"/>
          <w:sz w:val="24"/>
          <w:highlight w:val="none"/>
        </w:rPr>
        <w:t>万元（合同履行后，定金抵作设计费）。</w:t>
      </w:r>
    </w:p>
    <w:p>
      <w:pPr>
        <w:widowControl/>
        <w:wordWrap w:val="0"/>
        <w:topLinePunct/>
        <w:adjustRightInd w:val="0"/>
        <w:snapToGrid w:val="0"/>
        <w:spacing w:line="480" w:lineRule="exact"/>
        <w:ind w:firstLine="480" w:firstLineChars="200"/>
        <w:rPr>
          <w:rFonts w:hint="eastAsia" w:ascii="仿宋_GB2312" w:eastAsia="仿宋_GB2312"/>
          <w:strike w:val="0"/>
          <w:dstrike/>
          <w:color w:val="auto"/>
          <w:sz w:val="24"/>
          <w:highlight w:val="none"/>
        </w:rPr>
      </w:pPr>
      <w:r>
        <w:rPr>
          <w:rFonts w:hint="eastAsia" w:ascii="仿宋_GB2312" w:eastAsia="仿宋_GB2312"/>
          <w:strike w:val="0"/>
          <w:dstrike/>
          <w:color w:val="auto"/>
          <w:sz w:val="24"/>
          <w:highlight w:val="none"/>
        </w:rPr>
        <w:t>6.4.2设计人交付本项目的全部初步设计文件并通过</w:t>
      </w:r>
      <w:r>
        <w:rPr>
          <w:rFonts w:hint="eastAsia" w:ascii="仿宋_GB2312" w:eastAsia="仿宋_GB2312"/>
          <w:strike w:val="0"/>
          <w:dstrike/>
          <w:color w:val="auto"/>
          <w:sz w:val="24"/>
          <w:highlight w:val="none"/>
          <w:lang w:eastAsia="zh-CN"/>
        </w:rPr>
        <w:t>技术</w:t>
      </w:r>
      <w:r>
        <w:rPr>
          <w:rFonts w:hint="eastAsia" w:ascii="仿宋_GB2312" w:eastAsia="仿宋_GB2312"/>
          <w:strike w:val="0"/>
          <w:dstrike/>
          <w:color w:val="auto"/>
          <w:sz w:val="24"/>
          <w:highlight w:val="none"/>
        </w:rPr>
        <w:t>审查，且发包人申请财政拨款到位后，发包人支付设计费累计至设计费暂定价的30%。</w:t>
      </w:r>
    </w:p>
    <w:p>
      <w:pPr>
        <w:widowControl/>
        <w:wordWrap w:val="0"/>
        <w:topLinePunct/>
        <w:adjustRightInd w:val="0"/>
        <w:snapToGrid w:val="0"/>
        <w:spacing w:line="480" w:lineRule="exact"/>
        <w:ind w:firstLine="480" w:firstLineChars="200"/>
        <w:rPr>
          <w:rFonts w:hint="eastAsia" w:ascii="仿宋_GB2312" w:eastAsia="仿宋_GB2312"/>
          <w:b/>
          <w:color w:val="auto"/>
          <w:sz w:val="24"/>
          <w:highlight w:val="none"/>
        </w:rPr>
      </w:pPr>
      <w:r>
        <w:rPr>
          <w:rFonts w:hint="eastAsia" w:ascii="仿宋_GB2312" w:eastAsia="仿宋_GB2312"/>
          <w:color w:val="auto"/>
          <w:sz w:val="24"/>
          <w:highlight w:val="none"/>
        </w:rPr>
        <w:t>6.4.3设计人交付全部施工图设计文件并通过审查，且发包人申请财政拨款到位后，发包人按区行业主管部门审定的工程概算调整设计费的支付，累计支付至调整后设计费的</w:t>
      </w:r>
      <w:r>
        <w:rPr>
          <w:rFonts w:hint="eastAsia" w:ascii="仿宋_GB2312" w:eastAsia="仿宋_GB2312"/>
          <w:color w:val="auto"/>
          <w:sz w:val="24"/>
          <w:highlight w:val="none"/>
          <w:u w:val="single"/>
          <w:lang w:val="en-US" w:eastAsia="zh-CN"/>
        </w:rPr>
        <w:t>75%</w:t>
      </w:r>
      <w:r>
        <w:rPr>
          <w:rFonts w:hint="eastAsia" w:ascii="仿宋_GB2312" w:eastAsia="仿宋_GB2312"/>
          <w:b/>
          <w:color w:val="auto"/>
          <w:sz w:val="24"/>
          <w:highlight w:val="none"/>
        </w:rPr>
        <w:t>。</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6.4.4工程</w:t>
      </w:r>
      <w:r>
        <w:rPr>
          <w:rFonts w:hint="eastAsia" w:ascii="仿宋_GB2312" w:eastAsia="仿宋_GB2312"/>
          <w:color w:val="auto"/>
          <w:sz w:val="24"/>
          <w:highlight w:val="none"/>
          <w:lang w:eastAsia="zh-CN"/>
        </w:rPr>
        <w:t>单位工程验收</w:t>
      </w:r>
      <w:r>
        <w:rPr>
          <w:rFonts w:hint="eastAsia" w:ascii="仿宋_GB2312" w:eastAsia="仿宋_GB2312"/>
          <w:color w:val="auto"/>
          <w:sz w:val="24"/>
          <w:highlight w:val="none"/>
        </w:rPr>
        <w:t>，设计费结算根据《广州开发区财政投资建设项目管理中心</w:t>
      </w:r>
      <w:r>
        <w:rPr>
          <w:rFonts w:hint="eastAsia" w:ascii="仿宋_GB2312" w:eastAsia="仿宋_GB2312"/>
          <w:color w:val="auto"/>
          <w:sz w:val="24"/>
          <w:highlight w:val="none"/>
          <w:lang w:val="en-US" w:eastAsia="zh-CN"/>
        </w:rPr>
        <w:t>咨询服务类合同结算编审指引（2021年修订版）</w:t>
      </w:r>
      <w:r>
        <w:rPr>
          <w:rFonts w:hint="eastAsia" w:ascii="仿宋_GB2312" w:eastAsia="仿宋_GB2312"/>
          <w:color w:val="auto"/>
          <w:sz w:val="24"/>
          <w:highlight w:val="none"/>
        </w:rPr>
        <w:t>》办理完毕，且财政拨款到位后，</w:t>
      </w:r>
      <w:r>
        <w:rPr>
          <w:rFonts w:hint="eastAsia" w:ascii="仿宋_GB2312" w:eastAsia="仿宋_GB2312"/>
          <w:color w:val="auto"/>
          <w:sz w:val="24"/>
          <w:highlight w:val="none"/>
          <w:lang w:eastAsia="zh-CN"/>
        </w:rPr>
        <w:t>累计</w:t>
      </w:r>
      <w:r>
        <w:rPr>
          <w:rFonts w:hint="eastAsia" w:ascii="仿宋_GB2312" w:eastAsia="仿宋_GB2312"/>
          <w:color w:val="auto"/>
          <w:sz w:val="24"/>
          <w:highlight w:val="none"/>
        </w:rPr>
        <w:t>支付设计费至结算价的</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0%。</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6.4.5工程完成合同工程完工验收及工程实施过程中未发生因设计原因引起的超概算及重大设计变更等，且发包人申请财政拨款到位后，累计支付至设计费结算价的9</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6.4.6工程质量缺陷保修期满后</w:t>
      </w:r>
      <w:r>
        <w:rPr>
          <w:rFonts w:hint="eastAsia" w:ascii="仿宋_GB2312" w:hAnsi="Times New Roman" w:eastAsia="仿宋_GB2312" w:cs="Times New Roman"/>
          <w:color w:val="auto"/>
          <w:sz w:val="24"/>
          <w:szCs w:val="24"/>
          <w:highlight w:val="none"/>
          <w:shd w:val="clear" w:color="auto" w:fill="auto"/>
        </w:rPr>
        <w:t>，无发现工程设计质量问题，一次性结清剩余费用(不计利息)。所有设计费支付均需广州开发区财政局拨款到位后且无超付的情况下支付</w:t>
      </w:r>
      <w:r>
        <w:rPr>
          <w:rFonts w:hint="eastAsia" w:ascii="仿宋_GB2312" w:hAnsi="Times New Roman" w:eastAsia="仿宋_GB2312" w:cs="Times New Roman"/>
          <w:b w:val="0"/>
          <w:bCs w:val="0"/>
          <w:i w:val="0"/>
          <w:iCs w:val="0"/>
          <w:caps w:val="0"/>
          <w:color w:val="auto"/>
          <w:spacing w:val="0"/>
          <w:sz w:val="24"/>
          <w:szCs w:val="24"/>
          <w:highlight w:val="none"/>
          <w:shd w:val="clear" w:color="auto" w:fill="auto"/>
        </w:rPr>
        <w:t>。</w:t>
      </w:r>
    </w:p>
    <w:p>
      <w:pPr>
        <w:widowControl/>
        <w:wordWrap w:val="0"/>
        <w:topLinePunct/>
        <w:adjustRightInd w:val="0"/>
        <w:snapToGrid w:val="0"/>
        <w:spacing w:line="480" w:lineRule="exact"/>
        <w:ind w:firstLine="472" w:firstLineChars="197"/>
        <w:rPr>
          <w:rFonts w:hint="eastAsia" w:ascii="仿宋_GB2312" w:eastAsia="仿宋_GB2312"/>
          <w:color w:val="auto"/>
          <w:sz w:val="24"/>
          <w:highlight w:val="none"/>
        </w:rPr>
      </w:pPr>
      <w:r>
        <w:rPr>
          <w:rFonts w:hint="eastAsia" w:ascii="仿宋_GB2312" w:eastAsia="仿宋_GB2312"/>
          <w:color w:val="auto"/>
          <w:sz w:val="24"/>
          <w:highlight w:val="none"/>
        </w:rPr>
        <w:t>6.4.7发包人支付的设计费中包含了设计人履行合同所需的所有支出，设计人收款时同时开</w:t>
      </w:r>
      <w:r>
        <w:rPr>
          <w:rFonts w:hint="eastAsia" w:ascii="仿宋_GB2312" w:eastAsia="仿宋_GB2312"/>
          <w:color w:val="auto"/>
          <w:sz w:val="24"/>
          <w:highlight w:val="none"/>
          <w:lang w:eastAsia="zh-CN"/>
        </w:rPr>
        <w:t>具</w:t>
      </w:r>
      <w:r>
        <w:rPr>
          <w:rFonts w:hint="eastAsia" w:ascii="仿宋_GB2312" w:eastAsia="仿宋_GB2312"/>
          <w:color w:val="auto"/>
          <w:sz w:val="24"/>
          <w:highlight w:val="none"/>
        </w:rPr>
        <w:t>发票，税金由设计人自理。</w:t>
      </w:r>
    </w:p>
    <w:p>
      <w:pPr>
        <w:widowControl/>
        <w:wordWrap w:val="0"/>
        <w:topLinePunct/>
        <w:adjustRightInd w:val="0"/>
        <w:snapToGrid w:val="0"/>
        <w:spacing w:line="480" w:lineRule="exact"/>
        <w:ind w:firstLine="472" w:firstLineChars="197"/>
        <w:rPr>
          <w:rFonts w:hint="default" w:ascii="Times New Roman" w:eastAsia="宋体"/>
          <w:color w:val="auto"/>
          <w:sz w:val="21"/>
          <w:highlight w:val="none"/>
        </w:rPr>
      </w:pPr>
      <w:r>
        <w:rPr>
          <w:rFonts w:hint="eastAsia" w:ascii="仿宋_GB2312" w:eastAsia="仿宋_GB2312"/>
          <w:color w:val="auto"/>
          <w:sz w:val="24"/>
          <w:highlight w:val="none"/>
        </w:rPr>
        <w:t>6.4.8发包人支付的设计费中包括了对其他投标人的经济补偿费，该费用由设计人按本项目招标文件</w:t>
      </w:r>
      <w:r>
        <w:rPr>
          <w:rFonts w:hint="default" w:ascii="仿宋_GB2312" w:eastAsia="仿宋_GB2312"/>
          <w:color w:val="auto"/>
          <w:sz w:val="24"/>
          <w:highlight w:val="none"/>
          <w:lang w:eastAsia="zh-CN"/>
        </w:rPr>
        <w:t>要求在收到第一笔设计费</w:t>
      </w:r>
      <w:r>
        <w:rPr>
          <w:rFonts w:hint="eastAsia" w:ascii="仿宋_GB2312" w:eastAsia="仿宋_GB2312"/>
          <w:color w:val="auto"/>
          <w:sz w:val="24"/>
          <w:highlight w:val="none"/>
          <w:lang w:eastAsia="zh-CN"/>
        </w:rPr>
        <w:t>（即设计合同定金）</w:t>
      </w:r>
      <w:r>
        <w:rPr>
          <w:rFonts w:hint="default" w:ascii="仿宋_GB2312" w:eastAsia="仿宋_GB2312"/>
          <w:color w:val="auto"/>
          <w:sz w:val="24"/>
          <w:highlight w:val="none"/>
          <w:lang w:eastAsia="zh-CN"/>
        </w:rPr>
        <w:t>后及时</w:t>
      </w:r>
      <w:r>
        <w:rPr>
          <w:rFonts w:hint="default" w:ascii="仿宋_GB2312" w:eastAsia="仿宋_GB2312"/>
          <w:color w:val="auto"/>
          <w:sz w:val="24"/>
          <w:highlight w:val="none"/>
          <w:lang w:val="en-US" w:eastAsia="zh-CN"/>
        </w:rPr>
        <w:t>分别</w:t>
      </w:r>
      <w:r>
        <w:rPr>
          <w:rFonts w:hint="eastAsia" w:ascii="仿宋_GB2312" w:eastAsia="仿宋_GB2312"/>
          <w:color w:val="auto"/>
          <w:sz w:val="24"/>
          <w:highlight w:val="none"/>
        </w:rPr>
        <w:t>支付</w:t>
      </w:r>
      <w:r>
        <w:rPr>
          <w:rFonts w:hint="default" w:ascii="仿宋_GB2312" w:eastAsia="仿宋_GB2312"/>
          <w:color w:val="auto"/>
          <w:sz w:val="24"/>
          <w:highlight w:val="none"/>
          <w:lang w:eastAsia="zh-CN"/>
        </w:rPr>
        <w:t>给</w:t>
      </w:r>
      <w:r>
        <w:rPr>
          <w:rFonts w:hint="eastAsia" w:ascii="仿宋_GB2312" w:eastAsia="仿宋_GB2312"/>
          <w:color w:val="auto"/>
          <w:sz w:val="24"/>
          <w:highlight w:val="none"/>
          <w:lang w:eastAsia="zh-CN"/>
        </w:rPr>
        <w:t>相应未中标投标人</w:t>
      </w:r>
      <w:r>
        <w:rPr>
          <w:rFonts w:hint="eastAsia" w:ascii="仿宋_GB2312" w:eastAsia="仿宋_GB2312"/>
          <w:color w:val="auto"/>
          <w:sz w:val="24"/>
          <w:highlight w:val="none"/>
        </w:rPr>
        <w:t>，</w:t>
      </w:r>
      <w:r>
        <w:rPr>
          <w:rFonts w:hint="default" w:ascii="仿宋_GB2312" w:eastAsia="仿宋_GB2312"/>
          <w:color w:val="auto"/>
          <w:sz w:val="24"/>
          <w:highlight w:val="none"/>
          <w:lang w:eastAsia="zh-CN"/>
        </w:rPr>
        <w:t>并</w:t>
      </w:r>
      <w:r>
        <w:rPr>
          <w:rFonts w:hint="default" w:ascii="仿宋_GB2312" w:eastAsia="仿宋_GB2312"/>
          <w:color w:val="auto"/>
          <w:sz w:val="24"/>
          <w:highlight w:val="none"/>
        </w:rPr>
        <w:t>提交已按招标文件规定支付投标经济补偿给相应投标人的凭证（</w:t>
      </w:r>
      <w:r>
        <w:rPr>
          <w:rFonts w:hint="eastAsia" w:ascii="仿宋_GB2312" w:eastAsia="仿宋_GB2312"/>
          <w:color w:val="auto"/>
          <w:sz w:val="24"/>
          <w:highlight w:val="none"/>
          <w:lang w:val="en-US" w:eastAsia="zh-CN"/>
        </w:rPr>
        <w:t>提供</w:t>
      </w:r>
      <w:r>
        <w:rPr>
          <w:rFonts w:hint="default" w:ascii="仿宋_GB2312" w:eastAsia="仿宋_GB2312"/>
          <w:color w:val="auto"/>
          <w:sz w:val="24"/>
          <w:highlight w:val="none"/>
        </w:rPr>
        <w:t>相应投标人的书面确认函</w:t>
      </w:r>
      <w:r>
        <w:rPr>
          <w:rFonts w:hint="eastAsia" w:ascii="仿宋_GB2312" w:eastAsia="仿宋_GB2312"/>
          <w:color w:val="auto"/>
          <w:sz w:val="24"/>
          <w:highlight w:val="none"/>
          <w:lang w:val="en-US" w:eastAsia="zh-CN"/>
        </w:rPr>
        <w:t>或银行转账凭证</w:t>
      </w:r>
      <w:r>
        <w:rPr>
          <w:rFonts w:hint="default" w:ascii="仿宋_GB2312" w:eastAsia="仿宋_GB2312"/>
          <w:color w:val="auto"/>
          <w:sz w:val="24"/>
          <w:highlight w:val="none"/>
        </w:rPr>
        <w:t>等），</w:t>
      </w:r>
      <w:r>
        <w:rPr>
          <w:rFonts w:hint="eastAsia" w:ascii="仿宋_GB2312" w:eastAsia="仿宋_GB2312"/>
          <w:color w:val="auto"/>
          <w:sz w:val="24"/>
          <w:highlight w:val="none"/>
        </w:rPr>
        <w:t>否则，发包人有权</w:t>
      </w:r>
      <w:r>
        <w:rPr>
          <w:rFonts w:hint="default" w:ascii="仿宋_GB2312" w:eastAsia="仿宋_GB2312"/>
          <w:color w:val="auto"/>
          <w:sz w:val="24"/>
          <w:highlight w:val="none"/>
          <w:lang w:eastAsia="zh-CN"/>
        </w:rPr>
        <w:t>暂停支付第二笔设计费，</w:t>
      </w:r>
      <w:r>
        <w:rPr>
          <w:rFonts w:hint="eastAsia" w:ascii="仿宋_GB2312" w:eastAsia="仿宋_GB2312"/>
          <w:color w:val="auto"/>
          <w:sz w:val="24"/>
          <w:highlight w:val="none"/>
        </w:rPr>
        <w:t>直接从设计费中扣减应支付给其他投标人的经济补偿费。</w:t>
      </w:r>
    </w:p>
    <w:p>
      <w:pPr>
        <w:widowControl/>
        <w:wordWrap w:val="0"/>
        <w:topLinePunct/>
        <w:adjustRightInd w:val="0"/>
        <w:snapToGrid w:val="0"/>
        <w:spacing w:line="480" w:lineRule="exact"/>
        <w:ind w:firstLine="472" w:firstLineChars="197"/>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如因规划建设原因取消本项目实施，设计人未开展实际性工作，上述投标经济补偿由发包人承担，即该种情形下设计合同结算价为上述投标经济补偿总额，设计人收取合同价款后及时支付投标补偿费给各投标人。其它情形的投标补偿费均包含在设计费中。</w:t>
      </w:r>
    </w:p>
    <w:p>
      <w:pPr>
        <w:widowControl/>
        <w:wordWrap w:val="0"/>
        <w:topLinePunct/>
        <w:adjustRightInd w:val="0"/>
        <w:snapToGrid w:val="0"/>
        <w:spacing w:line="480" w:lineRule="exact"/>
        <w:ind w:firstLine="472" w:firstLineChars="197"/>
        <w:rPr>
          <w:rFonts w:hint="eastAsia" w:ascii="仿宋_GB2312" w:eastAsia="仿宋_GB2312"/>
          <w:color w:val="auto"/>
          <w:sz w:val="24"/>
          <w:highlight w:val="none"/>
        </w:rPr>
      </w:pPr>
      <w:r>
        <w:rPr>
          <w:rFonts w:hint="eastAsia" w:ascii="仿宋_GB2312" w:eastAsia="仿宋_GB2312"/>
          <w:color w:val="auto"/>
          <w:sz w:val="24"/>
          <w:highlight w:val="none"/>
        </w:rPr>
        <w:t>6.4.9 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pPr>
        <w:widowControl/>
        <w:wordWrap w:val="0"/>
        <w:topLinePunct/>
        <w:adjustRightInd w:val="0"/>
        <w:snapToGrid w:val="0"/>
        <w:spacing w:line="480" w:lineRule="exact"/>
        <w:ind w:firstLine="472" w:firstLineChars="197"/>
        <w:rPr>
          <w:rFonts w:hint="eastAsia" w:ascii="仿宋_GB2312" w:eastAsia="仿宋_GB2312"/>
          <w:color w:val="auto"/>
          <w:sz w:val="24"/>
          <w:highlight w:val="none"/>
        </w:rPr>
      </w:pPr>
      <w:r>
        <w:rPr>
          <w:rFonts w:hint="eastAsia" w:ascii="仿宋_GB2312" w:eastAsia="仿宋_GB2312"/>
          <w:color w:val="auto"/>
          <w:sz w:val="24"/>
          <w:highlight w:val="none"/>
        </w:rPr>
        <w:t>6.4.10 必要性的专项设计单位由设计人推荐，报发包人批准后承担设计任务，相应费用由设计人支付。</w:t>
      </w:r>
    </w:p>
    <w:p>
      <w:pPr>
        <w:widowControl w:val="0"/>
        <w:wordWrap/>
        <w:topLinePunct/>
        <w:adjustRightInd w:val="0"/>
        <w:snapToGrid w:val="0"/>
        <w:spacing w:line="500" w:lineRule="exact"/>
        <w:ind w:firstLine="472" w:firstLineChars="197"/>
        <w:rPr>
          <w:rFonts w:hint="eastAsia" w:ascii="仿宋" w:hAnsi="仿宋" w:eastAsia="仿宋" w:cs="Times New Roman"/>
          <w:color w:val="auto"/>
          <w:sz w:val="24"/>
          <w:highlight w:val="none"/>
        </w:rPr>
      </w:pPr>
      <w:r>
        <w:rPr>
          <w:rFonts w:hint="eastAsia" w:ascii="仿宋" w:hAnsi="仿宋" w:eastAsia="仿宋"/>
          <w:color w:val="auto"/>
          <w:sz w:val="24"/>
          <w:highlight w:val="none"/>
        </w:rPr>
        <w:t>6.4.11 设计人为联合体的，设计费的分配</w:t>
      </w:r>
      <w:r>
        <w:rPr>
          <w:rFonts w:hint="eastAsia" w:ascii="仿宋" w:hAnsi="仿宋" w:eastAsia="仿宋"/>
          <w:color w:val="auto"/>
          <w:sz w:val="24"/>
          <w:highlight w:val="none"/>
          <w:lang w:eastAsia="zh-CN"/>
        </w:rPr>
        <w:t>按本合同联合体协议书的</w:t>
      </w:r>
      <w:r>
        <w:rPr>
          <w:rFonts w:hint="eastAsia" w:ascii="仿宋" w:hAnsi="仿宋" w:eastAsia="仿宋" w:cs="Times New Roman"/>
          <w:color w:val="auto"/>
          <w:kern w:val="2"/>
          <w:sz w:val="24"/>
          <w:szCs w:val="24"/>
          <w:highlight w:val="none"/>
          <w:lang w:val="en-US" w:eastAsia="zh-CN" w:bidi="ar"/>
        </w:rPr>
        <w:t>工作量分摊，</w:t>
      </w:r>
      <w:r>
        <w:rPr>
          <w:rFonts w:hint="eastAsia" w:ascii="仿宋" w:hAnsi="仿宋" w:eastAsia="仿宋" w:cs="Times New Roman"/>
          <w:color w:val="auto"/>
          <w:kern w:val="2"/>
          <w:sz w:val="24"/>
          <w:szCs w:val="24"/>
          <w:highlight w:val="none"/>
          <w:u w:val="single"/>
        </w:rPr>
        <w:t>在履行合同过程中，</w:t>
      </w:r>
      <w:r>
        <w:rPr>
          <w:rFonts w:hint="eastAsia" w:ascii="仿宋" w:hAnsi="仿宋" w:eastAsia="仿宋" w:cs="Times New Roman"/>
          <w:color w:val="auto"/>
          <w:sz w:val="24"/>
          <w:szCs w:val="24"/>
          <w:highlight w:val="none"/>
          <w:u w:val="single"/>
        </w:rPr>
        <w:t>不得变更联合体成员和其负责的工作范围</w:t>
      </w: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eastAsia="zh-CN"/>
        </w:rPr>
        <w:t>（若为非公开招标项目，</w:t>
      </w:r>
      <w:r>
        <w:rPr>
          <w:rFonts w:hint="eastAsia" w:ascii="仿宋" w:hAnsi="仿宋" w:eastAsia="仿宋"/>
          <w:color w:val="auto"/>
          <w:sz w:val="24"/>
          <w:highlight w:val="none"/>
          <w:lang w:eastAsia="zh-CN"/>
        </w:rPr>
        <w:t>设计</w:t>
      </w:r>
      <w:r>
        <w:rPr>
          <w:rFonts w:hint="eastAsia" w:ascii="仿宋" w:hAnsi="仿宋" w:eastAsia="仿宋"/>
          <w:color w:val="auto"/>
          <w:sz w:val="24"/>
          <w:highlight w:val="none"/>
        </w:rPr>
        <w:t>人为联合体的，</w:t>
      </w:r>
      <w:r>
        <w:rPr>
          <w:rFonts w:hint="eastAsia" w:ascii="仿宋" w:hAnsi="仿宋" w:eastAsia="仿宋"/>
          <w:color w:val="auto"/>
          <w:sz w:val="24"/>
          <w:highlight w:val="none"/>
          <w:lang w:eastAsia="zh-CN"/>
        </w:rPr>
        <w:t>设计</w:t>
      </w:r>
      <w:r>
        <w:rPr>
          <w:rFonts w:hint="eastAsia" w:ascii="仿宋" w:hAnsi="仿宋" w:eastAsia="仿宋"/>
          <w:color w:val="auto"/>
          <w:sz w:val="24"/>
          <w:highlight w:val="none"/>
        </w:rPr>
        <w:t>费的分配</w:t>
      </w:r>
      <w:r>
        <w:rPr>
          <w:rFonts w:hint="eastAsia" w:ascii="仿宋" w:hAnsi="仿宋" w:eastAsia="仿宋"/>
          <w:color w:val="auto"/>
          <w:sz w:val="24"/>
          <w:highlight w:val="none"/>
          <w:lang w:eastAsia="zh-CN"/>
        </w:rPr>
        <w:t>按本合同联合体协议书的</w:t>
      </w:r>
      <w:r>
        <w:rPr>
          <w:rFonts w:hint="eastAsia" w:ascii="仿宋" w:hAnsi="仿宋" w:eastAsia="仿宋" w:cs="Times New Roman"/>
          <w:color w:val="auto"/>
          <w:kern w:val="2"/>
          <w:sz w:val="24"/>
          <w:szCs w:val="24"/>
          <w:highlight w:val="none"/>
          <w:lang w:val="en-US" w:eastAsia="zh-CN" w:bidi="ar"/>
        </w:rPr>
        <w:t>工作量分摊，</w:t>
      </w:r>
      <w:r>
        <w:rPr>
          <w:rFonts w:hint="eastAsia" w:ascii="仿宋" w:hAnsi="仿宋" w:eastAsia="仿宋" w:cs="Times New Roman"/>
          <w:color w:val="auto"/>
          <w:kern w:val="2"/>
          <w:sz w:val="24"/>
          <w:szCs w:val="24"/>
          <w:highlight w:val="none"/>
          <w:u w:val="single"/>
        </w:rPr>
        <w:t>在履行合同过程中，</w:t>
      </w:r>
      <w:r>
        <w:rPr>
          <w:rFonts w:hint="eastAsia" w:ascii="仿宋" w:hAnsi="仿宋" w:eastAsia="仿宋"/>
          <w:color w:val="auto"/>
          <w:sz w:val="24"/>
          <w:highlight w:val="none"/>
          <w:lang w:val="en-US" w:eastAsia="zh-CN"/>
        </w:rPr>
        <w:t>未经发包人同意，</w:t>
      </w:r>
      <w:r>
        <w:rPr>
          <w:rFonts w:hint="eastAsia" w:ascii="仿宋" w:hAnsi="仿宋" w:eastAsia="仿宋" w:cs="Times New Roman"/>
          <w:color w:val="auto"/>
          <w:sz w:val="24"/>
          <w:szCs w:val="24"/>
          <w:highlight w:val="none"/>
          <w:u w:val="single"/>
        </w:rPr>
        <w:t>不得变更联合体成员和其负责的工作范围</w:t>
      </w:r>
      <w:r>
        <w:rPr>
          <w:rFonts w:hint="eastAsia" w:ascii="仿宋" w:hAnsi="仿宋" w:eastAsia="仿宋" w:cs="Times New Roman"/>
          <w:color w:val="auto"/>
          <w:sz w:val="24"/>
          <w:highlight w:val="none"/>
          <w:lang w:eastAsia="zh-CN"/>
        </w:rPr>
        <w:t>）</w:t>
      </w:r>
    </w:p>
    <w:p>
      <w:pPr>
        <w:widowControl w:val="0"/>
        <w:wordWrap/>
        <w:topLinePunct/>
        <w:adjustRightInd w:val="0"/>
        <w:snapToGrid w:val="0"/>
        <w:spacing w:line="48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6.4.12</w:t>
      </w:r>
      <w:r>
        <w:rPr>
          <w:rFonts w:hint="eastAsia" w:ascii="仿宋" w:hAnsi="仿宋" w:eastAsia="仿宋"/>
          <w:color w:val="auto"/>
          <w:sz w:val="24"/>
          <w:highlight w:val="none"/>
          <w:lang w:eastAsia="zh-CN"/>
        </w:rPr>
        <w:t>由</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（承担主要设计任务的一方</w:t>
      </w:r>
      <w:r>
        <w:rPr>
          <w:rFonts w:hint="eastAsia" w:ascii="仿宋" w:hAnsi="仿宋" w:eastAsia="仿宋" w:cs="Times New Roman"/>
          <w:color w:val="auto"/>
          <w:kern w:val="2"/>
          <w:sz w:val="24"/>
          <w:szCs w:val="24"/>
          <w:highlight w:val="none"/>
          <w:lang w:val="en-US" w:eastAsia="zh-CN" w:bidi="ar"/>
        </w:rPr>
        <w:t>名称</w:t>
      </w:r>
      <w:r>
        <w:rPr>
          <w:rFonts w:hint="eastAsia" w:ascii="仿宋" w:hAnsi="仿宋" w:eastAsia="仿宋"/>
          <w:color w:val="auto"/>
          <w:sz w:val="24"/>
          <w:highlight w:val="none"/>
          <w:lang w:val="en-US" w:eastAsia="zh-CN"/>
        </w:rPr>
        <w:t>）负责收取全额设计费并开具对应价款的全额发票</w:t>
      </w:r>
      <w:r>
        <w:rPr>
          <w:rFonts w:hint="eastAsia" w:ascii="仿宋" w:hAnsi="仿宋" w:eastAsia="仿宋"/>
          <w:color w:val="auto"/>
          <w:sz w:val="24"/>
          <w:highlight w:val="none"/>
          <w:lang w:eastAsia="zh-CN"/>
        </w:rPr>
        <w:t>，收款账户名为：</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u w:val="none"/>
          <w:lang w:val="en-US" w:eastAsia="zh-CN"/>
        </w:rPr>
        <w:t>开票人为：</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。未经发包人同意，合同履行过程中不得擅自更改收款账户名。</w:t>
      </w:r>
    </w:p>
    <w:p>
      <w:pPr>
        <w:pStyle w:val="6"/>
        <w:keepNext w:val="0"/>
        <w:keepLines w:val="0"/>
        <w:widowControl/>
        <w:wordWrap w:val="0"/>
        <w:topLinePunct/>
        <w:adjustRightInd w:val="0"/>
        <w:snapToGrid w:val="0"/>
        <w:spacing w:before="0" w:beforeLines="0" w:after="0" w:afterLines="0" w:line="480" w:lineRule="exact"/>
        <w:ind w:firstLine="307" w:firstLineChars="128"/>
        <w:rPr>
          <w:rFonts w:hint="eastAsia" w:ascii="仿宋_GB2312"/>
          <w:color w:val="auto"/>
          <w:sz w:val="24"/>
          <w:szCs w:val="24"/>
          <w:highlight w:val="none"/>
        </w:rPr>
      </w:pPr>
      <w:r>
        <w:rPr>
          <w:rFonts w:hint="eastAsia" w:ascii="仿宋_GB2312"/>
          <w:color w:val="auto"/>
          <w:sz w:val="24"/>
          <w:szCs w:val="24"/>
          <w:highlight w:val="none"/>
        </w:rPr>
        <w:t>第七条  双方的权利与义务</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7.1</w:t>
      </w:r>
      <w:r>
        <w:rPr>
          <w:rFonts w:hint="eastAsia" w:ascii="仿宋_GB2312" w:eastAsia="仿宋_GB2312"/>
          <w:color w:val="auto"/>
          <w:sz w:val="24"/>
          <w:highlight w:val="none"/>
        </w:rPr>
        <w:t>发包人义务</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7.1.1发包人按本合同第四条规定的内容，在约定的时间内向设计人提交资料及文件，并对其完整性、正确性及时限负责，发包人不得要求设计人违反国家有关标准进行设计。</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7.1.2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7.1.3发包人要求设计人比合同约定时间提前支付设计资料及文件时，如果设计人能够做到，发包人应根据设计人提前投入的工作量，向设计人支付赶工费。</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7.1.4发包人应保护设计人的投标书、设计方案、文件、资料图纸、数据、计算软件和专利技术。未经设计人同意，发包人对设计人交付的设计资料及文件不得擅自修改或向第三人转让或用于本合同外的项目，如发生以上情况，发包人应负法律责任，设计人有权向发包人提出索赔。</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7.2</w:t>
      </w:r>
      <w:r>
        <w:rPr>
          <w:rFonts w:hint="eastAsia" w:ascii="仿宋_GB2312" w:eastAsia="仿宋_GB2312"/>
          <w:color w:val="auto"/>
          <w:sz w:val="24"/>
          <w:highlight w:val="none"/>
        </w:rPr>
        <w:t>设计人义务</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 w:hAnsi="仿宋" w:eastAsia="仿宋"/>
          <w:color w:val="auto"/>
          <w:sz w:val="24"/>
          <w:highlight w:val="none"/>
        </w:rPr>
        <w:t>7.2.1设计人应按国家技术规范、标准、规定及发包人提出的设计要求，进行工程设计；设计人应当在设计文件中注明涉及危大工程的重点部位和环节，提出保障工程周边环境安全和工程施工安全的意见，必要时进行专项设计，并按合同规定的进度要求提交质量合格的设计资料，并对其负责。</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7.2.2设计采用的主要技术标准：现行国家有关技术标准 。</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7.2.3设计合理使用年限按国家规定。</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7.2.4设计人按本合同第三条和第五条约定的内容、进度及份数向发包人交付资料及文件。</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7.2.5设计人交付设计资料及文件后，按规定参加有关的设计审查，并根据审查结论负责对设计的内容做必要调整、补充及修改。设计人按合同约定时限交付设计资料及文件，并负责向发包人及施工单位进行设计交底、处理有关设计问题和参加验收。</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7.2.6设计人应保护发包人的知识产权，不得向第三人泄露、转让发包人提交的产品图纸等技术经济资料。如发生以上情况并给发包人造成经济损失，发包人有权向设计人索赔。</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7.2.7对涉及安全或对投资影响重大的有关计算，在发包人提出特别要求时，设计人必须提供设计输入条件、基础数据、计算原理和方法以及计算成果，方便发包人在必要时使用其他计算程序进行验算。设计人有解释的义务，不得以专利和知识产权为借口拒绝配合。</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7.2.8设计人应承担现场工作必要的费用，包括交通、伙食、差旅、办公费等。</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7.2.9设计人须承担确保设计协调和设计服务工作质量所必需的各种设计方案评审会议及专家费用等。</w:t>
      </w:r>
    </w:p>
    <w:p>
      <w:pPr>
        <w:widowControl/>
        <w:wordWrap w:val="0"/>
        <w:topLinePunct/>
        <w:adjustRightInd w:val="0"/>
        <w:snapToGrid w:val="0"/>
        <w:spacing w:line="48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7.2.1</w:t>
      </w:r>
      <w:r>
        <w:rPr>
          <w:rFonts w:hint="eastAsia" w:ascii="仿宋_GB2312" w:eastAsia="仿宋_GB2312"/>
          <w:color w:val="auto"/>
          <w:sz w:val="24"/>
          <w:highlight w:val="none"/>
          <w:lang w:val="en-US" w:eastAsia="zh-CN"/>
        </w:rPr>
        <w:t>0</w:t>
      </w:r>
      <w:r>
        <w:rPr>
          <w:rFonts w:hint="eastAsia" w:ascii="仿宋_GB2312" w:eastAsia="仿宋_GB2312"/>
          <w:color w:val="auto"/>
          <w:sz w:val="24"/>
          <w:highlight w:val="none"/>
        </w:rPr>
        <w:t>在项目实施过程中，如非因设计人原因所引起的设计变更，需重新进行方案初步设计报审或施工图报建的，若设计变更后的方案初步设计经建设部门审批或施工图报建经规划部门批准的，则设计变更部分按设计单位投入的人员、材料成本给予补偿（但设计收费及成本补偿总额不得超过招标的规模标准，否则须按有关规定另行招标）；若设计变更后的初步设计或施工图报建未经建设或规划部门批准的，则设计变更部分不另行计取设计费，费用已包含在原设计费总额内。</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7.2.1</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若设计人编制的初步设计概算超出发包人审定的初步设计概算，设计人须保证根据评审专家和发包人的意见，进行方案修改，并承诺该修改不改变有关设计和规划的原则、内容与要求，不改变原方案设计的构思，不降低使用功能与设计质量标准，不增加设计费用，并承担一切的责任和损失。如果施工图预算超出经确认的初步设计概算，设计人必须保证在初步设计的基础上对施工图进行修改，项目立项投资调整而引起的设计概算修改除外。</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7.2.12如本项目包含外电等配套工程内容，且设计人根据相关规定分包给有资质的单位负责实施的，设计人与分包单位向发包人承担连带责任。</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7.3</w:t>
      </w:r>
      <w:r>
        <w:rPr>
          <w:rFonts w:hint="eastAsia" w:ascii="仿宋_GB2312" w:eastAsia="仿宋_GB2312"/>
          <w:color w:val="auto"/>
          <w:sz w:val="24"/>
          <w:highlight w:val="none"/>
        </w:rPr>
        <w:t>发包人权利</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7.3.1 享有设计人设计文件的版权、所有权和全部使用权。</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7.3.2 设计人在设计投资控制、设计进度控制、设计质量控制、设计组织及人员管理、设计配合、设计服务、设计分包管理等方面履行义务不符合合同规定时，发包人有追究违约责任、要求赔偿损失等权利；同时，发包人还有权将设计人存在的上述违约事实公诸于众和向有关部门反映情况。</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7.3.3 发包人有权聘请设计咨询单位作为本合同约定项目的设计咨询和设计监理，设计人应接受该设计咨询单位按照相关设计咨询法规和发包人赋予的权利所进行的咨询和监理工作。此外，发包人还有权聘请国内具备相应资质的监理公司作为本合同的设计监理，设计人应接受专业监理公司提出的合理意见。</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7.3.4 设计变更的审批权、设计进度的监督权。</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7.3.5 其他依据合同和法律规定属于发包人的权利。</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7.4</w:t>
      </w:r>
      <w:r>
        <w:rPr>
          <w:rFonts w:hint="eastAsia" w:ascii="仿宋_GB2312" w:eastAsia="仿宋_GB2312"/>
          <w:color w:val="auto"/>
          <w:sz w:val="24"/>
          <w:highlight w:val="none"/>
        </w:rPr>
        <w:t>设计人的权利</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7.4.1按时收取设计费。</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7.4.2 拥有设计成果的署名权。</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7.4.3 在设计方案、图纸未审批之前和不影响工期的情况下，有权提出修改方案、图纸的建议。</w:t>
      </w:r>
    </w:p>
    <w:p>
      <w:pPr>
        <w:pStyle w:val="6"/>
        <w:keepNext w:val="0"/>
        <w:keepLines w:val="0"/>
        <w:widowControl/>
        <w:wordWrap w:val="0"/>
        <w:topLinePunct/>
        <w:adjustRightInd w:val="0"/>
        <w:snapToGrid w:val="0"/>
        <w:spacing w:before="0" w:beforeLines="0" w:after="0" w:afterLines="0" w:line="480" w:lineRule="exact"/>
        <w:ind w:firstLine="307" w:firstLineChars="128"/>
        <w:rPr>
          <w:rFonts w:hint="eastAsia" w:ascii="仿宋_GB2312"/>
          <w:color w:val="auto"/>
          <w:sz w:val="24"/>
          <w:szCs w:val="24"/>
          <w:highlight w:val="none"/>
        </w:rPr>
      </w:pPr>
      <w:r>
        <w:rPr>
          <w:rFonts w:hint="eastAsia" w:ascii="仿宋_GB2312"/>
          <w:color w:val="auto"/>
          <w:sz w:val="24"/>
          <w:szCs w:val="24"/>
          <w:highlight w:val="none"/>
        </w:rPr>
        <w:t>第八条 违约责任：</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shd w:val="pct10" w:color="auto" w:fill="FFFFFF"/>
        </w:rPr>
        <w:t>8.1</w:t>
      </w:r>
      <w:r>
        <w:rPr>
          <w:rFonts w:hint="eastAsia" w:ascii="仿宋_GB2312" w:eastAsia="仿宋_GB2312"/>
          <w:color w:val="auto"/>
          <w:sz w:val="24"/>
          <w:highlight w:val="none"/>
        </w:rPr>
        <w:t>发包人应按本合同第六条约定的金额和时间向设计人支付设计费，每逾期支付一天，应承担该阶段应支付金额的千分之二的逾期违约金。逾期超过30天以上时，设计人有权暂停履行下阶段工作并书面通知发包人。</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8.2设计人未按约定时间提交设计成果的，每超过一日，应减收设计费的千分之三。</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shd w:val="pct10" w:color="auto" w:fill="FFFFFF"/>
        </w:rPr>
        <w:t>8.3</w:t>
      </w:r>
      <w:r>
        <w:rPr>
          <w:rFonts w:hint="eastAsia" w:ascii="仿宋_GB2312" w:eastAsia="仿宋_GB2312"/>
          <w:color w:val="auto"/>
          <w:sz w:val="24"/>
          <w:highlight w:val="none"/>
        </w:rPr>
        <w:t>设计人对设计资料及文件出现的遗漏或错误负责修改或补充。由于设计错误造成工程质量事故损失，设计人除负责采取补救措施，按设计收费的30%向发包人支付违约金外，还应按《中华人民共和国建筑法》、《建设工程质量管理条例》、《建设工程勘察设计管理条例》及有关法律法规规定承担相应法律责任。</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shd w:val="pct10" w:color="auto" w:fill="FFFFFF"/>
        </w:rPr>
        <w:t>8.4</w:t>
      </w:r>
      <w:r>
        <w:rPr>
          <w:rFonts w:hint="eastAsia" w:ascii="仿宋_GB2312" w:eastAsia="仿宋_GB2312"/>
          <w:color w:val="auto"/>
          <w:sz w:val="24"/>
          <w:highlight w:val="none"/>
        </w:rPr>
        <w:t>合同生效后，设计人要求终止或解除合同，设计人应双倍返还定金。</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8.5设计人擅自更换投标文件中拟派的设计人员及项目负责人的，按《广州开发区财政投资建设项目管理中心设计工作管理办法》相应条款承担违约责任。</w:t>
      </w:r>
    </w:p>
    <w:p>
      <w:pPr>
        <w:pStyle w:val="6"/>
        <w:keepNext w:val="0"/>
        <w:keepLines w:val="0"/>
        <w:widowControl/>
        <w:wordWrap w:val="0"/>
        <w:topLinePunct/>
        <w:adjustRightInd w:val="0"/>
        <w:snapToGrid w:val="0"/>
        <w:spacing w:before="0" w:beforeLines="0" w:after="0" w:afterLines="0" w:line="480" w:lineRule="exact"/>
        <w:ind w:firstLine="470" w:firstLineChars="196"/>
        <w:rPr>
          <w:rFonts w:hint="eastAsia" w:ascii="仿宋_GB2312"/>
          <w:color w:val="auto"/>
          <w:sz w:val="24"/>
          <w:szCs w:val="24"/>
          <w:highlight w:val="none"/>
        </w:rPr>
      </w:pPr>
      <w:bookmarkStart w:id="215" w:name="_Toc38789775"/>
      <w:bookmarkStart w:id="216" w:name="_Toc57887404"/>
      <w:bookmarkStart w:id="217" w:name="_Toc524165661"/>
      <w:r>
        <w:rPr>
          <w:rFonts w:hint="eastAsia" w:ascii="仿宋_GB2312"/>
          <w:color w:val="auto"/>
          <w:sz w:val="24"/>
          <w:szCs w:val="24"/>
          <w:highlight w:val="none"/>
        </w:rPr>
        <w:t>第九条 设计投资控制</w:t>
      </w:r>
      <w:bookmarkEnd w:id="215"/>
      <w:bookmarkEnd w:id="216"/>
      <w:bookmarkEnd w:id="217"/>
    </w:p>
    <w:p>
      <w:pPr>
        <w:widowControl/>
        <w:wordWrap w:val="0"/>
        <w:topLinePunct/>
        <w:adjustRightInd w:val="0"/>
        <w:snapToGrid w:val="0"/>
        <w:spacing w:line="480" w:lineRule="exact"/>
        <w:ind w:firstLine="472" w:firstLineChars="196"/>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9.1</w:t>
      </w:r>
      <w:r>
        <w:rPr>
          <w:rFonts w:hint="eastAsia" w:ascii="仿宋_GB2312" w:eastAsia="仿宋_GB2312"/>
          <w:color w:val="auto"/>
          <w:sz w:val="24"/>
          <w:highlight w:val="none"/>
        </w:rPr>
        <w:t>限额设计</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9.1.1</w:t>
      </w:r>
      <w:r>
        <w:rPr>
          <w:rFonts w:hint="eastAsia" w:ascii="仿宋_GB2312" w:eastAsia="仿宋_GB2312"/>
          <w:color w:val="auto"/>
          <w:sz w:val="24"/>
          <w:highlight w:val="none"/>
          <w:u w:val="none"/>
        </w:rPr>
        <w:t>本工程设计投资限额为经批准的项目可行性研究报告投资额（按规定不需要编制项目可行性研究报告的项目，则为项目立项投资额）。发包人据此制定投资分解目标，实行限额设计。在保证设计质量的前提下，设计人应按投资限额进行设计，严格控制设计变更，确保工程概、预算不突破限额目标。</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9.1.2设计人遵循功能适用、标准合理、经济合理的原则开展设计，在投资限额目标的基础上结合项目设计内容进一步分解投资，明确投资控制主要指标，在编制设计概、预算时逐步细化落实。</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9.1.3设计人在限额设计范围内应充分运用性价比分析、多方案（不少于2个）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9.1.4设计人有关设计的任何修改、变动或由于修改设计所引起的工艺、技术材料、设备的变更如引起投资限额的突破均须经过发包人审批同意。</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9.1.5设计人未经发包人同意突破工程投资限额设计、视为违约，应承担相应责任，并从总设计费中扣除超出限额部分的设计费的两倍作为处罚。</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9.2</w:t>
      </w:r>
      <w:r>
        <w:rPr>
          <w:rFonts w:hint="eastAsia" w:ascii="仿宋_GB2312" w:eastAsia="仿宋_GB2312"/>
          <w:color w:val="auto"/>
          <w:sz w:val="24"/>
          <w:highlight w:val="none"/>
        </w:rPr>
        <w:t>设计优化和技术经济分析论证</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9.2.1设计方案必须进行技术经济分析。通过对设计方案、工艺、设备等进行全面的评价，在满足功能要求的前提下采用技术经济优化，可以有效控制工程投资的方案。</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9.2.2在保证方案的可实施和可操作性前提下，设计中凡能进行定量分析的设计内容，应通过计算，用数据说明其技术经济的合理性。同时向发包人提供技术经济分析资料，以力求设计成果能充分体现设计优化的原则。</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9.2.3设计人必须对设计方案进行多方案比较和优化，比较方案应具有可比性。方案比较必须通过技术经济分析，完成单位或单项工程的估算编制，确保设计深度能够满足编制工程概算的需要。对于超投资限额的，应在保证设计质量的前提下自行修改，如确实需要增加的，必须报发包人审查，取得发包人书面同意后方可修正。</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9.2.4为确保设计优化和投资控制，设计人必须对整体设计方案、主要基础形式、主体结构选型、截面方案、大宗建材（单项总投资额200万以上）使用、主要设备（单价投资额50元以上或总投资额100万元以上）选型等对建成使用和建设投资有重大影响的因素进行经济技术多方案比选和性价比分析，并提交正式的书面报告报发包人确认。</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9.2.5设计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并未经发包人审批，不得随意突破限额。</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9.3</w:t>
      </w:r>
      <w:r>
        <w:rPr>
          <w:rFonts w:hint="eastAsia" w:ascii="仿宋_GB2312" w:eastAsia="仿宋_GB2312"/>
          <w:color w:val="auto"/>
          <w:sz w:val="24"/>
          <w:highlight w:val="none"/>
        </w:rPr>
        <w:t>概算</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9.3.1设计人必须在方案设计审查、扩大初步设计审查和施工图审查时提交相应深度的投资估算、概算，对投资限额目标作进一步的细化，并按设计深度提供相应的主要材料工程数量表、设备清单、数量及询价资料，概算计算书、编制说明书。</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9.3.2设计概算的计算指标分析应提供依据，计算数据应经有关部门或人员确认，确认后不得随意修改。没有定额的指标必须进行指标分析，针对本工程的特点合理确定，杜绝机械性地套用广州其它类似工程指标的做法。</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9.3.3设计人应对概算的准确性负责，认真分析可能影响造价的各种因素（如自然条件、生产工艺和施工条件等），准确选用定额、费用和价格等各项编制依据，使概算能够完整地反映设计内容，合理地反映施工条件，准确地确定工程造价。</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9.3.4设计概算应结合工程招投标的需要编制，单位、单项工程，分部、分项工程的划分原则必须统一，编码必须一致，便于投资分析和验工计价时的检索。编制单元及章节划分应符合投资控制的需要，方便发包人根据工程招标的标段灵活组合。</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9.3.6发包人有权聘请有资质的单位审查设计人造价文件的客观性、准确性。如果工程概算超出限定的工程造价，设计人必须对初步设计进行修改，并承诺修改不改变有关设计和规划的原则、内容与要求，不改变原方案设计的构思，不降低使用功能与设计质量标准。发包人对此修改不支付附加设计费用。</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9.4</w:t>
      </w:r>
      <w:r>
        <w:rPr>
          <w:rFonts w:hint="eastAsia" w:ascii="仿宋_GB2312" w:eastAsia="仿宋_GB2312"/>
          <w:color w:val="auto"/>
          <w:sz w:val="24"/>
          <w:highlight w:val="none"/>
        </w:rPr>
        <w:t>设计变更</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9.4.1工程建设过程中因各种原因所发生的设计变更，按广州开发区、黄埔区及发包人相关规定执行。设计人在办理设计变更手续时，应明确设计变更的原因、种类、责任认定等。</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9.4.2设计人应承诺能够根据工程需要修改设计，对所承担项目设计的完整性负责，且修改设计完成时限应满足工程建设需要并符合本合同要求。</w:t>
      </w:r>
    </w:p>
    <w:p>
      <w:pPr>
        <w:pStyle w:val="6"/>
        <w:keepNext w:val="0"/>
        <w:keepLines w:val="0"/>
        <w:widowControl/>
        <w:wordWrap w:val="0"/>
        <w:topLinePunct/>
        <w:adjustRightInd w:val="0"/>
        <w:snapToGrid w:val="0"/>
        <w:spacing w:before="0" w:beforeLines="0" w:after="0" w:afterLines="0" w:line="480" w:lineRule="exact"/>
        <w:ind w:firstLine="307" w:firstLineChars="128"/>
        <w:rPr>
          <w:rFonts w:hint="eastAsia" w:ascii="仿宋_GB2312"/>
          <w:color w:val="auto"/>
          <w:sz w:val="24"/>
          <w:szCs w:val="24"/>
          <w:highlight w:val="none"/>
        </w:rPr>
      </w:pPr>
      <w:bookmarkStart w:id="218" w:name="_Toc57886969"/>
      <w:bookmarkStart w:id="219" w:name="_Toc57887403"/>
      <w:bookmarkStart w:id="220" w:name="_Toc524165651"/>
      <w:bookmarkStart w:id="221" w:name="_Toc38789764"/>
      <w:r>
        <w:rPr>
          <w:rFonts w:hint="eastAsia" w:ascii="仿宋_GB2312"/>
          <w:color w:val="auto"/>
          <w:sz w:val="24"/>
          <w:szCs w:val="24"/>
          <w:highlight w:val="none"/>
        </w:rPr>
        <w:t>第十条 设计</w:t>
      </w:r>
      <w:bookmarkEnd w:id="218"/>
      <w:r>
        <w:rPr>
          <w:rFonts w:hint="eastAsia" w:ascii="仿宋_GB2312"/>
          <w:color w:val="auto"/>
          <w:sz w:val="24"/>
          <w:szCs w:val="24"/>
          <w:highlight w:val="none"/>
        </w:rPr>
        <w:t>质量的组织保证与人员管理制度</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bookmarkStart w:id="222" w:name="_Toc38789769"/>
      <w:r>
        <w:rPr>
          <w:rFonts w:hint="eastAsia" w:ascii="仿宋_GB2312" w:eastAsia="仿宋_GB2312"/>
          <w:b/>
          <w:color w:val="auto"/>
          <w:sz w:val="24"/>
          <w:highlight w:val="none"/>
          <w:shd w:val="pct10" w:color="auto" w:fill="FFFFFF"/>
        </w:rPr>
        <w:t>10.1</w:t>
      </w:r>
      <w:r>
        <w:rPr>
          <w:rFonts w:hint="eastAsia" w:ascii="仿宋_GB2312" w:eastAsia="仿宋_GB2312"/>
          <w:color w:val="auto"/>
          <w:sz w:val="24"/>
          <w:highlight w:val="none"/>
        </w:rPr>
        <w:t>设计人应根据设计任务建立项目组，从组织上保证投入的人力、物力能满足设计开展的需要，保证不同设计时段、阶段设计工作的连续性和外部接口衔接的连贯性。</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10.2</w:t>
      </w:r>
      <w:r>
        <w:rPr>
          <w:rFonts w:hint="eastAsia" w:ascii="仿宋_GB2312" w:eastAsia="仿宋_GB2312"/>
          <w:color w:val="auto"/>
          <w:sz w:val="24"/>
          <w:highlight w:val="none"/>
        </w:rPr>
        <w:t>在设计高峰或发包人认为有必要时，设计人必须集中设计人员确保设计进度，凡因人员不到位而影响设计工作的，发包人有权根据实际情况扣减设计费直至解除合同等。</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10.3</w:t>
      </w:r>
      <w:r>
        <w:rPr>
          <w:rFonts w:hint="eastAsia" w:ascii="仿宋_GB2312" w:eastAsia="仿宋_GB2312"/>
          <w:color w:val="auto"/>
          <w:sz w:val="24"/>
          <w:highlight w:val="none"/>
        </w:rPr>
        <w:t>本合同有效期内，设计人员明确分工各负责的基础上，设计人承诺为本项目指定的设计总负责人为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以上职务，高级职称，其设计经历</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年以上，且担任过</w:t>
      </w:r>
      <w:r>
        <w:rPr>
          <w:rFonts w:hint="eastAsia" w:ascii="仿宋_GB2312" w:eastAsia="仿宋_GB2312"/>
          <w:color w:val="auto"/>
          <w:sz w:val="24"/>
          <w:highlight w:val="none"/>
          <w:u w:val="single"/>
        </w:rPr>
        <w:t xml:space="preserve">    专业（含相近专业）</w:t>
      </w:r>
      <w:r>
        <w:rPr>
          <w:rFonts w:hint="eastAsia" w:ascii="仿宋_GB2312" w:eastAsia="仿宋_GB2312"/>
          <w:color w:val="auto"/>
          <w:sz w:val="24"/>
          <w:highlight w:val="none"/>
        </w:rPr>
        <w:t>工程的设计总负责人。</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10.4</w:t>
      </w:r>
      <w:r>
        <w:rPr>
          <w:rFonts w:hint="eastAsia" w:ascii="仿宋_GB2312" w:eastAsia="仿宋_GB2312"/>
          <w:color w:val="auto"/>
          <w:sz w:val="24"/>
          <w:highlight w:val="none"/>
        </w:rPr>
        <w:t>设计人承诺为本项目指定的各专业设计负责人为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eastAsia="zh-CN"/>
        </w:rPr>
        <w:t>或</w:t>
      </w:r>
      <w:r>
        <w:rPr>
          <w:rFonts w:hint="eastAsia" w:ascii="仿宋_GB2312" w:eastAsia="仿宋_GB2312"/>
          <w:color w:val="auto"/>
          <w:sz w:val="24"/>
          <w:highlight w:val="none"/>
        </w:rPr>
        <w:t>以上职称，设计经历在</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年以上，每个专业至少配备</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名高级工程师。</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10.5</w:t>
      </w:r>
      <w:r>
        <w:rPr>
          <w:rFonts w:hint="eastAsia" w:ascii="仿宋_GB2312" w:eastAsia="仿宋_GB2312"/>
          <w:color w:val="auto"/>
          <w:sz w:val="24"/>
          <w:highlight w:val="none"/>
        </w:rPr>
        <w:t>设计人承诺为本项目指定的驻场设计代表总负责人为本项目设计负责人之一，</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职称，其设计经历在</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年以上，担任过</w:t>
      </w:r>
      <w:r>
        <w:rPr>
          <w:rFonts w:hint="eastAsia" w:ascii="仿宋_GB2312" w:eastAsia="仿宋_GB2312"/>
          <w:color w:val="auto"/>
          <w:sz w:val="24"/>
          <w:highlight w:val="none"/>
          <w:u w:val="single"/>
        </w:rPr>
        <w:t xml:space="preserve">   专业（含相近专业）</w:t>
      </w:r>
      <w:r>
        <w:rPr>
          <w:rFonts w:hint="eastAsia" w:ascii="仿宋_GB2312" w:eastAsia="仿宋_GB2312"/>
          <w:color w:val="auto"/>
          <w:sz w:val="24"/>
          <w:highlight w:val="none"/>
        </w:rPr>
        <w:t>工程的设计总负责人。设计人保证驻场设计代表总负责人能够全权代表设计人，并向发包人出具相应的授权文件。</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10.6</w:t>
      </w:r>
      <w:r>
        <w:rPr>
          <w:rFonts w:hint="eastAsia" w:ascii="仿宋_GB2312" w:eastAsia="仿宋_GB2312"/>
          <w:color w:val="auto"/>
          <w:sz w:val="24"/>
          <w:highlight w:val="none"/>
        </w:rPr>
        <w:t>设计人承诺项目主要专业</w:t>
      </w:r>
      <w:r>
        <w:rPr>
          <w:rFonts w:hint="eastAsia" w:ascii="仿宋_GB2312" w:eastAsia="仿宋_GB2312"/>
          <w:color w:val="auto"/>
          <w:sz w:val="24"/>
          <w:highlight w:val="none"/>
          <w:u w:val="single"/>
        </w:rPr>
        <w:t xml:space="preserve">   专业</w:t>
      </w:r>
      <w:r>
        <w:rPr>
          <w:rFonts w:hint="eastAsia" w:ascii="仿宋_GB2312" w:eastAsia="仿宋_GB2312"/>
          <w:color w:val="auto"/>
          <w:sz w:val="24"/>
          <w:highlight w:val="none"/>
        </w:rPr>
        <w:t>的设计负责人作为设计代表常驻现场，服务于项目建设的始终。</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10.7</w:t>
      </w:r>
      <w:r>
        <w:rPr>
          <w:rFonts w:hint="eastAsia" w:ascii="仿宋_GB2312" w:eastAsia="仿宋_GB2312"/>
          <w:color w:val="auto"/>
          <w:sz w:val="24"/>
          <w:highlight w:val="none"/>
        </w:rPr>
        <w:t>设计人承诺应发包人要求，委派承担本项目设计的其它专业的设计负责人作为设计代表驻现场，提供专业齐全的配套服务。</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10.8</w:t>
      </w:r>
      <w:r>
        <w:rPr>
          <w:rFonts w:hint="eastAsia" w:ascii="仿宋_GB2312" w:eastAsia="仿宋_GB2312"/>
          <w:color w:val="auto"/>
          <w:sz w:val="24"/>
          <w:highlight w:val="none"/>
        </w:rPr>
        <w:t>设计人承诺随项目的推进，除10.3、10.4、10.5条所指定人员外另委派各专业设计代表常驻现场，每专业至少1人。</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10.9</w:t>
      </w:r>
      <w:r>
        <w:rPr>
          <w:rFonts w:hint="eastAsia" w:ascii="仿宋_GB2312" w:eastAsia="仿宋_GB2312"/>
          <w:color w:val="auto"/>
          <w:sz w:val="24"/>
          <w:highlight w:val="none"/>
        </w:rPr>
        <w:t>项目设计总负责人，各专业设计负责人，驻场设计代表总负责人，驻场设计代表的经验、能力和健康状况应能够胜任所承担任务的设计、组织、计划、协调工作。</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10.10</w:t>
      </w:r>
      <w:r>
        <w:rPr>
          <w:rFonts w:hint="eastAsia" w:ascii="仿宋_GB2312" w:eastAsia="仿宋_GB2312"/>
          <w:color w:val="auto"/>
          <w:sz w:val="24"/>
          <w:highlight w:val="none"/>
        </w:rPr>
        <w:t>设计人须报送项目设计总负责人，各专业设计负责人、其它参与设计工作的人员姓名、年龄、学历、专业、职称、职务、相关经历和主要技术成果以及在本项目中负责的设计任务等资料。</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10.11</w:t>
      </w:r>
      <w:r>
        <w:rPr>
          <w:rFonts w:hint="eastAsia" w:ascii="仿宋_GB2312" w:eastAsia="仿宋_GB2312"/>
          <w:color w:val="auto"/>
          <w:sz w:val="24"/>
          <w:highlight w:val="none"/>
        </w:rPr>
        <w:t>设计人须报送驻场设计代表负责人，驻场设计代表人员的姓名、年龄、学历、专业、职称、职务、相关经历和主要技术成果以及驻场授权工作范围、驻场时间安排等资料。</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10.12</w:t>
      </w:r>
      <w:r>
        <w:rPr>
          <w:rFonts w:hint="eastAsia" w:ascii="仿宋_GB2312" w:eastAsia="仿宋_GB2312"/>
          <w:color w:val="auto"/>
          <w:sz w:val="24"/>
          <w:highlight w:val="none"/>
        </w:rPr>
        <w:t>设计人必须保证参与本项目设计人员的稳定性，设计人如需更换项目设计总负责人、各专业设计负责人、驻场设计代表总负责人和驻场设计代表，应提前7天以书面形式通知发包人并征得发包人同意后方可撤换。同时发包人认为项目设计总负责人、各专业设计负责人、驻场设计代表总负责人和驻场设计代表不称职时，设计人应当在收到发包人的书面通知后5天内更换，更换人员的资历不得低于本合同相应条款对各类设计人员资历规定的要求，且更换人员须先经过发包人确认。若设计人对发包人要求更换人员有异议时，可进行申诉，若申诉后发包人仍然要求更换，则设计人应无条件进行更换，否则视设计人该人员从发包人发出更换通知的时间开始擅自离岗。</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10.13</w:t>
      </w:r>
      <w:r>
        <w:rPr>
          <w:rFonts w:hint="eastAsia" w:ascii="仿宋_GB2312" w:eastAsia="仿宋_GB2312"/>
          <w:color w:val="auto"/>
          <w:sz w:val="24"/>
          <w:highlight w:val="none"/>
        </w:rPr>
        <w:t>设计人必须加强设计人员职业操守的教育，本项目设计人员需共同遵守设计人员职业道德守则，并严格遵守以下规定：</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10.13.1严防重产值、轻质量倾向，确保公众人身及财产安全。</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10.13.2禁止向发包人及施工单位推销材料、设备，或以倾向性、排他性设计变相推销。</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10.13.3禁止与材料、设备供应商串通，设计中选用价高质次的材料、设备。</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10.13.4禁止与材料、设备供应商串通，在材料、设备的监造或调试过程中对不合格材料、设备产品进行包庇或以次充好，提高产品验收级别。</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10.13.5禁止与施工单位串通，对不合格材料、设备、产品、工程进行包庇及验收。</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10.13.6禁止与施工单位串通，对材料用量、工程量进行虚假签认。</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10.13.7禁止与施工单位串通，不合理提高施工难度及增加材料用量，以增大施工费用，获取不正当收益。</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shd w:val="pct10" w:color="auto" w:fill="FFFFFF"/>
        </w:rPr>
        <w:t>10.14</w:t>
      </w:r>
      <w:r>
        <w:rPr>
          <w:rFonts w:hint="eastAsia" w:ascii="仿宋_GB2312" w:eastAsia="仿宋_GB2312"/>
          <w:color w:val="auto"/>
          <w:sz w:val="24"/>
          <w:highlight w:val="none"/>
        </w:rPr>
        <w:t>凡违背以上规定者，一经查实，发包人有权向有关部门反映情况，追究设计人及有关责任人相关责任，要求赔偿相关损失，并将上述违反职业道德的行为通过新闻媒体公诸于众，情节严重者移交司法机关追究法律责任。</w:t>
      </w:r>
    </w:p>
    <w:bookmarkEnd w:id="222"/>
    <w:p>
      <w:pPr>
        <w:pStyle w:val="6"/>
        <w:keepNext w:val="0"/>
        <w:keepLines w:val="0"/>
        <w:widowControl/>
        <w:wordWrap w:val="0"/>
        <w:topLinePunct/>
        <w:adjustRightInd w:val="0"/>
        <w:snapToGrid w:val="0"/>
        <w:spacing w:before="0" w:beforeLines="0" w:after="0" w:afterLines="0" w:line="480" w:lineRule="exact"/>
        <w:ind w:firstLine="542" w:firstLineChars="226"/>
        <w:rPr>
          <w:rFonts w:hint="eastAsia" w:ascii="仿宋_GB2312"/>
          <w:color w:val="auto"/>
          <w:sz w:val="24"/>
          <w:szCs w:val="24"/>
          <w:highlight w:val="none"/>
        </w:rPr>
      </w:pPr>
      <w:r>
        <w:rPr>
          <w:rFonts w:hint="eastAsia" w:ascii="仿宋_GB2312"/>
          <w:color w:val="auto"/>
          <w:sz w:val="24"/>
          <w:szCs w:val="24"/>
          <w:highlight w:val="none"/>
        </w:rPr>
        <w:t>第十一条 设计质量控制</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11.1</w:t>
      </w:r>
      <w:r>
        <w:rPr>
          <w:rFonts w:hint="eastAsia" w:ascii="仿宋_GB2312" w:eastAsia="仿宋_GB2312"/>
          <w:color w:val="auto"/>
          <w:sz w:val="24"/>
          <w:highlight w:val="none"/>
        </w:rPr>
        <w:t>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设计人修改设计。</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11.2</w:t>
      </w:r>
      <w:r>
        <w:rPr>
          <w:rFonts w:hint="eastAsia" w:ascii="仿宋_GB2312" w:eastAsia="仿宋_GB2312"/>
          <w:color w:val="auto"/>
          <w:sz w:val="24"/>
          <w:highlight w:val="none"/>
        </w:rPr>
        <w:t>设备国产化应当做到选型设计而不是科研开发设计，原则上要求所采用的设备和系统技术是成熟的，对于新技术、新成果的运用设计人必须有把握，并有相应的工程实践和实际应用经验供参考。</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11.3</w:t>
      </w:r>
      <w:r>
        <w:rPr>
          <w:rFonts w:hint="eastAsia" w:ascii="仿宋_GB2312" w:eastAsia="仿宋_GB2312"/>
          <w:color w:val="auto"/>
          <w:sz w:val="24"/>
          <w:highlight w:val="none"/>
        </w:rPr>
        <w:t>设计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11.4</w:t>
      </w:r>
      <w:r>
        <w:rPr>
          <w:rFonts w:hint="eastAsia" w:ascii="仿宋_GB2312" w:eastAsia="仿宋_GB2312"/>
          <w:color w:val="auto"/>
          <w:sz w:val="24"/>
          <w:highlight w:val="none"/>
        </w:rPr>
        <w:t>如果设计人交付的文件或图纸不符合本合同及附件的约定和要求，发包人有权拒收，设计人应在收到发包人通知后5天内免费将所有符合规定的设计文件交付给发包人，且文件交付时间仍应符合本合同要求，否则承担相关违约责任。</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11.5</w:t>
      </w:r>
      <w:r>
        <w:rPr>
          <w:rFonts w:hint="eastAsia" w:ascii="仿宋_GB2312" w:eastAsia="仿宋_GB2312"/>
          <w:color w:val="auto"/>
          <w:sz w:val="24"/>
          <w:highlight w:val="none"/>
        </w:rPr>
        <w:t>发包人重视处理好投资、设计费和设计质量之间的关系，充分重视发挥设计人员积极性在保证项目质量、投资控制方面的作用，使设计费与设计工作量匹配，尽量避免各系统、工点项目在设计取费上的不均衡。</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11.6</w:t>
      </w:r>
      <w:r>
        <w:rPr>
          <w:rFonts w:hint="eastAsia" w:ascii="仿宋_GB2312" w:eastAsia="仿宋_GB2312"/>
          <w:color w:val="auto"/>
          <w:sz w:val="24"/>
          <w:highlight w:val="none"/>
        </w:rPr>
        <w:t>对设计创优完成情况发包人满意的，取得一定实际绩效，并表现突出的，发包人给予设计方通报表扬。</w:t>
      </w:r>
    </w:p>
    <w:p>
      <w:pPr>
        <w:pStyle w:val="6"/>
        <w:keepNext w:val="0"/>
        <w:keepLines w:val="0"/>
        <w:widowControl/>
        <w:wordWrap w:val="0"/>
        <w:topLinePunct/>
        <w:adjustRightInd w:val="0"/>
        <w:snapToGrid w:val="0"/>
        <w:spacing w:before="0" w:beforeLines="0" w:after="0" w:afterLines="0" w:line="480" w:lineRule="exact"/>
        <w:ind w:firstLine="460" w:firstLineChars="192"/>
        <w:rPr>
          <w:rFonts w:hint="eastAsia" w:ascii="仿宋_GB2312"/>
          <w:color w:val="auto"/>
          <w:sz w:val="24"/>
          <w:szCs w:val="24"/>
          <w:highlight w:val="none"/>
        </w:rPr>
      </w:pPr>
      <w:r>
        <w:rPr>
          <w:rFonts w:hint="eastAsia" w:ascii="仿宋_GB2312"/>
          <w:color w:val="auto"/>
          <w:sz w:val="24"/>
          <w:szCs w:val="24"/>
          <w:highlight w:val="none"/>
        </w:rPr>
        <w:t xml:space="preserve">第十二条 </w:t>
      </w:r>
      <w:bookmarkEnd w:id="219"/>
      <w:bookmarkEnd w:id="220"/>
      <w:bookmarkEnd w:id="221"/>
      <w:r>
        <w:rPr>
          <w:rFonts w:hint="eastAsia" w:ascii="仿宋_GB2312"/>
          <w:color w:val="auto"/>
          <w:sz w:val="24"/>
          <w:szCs w:val="24"/>
          <w:highlight w:val="none"/>
        </w:rPr>
        <w:t>建筑材料和设备的选用</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12.1</w:t>
      </w:r>
      <w:r>
        <w:rPr>
          <w:rFonts w:hint="eastAsia" w:ascii="仿宋_GB2312" w:eastAsia="仿宋_GB2312"/>
          <w:color w:val="auto"/>
          <w:sz w:val="24"/>
          <w:highlight w:val="none"/>
        </w:rPr>
        <w:t>设计所选用的建筑材料及设备（包括各专业选用的材料、设备），在进行性能价格比的分析后，原则上优先选用国内的产品。但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12.2</w:t>
      </w:r>
      <w:r>
        <w:rPr>
          <w:rFonts w:hint="eastAsia" w:ascii="仿宋_GB2312" w:eastAsia="仿宋_GB2312"/>
          <w:color w:val="auto"/>
          <w:sz w:val="24"/>
          <w:highlight w:val="none"/>
        </w:rPr>
        <w:t>对于由发包人推荐的候选建筑材料和设备，设计人须帮助发包人鉴别其优劣并提供相关咨询意见，发包人不需为此额外支付任何费用。</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 xml:space="preserve">12.3 </w:t>
      </w:r>
      <w:r>
        <w:rPr>
          <w:rFonts w:hint="eastAsia" w:ascii="仿宋_GB2312" w:eastAsia="仿宋_GB2312"/>
          <w:color w:val="auto"/>
          <w:sz w:val="24"/>
          <w:highlight w:val="none"/>
        </w:rPr>
        <w:t>从国外进口的建筑材料、设备等，设计人原则上须向发包人推荐三家以上可供货的国外厂商名称、产品质量标准、价格资料等，并提出评估意见（必要时还须提供推荐的供应厂商以往业绩）。推荐材料不能含有任何倾向性和排他性，设计人不得推荐或选用具有唯一知识产权特征的独家产品，如确有必要，设计人应提前取得发包人或设计咨询方的认可。</w:t>
      </w:r>
    </w:p>
    <w:p>
      <w:pPr>
        <w:pStyle w:val="6"/>
        <w:keepNext w:val="0"/>
        <w:keepLines w:val="0"/>
        <w:widowControl/>
        <w:wordWrap w:val="0"/>
        <w:topLinePunct/>
        <w:adjustRightInd w:val="0"/>
        <w:snapToGrid w:val="0"/>
        <w:spacing w:before="0" w:beforeLines="0" w:after="0" w:afterLines="0" w:line="480" w:lineRule="exact"/>
        <w:ind w:firstLine="470" w:firstLineChars="196"/>
        <w:rPr>
          <w:rFonts w:hint="eastAsia" w:ascii="仿宋_GB2312"/>
          <w:color w:val="auto"/>
          <w:sz w:val="24"/>
          <w:szCs w:val="24"/>
          <w:highlight w:val="none"/>
        </w:rPr>
      </w:pPr>
      <w:r>
        <w:rPr>
          <w:rFonts w:hint="eastAsia" w:ascii="仿宋_GB2312"/>
          <w:color w:val="auto"/>
          <w:sz w:val="24"/>
          <w:szCs w:val="24"/>
          <w:highlight w:val="none"/>
        </w:rPr>
        <w:t>第十三条  进度计划</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13.1</w:t>
      </w:r>
      <w:r>
        <w:rPr>
          <w:rFonts w:hint="eastAsia" w:ascii="仿宋_GB2312" w:eastAsia="仿宋_GB2312"/>
          <w:color w:val="auto"/>
          <w:sz w:val="24"/>
          <w:highlight w:val="none"/>
        </w:rPr>
        <w:t>设计人必须在合同约定的时间和期限内按发包人要求分初步设计和施工图二阶段开始和完成设计，但根据合同约定的延期除外。</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13.2</w:t>
      </w:r>
      <w:r>
        <w:rPr>
          <w:rFonts w:hint="eastAsia" w:ascii="仿宋_GB2312" w:eastAsia="仿宋_GB2312"/>
          <w:color w:val="auto"/>
          <w:sz w:val="24"/>
          <w:highlight w:val="none"/>
        </w:rPr>
        <w:t>设计人根据合同约定及工期总体策划的要求编制各阶段设计进度计划和各专业的出图计划，各阶段中间检查内容、时间、次数和提交的设计文件、图纸，经设计咨询单位审核和发包人审查、平衡后执行。设计人根据设计进展编制短期设计计划，以使设计进度在受控状态下进行，同时便于发包人及时与设计人协调。</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13.3</w:t>
      </w:r>
      <w:r>
        <w:rPr>
          <w:rFonts w:hint="eastAsia" w:ascii="仿宋_GB2312" w:eastAsia="仿宋_GB2312"/>
          <w:color w:val="auto"/>
          <w:sz w:val="24"/>
          <w:highlight w:val="none"/>
        </w:rPr>
        <w:t>设计进度计划应体现事前、事中、事后进度控制，应有工作流程、进度控制措施、组织措施、及时措施等内容，必须考虑工程招标、设备采购、材料准备等因素，提供满足上述工作所需要的有关设计文件。</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13.4</w:t>
      </w:r>
      <w:r>
        <w:rPr>
          <w:rFonts w:hint="eastAsia" w:ascii="仿宋_GB2312" w:eastAsia="仿宋_GB2312"/>
          <w:color w:val="auto"/>
          <w:sz w:val="24"/>
          <w:highlight w:val="none"/>
        </w:rPr>
        <w:t>设计人编制的设计进度除合同附件要求的内容外，应确定项目总进度目标与详细的分进度目标。严格按照合同规定时间提交相应的设计成果。</w:t>
      </w:r>
    </w:p>
    <w:p>
      <w:pPr>
        <w:pStyle w:val="6"/>
        <w:keepNext w:val="0"/>
        <w:keepLines w:val="0"/>
        <w:widowControl/>
        <w:wordWrap w:val="0"/>
        <w:topLinePunct/>
        <w:adjustRightInd w:val="0"/>
        <w:snapToGrid w:val="0"/>
        <w:spacing w:before="0" w:beforeLines="0" w:after="0" w:afterLines="0" w:line="480" w:lineRule="exact"/>
        <w:ind w:firstLine="307" w:firstLineChars="128"/>
        <w:rPr>
          <w:rFonts w:hint="eastAsia" w:ascii="仿宋_GB2312"/>
          <w:color w:val="auto"/>
          <w:sz w:val="24"/>
          <w:szCs w:val="24"/>
          <w:highlight w:val="none"/>
        </w:rPr>
      </w:pPr>
      <w:r>
        <w:rPr>
          <w:rFonts w:hint="eastAsia" w:ascii="仿宋_GB2312"/>
          <w:color w:val="auto"/>
          <w:sz w:val="24"/>
          <w:szCs w:val="24"/>
          <w:highlight w:val="none"/>
        </w:rPr>
        <w:t>第十四条  进度控制的要求和办法</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14.1</w:t>
      </w:r>
      <w:r>
        <w:rPr>
          <w:rFonts w:hint="eastAsia" w:ascii="仿宋_GB2312" w:eastAsia="仿宋_GB2312"/>
          <w:color w:val="auto"/>
          <w:sz w:val="24"/>
          <w:highlight w:val="none"/>
        </w:rPr>
        <w:t>发包人按进度计划检查设计完成情况，检查内容包括设计进展、设计质量、限额设计落实情况、设计成果提交情况等，发现问题，有权督促设计人采取组织、经济及技术措施予以纠正。</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14.2</w:t>
      </w:r>
      <w:r>
        <w:rPr>
          <w:rFonts w:hint="eastAsia" w:ascii="仿宋_GB2312" w:eastAsia="仿宋_GB2312"/>
          <w:color w:val="auto"/>
          <w:sz w:val="24"/>
          <w:highlight w:val="none"/>
        </w:rPr>
        <w:t>设计人严格按照进度计划开展和组织设计工作，接受发包人根据合同和进度计划进行的各种设计跟踪、工作检查和协调要求。</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14.3</w:t>
      </w:r>
      <w:r>
        <w:rPr>
          <w:rFonts w:hint="eastAsia" w:ascii="仿宋_GB2312" w:eastAsia="仿宋_GB2312"/>
          <w:color w:val="auto"/>
          <w:sz w:val="24"/>
          <w:highlight w:val="none"/>
        </w:rPr>
        <w:t>设计人根据设计开展情况编制月工作汇报和下月进度计划，提供有关设计信息，协调发包人掌握设计工作的整体进展情况。设计人每周按要求向发包人报告进展情况。发包人有权要求修改、调整进度计划并要求设计人执行。</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14.4</w:t>
      </w:r>
      <w:r>
        <w:rPr>
          <w:rFonts w:hint="eastAsia" w:ascii="仿宋_GB2312" w:eastAsia="仿宋_GB2312"/>
          <w:color w:val="auto"/>
          <w:sz w:val="24"/>
          <w:highlight w:val="none"/>
        </w:rPr>
        <w:t>对于设计人书面反映的重大技术问题和重大原则问题，发包人应在10日内予以确认或反馈意见，需要发包人协调的，由发包人组织协调。</w:t>
      </w:r>
    </w:p>
    <w:p>
      <w:pPr>
        <w:pStyle w:val="6"/>
        <w:keepNext w:val="0"/>
        <w:keepLines w:val="0"/>
        <w:widowControl/>
        <w:wordWrap w:val="0"/>
        <w:topLinePunct/>
        <w:adjustRightInd w:val="0"/>
        <w:snapToGrid w:val="0"/>
        <w:spacing w:before="0" w:beforeLines="0" w:after="0" w:afterLines="0" w:line="480" w:lineRule="exact"/>
        <w:ind w:firstLine="307" w:firstLineChars="128"/>
        <w:rPr>
          <w:rFonts w:hint="eastAsia" w:ascii="仿宋_GB2312"/>
          <w:color w:val="auto"/>
          <w:sz w:val="24"/>
          <w:szCs w:val="24"/>
          <w:highlight w:val="none"/>
        </w:rPr>
      </w:pPr>
      <w:r>
        <w:rPr>
          <w:rFonts w:hint="eastAsia" w:ascii="仿宋_GB2312"/>
          <w:color w:val="auto"/>
          <w:sz w:val="24"/>
          <w:szCs w:val="24"/>
          <w:highlight w:val="none"/>
        </w:rPr>
        <w:t>第十五条  关键点控制</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15.1</w:t>
      </w:r>
      <w:r>
        <w:rPr>
          <w:rFonts w:hint="eastAsia" w:ascii="仿宋_GB2312" w:eastAsia="仿宋_GB2312"/>
          <w:color w:val="auto"/>
          <w:sz w:val="24"/>
          <w:highlight w:val="none"/>
        </w:rPr>
        <w:t>发包人对关键点的设计工作重点检查，根据设计进展的实际情况提出相应的意见、要求，发现偏离，及时要求设计人调整人员、调整计划和调整工作部署。</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15.2</w:t>
      </w:r>
      <w:r>
        <w:rPr>
          <w:rFonts w:hint="eastAsia" w:ascii="仿宋_GB2312" w:eastAsia="仿宋_GB2312"/>
          <w:color w:val="auto"/>
          <w:sz w:val="24"/>
          <w:highlight w:val="none"/>
        </w:rPr>
        <w:t>发包人对关键点的关注而提出的要求、措施或决策，不因此承担设计人应负的责任，如由此而影响设计工作的正常进行，设计人应提出解决问题的方法，属发包人决策不合理的，设计人有责任告知发包人，发生合同外费用的，需事前提交发包人确认。</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15.3</w:t>
      </w:r>
      <w:r>
        <w:rPr>
          <w:rFonts w:hint="eastAsia" w:ascii="仿宋_GB2312" w:eastAsia="仿宋_GB2312"/>
          <w:color w:val="auto"/>
          <w:sz w:val="24"/>
          <w:highlight w:val="none"/>
        </w:rPr>
        <w:t>设计人应当根据设计行为指定设计工作整体的季度网络图，确定其中的关键点，加强过程控制确保关键点设计按进度计划完成，使整个设计工作处于受控的状态。</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15.4</w:t>
      </w:r>
      <w:r>
        <w:rPr>
          <w:rFonts w:hint="eastAsia" w:ascii="仿宋_GB2312" w:eastAsia="仿宋_GB2312"/>
          <w:color w:val="auto"/>
          <w:sz w:val="24"/>
          <w:highlight w:val="none"/>
        </w:rPr>
        <w:t>设计人应根据发包人要求的进度指定工作计划、组织保证措施，确保投入的人力、物力能满足设计工作的需要，确保关键点的设计工作按时完成。</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15.5</w:t>
      </w:r>
      <w:r>
        <w:rPr>
          <w:rFonts w:hint="eastAsia" w:ascii="仿宋_GB2312" w:eastAsia="仿宋_GB2312"/>
          <w:color w:val="auto"/>
          <w:sz w:val="24"/>
          <w:highlight w:val="none"/>
        </w:rPr>
        <w:t>无论何种原因影响关键点设计进度的，发包人关于消除影响、保证进度的措施、指令，设计人必须采取相应的组织措施、技术措施予以执行，并接受发包人的检查。</w:t>
      </w:r>
    </w:p>
    <w:p>
      <w:pPr>
        <w:pStyle w:val="6"/>
        <w:keepNext w:val="0"/>
        <w:keepLines w:val="0"/>
        <w:widowControl/>
        <w:wordWrap w:val="0"/>
        <w:topLinePunct/>
        <w:adjustRightInd w:val="0"/>
        <w:snapToGrid w:val="0"/>
        <w:spacing w:before="0" w:beforeLines="0" w:after="0" w:afterLines="0" w:line="480" w:lineRule="exact"/>
        <w:ind w:firstLine="424" w:firstLineChars="177"/>
        <w:rPr>
          <w:rFonts w:hint="eastAsia" w:ascii="仿宋_GB2312"/>
          <w:color w:val="auto"/>
          <w:sz w:val="24"/>
          <w:szCs w:val="24"/>
          <w:highlight w:val="none"/>
        </w:rPr>
      </w:pPr>
      <w:r>
        <w:rPr>
          <w:rFonts w:hint="eastAsia" w:ascii="仿宋_GB2312"/>
          <w:color w:val="auto"/>
          <w:sz w:val="24"/>
          <w:szCs w:val="24"/>
          <w:highlight w:val="none"/>
        </w:rPr>
        <w:t>第十六条  设计为用户服务，为工程服务</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16.1</w:t>
      </w:r>
      <w:r>
        <w:rPr>
          <w:rFonts w:hint="eastAsia" w:ascii="仿宋_GB2312" w:eastAsia="仿宋_GB2312"/>
          <w:color w:val="auto"/>
          <w:sz w:val="24"/>
          <w:highlight w:val="none"/>
        </w:rPr>
        <w:t>除发包人已批准的设计文件组成清单内容外，发包人有权要求设计人补充完成增加工程实际所需要的相关的设计图纸。</w:t>
      </w:r>
    </w:p>
    <w:p>
      <w:pPr>
        <w:widowControl/>
        <w:wordWrap w:val="0"/>
        <w:topLinePunct/>
        <w:adjustRightInd w:val="0"/>
        <w:snapToGrid w:val="0"/>
        <w:spacing w:line="480" w:lineRule="exact"/>
        <w:ind w:firstLine="458" w:firstLineChars="19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16.2</w:t>
      </w:r>
      <w:r>
        <w:rPr>
          <w:rFonts w:hint="eastAsia" w:ascii="仿宋_GB2312" w:eastAsia="仿宋_GB2312"/>
          <w:color w:val="auto"/>
          <w:sz w:val="24"/>
          <w:highlight w:val="none"/>
        </w:rPr>
        <w:t>设计要考虑工程实施的需要，在计划、工期上要根据工程总体策划考虑工程招投标、设备采购、施工组织所需要的时间，提前交付设计文件。</w:t>
      </w:r>
    </w:p>
    <w:p>
      <w:pPr>
        <w:pStyle w:val="6"/>
        <w:keepNext w:val="0"/>
        <w:keepLines w:val="0"/>
        <w:widowControl/>
        <w:wordWrap w:val="0"/>
        <w:topLinePunct/>
        <w:adjustRightInd w:val="0"/>
        <w:snapToGrid w:val="0"/>
        <w:spacing w:before="0" w:beforeLines="0" w:after="0" w:afterLines="0" w:line="480" w:lineRule="exact"/>
        <w:ind w:firstLine="424" w:firstLineChars="177"/>
        <w:rPr>
          <w:rFonts w:hint="eastAsia" w:ascii="仿宋_GB2312"/>
          <w:color w:val="auto"/>
          <w:sz w:val="24"/>
          <w:szCs w:val="24"/>
          <w:highlight w:val="none"/>
        </w:rPr>
      </w:pPr>
      <w:r>
        <w:rPr>
          <w:rFonts w:hint="eastAsia" w:ascii="仿宋_GB2312"/>
          <w:color w:val="auto"/>
          <w:sz w:val="24"/>
          <w:szCs w:val="24"/>
          <w:highlight w:val="none"/>
        </w:rPr>
        <w:t>第十七条 设计服务</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17.1</w:t>
      </w:r>
      <w:r>
        <w:rPr>
          <w:rFonts w:hint="eastAsia" w:ascii="仿宋_GB2312" w:eastAsia="仿宋_GB2312"/>
          <w:color w:val="auto"/>
          <w:sz w:val="24"/>
          <w:highlight w:val="none"/>
        </w:rPr>
        <w:t>设计人的主要工作如下：</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17.1.1参与设计的技术协调会，做好设计交底工作。</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17.1.2各施工阶段开始前，按设计人员的设计分工，参与图纸会审，解答有关设计问题。</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17.1.3现场服务：指派设计人员常驻施工现场，按设计人分工责任分别组织进行，配合发包人进行现场巡查，直至</w:t>
      </w:r>
      <w:r>
        <w:rPr>
          <w:rFonts w:hint="eastAsia" w:ascii="仿宋_GB2312" w:eastAsia="仿宋_GB2312"/>
          <w:color w:val="auto"/>
          <w:sz w:val="24"/>
          <w:highlight w:val="none"/>
          <w:lang w:eastAsia="zh-CN"/>
        </w:rPr>
        <w:t>合同工程完工</w:t>
      </w:r>
      <w:r>
        <w:rPr>
          <w:rFonts w:hint="eastAsia" w:ascii="仿宋_GB2312" w:eastAsia="仿宋_GB2312"/>
          <w:color w:val="auto"/>
          <w:sz w:val="24"/>
          <w:highlight w:val="none"/>
        </w:rPr>
        <w:t>验收合格止。当建设过程中对设计文件有疑问，设计人在接到通知后，应及时派出专业工程师解决。属于一般设计问题，若无特殊情况，应在1天内解决。属于重大设计问题，可在5天内书面提出解决意见。对设计图纸与现场不符之处，应及时提出解决办法。</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17.1.4配合发包人进行施工招标和设备、材料采购招标工作，其招标文件技术部分由设计人负责编写，并配合发包人进行合同技术条款的谈判工作。</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17.1.5提供设备、材料订货清单，同时原则上须向发包人公正推荐三家以上供应商及提供相关资料，所提供的供应商和相关资料不能有倾向性和排它性。</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17.1.6对设备、材料订货有关性能、参数、规格的技术确认，以及协助参与对已定设备、材料的验收工作。</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17.1.7协助指定设备系统的调试计划和参与设备试车调试。</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17.1.8参与工程竣工验收，参与编写工程总结。</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17.1.9项目负责人应参加发包人召开的协调会、调度会。</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17.2</w:t>
      </w:r>
      <w:r>
        <w:rPr>
          <w:rFonts w:hint="eastAsia" w:ascii="仿宋_GB2312" w:eastAsia="仿宋_GB2312"/>
          <w:color w:val="auto"/>
          <w:sz w:val="24"/>
          <w:highlight w:val="none"/>
        </w:rPr>
        <w:t>根据工程进展情况和需要，对一些特殊工程，设计人应向发包人提供施工组织设计的书面建议，编写工程施工技术标准（施工作业指导书），对设计各部分所应满足的规范、标准进行总说明，对各条文进行摘录汇编。若对超规范（标准）之处，应初拟技术标准，以供专家论证后执行。</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rPr>
        <w:t>17.3</w:t>
      </w:r>
      <w:r>
        <w:rPr>
          <w:rFonts w:hint="eastAsia" w:ascii="仿宋_GB2312" w:eastAsia="仿宋_GB2312"/>
          <w:color w:val="auto"/>
          <w:sz w:val="24"/>
          <w:highlight w:val="none"/>
        </w:rPr>
        <w:t>如按广州市工程档案资料备案相关规定，需设计人在工程竣工图纸上盖章的，设计人应按规定盖章，不另行向发包人计取费用。</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17.4</w:t>
      </w:r>
      <w:r>
        <w:rPr>
          <w:rFonts w:hint="eastAsia" w:ascii="仿宋_GB2312" w:eastAsia="仿宋_GB2312"/>
          <w:color w:val="auto"/>
          <w:sz w:val="24"/>
          <w:highlight w:val="none"/>
        </w:rPr>
        <w:t>本合同生效之日起至</w:t>
      </w:r>
      <w:r>
        <w:rPr>
          <w:rFonts w:hint="eastAsia" w:ascii="仿宋_GB2312" w:eastAsia="仿宋_GB2312"/>
          <w:color w:val="auto"/>
          <w:sz w:val="24"/>
          <w:highlight w:val="none"/>
          <w:lang w:eastAsia="zh-CN"/>
        </w:rPr>
        <w:t>合同工程完工</w:t>
      </w:r>
      <w:r>
        <w:rPr>
          <w:rFonts w:hint="eastAsia" w:ascii="仿宋_GB2312" w:eastAsia="仿宋_GB2312"/>
          <w:color w:val="auto"/>
          <w:sz w:val="24"/>
          <w:highlight w:val="none"/>
        </w:rPr>
        <w:t>验收合格后满</w:t>
      </w:r>
      <w:r>
        <w:rPr>
          <w:rFonts w:hint="eastAsia" w:ascii="仿宋_GB2312" w:eastAsia="仿宋_GB2312"/>
          <w:color w:val="auto"/>
          <w:sz w:val="24"/>
          <w:highlight w:val="none"/>
          <w:u w:val="single"/>
        </w:rPr>
        <w:t xml:space="preserve">  二 </w:t>
      </w:r>
      <w:r>
        <w:rPr>
          <w:rFonts w:hint="eastAsia" w:ascii="仿宋_GB2312" w:eastAsia="仿宋_GB2312"/>
          <w:color w:val="auto"/>
          <w:sz w:val="24"/>
          <w:highlight w:val="none"/>
        </w:rPr>
        <w:t>年止为服务期限。工程投入使用后，若发现工程设计未能满足本合同的要求，设计人必须继续提供服务，直至满足要求为止。上述延期服务，发包人不额外支付费用。</w:t>
      </w:r>
    </w:p>
    <w:p>
      <w:pPr>
        <w:pStyle w:val="6"/>
        <w:keepNext w:val="0"/>
        <w:keepLines w:val="0"/>
        <w:widowControl/>
        <w:wordWrap w:val="0"/>
        <w:topLinePunct/>
        <w:adjustRightInd w:val="0"/>
        <w:snapToGrid w:val="0"/>
        <w:spacing w:before="0" w:beforeLines="0" w:after="0" w:afterLines="0" w:line="480" w:lineRule="exact"/>
        <w:ind w:firstLine="456" w:firstLineChars="190"/>
        <w:rPr>
          <w:rFonts w:hint="eastAsia" w:ascii="仿宋_GB2312"/>
          <w:color w:val="auto"/>
          <w:sz w:val="24"/>
          <w:szCs w:val="24"/>
          <w:highlight w:val="none"/>
        </w:rPr>
      </w:pPr>
      <w:r>
        <w:rPr>
          <w:rFonts w:hint="eastAsia" w:ascii="仿宋_GB2312"/>
          <w:color w:val="auto"/>
          <w:sz w:val="24"/>
          <w:szCs w:val="24"/>
          <w:highlight w:val="none"/>
        </w:rPr>
        <w:t>第十八条 知识产权</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18.1</w:t>
      </w:r>
      <w:r>
        <w:rPr>
          <w:rFonts w:hint="eastAsia" w:ascii="仿宋_GB2312" w:eastAsia="仿宋_GB2312"/>
          <w:color w:val="auto"/>
          <w:sz w:val="24"/>
          <w:highlight w:val="none"/>
        </w:rPr>
        <w:t>本项目设计的署名权归设计人所有，其它著作权和使用权归发包人所有；发包人、设计人双方均不得将此项目的设计文件（资料）用于其它工程项目，否则视为侵权；对署名权或其他版权产生侵害的一方承担由此引起的一切法律责任。</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18.2</w:t>
      </w:r>
      <w:r>
        <w:rPr>
          <w:rFonts w:hint="eastAsia" w:ascii="仿宋_GB2312" w:eastAsia="仿宋_GB2312"/>
          <w:color w:val="auto"/>
          <w:sz w:val="24"/>
          <w:highlight w:val="none"/>
        </w:rPr>
        <w:t>设计人保证本项目设计文件未侵犯其他方的知识产权，否则必须承担由此而引起的全部法律责任，并保证发包人可无障碍的使用相关设计文件，如发包人不同意使用侵权设计文件的，设计人应负责按相同设计质量及标准予以重新设计并不增加设计费用。</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18.3</w:t>
      </w:r>
      <w:r>
        <w:rPr>
          <w:rFonts w:hint="eastAsia" w:ascii="仿宋_GB2312" w:eastAsia="仿宋_GB2312"/>
          <w:color w:val="auto"/>
          <w:sz w:val="24"/>
          <w:highlight w:val="none"/>
        </w:rPr>
        <w:t>发包人拥有设计人为本项目设计且按本合同要求所提交的全部设计文件的所有权及完全使用权。</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18.4</w:t>
      </w:r>
      <w:r>
        <w:rPr>
          <w:rFonts w:hint="eastAsia" w:ascii="仿宋_GB2312" w:eastAsia="仿宋_GB2312"/>
          <w:color w:val="auto"/>
          <w:sz w:val="24"/>
          <w:highlight w:val="none"/>
        </w:rPr>
        <w:t>设计人承诺自本合同签订之日起，为本项目所做的全部设计文件，不再用于其他任何项目的设计，否则，视为设计人严重违约，设计人应返还本合同所有已付费用，发包人有权追究设计人因此引起的其他法律责任。</w:t>
      </w:r>
    </w:p>
    <w:p>
      <w:pPr>
        <w:widowControl/>
        <w:wordWrap w:val="0"/>
        <w:topLinePunct/>
        <w:adjustRightInd w:val="0"/>
        <w:snapToGrid w:val="0"/>
        <w:spacing w:line="480" w:lineRule="exact"/>
        <w:ind w:firstLine="458" w:firstLineChars="19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18.5</w:t>
      </w:r>
      <w:r>
        <w:rPr>
          <w:rFonts w:hint="eastAsia" w:ascii="仿宋_GB2312" w:eastAsia="仿宋_GB2312"/>
          <w:color w:val="auto"/>
          <w:sz w:val="24"/>
          <w:highlight w:val="none"/>
        </w:rPr>
        <w:t>任何一方不得泄露对方的技术资料和商业秘密。</w:t>
      </w:r>
    </w:p>
    <w:p>
      <w:pPr>
        <w:pStyle w:val="6"/>
        <w:keepNext w:val="0"/>
        <w:keepLines w:val="0"/>
        <w:widowControl/>
        <w:wordWrap w:val="0"/>
        <w:topLinePunct/>
        <w:adjustRightInd w:val="0"/>
        <w:snapToGrid w:val="0"/>
        <w:spacing w:before="0" w:beforeLines="0" w:after="0" w:afterLines="0" w:line="480" w:lineRule="exact"/>
        <w:ind w:firstLine="456" w:firstLineChars="190"/>
        <w:rPr>
          <w:rFonts w:hint="eastAsia" w:ascii="仿宋_GB2312"/>
          <w:color w:val="auto"/>
          <w:sz w:val="24"/>
          <w:szCs w:val="24"/>
          <w:highlight w:val="none"/>
        </w:rPr>
      </w:pPr>
      <w:r>
        <w:rPr>
          <w:rFonts w:hint="eastAsia" w:ascii="仿宋_GB2312"/>
          <w:color w:val="auto"/>
          <w:sz w:val="24"/>
          <w:szCs w:val="24"/>
          <w:highlight w:val="none"/>
        </w:rPr>
        <w:t>第十九条 法律适用及争议解决</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19.1本合同的订立、效力、解释、履行和争议均受中华人民共和国法律管辖。</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19.2凡因履行本合同而引起的一切争议或与本合同有关的争议，应由发包人、设计人双方通过友好协商解决。协商不成时，双方均同意向工程所在地人民法院起诉。</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19.3在诉讼过程中，除接受诉讼的部分之外，其他合同条款双方均须继续履行。对发包人按约定解除合同的，双方应协商解决争议；无法协商而通过诉讼方式解决争议的，</w:t>
      </w:r>
      <w:r>
        <w:rPr>
          <w:rFonts w:hint="eastAsia" w:ascii="仿宋_GB2312" w:eastAsia="仿宋_GB2312"/>
          <w:color w:val="auto"/>
          <w:sz w:val="24"/>
          <w:highlight w:val="none"/>
          <w:lang w:eastAsia="zh-CN"/>
        </w:rPr>
        <w:t>设计人</w:t>
      </w:r>
      <w:r>
        <w:rPr>
          <w:rFonts w:hint="eastAsia" w:ascii="仿宋_GB2312" w:eastAsia="仿宋_GB2312"/>
          <w:color w:val="auto"/>
          <w:sz w:val="24"/>
          <w:highlight w:val="none"/>
        </w:rPr>
        <w:t>除应及时移交材料和退场外，不得防碍</w:t>
      </w:r>
      <w:r>
        <w:rPr>
          <w:rFonts w:hint="eastAsia" w:ascii="仿宋_GB2312" w:eastAsia="仿宋_GB2312"/>
          <w:color w:val="auto"/>
          <w:sz w:val="24"/>
          <w:highlight w:val="none"/>
          <w:lang w:eastAsia="zh-CN"/>
        </w:rPr>
        <w:t>发包人</w:t>
      </w:r>
      <w:r>
        <w:rPr>
          <w:rFonts w:hint="eastAsia" w:ascii="仿宋_GB2312" w:eastAsia="仿宋_GB2312"/>
          <w:color w:val="auto"/>
          <w:sz w:val="24"/>
          <w:highlight w:val="none"/>
        </w:rPr>
        <w:t>另行委托他人实施本建设项目的工作。</w:t>
      </w:r>
    </w:p>
    <w:p>
      <w:pPr>
        <w:widowControl/>
        <w:wordWrap w:val="0"/>
        <w:topLinePunct/>
        <w:adjustRightInd w:val="0"/>
        <w:snapToGrid w:val="0"/>
        <w:spacing w:line="480" w:lineRule="exact"/>
        <w:ind w:firstLine="482" w:firstLineChars="200"/>
        <w:rPr>
          <w:rFonts w:hint="eastAsia" w:ascii="仿宋_GB2312" w:eastAsia="仿宋_GB2312"/>
          <w:b/>
          <w:color w:val="auto"/>
          <w:sz w:val="24"/>
          <w:highlight w:val="none"/>
        </w:rPr>
      </w:pPr>
      <w:r>
        <w:rPr>
          <w:rFonts w:hint="eastAsia" w:ascii="仿宋_GB2312" w:eastAsia="仿宋_GB2312"/>
          <w:b/>
          <w:color w:val="auto"/>
          <w:sz w:val="24"/>
          <w:highlight w:val="none"/>
        </w:rPr>
        <w:t>第二十条 不可抗力</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20.1</w:t>
      </w:r>
      <w:r>
        <w:rPr>
          <w:rFonts w:hint="eastAsia" w:ascii="仿宋_GB2312" w:eastAsia="仿宋_GB2312"/>
          <w:color w:val="auto"/>
          <w:sz w:val="24"/>
          <w:highlight w:val="none"/>
        </w:rPr>
        <w:t>因不可抗力不能履行合同的，根据不可抗力的影响，部分或全部免除责任，但法律另有规定除外。当事人迟延履行后发生不可抗力的，不能免除责任。</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20.2</w:t>
      </w:r>
      <w:r>
        <w:rPr>
          <w:rFonts w:hint="eastAsia" w:ascii="仿宋_GB2312" w:eastAsia="仿宋_GB2312"/>
          <w:color w:val="auto"/>
          <w:sz w:val="24"/>
          <w:highlight w:val="none"/>
        </w:rPr>
        <w:t>当事人一方因不可抗力不能履行合同的，应在不可抗力发生后3日内书面通知对方，以减轻可能给对方造成的损失，并应当在不可抗力发生后7日内提供证明。由于不可抗力因素致使合同无法履行时，双方应及时协商解决。</w:t>
      </w:r>
    </w:p>
    <w:p>
      <w:pPr>
        <w:pStyle w:val="6"/>
        <w:keepNext w:val="0"/>
        <w:keepLines w:val="0"/>
        <w:widowControl/>
        <w:wordWrap w:val="0"/>
        <w:topLinePunct/>
        <w:adjustRightInd w:val="0"/>
        <w:snapToGrid w:val="0"/>
        <w:spacing w:before="0" w:beforeLines="0" w:after="0" w:afterLines="0" w:line="480" w:lineRule="exact"/>
        <w:ind w:firstLine="456" w:firstLineChars="190"/>
        <w:rPr>
          <w:rFonts w:hint="eastAsia" w:ascii="仿宋_GB2312"/>
          <w:color w:val="auto"/>
          <w:sz w:val="24"/>
          <w:szCs w:val="24"/>
          <w:highlight w:val="none"/>
        </w:rPr>
      </w:pPr>
      <w:r>
        <w:rPr>
          <w:rFonts w:hint="eastAsia" w:ascii="仿宋_GB2312"/>
          <w:color w:val="auto"/>
          <w:sz w:val="24"/>
          <w:szCs w:val="24"/>
          <w:highlight w:val="none"/>
        </w:rPr>
        <w:t>第二十一条 合同终止</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本合同的权利义务终止后，当事人应当遵循诚实信用原则，根据交易习惯履行通知、协助、保密义务。</w:t>
      </w:r>
    </w:p>
    <w:p>
      <w:pPr>
        <w:pStyle w:val="6"/>
        <w:keepNext w:val="0"/>
        <w:keepLines w:val="0"/>
        <w:widowControl/>
        <w:wordWrap w:val="0"/>
        <w:topLinePunct/>
        <w:adjustRightInd w:val="0"/>
        <w:snapToGrid w:val="0"/>
        <w:spacing w:before="0" w:beforeLines="0" w:after="0" w:afterLines="0" w:line="480" w:lineRule="exact"/>
        <w:ind w:firstLine="456" w:firstLineChars="190"/>
        <w:rPr>
          <w:rFonts w:hint="eastAsia" w:ascii="仿宋_GB2312"/>
          <w:color w:val="auto"/>
          <w:sz w:val="24"/>
          <w:szCs w:val="24"/>
          <w:highlight w:val="none"/>
        </w:rPr>
      </w:pPr>
      <w:r>
        <w:rPr>
          <w:rFonts w:hint="eastAsia"/>
          <w:color w:val="auto"/>
          <w:sz w:val="24"/>
          <w:szCs w:val="24"/>
          <w:highlight w:val="none"/>
        </w:rPr>
        <w:t>第二十二条 保密责任</w:t>
      </w:r>
    </w:p>
    <w:p>
      <w:pPr>
        <w:widowControl/>
        <w:wordWrap w:val="0"/>
        <w:topLinePunct/>
        <w:adjustRightInd w:val="0"/>
        <w:snapToGrid w:val="0"/>
        <w:spacing w:line="48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发包人、设计人双方均应保护在合同履行过程中知悉的对方的经济、技术保密信息，未经对方同意，不得泄露，否则，责任方应承担赔偿责任。</w:t>
      </w:r>
    </w:p>
    <w:p>
      <w:pPr>
        <w:pStyle w:val="6"/>
        <w:keepNext w:val="0"/>
        <w:keepLines w:val="0"/>
        <w:widowControl/>
        <w:wordWrap w:val="0"/>
        <w:topLinePunct/>
        <w:adjustRightInd w:val="0"/>
        <w:snapToGrid w:val="0"/>
        <w:spacing w:before="0" w:beforeLines="0" w:after="0" w:afterLines="0" w:line="480" w:lineRule="exact"/>
        <w:ind w:firstLine="456" w:firstLineChars="190"/>
        <w:rPr>
          <w:rFonts w:hint="eastAsia" w:ascii="仿宋_GB2312"/>
          <w:color w:val="auto"/>
          <w:sz w:val="24"/>
          <w:szCs w:val="24"/>
          <w:highlight w:val="none"/>
        </w:rPr>
      </w:pPr>
      <w:r>
        <w:rPr>
          <w:rFonts w:hint="eastAsia" w:ascii="仿宋_GB2312"/>
          <w:color w:val="auto"/>
          <w:sz w:val="24"/>
          <w:szCs w:val="24"/>
          <w:highlight w:val="none"/>
        </w:rPr>
        <w:t>第二十三条 其他</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23.1</w:t>
      </w:r>
      <w:r>
        <w:rPr>
          <w:rFonts w:hint="eastAsia" w:ascii="仿宋_GB2312" w:eastAsia="仿宋_GB2312"/>
          <w:color w:val="auto"/>
          <w:sz w:val="24"/>
          <w:highlight w:val="none"/>
        </w:rPr>
        <w:t>《广州开发区财政投资建设项目管理中心设计质量管理办法（2021修订版》（下称《质量管理办法》）、为本合同的组成部分，设计人在签订本合同时已清楚该《质量管理办法》规定。设计人违反合同约定及《质量管理办法》规定，本合同其他条款未约定相关责任的，设计人应按《质量管理办法》规定承担违约责任。</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23.2</w:t>
      </w:r>
      <w:r>
        <w:rPr>
          <w:rFonts w:hint="eastAsia" w:ascii="仿宋_GB2312" w:eastAsia="仿宋_GB2312"/>
          <w:color w:val="auto"/>
          <w:sz w:val="24"/>
          <w:highlight w:val="none"/>
        </w:rPr>
        <w:t>发包人要求设计人派专人留驻施工现场进行配合与解决有关问题时，设计人应无条件服从。</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23.3</w:t>
      </w:r>
      <w:r>
        <w:rPr>
          <w:rFonts w:hint="eastAsia" w:ascii="仿宋_GB2312" w:eastAsia="仿宋_GB2312"/>
          <w:color w:val="auto"/>
          <w:sz w:val="24"/>
          <w:highlight w:val="none"/>
        </w:rPr>
        <w:t>设计人为本合同项目所采用的国家或地方标准图，由设计人自费向有关出版部门购买。</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23.4</w:t>
      </w:r>
      <w:r>
        <w:rPr>
          <w:rFonts w:hint="eastAsia" w:ascii="仿宋_GB2312" w:eastAsia="仿宋_GB2312"/>
          <w:color w:val="auto"/>
          <w:sz w:val="24"/>
          <w:highlight w:val="none"/>
        </w:rPr>
        <w:t>本工程设计资料及文件中，建筑材料、建筑构配件和设备，应当注明其规格、型号、性能等技术指标，设计人不得指定生产厂、供应商。发包人需要设计人的设计人员配合加工定货时，所需差旅费由发包人承担。</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23.5</w:t>
      </w:r>
      <w:r>
        <w:rPr>
          <w:rFonts w:hint="eastAsia" w:ascii="仿宋_GB2312" w:eastAsia="仿宋_GB2312"/>
          <w:color w:val="auto"/>
          <w:sz w:val="24"/>
          <w:highlight w:val="none"/>
        </w:rPr>
        <w:t>发包人委托设计配合引进项目的设计任务，从询价、对外谈判、国内外技术考察直至建成投产的各个阶段，应吸收承担有关设计任务的设计人参加。出国费用，除制装费外，差旅费用由发包人支付。</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23.6</w:t>
      </w:r>
      <w:r>
        <w:rPr>
          <w:rFonts w:hint="eastAsia" w:ascii="仿宋_GB2312" w:eastAsia="仿宋_GB2312"/>
          <w:color w:val="auto"/>
          <w:sz w:val="24"/>
          <w:highlight w:val="none"/>
        </w:rPr>
        <w:t>本合同经双方签字盖章后生效。</w:t>
      </w:r>
    </w:p>
    <w:p>
      <w:pPr>
        <w:widowControl/>
        <w:wordWrap w:val="0"/>
        <w:topLinePunct/>
        <w:adjustRightInd w:val="0"/>
        <w:snapToGrid w:val="0"/>
        <w:spacing w:line="480" w:lineRule="exact"/>
        <w:ind w:firstLine="482" w:firstLineChars="200"/>
        <w:rPr>
          <w:rFonts w:hint="eastAsia" w:ascii="仿宋_GB2312" w:eastAsia="仿宋_GB2312"/>
          <w:color w:val="auto"/>
          <w:sz w:val="24"/>
          <w:highlight w:val="none"/>
        </w:rPr>
      </w:pPr>
      <w:r>
        <w:rPr>
          <w:rFonts w:hint="eastAsia" w:ascii="仿宋_GB2312" w:eastAsia="仿宋_GB2312"/>
          <w:b/>
          <w:color w:val="auto"/>
          <w:sz w:val="24"/>
          <w:highlight w:val="none"/>
          <w:shd w:val="pct10" w:color="auto" w:fill="FFFFFF"/>
        </w:rPr>
        <w:t>23.7</w:t>
      </w:r>
      <w:r>
        <w:rPr>
          <w:rFonts w:hint="eastAsia" w:ascii="仿宋_GB2312" w:eastAsia="仿宋_GB2312"/>
          <w:color w:val="auto"/>
          <w:sz w:val="24"/>
          <w:highlight w:val="none"/>
        </w:rPr>
        <w:t>本合同未尽事宜，双方可签订补充协议，有关协议及双方认可的来往电报、传真、会议纪要等，均为本合同组成部分，与本合同具有同等法律效力。</w:t>
      </w:r>
    </w:p>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br w:type="page"/>
      </w:r>
      <w:r>
        <w:rPr>
          <w:rFonts w:hint="eastAsia" w:ascii="仿宋_GB2312" w:hAnsi="宋体" w:eastAsia="仿宋_GB2312"/>
          <w:color w:val="auto"/>
          <w:sz w:val="24"/>
          <w:highlight w:val="none"/>
        </w:rPr>
        <w:t xml:space="preserve"> </w:t>
      </w:r>
    </w:p>
    <w:tbl>
      <w:tblPr>
        <w:tblStyle w:val="45"/>
        <w:tblW w:w="0" w:type="auto"/>
        <w:tblInd w:w="0" w:type="dxa"/>
        <w:tblLayout w:type="fixed"/>
        <w:tblCellMar>
          <w:top w:w="0" w:type="dxa"/>
          <w:left w:w="108" w:type="dxa"/>
          <w:bottom w:w="0" w:type="dxa"/>
          <w:right w:w="108" w:type="dxa"/>
        </w:tblCellMar>
      </w:tblPr>
      <w:tblGrid>
        <w:gridCol w:w="1668"/>
        <w:gridCol w:w="2596"/>
        <w:gridCol w:w="1656"/>
        <w:gridCol w:w="2608"/>
      </w:tblGrid>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发包人：</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盖</w:t>
            </w:r>
            <w:r>
              <w:rPr>
                <w:rFonts w:hint="eastAsia" w:ascii="仿宋_GB2312" w:eastAsia="仿宋_GB2312"/>
                <w:color w:val="auto"/>
                <w:sz w:val="24"/>
                <w:highlight w:val="none"/>
              </w:rPr>
              <w:t>章）</w:t>
            </w: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设计人：</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盖</w:t>
            </w:r>
            <w:r>
              <w:rPr>
                <w:rFonts w:hint="eastAsia" w:ascii="仿宋_GB2312" w:eastAsia="仿宋_GB2312"/>
                <w:color w:val="auto"/>
                <w:sz w:val="24"/>
                <w:highlight w:val="none"/>
              </w:rPr>
              <w:t>章）</w:t>
            </w: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住 所：</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科学城揽月路创意大厦B2附楼三楼</w:t>
            </w: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住 所：</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法定代表人：</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法定代表人：</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blPrEx>
          <w:tblCellMar>
            <w:top w:w="0" w:type="dxa"/>
            <w:left w:w="108" w:type="dxa"/>
            <w:bottom w:w="0" w:type="dxa"/>
            <w:right w:w="108" w:type="dxa"/>
          </w:tblCellMar>
        </w:tblPrEx>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委托代理人：</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委托代理人：</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r>
        <w:trPr>
          <w:trHeight w:val="1021" w:hRule="atLeast"/>
        </w:trPr>
        <w:tc>
          <w:tcPr>
            <w:tcW w:w="1668"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邮政编码：</w:t>
            </w:r>
          </w:p>
        </w:tc>
        <w:tc>
          <w:tcPr>
            <w:tcW w:w="2596"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r>
              <w:rPr>
                <w:rFonts w:hint="eastAsia" w:ascii="仿宋_GB2312" w:eastAsia="仿宋_GB2312"/>
                <w:color w:val="auto"/>
                <w:sz w:val="24"/>
                <w:highlight w:val="none"/>
              </w:rPr>
              <w:t>510663</w:t>
            </w:r>
          </w:p>
        </w:tc>
        <w:tc>
          <w:tcPr>
            <w:tcW w:w="1656" w:type="dxa"/>
            <w:noWrap w:val="0"/>
            <w:vAlign w:val="center"/>
          </w:tcPr>
          <w:p>
            <w:pPr>
              <w:widowControl/>
              <w:wordWrap w:val="0"/>
              <w:topLinePunct/>
              <w:adjustRightInd w:val="0"/>
              <w:snapToGrid w:val="0"/>
              <w:spacing w:line="480" w:lineRule="exact"/>
              <w:rPr>
                <w:rFonts w:hint="eastAsia" w:ascii="仿宋_GB2312" w:eastAsia="仿宋_GB2312"/>
                <w:b/>
                <w:color w:val="auto"/>
                <w:sz w:val="24"/>
                <w:highlight w:val="none"/>
              </w:rPr>
            </w:pPr>
            <w:r>
              <w:rPr>
                <w:rFonts w:hint="eastAsia" w:ascii="仿宋_GB2312" w:eastAsia="仿宋_GB2312"/>
                <w:b/>
                <w:color w:val="auto"/>
                <w:sz w:val="24"/>
                <w:highlight w:val="none"/>
              </w:rPr>
              <w:t>邮政编码：</w:t>
            </w:r>
          </w:p>
        </w:tc>
        <w:tc>
          <w:tcPr>
            <w:tcW w:w="2608" w:type="dxa"/>
            <w:noWrap w:val="0"/>
            <w:vAlign w:val="center"/>
          </w:tcPr>
          <w:p>
            <w:pPr>
              <w:widowControl/>
              <w:wordWrap w:val="0"/>
              <w:topLinePunct/>
              <w:adjustRightInd w:val="0"/>
              <w:snapToGrid w:val="0"/>
              <w:spacing w:line="480" w:lineRule="exact"/>
              <w:rPr>
                <w:rFonts w:hint="eastAsia" w:ascii="仿宋_GB2312" w:eastAsia="仿宋_GB2312"/>
                <w:color w:val="auto"/>
                <w:sz w:val="24"/>
                <w:highlight w:val="none"/>
              </w:rPr>
            </w:pPr>
          </w:p>
        </w:tc>
      </w:tr>
    </w:tbl>
    <w:p>
      <w:pPr>
        <w:widowControl/>
        <w:wordWrap w:val="0"/>
        <w:topLinePunct/>
        <w:adjustRightInd w:val="0"/>
        <w:snapToGrid w:val="0"/>
        <w:spacing w:line="480" w:lineRule="exact"/>
        <w:ind w:left="5934" w:leftChars="997" w:hanging="3840" w:hangingChars="1600"/>
        <w:rPr>
          <w:rFonts w:hint="eastAsia" w:ascii="仿宋_GB2312" w:eastAsia="仿宋_GB2312"/>
          <w:color w:val="auto"/>
          <w:sz w:val="24"/>
          <w:highlight w:val="none"/>
        </w:rPr>
      </w:pPr>
      <w:r>
        <w:rPr>
          <w:rFonts w:hint="eastAsia" w:ascii="仿宋_GB2312" w:eastAsia="仿宋_GB2312"/>
          <w:color w:val="auto"/>
          <w:sz w:val="24"/>
          <w:highlight w:val="none"/>
        </w:rPr>
        <w:t>订立时间：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pPr>
        <w:widowControl/>
        <w:wordWrap w:val="0"/>
        <w:topLinePunct/>
        <w:adjustRightInd w:val="0"/>
        <w:snapToGrid w:val="0"/>
        <w:spacing w:line="480" w:lineRule="exact"/>
        <w:rPr>
          <w:rFonts w:hint="eastAsia"/>
          <w:color w:val="auto"/>
          <w:highlight w:val="none"/>
        </w:rPr>
      </w:pPr>
    </w:p>
    <w:p>
      <w:pPr>
        <w:pStyle w:val="20"/>
        <w:spacing w:line="380" w:lineRule="exact"/>
        <w:ind w:left="0" w:leftChars="0" w:firstLine="5040" w:firstLineChars="0"/>
        <w:rPr>
          <w:rFonts w:hint="eastAsia"/>
          <w:b/>
          <w:bCs/>
          <w:color w:val="auto"/>
          <w:sz w:val="32"/>
          <w:szCs w:val="32"/>
          <w:highlight w:val="none"/>
        </w:rPr>
      </w:pPr>
    </w:p>
    <w:p>
      <w:pPr>
        <w:pStyle w:val="20"/>
        <w:spacing w:line="380" w:lineRule="exact"/>
        <w:ind w:left="0" w:leftChars="0" w:firstLine="5040" w:firstLineChars="0"/>
        <w:rPr>
          <w:rFonts w:hint="eastAsia"/>
          <w:b/>
          <w:bCs/>
          <w:color w:val="auto"/>
          <w:sz w:val="32"/>
          <w:szCs w:val="32"/>
          <w:highlight w:val="none"/>
        </w:rPr>
      </w:pPr>
    </w:p>
    <w:p>
      <w:pPr>
        <w:pStyle w:val="20"/>
        <w:spacing w:line="380" w:lineRule="exact"/>
        <w:ind w:left="0" w:leftChars="0" w:firstLine="5040" w:firstLineChars="0"/>
        <w:rPr>
          <w:rFonts w:hint="eastAsia"/>
          <w:b/>
          <w:bCs/>
          <w:color w:val="auto"/>
          <w:sz w:val="32"/>
          <w:szCs w:val="32"/>
          <w:highlight w:val="none"/>
        </w:rPr>
      </w:pPr>
    </w:p>
    <w:p>
      <w:pPr>
        <w:pStyle w:val="20"/>
        <w:spacing w:line="380" w:lineRule="exact"/>
        <w:ind w:left="0" w:leftChars="0" w:firstLine="5040" w:firstLineChars="0"/>
        <w:rPr>
          <w:rFonts w:hint="eastAsia"/>
          <w:b/>
          <w:bCs/>
          <w:color w:val="auto"/>
          <w:sz w:val="32"/>
          <w:szCs w:val="32"/>
          <w:highlight w:val="none"/>
        </w:rPr>
      </w:pPr>
    </w:p>
    <w:p>
      <w:pPr>
        <w:pStyle w:val="20"/>
        <w:spacing w:line="380" w:lineRule="exact"/>
        <w:ind w:left="0" w:leftChars="0" w:firstLine="5040" w:firstLineChars="0"/>
        <w:rPr>
          <w:rFonts w:hint="eastAsia"/>
          <w:b/>
          <w:bCs/>
          <w:color w:val="auto"/>
          <w:sz w:val="32"/>
          <w:szCs w:val="32"/>
          <w:highlight w:val="none"/>
        </w:rPr>
      </w:pPr>
    </w:p>
    <w:p>
      <w:pPr>
        <w:pStyle w:val="20"/>
        <w:spacing w:line="380" w:lineRule="exact"/>
        <w:ind w:left="0" w:leftChars="0" w:firstLine="5040" w:firstLineChars="0"/>
        <w:rPr>
          <w:rFonts w:hint="eastAsia"/>
          <w:b/>
          <w:bCs/>
          <w:color w:val="auto"/>
          <w:sz w:val="32"/>
          <w:szCs w:val="32"/>
          <w:highlight w:val="none"/>
        </w:rPr>
      </w:pPr>
    </w:p>
    <w:p>
      <w:pPr>
        <w:pStyle w:val="20"/>
        <w:spacing w:line="380" w:lineRule="exact"/>
        <w:ind w:left="0" w:leftChars="0" w:firstLine="5040" w:firstLineChars="0"/>
        <w:rPr>
          <w:rFonts w:hint="eastAsia"/>
          <w:b/>
          <w:bCs/>
          <w:color w:val="auto"/>
          <w:sz w:val="32"/>
          <w:szCs w:val="32"/>
          <w:highlight w:val="none"/>
        </w:rPr>
      </w:pPr>
    </w:p>
    <w:p>
      <w:pPr>
        <w:pStyle w:val="20"/>
        <w:spacing w:line="380" w:lineRule="exact"/>
        <w:ind w:left="0" w:leftChars="0" w:firstLine="5040" w:firstLineChars="0"/>
        <w:rPr>
          <w:rFonts w:hint="eastAsia"/>
          <w:b/>
          <w:bCs/>
          <w:color w:val="auto"/>
          <w:sz w:val="32"/>
          <w:szCs w:val="32"/>
          <w:highlight w:val="none"/>
        </w:rPr>
      </w:pPr>
    </w:p>
    <w:p>
      <w:pPr>
        <w:pStyle w:val="169"/>
        <w:adjustRightInd w:val="0"/>
        <w:snapToGrid w:val="0"/>
        <w:spacing w:before="0" w:beforeLines="0" w:after="0" w:afterLines="0" w:line="400" w:lineRule="exact"/>
        <w:jc w:val="both"/>
        <w:rPr>
          <w:rFonts w:hint="eastAsia" w:ascii="宋体" w:hAnsi="宋体" w:eastAsia="宋体"/>
          <w:b/>
          <w:bCs/>
          <w:color w:val="auto"/>
          <w:sz w:val="30"/>
          <w:szCs w:val="30"/>
          <w:highlight w:val="none"/>
        </w:rPr>
      </w:pPr>
      <w:r>
        <w:rPr>
          <w:rFonts w:hint="eastAsia" w:ascii="宋体" w:hAnsi="宋体" w:eastAsia="宋体"/>
          <w:b/>
          <w:bCs/>
          <w:color w:val="auto"/>
          <w:sz w:val="30"/>
          <w:szCs w:val="30"/>
          <w:highlight w:val="none"/>
          <w:lang w:val="en-US" w:eastAsia="zh-CN"/>
        </w:rPr>
        <w:br w:type="page"/>
      </w:r>
      <w:r>
        <w:rPr>
          <w:rFonts w:hint="eastAsia" w:ascii="宋体" w:hAnsi="宋体" w:eastAsia="宋体"/>
          <w:b/>
          <w:bCs/>
          <w:color w:val="auto"/>
          <w:sz w:val="30"/>
          <w:szCs w:val="30"/>
          <w:highlight w:val="none"/>
          <w:lang w:val="en-US" w:eastAsia="zh-CN"/>
        </w:rPr>
        <w:t xml:space="preserve">附件：            </w:t>
      </w:r>
      <w:r>
        <w:rPr>
          <w:rFonts w:hint="eastAsia" w:ascii="宋体" w:hAnsi="宋体"/>
          <w:color w:val="auto"/>
          <w:sz w:val="24"/>
          <w:highlight w:val="none"/>
          <w:lang w:val="en-US" w:eastAsia="zh-CN"/>
        </w:rPr>
        <w:t xml:space="preserve">  </w:t>
      </w:r>
      <w:r>
        <w:rPr>
          <w:rFonts w:hint="eastAsia" w:ascii="宋体" w:hAnsi="宋体" w:eastAsia="宋体"/>
          <w:b/>
          <w:bCs/>
          <w:color w:val="auto"/>
          <w:sz w:val="30"/>
          <w:szCs w:val="30"/>
          <w:highlight w:val="none"/>
        </w:rPr>
        <w:t>工程建设项目廉政责任书</w:t>
      </w:r>
    </w:p>
    <w:p>
      <w:pPr>
        <w:pStyle w:val="170"/>
        <w:adjustRightInd w:val="0"/>
        <w:snapToGrid w:val="0"/>
        <w:spacing w:line="400" w:lineRule="exact"/>
        <w:ind w:firstLine="0"/>
        <w:rPr>
          <w:rFonts w:hint="eastAsia" w:ascii="宋体" w:hAnsi="宋体"/>
          <w:snapToGrid w:val="0"/>
          <w:color w:val="auto"/>
          <w:kern w:val="0"/>
          <w:sz w:val="24"/>
          <w:highlight w:val="none"/>
        </w:rPr>
      </w:pPr>
    </w:p>
    <w:p>
      <w:pPr>
        <w:pStyle w:val="169"/>
        <w:adjustRightInd w:val="0"/>
        <w:snapToGrid w:val="0"/>
        <w:spacing w:line="400" w:lineRule="exact"/>
        <w:ind w:left="495" w:hanging="495"/>
        <w:rPr>
          <w:rFonts w:hint="eastAsia" w:ascii="宋体" w:hAnsi="宋体"/>
          <w:color w:val="auto"/>
          <w:sz w:val="24"/>
          <w:highlight w:val="none"/>
          <w:u w:val="single"/>
          <w:lang w:val="en-US" w:eastAsia="zh-CN"/>
        </w:rPr>
      </w:pPr>
      <w:r>
        <w:rPr>
          <w:rFonts w:hint="eastAsia" w:ascii="宋体" w:hAnsi="宋体"/>
          <w:color w:val="auto"/>
          <w:sz w:val="24"/>
          <w:highlight w:val="none"/>
        </w:rPr>
        <w:t>工程项目名称：</w:t>
      </w:r>
      <w:r>
        <w:rPr>
          <w:rFonts w:hint="eastAsia" w:ascii="宋体" w:hAnsi="宋体"/>
          <w:color w:val="auto"/>
          <w:sz w:val="24"/>
          <w:highlight w:val="none"/>
          <w:u w:val="single"/>
          <w:lang w:eastAsia="zh-CN"/>
        </w:rPr>
        <w:t xml:space="preserve"> </w:t>
      </w:r>
      <w:r>
        <w:rPr>
          <w:rFonts w:hint="eastAsia" w:ascii="宋体" w:hAnsi="宋体"/>
          <w:color w:val="auto"/>
          <w:sz w:val="24"/>
          <w:highlight w:val="none"/>
          <w:u w:val="single"/>
          <w:lang w:val="en-US" w:eastAsia="zh-CN"/>
        </w:rPr>
        <w:t xml:space="preserve">                               </w:t>
      </w:r>
    </w:p>
    <w:p>
      <w:pPr>
        <w:pStyle w:val="169"/>
        <w:adjustRightInd w:val="0"/>
        <w:snapToGrid w:val="0"/>
        <w:spacing w:line="400" w:lineRule="exact"/>
        <w:ind w:left="495" w:hanging="495"/>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lang w:val="en-US" w:eastAsia="zh-CN"/>
        </w:rPr>
        <w:t xml:space="preserve">                                </w:t>
      </w:r>
    </w:p>
    <w:p>
      <w:pPr>
        <w:pStyle w:val="169"/>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 xml:space="preserve">甲方： </w:t>
      </w:r>
      <w:r>
        <w:rPr>
          <w:rFonts w:hint="eastAsia" w:ascii="宋体" w:hAnsi="宋体"/>
          <w:color w:val="auto"/>
          <w:sz w:val="24"/>
          <w:highlight w:val="none"/>
          <w:u w:val="single"/>
          <w:lang w:val="en-US" w:eastAsia="zh-CN"/>
        </w:rPr>
        <w:t xml:space="preserve">                                       </w:t>
      </w:r>
    </w:p>
    <w:p>
      <w:pPr>
        <w:pStyle w:val="169"/>
        <w:adjustRightInd w:val="0"/>
        <w:snapToGrid w:val="0"/>
        <w:spacing w:line="400" w:lineRule="exact"/>
        <w:rPr>
          <w:rFonts w:hint="eastAsia" w:ascii="宋体" w:hAnsi="宋体"/>
          <w:color w:val="auto"/>
          <w:sz w:val="24"/>
          <w:highlight w:val="none"/>
        </w:rPr>
      </w:pPr>
      <w:r>
        <w:rPr>
          <w:rFonts w:hint="eastAsia" w:ascii="宋体" w:hAnsi="宋体"/>
          <w:color w:val="auto"/>
          <w:sz w:val="24"/>
          <w:highlight w:val="none"/>
        </w:rPr>
        <w:t xml:space="preserve">乙方： </w:t>
      </w:r>
      <w:r>
        <w:rPr>
          <w:rFonts w:hint="eastAsia" w:ascii="宋体" w:hAnsi="宋体"/>
          <w:color w:val="auto"/>
          <w:sz w:val="24"/>
          <w:highlight w:val="none"/>
          <w:u w:val="single"/>
          <w:lang w:val="en-US" w:eastAsia="zh-CN"/>
        </w:rPr>
        <w:t xml:space="preserve">                                       </w:t>
      </w:r>
    </w:p>
    <w:p>
      <w:pPr>
        <w:pStyle w:val="169"/>
        <w:adjustRightInd w:val="0"/>
        <w:snapToGrid w:val="0"/>
        <w:spacing w:line="400" w:lineRule="exact"/>
        <w:rPr>
          <w:rFonts w:ascii="宋体" w:hAnsi="宋体"/>
          <w:color w:val="auto"/>
          <w:sz w:val="24"/>
          <w:highlight w:val="none"/>
        </w:rPr>
      </w:pP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snapToGrid w:val="0"/>
          <w:color w:val="auto"/>
          <w:kern w:val="0"/>
          <w:sz w:val="24"/>
          <w:szCs w:val="24"/>
          <w:highlight w:val="none"/>
          <w:lang w:val="en-US" w:eastAsia="zh-CN" w:bidi="ar"/>
        </w:rPr>
        <w:t xml:space="preserve">第一条 </w:t>
      </w:r>
      <w:r>
        <w:rPr>
          <w:rFonts w:hint="eastAsia" w:ascii="宋体" w:hAnsi="宋体" w:eastAsia="宋体" w:cs="宋体"/>
          <w:snapToGrid w:val="0"/>
          <w:color w:val="auto"/>
          <w:kern w:val="0"/>
          <w:sz w:val="24"/>
          <w:szCs w:val="24"/>
          <w:highlight w:val="none"/>
          <w:lang w:val="en-US" w:eastAsia="zh-CN" w:bidi="ar"/>
        </w:rPr>
        <w:t>甲、乙双方的责任</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（一）应严格遵守国家关于市场准入、项目招标投标、</w:t>
      </w:r>
      <w:r>
        <w:rPr>
          <w:rFonts w:hint="eastAsia" w:ascii="宋体" w:hAnsi="宋体" w:eastAsia="宋体" w:cs="宋体"/>
          <w:color w:val="auto"/>
          <w:kern w:val="0"/>
          <w:sz w:val="24"/>
          <w:szCs w:val="24"/>
          <w:highlight w:val="none"/>
          <w:lang w:val="en-US" w:eastAsia="zh-CN" w:bidi="ar"/>
        </w:rPr>
        <w:t>工程建设和市场活动</w:t>
      </w:r>
      <w:r>
        <w:rPr>
          <w:rFonts w:hint="eastAsia" w:ascii="宋体" w:hAnsi="宋体" w:eastAsia="宋体" w:cs="宋体"/>
          <w:snapToGrid w:val="0"/>
          <w:color w:val="auto"/>
          <w:kern w:val="0"/>
          <w:sz w:val="24"/>
          <w:szCs w:val="24"/>
          <w:highlight w:val="none"/>
          <w:lang w:val="en-US" w:eastAsia="zh-CN" w:bidi="ar"/>
        </w:rPr>
        <w:t>等有关法律、法规、相关政策，以及廉政建设的各项规定。</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（二）严格执行建设工程项目承发包合同文件，自觉按合同办事。</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（三）业务活动必须坚持公开、公平、公正、诚信、透明的原则（除法律法规另有规定者外），不得为获取不正当的利益，损害国家、集体和对方利益，不得</w:t>
      </w:r>
      <w:r>
        <w:rPr>
          <w:rFonts w:hint="eastAsia" w:ascii="宋体" w:hAnsi="宋体" w:eastAsia="宋体" w:cs="宋体"/>
          <w:color w:val="auto"/>
          <w:kern w:val="0"/>
          <w:sz w:val="24"/>
          <w:szCs w:val="24"/>
          <w:highlight w:val="none"/>
          <w:lang w:val="en-US" w:eastAsia="zh-CN" w:bidi="ar"/>
        </w:rPr>
        <w:t>违反工程建设过程管理的规章制度。</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（四）发现对方在业务活动中有违规、违纪、违法行为的，应及时提醒对方，情节严重的，应向其上级主管部门或纪检监察、司法等有关机关举报。</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b/>
          <w:bCs w:val="0"/>
          <w:snapToGrid w:val="0"/>
          <w:color w:val="auto"/>
          <w:kern w:val="0"/>
          <w:sz w:val="24"/>
          <w:szCs w:val="24"/>
          <w:highlight w:val="none"/>
          <w:lang w:val="en-US" w:eastAsia="zh-CN" w:bidi="ar"/>
        </w:rPr>
        <w:t xml:space="preserve">第二条 </w:t>
      </w:r>
      <w:r>
        <w:rPr>
          <w:rFonts w:hint="eastAsia" w:ascii="宋体" w:hAnsi="宋体" w:eastAsia="宋体" w:cs="宋体"/>
          <w:snapToGrid w:val="0"/>
          <w:color w:val="auto"/>
          <w:kern w:val="0"/>
          <w:sz w:val="24"/>
          <w:szCs w:val="24"/>
          <w:highlight w:val="none"/>
          <w:lang w:val="en-US" w:eastAsia="zh-CN" w:bidi="ar"/>
        </w:rPr>
        <w:t>甲方的责任</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甲方的领导和从事本建设工程项目的工作人员，在工程建设的事前、事中、事后应遵守以下规定：</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（一）不准向乙方和相关单位索要或接受回扣、礼金、有价证券、贵重物品和好处费、感谢费等。</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（二）不准在乙方和相关单位报销任何应由甲方或个人支付的费用。</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（三）不准要求、暗示或接受乙方和相关单位为个人装修住房、婚丧嫁娶、配偶子女的工作安排以及出国（境）、旅游等提供方便。</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（四）不准参加有可能影响公正执行公务的乙方及相关单位的宴请、健身、娱乐等活动。</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（五）不准向乙方介绍或为配偶、子女、亲属参与同甲方项目工程合同有关的设备、材料、工程分包、劳务等经济活动。不得以任何理由向乙方和相关单位推荐分包单位。</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b/>
          <w:bCs w:val="0"/>
          <w:snapToGrid w:val="0"/>
          <w:color w:val="auto"/>
          <w:kern w:val="0"/>
          <w:sz w:val="24"/>
          <w:szCs w:val="24"/>
          <w:highlight w:val="none"/>
          <w:lang w:val="en-US" w:eastAsia="zh-CN" w:bidi="ar"/>
        </w:rPr>
        <w:t xml:space="preserve">第三条 </w:t>
      </w:r>
      <w:r>
        <w:rPr>
          <w:rFonts w:hint="eastAsia" w:ascii="宋体" w:hAnsi="宋体" w:eastAsia="宋体" w:cs="宋体"/>
          <w:snapToGrid w:val="0"/>
          <w:color w:val="auto"/>
          <w:kern w:val="0"/>
          <w:sz w:val="24"/>
          <w:szCs w:val="24"/>
          <w:highlight w:val="none"/>
          <w:lang w:val="en-US" w:eastAsia="zh-CN" w:bidi="ar"/>
        </w:rPr>
        <w:t>乙方的责任</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应与甲方保持正常的业务交往，按照有关法律法规和程序开展业务工作，严格执行</w:t>
      </w:r>
      <w:r>
        <w:rPr>
          <w:rFonts w:hint="eastAsia" w:ascii="宋体" w:hAnsi="宋体" w:eastAsia="宋体" w:cs="宋体"/>
          <w:color w:val="auto"/>
          <w:kern w:val="0"/>
          <w:sz w:val="24"/>
          <w:szCs w:val="24"/>
          <w:highlight w:val="none"/>
          <w:lang w:val="en-US" w:eastAsia="zh-CN" w:bidi="ar"/>
        </w:rPr>
        <w:t>工程建设过程管理的有关方针、政策，尤其是强制性标准和规范</w:t>
      </w:r>
      <w:r>
        <w:rPr>
          <w:rFonts w:hint="eastAsia" w:ascii="宋体" w:hAnsi="宋体" w:eastAsia="宋体" w:cs="宋体"/>
          <w:snapToGrid w:val="0"/>
          <w:color w:val="auto"/>
          <w:kern w:val="0"/>
          <w:sz w:val="24"/>
          <w:szCs w:val="24"/>
          <w:highlight w:val="none"/>
          <w:lang w:val="en-US" w:eastAsia="zh-CN" w:bidi="ar"/>
        </w:rPr>
        <w:t>，并遵守以下规定：</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（一）不准以任何理由向甲方、相关单位及其工作人员索要、接受或赠送礼金、有价证券、贵重物品及回扣、好处费、感谢费等。</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（二）不准以任何理由为甲方和相关单位报销应由对方或个人支付的费用。</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（三）不准接受或暗示为甲方、相关单位或个人装修住房、婚丧嫁娶、配偶子女的工作安排以及出国（境）、旅游等提供方便。</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b/>
          <w:bCs w:val="0"/>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（四）不准以任何理由为甲方、相关单位或个人组织有可能影响公正执行公务的宴请、健身、娱乐等活动。</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b/>
          <w:bCs w:val="0"/>
          <w:snapToGrid w:val="0"/>
          <w:color w:val="auto"/>
          <w:kern w:val="0"/>
          <w:sz w:val="24"/>
          <w:szCs w:val="24"/>
          <w:highlight w:val="none"/>
          <w:lang w:val="en-US" w:eastAsia="zh-CN" w:bidi="ar"/>
        </w:rPr>
        <w:t xml:space="preserve"> 第四条 </w:t>
      </w:r>
      <w:r>
        <w:rPr>
          <w:rFonts w:hint="eastAsia" w:ascii="宋体" w:hAnsi="宋体" w:eastAsia="宋体" w:cs="宋体"/>
          <w:snapToGrid w:val="0"/>
          <w:color w:val="auto"/>
          <w:kern w:val="0"/>
          <w:sz w:val="24"/>
          <w:szCs w:val="24"/>
          <w:highlight w:val="none"/>
          <w:lang w:val="en-US" w:eastAsia="zh-CN" w:bidi="ar"/>
        </w:rPr>
        <w:t>违约责任</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snapToGrid w:val="0"/>
          <w:color w:val="auto"/>
          <w:kern w:val="0"/>
          <w:sz w:val="24"/>
          <w:szCs w:val="24"/>
          <w:highlight w:val="none"/>
          <w:lang w:val="en-US" w:eastAsia="zh-CN" w:bidi="ar"/>
        </w:rPr>
        <w:t xml:space="preserve">第五条 </w:t>
      </w:r>
      <w:r>
        <w:rPr>
          <w:rFonts w:hint="eastAsia" w:ascii="宋体" w:hAnsi="宋体" w:eastAsia="宋体" w:cs="宋体"/>
          <w:snapToGrid w:val="0"/>
          <w:color w:val="auto"/>
          <w:kern w:val="0"/>
          <w:sz w:val="24"/>
          <w:szCs w:val="24"/>
          <w:highlight w:val="none"/>
          <w:lang w:val="en-US" w:eastAsia="zh-CN" w:bidi="ar"/>
        </w:rPr>
        <w:t>本廉政责任书作为合同的附件，与合同具有同等法律效力。经双方签署后立即生效。</w:t>
      </w:r>
    </w:p>
    <w:p>
      <w:pPr>
        <w:keepNext w:val="0"/>
        <w:keepLines w:val="0"/>
        <w:widowControl w:val="0"/>
        <w:suppressLineNumbers w:val="0"/>
        <w:adjustRightInd w:val="0"/>
        <w:snapToGrid w:val="0"/>
        <w:spacing w:before="0" w:beforeLines="0" w:beforeAutospacing="0" w:after="0" w:afterLines="0" w:afterAutospacing="0" w:line="440" w:lineRule="exact"/>
        <w:ind w:left="0" w:right="0" w:firstLine="482"/>
        <w:jc w:val="both"/>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snapToGrid w:val="0"/>
          <w:color w:val="auto"/>
          <w:kern w:val="0"/>
          <w:sz w:val="24"/>
          <w:szCs w:val="24"/>
          <w:highlight w:val="none"/>
          <w:lang w:val="en-US" w:eastAsia="zh-CN" w:bidi="ar"/>
        </w:rPr>
        <w:t xml:space="preserve">第六条 </w:t>
      </w:r>
      <w:r>
        <w:rPr>
          <w:rFonts w:hint="eastAsia" w:ascii="宋体" w:hAnsi="宋体" w:eastAsia="宋体" w:cs="宋体"/>
          <w:snapToGrid w:val="0"/>
          <w:color w:val="auto"/>
          <w:kern w:val="0"/>
          <w:sz w:val="24"/>
          <w:szCs w:val="24"/>
          <w:highlight w:val="none"/>
          <w:lang w:val="en-US" w:eastAsia="zh-CN" w:bidi="ar"/>
        </w:rPr>
        <w:t>本廉政责任书的有效期与合同的有效期相同。</w:t>
      </w:r>
    </w:p>
    <w:p>
      <w:pPr>
        <w:keepNext w:val="0"/>
        <w:keepLines w:val="0"/>
        <w:widowControl w:val="0"/>
        <w:suppressLineNumbers w:val="0"/>
        <w:adjustRightInd w:val="0"/>
        <w:snapToGrid w:val="0"/>
        <w:spacing w:before="0" w:beforeLines="0" w:beforeAutospacing="0" w:after="0" w:afterLines="0" w:afterAutospacing="0" w:line="440" w:lineRule="exact"/>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 xml:space="preserve">    </w:t>
      </w:r>
      <w:r>
        <w:rPr>
          <w:rFonts w:hint="eastAsia" w:ascii="宋体" w:hAnsi="宋体" w:eastAsia="宋体" w:cs="宋体"/>
          <w:b/>
          <w:bCs w:val="0"/>
          <w:snapToGrid w:val="0"/>
          <w:color w:val="auto"/>
          <w:kern w:val="0"/>
          <w:sz w:val="24"/>
          <w:szCs w:val="24"/>
          <w:highlight w:val="none"/>
          <w:lang w:val="en-US" w:eastAsia="zh-CN" w:bidi="ar"/>
        </w:rPr>
        <w:t xml:space="preserve">第七条 </w:t>
      </w:r>
      <w:r>
        <w:rPr>
          <w:rFonts w:hint="eastAsia" w:ascii="宋体" w:hAnsi="宋体" w:eastAsia="宋体" w:cs="宋体"/>
          <w:snapToGrid w:val="0"/>
          <w:color w:val="auto"/>
          <w:kern w:val="0"/>
          <w:sz w:val="24"/>
          <w:szCs w:val="24"/>
          <w:highlight w:val="none"/>
          <w:lang w:val="en-US" w:eastAsia="zh-CN" w:bidi="ar"/>
        </w:rPr>
        <w:t>本廉政责任书一式十份，</w:t>
      </w:r>
      <w:r>
        <w:rPr>
          <w:rFonts w:hint="eastAsia" w:ascii="宋体" w:hAnsi="宋体" w:eastAsia="宋体" w:cs="宋体"/>
          <w:bCs/>
          <w:color w:val="auto"/>
          <w:kern w:val="0"/>
          <w:sz w:val="24"/>
          <w:szCs w:val="24"/>
          <w:highlight w:val="none"/>
          <w:lang w:val="en-US" w:eastAsia="zh-CN" w:bidi="ar"/>
        </w:rPr>
        <w:t>甲方执六份，乙方执四份。</w:t>
      </w:r>
    </w:p>
    <w:p>
      <w:pPr>
        <w:keepNext w:val="0"/>
        <w:keepLines w:val="0"/>
        <w:widowControl w:val="0"/>
        <w:suppressLineNumbers w:val="0"/>
        <w:adjustRightInd w:val="0"/>
        <w:snapToGrid w:val="0"/>
        <w:spacing w:before="0" w:beforeLines="0" w:beforeAutospacing="0" w:after="0" w:afterLines="0" w:afterAutospacing="0" w:line="380" w:lineRule="exact"/>
        <w:ind w:left="0" w:right="11"/>
        <w:jc w:val="both"/>
        <w:rPr>
          <w:rFonts w:hint="eastAsia" w:ascii="宋体" w:hAnsi="宋体" w:eastAsia="宋体" w:cs="宋体"/>
          <w:snapToGrid w:val="0"/>
          <w:color w:val="auto"/>
          <w:kern w:val="0"/>
          <w:sz w:val="24"/>
          <w:szCs w:val="24"/>
          <w:highlight w:val="none"/>
          <w:lang w:val="en-US"/>
        </w:rPr>
      </w:pPr>
    </w:p>
    <w:p>
      <w:pPr>
        <w:pStyle w:val="169"/>
        <w:adjustRightInd w:val="0"/>
        <w:snapToGrid w:val="0"/>
        <w:spacing w:line="360" w:lineRule="auto"/>
        <w:ind w:left="1920" w:right="11" w:hanging="1920" w:hangingChars="800"/>
        <w:rPr>
          <w:rFonts w:hint="eastAsia" w:ascii="宋体" w:hAnsi="宋体"/>
          <w:color w:val="auto"/>
          <w:sz w:val="24"/>
          <w:highlight w:val="none"/>
        </w:rPr>
      </w:pPr>
      <w:r>
        <w:rPr>
          <w:rFonts w:hint="eastAsia" w:ascii="宋体" w:hAnsi="宋体"/>
          <w:color w:val="auto"/>
          <w:sz w:val="24"/>
          <w:highlight w:val="none"/>
          <w:lang w:eastAsia="zh-CN"/>
        </w:rPr>
        <w:t>甲方</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乙方</w:t>
      </w:r>
      <w:r>
        <w:rPr>
          <w:rFonts w:hint="eastAsia" w:ascii="宋体" w:hAnsi="宋体"/>
          <w:color w:val="auto"/>
          <w:sz w:val="24"/>
          <w:highlight w:val="none"/>
        </w:rPr>
        <w:t xml:space="preserve">： </w:t>
      </w:r>
    </w:p>
    <w:p>
      <w:pPr>
        <w:pStyle w:val="169"/>
        <w:adjustRightInd w:val="0"/>
        <w:snapToGrid w:val="0"/>
        <w:spacing w:line="360" w:lineRule="auto"/>
        <w:ind w:left="1917" w:leftChars="513" w:right="11" w:hanging="840" w:hangingChars="350"/>
        <w:rPr>
          <w:rFonts w:hint="eastAsia" w:ascii="宋体" w:hAnsi="宋体"/>
          <w:color w:val="auto"/>
          <w:sz w:val="24"/>
          <w:highlight w:val="none"/>
        </w:rPr>
      </w:pPr>
      <w:r>
        <w:rPr>
          <w:rFonts w:hint="eastAsia" w:ascii="宋体" w:hAnsi="宋体"/>
          <w:color w:val="auto"/>
          <w:sz w:val="24"/>
          <w:highlight w:val="none"/>
        </w:rPr>
        <w:t xml:space="preserve">                          </w:t>
      </w:r>
    </w:p>
    <w:p>
      <w:pPr>
        <w:pStyle w:val="169"/>
        <w:adjustRightInd w:val="0"/>
        <w:snapToGrid w:val="0"/>
        <w:spacing w:line="360" w:lineRule="auto"/>
        <w:ind w:right="11"/>
        <w:rPr>
          <w:rFonts w:hint="eastAsia" w:ascii="宋体" w:hAnsi="宋体"/>
          <w:color w:val="auto"/>
          <w:sz w:val="24"/>
          <w:highlight w:val="none"/>
        </w:rPr>
      </w:pPr>
      <w:r>
        <w:rPr>
          <w:rFonts w:hint="eastAsia" w:ascii="宋体" w:hAnsi="宋体"/>
          <w:color w:val="auto"/>
          <w:sz w:val="24"/>
          <w:highlight w:val="none"/>
        </w:rPr>
        <w:t>法定代表人：                           法定代表人：</w:t>
      </w:r>
    </w:p>
    <w:p>
      <w:pPr>
        <w:pStyle w:val="169"/>
        <w:tabs>
          <w:tab w:val="left" w:pos="5460"/>
        </w:tabs>
        <w:adjustRightInd w:val="0"/>
        <w:snapToGrid w:val="0"/>
        <w:spacing w:line="360" w:lineRule="auto"/>
        <w:ind w:left="-2" w:leftChars="-1" w:right="11"/>
        <w:rPr>
          <w:rFonts w:hint="eastAsia" w:ascii="宋体" w:hAnsi="宋体"/>
          <w:color w:val="auto"/>
          <w:sz w:val="24"/>
          <w:highlight w:val="none"/>
        </w:rPr>
      </w:pPr>
    </w:p>
    <w:p>
      <w:pPr>
        <w:pStyle w:val="169"/>
        <w:tabs>
          <w:tab w:val="left" w:pos="5460"/>
        </w:tabs>
        <w:adjustRightInd w:val="0"/>
        <w:snapToGrid w:val="0"/>
        <w:spacing w:line="360" w:lineRule="auto"/>
        <w:ind w:left="-2" w:leftChars="-1" w:right="11"/>
        <w:rPr>
          <w:rFonts w:hint="eastAsia" w:ascii="宋体" w:hAnsi="宋体"/>
          <w:color w:val="auto"/>
          <w:sz w:val="24"/>
          <w:highlight w:val="none"/>
        </w:rPr>
      </w:pPr>
      <w:r>
        <w:rPr>
          <w:rFonts w:hint="eastAsia" w:ascii="宋体" w:hAnsi="宋体"/>
          <w:color w:val="auto"/>
          <w:sz w:val="24"/>
          <w:highlight w:val="none"/>
        </w:rPr>
        <w:t>委托代理人：                           委托代理人：</w:t>
      </w:r>
    </w:p>
    <w:p>
      <w:pPr>
        <w:pStyle w:val="169"/>
        <w:tabs>
          <w:tab w:val="left" w:pos="5460"/>
        </w:tabs>
        <w:adjustRightInd w:val="0"/>
        <w:snapToGrid w:val="0"/>
        <w:spacing w:line="400" w:lineRule="exact"/>
        <w:ind w:left="-2" w:leftChars="-1" w:right="11"/>
        <w:rPr>
          <w:rFonts w:hint="eastAsia" w:ascii="宋体" w:hAnsi="宋体"/>
          <w:color w:val="auto"/>
          <w:sz w:val="24"/>
          <w:highlight w:val="none"/>
        </w:rPr>
      </w:pPr>
    </w:p>
    <w:p>
      <w:pPr>
        <w:pStyle w:val="169"/>
        <w:tabs>
          <w:tab w:val="left" w:pos="5460"/>
        </w:tabs>
        <w:adjustRightInd w:val="0"/>
        <w:snapToGrid w:val="0"/>
        <w:spacing w:line="400" w:lineRule="exact"/>
        <w:ind w:left="-2" w:leftChars="-1" w:right="11"/>
        <w:rPr>
          <w:rFonts w:hint="eastAsia"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eastAsia="zh-CN"/>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日</w:t>
      </w:r>
      <w:r>
        <w:rPr>
          <w:rFonts w:hint="eastAsia" w:ascii="宋体" w:hAnsi="宋体"/>
          <w:color w:val="auto"/>
          <w:sz w:val="24"/>
          <w:highlight w:val="none"/>
        </w:rPr>
        <w:t xml:space="preserve">                      </w:t>
      </w:r>
    </w:p>
    <w:p>
      <w:pPr>
        <w:pStyle w:val="169"/>
        <w:spacing w:line="400" w:lineRule="exact"/>
        <w:rPr>
          <w:rFonts w:hint="eastAsia" w:ascii="宋体" w:hAnsi="宋体" w:eastAsia="宋体" w:cs="宋体"/>
          <w:bCs/>
          <w:color w:val="auto"/>
          <w:sz w:val="24"/>
          <w:szCs w:val="24"/>
          <w:highlight w:val="none"/>
          <w:u w:val="single"/>
        </w:rPr>
      </w:pPr>
      <w:r>
        <w:rPr>
          <w:rFonts w:hint="eastAsia" w:ascii="宋体" w:hAnsi="宋体"/>
          <w:color w:val="auto"/>
          <w:sz w:val="24"/>
          <w:highlight w:val="none"/>
        </w:rPr>
        <w:t>签约地点：广东省广州市黄埔区。</w:t>
      </w:r>
    </w:p>
    <w:p>
      <w:pPr>
        <w:widowControl/>
        <w:wordWrap w:val="0"/>
        <w:jc w:val="left"/>
        <w:rPr>
          <w:rFonts w:hint="eastAsia" w:ascii="宋体" w:hAnsi="宋体" w:eastAsia="宋体" w:cs="宋体"/>
          <w:color w:val="auto"/>
          <w:szCs w:val="24"/>
          <w:highlight w:val="none"/>
        </w:rPr>
      </w:pPr>
      <w:r>
        <w:rPr>
          <w:rFonts w:ascii="宋体" w:hAnsi="宋体" w:eastAsia="宋体" w:cs="宋体"/>
          <w:color w:val="auto"/>
          <w:szCs w:val="24"/>
          <w:highlight w:val="none"/>
        </w:rPr>
        <w:br w:type="page"/>
      </w:r>
    </w:p>
    <w:p>
      <w:pPr>
        <w:wordWrap w:val="0"/>
        <w:autoSpaceDE w:val="0"/>
        <w:autoSpaceDN w:val="0"/>
        <w:spacing w:line="200" w:lineRule="exact"/>
        <w:jc w:val="left"/>
        <w:rPr>
          <w:rFonts w:hint="eastAsia" w:ascii="宋体" w:hAnsi="宋体" w:eastAsia="宋体" w:cs="宋体"/>
          <w:color w:val="auto"/>
          <w:kern w:val="0"/>
          <w:sz w:val="20"/>
          <w:szCs w:val="20"/>
          <w:highlight w:val="none"/>
        </w:rPr>
        <w:sectPr>
          <w:type w:val="continuous"/>
          <w:pgSz w:w="11905" w:h="16838"/>
          <w:pgMar w:top="1474" w:right="1701" w:bottom="1474" w:left="1701" w:header="720" w:footer="720" w:gutter="0"/>
          <w:cols w:space="720" w:num="1"/>
          <w:docGrid w:linePitch="286" w:charSpace="0"/>
        </w:sectPr>
      </w:pPr>
    </w:p>
    <w:p>
      <w:pPr>
        <w:pStyle w:val="2"/>
        <w:rPr>
          <w:rFonts w:hint="eastAsia" w:ascii="宋体" w:hAnsi="宋体"/>
          <w:color w:val="auto"/>
          <w:highlight w:val="none"/>
        </w:rPr>
      </w:pPr>
      <w:bookmarkStart w:id="223" w:name="_Toc193358020"/>
      <w:bookmarkStart w:id="224" w:name="_Toc82786981"/>
      <w:bookmarkStart w:id="225" w:name="_Toc111186800"/>
      <w:r>
        <w:rPr>
          <w:rFonts w:hint="eastAsia" w:ascii="宋体" w:hAnsi="宋体"/>
          <w:color w:val="auto"/>
          <w:highlight w:val="none"/>
        </w:rPr>
        <w:t>第二卷</w:t>
      </w:r>
      <w:bookmarkEnd w:id="223"/>
      <w:bookmarkEnd w:id="224"/>
      <w:bookmarkEnd w:id="225"/>
    </w:p>
    <w:p>
      <w:pPr>
        <w:widowControl/>
        <w:wordWrap w:val="0"/>
        <w:jc w:val="left"/>
        <w:rPr>
          <w:rFonts w:hint="eastAsia" w:ascii="宋体" w:hAnsi="宋体" w:eastAsia="宋体" w:cs="宋体"/>
          <w:color w:val="auto"/>
          <w:kern w:val="0"/>
          <w:sz w:val="14"/>
          <w:szCs w:val="14"/>
          <w:highlight w:val="none"/>
        </w:rPr>
        <w:sectPr>
          <w:type w:val="continuous"/>
          <w:pgSz w:w="11905" w:h="16838"/>
          <w:pgMar w:top="1474" w:right="1701" w:bottom="1474" w:left="1701" w:header="720" w:footer="720" w:gutter="0"/>
          <w:cols w:space="720" w:num="1"/>
        </w:sectPr>
      </w:pPr>
    </w:p>
    <w:p>
      <w:pPr>
        <w:pStyle w:val="2"/>
        <w:rPr>
          <w:rFonts w:hint="eastAsia" w:ascii="宋体" w:hAnsi="宋体"/>
          <w:color w:val="auto"/>
          <w:highlight w:val="none"/>
        </w:rPr>
      </w:pPr>
      <w:bookmarkStart w:id="226" w:name="_Toc193358021"/>
      <w:r>
        <w:rPr>
          <w:rFonts w:hint="eastAsia" w:ascii="宋体" w:hAnsi="宋体"/>
          <w:color w:val="auto"/>
          <w:highlight w:val="none"/>
        </w:rPr>
        <w:t>第五章</w:t>
      </w:r>
      <w:r>
        <w:rPr>
          <w:rFonts w:ascii="宋体" w:hAnsi="宋体"/>
          <w:color w:val="auto"/>
          <w:highlight w:val="none"/>
        </w:rPr>
        <w:t xml:space="preserve">  </w:t>
      </w:r>
      <w:r>
        <w:rPr>
          <w:rFonts w:hint="eastAsia" w:ascii="宋体" w:hAnsi="宋体"/>
          <w:color w:val="auto"/>
          <w:highlight w:val="none"/>
        </w:rPr>
        <w:t>发包人要求</w:t>
      </w:r>
      <w:bookmarkEnd w:id="226"/>
    </w:p>
    <w:p>
      <w:pPr>
        <w:wordWrap w:val="0"/>
        <w:spacing w:line="360" w:lineRule="auto"/>
        <w:jc w:val="center"/>
        <w:rPr>
          <w:rFonts w:hint="eastAsia" w:ascii="宋体" w:hAnsi="宋体" w:eastAsia="宋体" w:cs="宋体"/>
          <w:bCs/>
          <w:color w:val="auto"/>
          <w:sz w:val="24"/>
          <w:szCs w:val="24"/>
          <w:highlight w:val="none"/>
          <w:u w:val="single"/>
        </w:rPr>
      </w:pPr>
    </w:p>
    <w:p>
      <w:pPr>
        <w:wordWrap w:val="0"/>
        <w:rPr>
          <w:rFonts w:hint="eastAsia" w:ascii="宋体" w:hAnsi="宋体" w:eastAsia="宋体" w:cs="宋体"/>
          <w:b/>
          <w:bCs/>
          <w:color w:val="auto"/>
          <w:sz w:val="30"/>
          <w:szCs w:val="30"/>
          <w:highlight w:val="none"/>
        </w:rPr>
      </w:pPr>
    </w:p>
    <w:p>
      <w:pPr>
        <w:widowControl/>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pPr>
        <w:spacing w:line="420" w:lineRule="exact"/>
        <w:jc w:val="center"/>
        <w:rPr>
          <w:rFonts w:ascii="宋体" w:hAnsi="宋体"/>
          <w:color w:val="auto"/>
          <w:highlight w:val="none"/>
        </w:rPr>
      </w:pPr>
      <w:r>
        <w:rPr>
          <w:rFonts w:hint="eastAsia" w:ascii="宋体" w:hAnsi="宋体"/>
          <w:b/>
          <w:color w:val="auto"/>
          <w:sz w:val="32"/>
          <w:highlight w:val="none"/>
        </w:rPr>
        <w:t>基础资料和设计任务书</w:t>
      </w:r>
    </w:p>
    <w:p>
      <w:pPr>
        <w:spacing w:line="420" w:lineRule="exact"/>
        <w:ind w:firstLine="482" w:firstLineChars="200"/>
        <w:outlineLvl w:val="0"/>
        <w:rPr>
          <w:rFonts w:hint="eastAsia" w:ascii="宋体" w:hAnsi="宋体" w:eastAsia="宋体" w:cs="宋体"/>
          <w:b/>
          <w:color w:val="auto"/>
          <w:sz w:val="24"/>
          <w:highlight w:val="none"/>
        </w:rPr>
      </w:pPr>
      <w:bookmarkStart w:id="227" w:name="_Toc24664"/>
      <w:r>
        <w:rPr>
          <w:rFonts w:hint="eastAsia" w:ascii="宋体" w:hAnsi="宋体" w:eastAsia="宋体" w:cs="宋体"/>
          <w:b/>
          <w:color w:val="auto"/>
          <w:sz w:val="24"/>
          <w:highlight w:val="none"/>
        </w:rPr>
        <w:t>1、工程概况</w:t>
      </w:r>
      <w:bookmarkEnd w:id="227"/>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none"/>
        </w:rPr>
        <w:t>乌涌流域排涝体系提升工程</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（2）建设单位：广州开发区财政投资建设项目管理中心</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（3）建设性质：新建、改建</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（4）项目建设目标和任务：</w:t>
      </w:r>
      <w:bookmarkStart w:id="228" w:name="_Hlk205498838"/>
      <w:r>
        <w:rPr>
          <w:rFonts w:hint="eastAsia" w:ascii="宋体" w:hAnsi="宋体" w:eastAsia="宋体" w:cs="宋体"/>
          <w:color w:val="auto"/>
          <w:sz w:val="24"/>
          <w:szCs w:val="24"/>
          <w:highlight w:val="none"/>
        </w:rPr>
        <w:t>按照保证安全、降低内涝风险的原则，在乌涌现状工程的基础上，通过河床平 整、堤岸加固、新建、改建水陂，新建三戽涌排涝泵站等工程措施，提升乌涌流域 排涝能力，从而缓解市政雨水管网因顶托引起的内涝现象，降低河道沿线城市内涝 风险。通过工程措施提升乌涌流域排涝能力。</w:t>
      </w:r>
      <w:bookmarkEnd w:id="228"/>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（5）项目建设地点：</w:t>
      </w:r>
      <w:r>
        <w:rPr>
          <w:rFonts w:ascii="宋体" w:hAnsi="宋体" w:eastAsia="宋体" w:cs="宋体"/>
          <w:color w:val="auto"/>
          <w:sz w:val="24"/>
          <w:szCs w:val="24"/>
          <w:highlight w:val="none"/>
        </w:rPr>
        <w:t>工程位于广州市黄埔区西侧乌涌流域，工程范围主要涉及乌 涌广园快速至广汕二路段和支流三戽涌。</w:t>
      </w:r>
    </w:p>
    <w:p>
      <w:pPr>
        <w:wordWrap w:val="0"/>
        <w:spacing w:line="360" w:lineRule="auto"/>
        <w:ind w:firstLine="482" w:firstLineChars="201"/>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）建设内容和规模：</w:t>
      </w:r>
      <w:r>
        <w:rPr>
          <w:rFonts w:hint="eastAsia" w:ascii="宋体" w:hAnsi="宋体" w:eastAsia="宋体" w:cs="宋体"/>
          <w:color w:val="auto"/>
          <w:sz w:val="24"/>
          <w:szCs w:val="24"/>
          <w:highlight w:val="none"/>
          <w:u w:val="single"/>
          <w:lang w:val="en-US" w:eastAsia="zh-CN"/>
        </w:rPr>
        <w:t>工程通过河床平整、堤岸加固、沿线水陂改造、新建跌水、新建三戽涌排涝泵闸等措施，提升乌涌流域排涝能力。主要工程规模如下：</w:t>
      </w:r>
    </w:p>
    <w:p>
      <w:pPr>
        <w:wordWrap w:val="0"/>
        <w:spacing w:line="360" w:lineRule="auto"/>
        <w:ind w:firstLine="482" w:firstLineChars="201"/>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 xml:space="preserve">）河床平整：对乌涌干流广园路至广汕二路段（桩号 </w:t>
      </w:r>
      <w:r>
        <w:rPr>
          <w:rFonts w:hint="default" w:ascii="宋体" w:hAnsi="宋体" w:eastAsia="宋体" w:cs="宋体"/>
          <w:color w:val="auto"/>
          <w:sz w:val="24"/>
          <w:szCs w:val="24"/>
          <w:highlight w:val="none"/>
          <w:u w:val="single"/>
          <w:lang w:val="en-US" w:eastAsia="zh-CN"/>
        </w:rPr>
        <w:t>WC3+400~WC13+550</w:t>
      </w:r>
      <w:r>
        <w:rPr>
          <w:rFonts w:hint="eastAsia" w:ascii="宋体" w:hAnsi="宋体" w:eastAsia="宋体" w:cs="宋体"/>
          <w:color w:val="auto"/>
          <w:sz w:val="24"/>
          <w:szCs w:val="24"/>
          <w:highlight w:val="none"/>
          <w:u w:val="single"/>
          <w:lang w:val="en-US" w:eastAsia="zh-CN"/>
        </w:rPr>
        <w:t xml:space="preserve">）河床进行平整，长度 </w:t>
      </w:r>
      <w:r>
        <w:rPr>
          <w:rFonts w:hint="default" w:ascii="宋体" w:hAnsi="宋体" w:eastAsia="宋体" w:cs="宋体"/>
          <w:color w:val="auto"/>
          <w:sz w:val="24"/>
          <w:szCs w:val="24"/>
          <w:highlight w:val="none"/>
          <w:u w:val="single"/>
          <w:lang w:val="en-US" w:eastAsia="zh-CN"/>
        </w:rPr>
        <w:t>10.15km</w:t>
      </w:r>
      <w:r>
        <w:rPr>
          <w:rFonts w:hint="eastAsia" w:ascii="宋体" w:hAnsi="宋体" w:eastAsia="宋体" w:cs="宋体"/>
          <w:color w:val="auto"/>
          <w:sz w:val="24"/>
          <w:szCs w:val="24"/>
          <w:highlight w:val="none"/>
          <w:u w:val="single"/>
          <w:lang w:val="en-US" w:eastAsia="zh-CN"/>
        </w:rPr>
        <w:t xml:space="preserve">。 </w:t>
      </w:r>
    </w:p>
    <w:p>
      <w:pPr>
        <w:wordWrap w:val="0"/>
        <w:spacing w:line="360" w:lineRule="auto"/>
        <w:ind w:firstLine="482" w:firstLineChars="201"/>
        <w:rPr>
          <w:rFonts w:ascii="宋体" w:hAnsi="宋体" w:eastAsia="宋体" w:cs="宋体"/>
          <w:color w:val="auto"/>
          <w:sz w:val="24"/>
          <w:szCs w:val="24"/>
          <w:highlight w:val="none"/>
          <w:u w:val="single"/>
        </w:rPr>
      </w:pPr>
      <w:r>
        <w:rPr>
          <w:rFonts w:hint="default"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）堤岸加固：对 </w:t>
      </w:r>
      <w:r>
        <w:rPr>
          <w:rFonts w:hint="default" w:ascii="宋体" w:hAnsi="宋体" w:eastAsia="宋体" w:cs="宋体"/>
          <w:color w:val="auto"/>
          <w:sz w:val="24"/>
          <w:szCs w:val="24"/>
          <w:highlight w:val="none"/>
          <w:u w:val="single"/>
          <w:lang w:val="en-US" w:eastAsia="zh-CN"/>
        </w:rPr>
        <w:t xml:space="preserve">WC4+900~WC6+200 </w:t>
      </w:r>
      <w:r>
        <w:rPr>
          <w:rFonts w:hint="eastAsia" w:ascii="宋体" w:hAnsi="宋体" w:eastAsia="宋体" w:cs="宋体"/>
          <w:color w:val="auto"/>
          <w:sz w:val="24"/>
          <w:szCs w:val="24"/>
          <w:highlight w:val="none"/>
          <w:u w:val="single"/>
          <w:lang w:val="en-US" w:eastAsia="zh-CN"/>
        </w:rPr>
        <w:t xml:space="preserve">段和 </w:t>
      </w:r>
      <w:r>
        <w:rPr>
          <w:rFonts w:hint="default" w:ascii="宋体" w:hAnsi="宋体" w:eastAsia="宋体" w:cs="宋体"/>
          <w:color w:val="auto"/>
          <w:sz w:val="24"/>
          <w:szCs w:val="24"/>
          <w:highlight w:val="none"/>
          <w:u w:val="single"/>
          <w:lang w:val="en-US" w:eastAsia="zh-CN"/>
        </w:rPr>
        <w:t xml:space="preserve">WC8+000~WC8+600 </w:t>
      </w:r>
      <w:r>
        <w:rPr>
          <w:rFonts w:hint="eastAsia" w:ascii="宋体" w:hAnsi="宋体" w:eastAsia="宋体" w:cs="宋体"/>
          <w:color w:val="auto"/>
          <w:sz w:val="24"/>
          <w:szCs w:val="24"/>
          <w:highlight w:val="none"/>
          <w:u w:val="single"/>
          <w:lang w:val="en-US" w:eastAsia="zh-CN"/>
        </w:rPr>
        <w:t xml:space="preserve">段堤岸进行加固，长度 </w:t>
      </w:r>
      <w:r>
        <w:rPr>
          <w:rFonts w:hint="default" w:ascii="宋体" w:hAnsi="宋体" w:eastAsia="宋体" w:cs="宋体"/>
          <w:color w:val="auto"/>
          <w:sz w:val="24"/>
          <w:szCs w:val="24"/>
          <w:highlight w:val="none"/>
          <w:u w:val="single"/>
          <w:lang w:val="en-US" w:eastAsia="zh-CN"/>
        </w:rPr>
        <w:t>1.90km</w:t>
      </w:r>
      <w:r>
        <w:rPr>
          <w:rFonts w:hint="eastAsia" w:ascii="宋体" w:hAnsi="宋体" w:eastAsia="宋体" w:cs="宋体"/>
          <w:color w:val="auto"/>
          <w:sz w:val="24"/>
          <w:szCs w:val="24"/>
          <w:highlight w:val="none"/>
          <w:u w:val="single"/>
          <w:lang w:val="en-US" w:eastAsia="zh-CN"/>
        </w:rPr>
        <w:t xml:space="preserve">。 </w:t>
      </w:r>
    </w:p>
    <w:p>
      <w:pPr>
        <w:wordWrap w:val="0"/>
        <w:spacing w:line="360" w:lineRule="auto"/>
        <w:ind w:firstLine="482" w:firstLineChars="201"/>
        <w:rPr>
          <w:rFonts w:hint="eastAsia" w:ascii="宋体" w:hAnsi="宋体" w:eastAsia="宋体" w:cs="宋体"/>
          <w:color w:val="auto"/>
          <w:sz w:val="24"/>
          <w:szCs w:val="24"/>
          <w:highlight w:val="none"/>
          <w:u w:val="single"/>
          <w:lang w:val="en-US" w:eastAsia="zh-CN"/>
        </w:rPr>
      </w:pPr>
      <w:r>
        <w:rPr>
          <w:rFonts w:hint="default"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）水陂改造：将 </w:t>
      </w:r>
      <w:r>
        <w:rPr>
          <w:rFonts w:hint="default" w:ascii="宋体" w:hAnsi="宋体" w:eastAsia="宋体" w:cs="宋体"/>
          <w:color w:val="auto"/>
          <w:sz w:val="24"/>
          <w:szCs w:val="24"/>
          <w:highlight w:val="none"/>
          <w:u w:val="single"/>
          <w:lang w:val="en-US" w:eastAsia="zh-CN"/>
        </w:rPr>
        <w:t xml:space="preserve">WC4+896 </w:t>
      </w:r>
      <w:r>
        <w:rPr>
          <w:rFonts w:hint="eastAsia" w:ascii="宋体" w:hAnsi="宋体" w:eastAsia="宋体" w:cs="宋体"/>
          <w:color w:val="auto"/>
          <w:sz w:val="24"/>
          <w:szCs w:val="24"/>
          <w:highlight w:val="none"/>
          <w:u w:val="single"/>
          <w:lang w:val="en-US" w:eastAsia="zh-CN"/>
        </w:rPr>
        <w:t xml:space="preserve">和 </w:t>
      </w:r>
      <w:r>
        <w:rPr>
          <w:rFonts w:hint="default" w:ascii="宋体" w:hAnsi="宋体" w:eastAsia="宋体" w:cs="宋体"/>
          <w:color w:val="auto"/>
          <w:sz w:val="24"/>
          <w:szCs w:val="24"/>
          <w:highlight w:val="none"/>
          <w:u w:val="single"/>
          <w:lang w:val="en-US" w:eastAsia="zh-CN"/>
        </w:rPr>
        <w:t xml:space="preserve">WC6+284 </w:t>
      </w:r>
      <w:r>
        <w:rPr>
          <w:rFonts w:hint="eastAsia" w:ascii="宋体" w:hAnsi="宋体" w:eastAsia="宋体" w:cs="宋体"/>
          <w:color w:val="auto"/>
          <w:sz w:val="24"/>
          <w:szCs w:val="24"/>
          <w:highlight w:val="none"/>
          <w:u w:val="single"/>
          <w:lang w:val="en-US" w:eastAsia="zh-CN"/>
        </w:rPr>
        <w:t xml:space="preserve">处固定水陂改造成可活动的翻板闸，在上游 </w:t>
      </w:r>
      <w:r>
        <w:rPr>
          <w:rFonts w:hint="default" w:ascii="宋体" w:hAnsi="宋体" w:eastAsia="宋体" w:cs="宋体"/>
          <w:color w:val="auto"/>
          <w:sz w:val="24"/>
          <w:szCs w:val="24"/>
          <w:highlight w:val="none"/>
          <w:u w:val="single"/>
          <w:lang w:val="en-US" w:eastAsia="zh-CN"/>
        </w:rPr>
        <w:t xml:space="preserve">WC13+035 </w:t>
      </w:r>
      <w:r>
        <w:rPr>
          <w:rFonts w:hint="eastAsia" w:ascii="宋体" w:hAnsi="宋体" w:eastAsia="宋体" w:cs="宋体"/>
          <w:color w:val="auto"/>
          <w:sz w:val="24"/>
          <w:szCs w:val="24"/>
          <w:highlight w:val="none"/>
          <w:u w:val="single"/>
          <w:lang w:val="en-US" w:eastAsia="zh-CN"/>
        </w:rPr>
        <w:t>处新建翻板闸。</w:t>
      </w:r>
    </w:p>
    <w:p>
      <w:pPr>
        <w:wordWrap w:val="0"/>
        <w:spacing w:line="360" w:lineRule="auto"/>
        <w:ind w:firstLine="482" w:firstLineChars="201"/>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4）新建跌水：在桩号 </w:t>
      </w:r>
      <w:r>
        <w:rPr>
          <w:rFonts w:hint="default" w:ascii="宋体" w:hAnsi="宋体" w:eastAsia="宋体" w:cs="宋体"/>
          <w:color w:val="auto"/>
          <w:sz w:val="24"/>
          <w:szCs w:val="24"/>
          <w:highlight w:val="none"/>
          <w:u w:val="single"/>
          <w:lang w:val="en-US" w:eastAsia="zh-CN"/>
        </w:rPr>
        <w:t>WC5+170</w:t>
      </w:r>
      <w:r>
        <w:rPr>
          <w:rFonts w:hint="eastAsia" w:ascii="宋体" w:hAnsi="宋体" w:eastAsia="宋体" w:cs="宋体"/>
          <w:color w:val="auto"/>
          <w:sz w:val="24"/>
          <w:szCs w:val="24"/>
          <w:highlight w:val="none"/>
          <w:u w:val="single"/>
          <w:lang w:val="en-US" w:eastAsia="zh-CN"/>
        </w:rPr>
        <w:t>、</w:t>
      </w:r>
      <w:r>
        <w:rPr>
          <w:rFonts w:hint="default" w:ascii="宋体" w:hAnsi="宋体" w:eastAsia="宋体" w:cs="宋体"/>
          <w:color w:val="auto"/>
          <w:sz w:val="24"/>
          <w:szCs w:val="24"/>
          <w:highlight w:val="none"/>
          <w:u w:val="single"/>
          <w:lang w:val="en-US" w:eastAsia="zh-CN"/>
        </w:rPr>
        <w:t>WC5+500</w:t>
      </w:r>
      <w:r>
        <w:rPr>
          <w:rFonts w:hint="eastAsia" w:ascii="宋体" w:hAnsi="宋体" w:eastAsia="宋体" w:cs="宋体"/>
          <w:color w:val="auto"/>
          <w:sz w:val="24"/>
          <w:szCs w:val="24"/>
          <w:highlight w:val="none"/>
          <w:u w:val="single"/>
          <w:lang w:val="en-US" w:eastAsia="zh-CN"/>
        </w:rPr>
        <w:t>、</w:t>
      </w:r>
      <w:r>
        <w:rPr>
          <w:rFonts w:hint="default" w:ascii="宋体" w:hAnsi="宋体" w:eastAsia="宋体" w:cs="宋体"/>
          <w:color w:val="auto"/>
          <w:sz w:val="24"/>
          <w:szCs w:val="24"/>
          <w:highlight w:val="none"/>
          <w:u w:val="single"/>
          <w:lang w:val="en-US" w:eastAsia="zh-CN"/>
        </w:rPr>
        <w:t xml:space="preserve">WC5+850 </w:t>
      </w:r>
      <w:r>
        <w:rPr>
          <w:rFonts w:hint="eastAsia" w:ascii="宋体" w:hAnsi="宋体" w:eastAsia="宋体" w:cs="宋体"/>
          <w:color w:val="auto"/>
          <w:sz w:val="24"/>
          <w:szCs w:val="24"/>
          <w:highlight w:val="none"/>
          <w:u w:val="single"/>
          <w:lang w:val="en-US" w:eastAsia="zh-CN"/>
        </w:rPr>
        <w:t xml:space="preserve">处新建 </w:t>
      </w:r>
      <w:r>
        <w:rPr>
          <w:rFonts w:hint="default"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u w:val="single"/>
          <w:lang w:val="en-US" w:eastAsia="zh-CN"/>
        </w:rPr>
        <w:t>座跌水。</w:t>
      </w:r>
    </w:p>
    <w:p>
      <w:pPr>
        <w:wordWrap w:val="0"/>
        <w:spacing w:line="360" w:lineRule="auto"/>
        <w:ind w:firstLine="482" w:firstLineChars="201"/>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）新建三戽涌排涝泵闸：在现状三戽涌气盾闸处新建排涝泵闸，水闸设计流量为 </w:t>
      </w:r>
      <w:r>
        <w:rPr>
          <w:rFonts w:hint="default" w:ascii="宋体" w:hAnsi="宋体" w:eastAsia="宋体" w:cs="宋体"/>
          <w:color w:val="auto"/>
          <w:sz w:val="24"/>
          <w:szCs w:val="24"/>
          <w:highlight w:val="none"/>
          <w:u w:val="single"/>
          <w:lang w:val="en-US" w:eastAsia="zh-CN"/>
        </w:rPr>
        <w:t>26.50m3/s</w:t>
      </w:r>
      <w:r>
        <w:rPr>
          <w:rFonts w:hint="eastAsia" w:ascii="宋体" w:hAnsi="宋体" w:eastAsia="宋体" w:cs="宋体"/>
          <w:color w:val="auto"/>
          <w:sz w:val="24"/>
          <w:szCs w:val="24"/>
          <w:highlight w:val="none"/>
          <w:u w:val="single"/>
          <w:lang w:val="en-US" w:eastAsia="zh-CN"/>
        </w:rPr>
        <w:t xml:space="preserve">，泵站设计流量 </w:t>
      </w:r>
      <w:r>
        <w:rPr>
          <w:rFonts w:hint="default" w:ascii="宋体" w:hAnsi="宋体" w:eastAsia="宋体" w:cs="宋体"/>
          <w:color w:val="auto"/>
          <w:sz w:val="24"/>
          <w:szCs w:val="24"/>
          <w:highlight w:val="none"/>
          <w:u w:val="single"/>
          <w:lang w:val="en-US" w:eastAsia="zh-CN"/>
        </w:rPr>
        <w:t>12m3 /s</w:t>
      </w:r>
      <w:r>
        <w:rPr>
          <w:rFonts w:hint="eastAsia" w:ascii="宋体" w:hAnsi="宋体" w:eastAsia="宋体" w:cs="宋体"/>
          <w:color w:val="auto"/>
          <w:sz w:val="24"/>
          <w:szCs w:val="24"/>
          <w:highlight w:val="none"/>
          <w:u w:val="single"/>
          <w:lang w:val="en-US" w:eastAsia="zh-CN"/>
        </w:rPr>
        <w:t>。</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本工程乌涌干流治涝标准为50年一遇，堤防、气盾闸等主要建筑物级别为2级，次要建筑物级别为 3 级，临时建筑物级别为 4 级。</w:t>
      </w:r>
      <w:r>
        <w:rPr>
          <w:rFonts w:hint="eastAsia" w:ascii="宋体" w:hAnsi="宋体" w:eastAsia="宋体" w:cs="宋体"/>
          <w:color w:val="auto"/>
          <w:sz w:val="24"/>
          <w:szCs w:val="24"/>
          <w:highlight w:val="none"/>
          <w:u w:val="single"/>
          <w:lang w:val="en-US" w:eastAsia="zh-CN"/>
        </w:rPr>
        <w:t>三戽涌治涝标准为20年一遇，</w:t>
      </w:r>
      <w:r>
        <w:rPr>
          <w:rFonts w:hint="eastAsia" w:ascii="宋体" w:hAnsi="宋体" w:eastAsia="宋体" w:cs="宋体"/>
          <w:color w:val="auto"/>
          <w:sz w:val="24"/>
          <w:szCs w:val="24"/>
          <w:highlight w:val="none"/>
          <w:u w:val="single"/>
        </w:rPr>
        <w:t>三戽涌工程设计单站装机流量为 12.00m3/s，排涝流量大于 10m3/s，</w:t>
      </w:r>
      <w:r>
        <w:rPr>
          <w:rFonts w:hint="eastAsia" w:ascii="宋体" w:hAnsi="宋体" w:eastAsia="宋体" w:cs="宋体"/>
          <w:color w:val="auto"/>
          <w:sz w:val="24"/>
          <w:szCs w:val="24"/>
          <w:highlight w:val="none"/>
          <w:u w:val="single"/>
          <w:lang w:val="en-US" w:eastAsia="zh-CN"/>
        </w:rPr>
        <w:t>泵站工程主要建筑物级别为 3 级，次要建筑物级别为 4 级，临时建筑物级别为 5 级。</w:t>
      </w:r>
      <w:r>
        <w:rPr>
          <w:rFonts w:hint="eastAsia" w:ascii="宋体" w:hAnsi="宋体" w:eastAsia="宋体" w:cs="宋体"/>
          <w:color w:val="auto"/>
          <w:sz w:val="24"/>
          <w:szCs w:val="24"/>
          <w:highlight w:val="none"/>
        </w:rPr>
        <w:t xml:space="preserve"> </w:t>
      </w:r>
    </w:p>
    <w:p>
      <w:pPr>
        <w:spacing w:line="420" w:lineRule="exact"/>
        <w:ind w:firstLine="42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）建设工期及分期实施计划：</w:t>
      </w:r>
      <w:r>
        <w:rPr>
          <w:rFonts w:ascii="宋体" w:hAnsi="宋体" w:eastAsia="宋体" w:cs="宋体"/>
          <w:color w:val="auto"/>
          <w:sz w:val="24"/>
          <w:szCs w:val="24"/>
          <w:highlight w:val="none"/>
        </w:rPr>
        <w:t xml:space="preserve">工程施工总工期拟计划21个月，工期计划安排如下： </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1）工程筹建期：3个月。 </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2）工程准备期：2个月。</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3）主体工程施工期：施工期计划18个月，涉及到河道内工程施工尽量安排在枯水期施工。</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4）工程完建期：1个月。</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）投资规模与资金来源：项目工程总投资为</w:t>
      </w:r>
      <w:r>
        <w:rPr>
          <w:rFonts w:ascii="宋体" w:hAnsi="宋体" w:eastAsia="宋体" w:cs="宋体"/>
          <w:color w:val="auto"/>
          <w:sz w:val="24"/>
          <w:szCs w:val="24"/>
          <w:highlight w:val="none"/>
        </w:rPr>
        <w:t>13500.05</w:t>
      </w:r>
      <w:r>
        <w:rPr>
          <w:rFonts w:hint="eastAsia" w:ascii="宋体" w:hAnsi="宋体" w:eastAsia="宋体" w:cs="宋体"/>
          <w:color w:val="auto"/>
          <w:sz w:val="24"/>
          <w:szCs w:val="24"/>
          <w:highlight w:val="none"/>
        </w:rPr>
        <w:t>万元</w:t>
      </w:r>
      <w:r>
        <w:rPr>
          <w:rFonts w:ascii="宋体" w:hAnsi="宋体" w:eastAsia="宋体" w:cs="宋体"/>
          <w:color w:val="auto"/>
          <w:sz w:val="24"/>
          <w:szCs w:val="24"/>
          <w:highlight w:val="none"/>
        </w:rPr>
        <w:t>，其中：建安工程费为 10864.7 万元。</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）建设模式：传统项目管理模式（DBB）</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（10）本项目主要绩效目标为：</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本工程主要通过河床平整、堤岸加固、沿线水陂改造、新建跌水、 新建三戽涌排涝泵闸等措施，提升乌涌流域排涝能力。</w:t>
      </w:r>
    </w:p>
    <w:p>
      <w:pPr>
        <w:widowControl/>
        <w:numPr>
          <w:ilvl w:val="0"/>
          <w:numId w:val="1"/>
        </w:numPr>
        <w:kinsoku w:val="0"/>
        <w:autoSpaceDE w:val="0"/>
        <w:autoSpaceDN w:val="0"/>
        <w:adjustRightInd w:val="0"/>
        <w:snapToGrid w:val="0"/>
        <w:spacing w:after="0" w:line="420" w:lineRule="exact"/>
        <w:ind w:firstLine="423"/>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坐标及高程系统：广州城建坐标系；珠基高程系统。</w:t>
      </w:r>
    </w:p>
    <w:p>
      <w:pPr>
        <w:spacing w:line="420" w:lineRule="exact"/>
        <w:ind w:firstLine="482" w:firstLineChars="200"/>
        <w:outlineLvl w:val="0"/>
        <w:rPr>
          <w:rFonts w:hint="eastAsia" w:ascii="宋体" w:hAnsi="宋体" w:eastAsia="宋体" w:cs="宋体"/>
          <w:b/>
          <w:bCs/>
          <w:color w:val="auto"/>
          <w:sz w:val="24"/>
          <w:szCs w:val="24"/>
          <w:highlight w:val="none"/>
        </w:rPr>
      </w:pPr>
      <w:bookmarkStart w:id="229" w:name="_Toc497"/>
      <w:r>
        <w:rPr>
          <w:rFonts w:hint="eastAsia" w:ascii="宋体" w:hAnsi="宋体" w:eastAsia="宋体" w:cs="宋体"/>
          <w:b/>
          <w:bCs/>
          <w:color w:val="auto"/>
          <w:sz w:val="24"/>
          <w:szCs w:val="24"/>
          <w:highlight w:val="none"/>
        </w:rPr>
        <w:t>2、设计任务</w:t>
      </w:r>
      <w:bookmarkEnd w:id="229"/>
    </w:p>
    <w:p>
      <w:pPr>
        <w:spacing w:line="420" w:lineRule="exact"/>
        <w:ind w:firstLine="480" w:firstLineChars="200"/>
        <w:rPr>
          <w:rStyle w:val="164"/>
          <w:rFonts w:hint="default" w:ascii="宋体" w:hAnsi="宋体" w:eastAsia="宋体" w:cs="宋体"/>
          <w:color w:val="auto"/>
          <w:sz w:val="24"/>
          <w:szCs w:val="24"/>
          <w:highlight w:val="none"/>
        </w:rPr>
      </w:pPr>
      <w:r>
        <w:rPr>
          <w:rStyle w:val="164"/>
          <w:rFonts w:hint="default" w:ascii="宋体" w:hAnsi="宋体" w:eastAsia="宋体" w:cs="宋体"/>
          <w:color w:val="auto"/>
          <w:sz w:val="24"/>
          <w:szCs w:val="24"/>
          <w:highlight w:val="none"/>
        </w:rPr>
        <w:t>任务内容：</w:t>
      </w:r>
      <w:r>
        <w:rPr>
          <w:rStyle w:val="164"/>
          <w:rFonts w:hint="eastAsia" w:ascii="宋体" w:hAnsi="宋体" w:eastAsia="宋体" w:cs="宋体"/>
          <w:color w:val="auto"/>
          <w:sz w:val="24"/>
          <w:szCs w:val="24"/>
          <w:highlight w:val="none"/>
          <w:lang w:eastAsia="zh-CN"/>
        </w:rPr>
        <w:t>包括</w:t>
      </w:r>
      <w:r>
        <w:rPr>
          <w:rStyle w:val="164"/>
          <w:rFonts w:hint="default"/>
          <w:color w:val="auto"/>
          <w:sz w:val="24"/>
          <w:szCs w:val="24"/>
          <w:highlight w:val="none"/>
        </w:rPr>
        <w:t>根据采购人相关建设需求，开展相应工程测量、管线探测及地质勘察工作</w:t>
      </w:r>
      <w:r>
        <w:rPr>
          <w:rStyle w:val="164"/>
          <w:rFonts w:hint="eastAsia" w:eastAsia="宋体"/>
          <w:color w:val="auto"/>
          <w:sz w:val="24"/>
          <w:szCs w:val="24"/>
          <w:highlight w:val="none"/>
          <w:lang w:eastAsia="zh-CN"/>
        </w:rPr>
        <w:t>，</w:t>
      </w:r>
      <w:r>
        <w:rPr>
          <w:rStyle w:val="164"/>
          <w:rFonts w:hint="eastAsia" w:ascii="宋体" w:hAnsi="宋体" w:eastAsia="宋体" w:cs="宋体"/>
          <w:color w:val="auto"/>
          <w:sz w:val="24"/>
          <w:szCs w:val="24"/>
          <w:highlight w:val="none"/>
        </w:rPr>
        <w:t>招标设计、初步设计及概算、施工图设计、现场服务（含工程变更）、配合编制竣工图</w:t>
      </w:r>
      <w:r>
        <w:rPr>
          <w:rStyle w:val="164"/>
          <w:rFonts w:hint="eastAsia" w:ascii="宋体" w:hAnsi="宋体" w:eastAsia="宋体" w:cs="宋体"/>
          <w:color w:val="auto"/>
          <w:sz w:val="24"/>
          <w:szCs w:val="24"/>
          <w:highlight w:val="none"/>
          <w:lang w:eastAsia="zh-CN"/>
        </w:rPr>
        <w:t>及</w:t>
      </w:r>
      <w:r>
        <w:rPr>
          <w:rStyle w:val="164"/>
          <w:rFonts w:hint="eastAsia" w:ascii="宋体" w:hAnsi="宋体" w:eastAsia="宋体" w:cs="宋体"/>
          <w:color w:val="auto"/>
          <w:sz w:val="24"/>
          <w:szCs w:val="24"/>
          <w:highlight w:val="none"/>
        </w:rPr>
        <w:t>相关报建等工作</w:t>
      </w:r>
    </w:p>
    <w:p>
      <w:pPr>
        <w:spacing w:line="420" w:lineRule="exact"/>
        <w:ind w:firstLine="482" w:firstLineChars="200"/>
        <w:outlineLvl w:val="0"/>
        <w:rPr>
          <w:rFonts w:hint="eastAsia" w:ascii="宋体" w:hAnsi="宋体" w:eastAsia="宋体" w:cs="宋体"/>
          <w:b/>
          <w:bCs/>
          <w:color w:val="auto"/>
          <w:sz w:val="24"/>
          <w:highlight w:val="none"/>
        </w:rPr>
      </w:pPr>
      <w:bookmarkStart w:id="230" w:name="_Toc9062"/>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highlight w:val="none"/>
        </w:rPr>
        <w:t>设计要求</w:t>
      </w:r>
      <w:bookmarkEnd w:id="230"/>
    </w:p>
    <w:p>
      <w:pPr>
        <w:widowControl/>
        <w:numPr>
          <w:ilvl w:val="0"/>
          <w:numId w:val="2"/>
        </w:numPr>
        <w:kinsoku w:val="0"/>
        <w:autoSpaceDE w:val="0"/>
        <w:autoSpaceDN w:val="0"/>
        <w:adjustRightInd w:val="0"/>
        <w:snapToGrid w:val="0"/>
        <w:spacing w:after="0" w:line="420" w:lineRule="exact"/>
        <w:ind w:left="4" w:firstLine="415" w:firstLineChars="173"/>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整体设计内容符合招标文件要求，内容全面，设计总说明书文字表达清楚、思路清晰、重点和难点突出、图纸及文卷质量高。</w:t>
      </w:r>
    </w:p>
    <w:p>
      <w:pPr>
        <w:widowControl/>
        <w:numPr>
          <w:ilvl w:val="0"/>
          <w:numId w:val="2"/>
        </w:numPr>
        <w:kinsoku w:val="0"/>
        <w:autoSpaceDE w:val="0"/>
        <w:autoSpaceDN w:val="0"/>
        <w:adjustRightInd w:val="0"/>
        <w:snapToGrid w:val="0"/>
        <w:spacing w:after="0" w:line="420" w:lineRule="exact"/>
        <w:ind w:left="4" w:firstLine="415" w:firstLineChars="173"/>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资料收集充分完善，对于现场情况调查清楚，对区域发展现状问题及需求分析准确，表述清晰明了。</w:t>
      </w:r>
    </w:p>
    <w:p>
      <w:pPr>
        <w:widowControl/>
        <w:numPr>
          <w:ilvl w:val="0"/>
          <w:numId w:val="2"/>
        </w:numPr>
        <w:kinsoku w:val="0"/>
        <w:autoSpaceDE w:val="0"/>
        <w:autoSpaceDN w:val="0"/>
        <w:adjustRightInd w:val="0"/>
        <w:snapToGrid w:val="0"/>
        <w:spacing w:after="0" w:line="420" w:lineRule="exact"/>
        <w:ind w:left="4" w:firstLine="415" w:firstLineChars="173"/>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设计方案能正确理解并执行本项目建设意图，建设目标、策略及思路清晰。</w:t>
      </w:r>
    </w:p>
    <w:p>
      <w:pPr>
        <w:widowControl/>
        <w:numPr>
          <w:ilvl w:val="0"/>
          <w:numId w:val="2"/>
        </w:numPr>
        <w:kinsoku w:val="0"/>
        <w:autoSpaceDE w:val="0"/>
        <w:autoSpaceDN w:val="0"/>
        <w:adjustRightInd w:val="0"/>
        <w:snapToGrid w:val="0"/>
        <w:spacing w:after="0" w:line="420" w:lineRule="exact"/>
        <w:ind w:left="4" w:firstLine="415" w:firstLineChars="173"/>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设计方案对各项工程现状分析准确、设计思路清晰、设计方案合理，设计指标符合规范，技术措施优良。</w:t>
      </w:r>
    </w:p>
    <w:p>
      <w:pPr>
        <w:widowControl/>
        <w:numPr>
          <w:ilvl w:val="0"/>
          <w:numId w:val="2"/>
        </w:numPr>
        <w:kinsoku w:val="0"/>
        <w:autoSpaceDE w:val="0"/>
        <w:autoSpaceDN w:val="0"/>
        <w:adjustRightInd w:val="0"/>
        <w:snapToGrid w:val="0"/>
        <w:spacing w:after="0" w:line="420" w:lineRule="exact"/>
        <w:ind w:left="4" w:firstLine="415" w:firstLineChars="173"/>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设计方案对使项目：乌涌治涝标准为50年一遇，堤防工程级别为2级，主要建筑 物为2级，次要建筑物为3级。三戽涌治涝标准为20年一遇，设泵站工程主要建 筑物级别为3级，次要建筑物级别为4级，临时建筑物级别为5级。</w:t>
      </w:r>
    </w:p>
    <w:p>
      <w:pPr>
        <w:widowControl/>
        <w:numPr>
          <w:ilvl w:val="0"/>
          <w:numId w:val="2"/>
        </w:numPr>
        <w:kinsoku w:val="0"/>
        <w:autoSpaceDE w:val="0"/>
        <w:autoSpaceDN w:val="0"/>
        <w:adjustRightInd w:val="0"/>
        <w:snapToGrid w:val="0"/>
        <w:spacing w:after="0" w:line="420" w:lineRule="exact"/>
        <w:ind w:left="4" w:firstLine="415" w:firstLineChars="173"/>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设计方案对实现建设目标需配套的应用系统需求分析准确、与现状结合紧密、设计思路清晰、系统功能满足业务需求、设计方案合理，技术措施优良。</w:t>
      </w:r>
    </w:p>
    <w:p>
      <w:pPr>
        <w:widowControl/>
        <w:numPr>
          <w:ilvl w:val="0"/>
          <w:numId w:val="2"/>
        </w:numPr>
        <w:kinsoku w:val="0"/>
        <w:autoSpaceDE w:val="0"/>
        <w:autoSpaceDN w:val="0"/>
        <w:adjustRightInd w:val="0"/>
        <w:snapToGrid w:val="0"/>
        <w:spacing w:after="0" w:line="420" w:lineRule="exact"/>
        <w:ind w:left="4" w:firstLine="415" w:firstLineChars="173"/>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勘察方案合理可行，勘察的重点、难点理解准确，建议合理可行；勘察工作流程规范，工期进度计划合理可行。</w:t>
      </w:r>
    </w:p>
    <w:p>
      <w:pPr>
        <w:widowControl/>
        <w:numPr>
          <w:ilvl w:val="0"/>
          <w:numId w:val="2"/>
        </w:numPr>
        <w:kinsoku w:val="0"/>
        <w:autoSpaceDE w:val="0"/>
        <w:autoSpaceDN w:val="0"/>
        <w:adjustRightInd w:val="0"/>
        <w:snapToGrid w:val="0"/>
        <w:spacing w:after="0" w:line="420" w:lineRule="exact"/>
        <w:ind w:left="4" w:firstLine="415" w:firstLineChars="173"/>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工程总投资合理，节约工程总投资的措施及理由合理、可信、可行，投资估算编制依据正确，达到相应的深度要求，编制质量高。</w:t>
      </w:r>
    </w:p>
    <w:p>
      <w:pPr>
        <w:spacing w:line="42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4、编制依据</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（1）周边工程地质报告</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（2）《广州市国土空间总体规划（2018-2035 年）》；</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（3）《建设项目经济评价方法与参数》（第三版）；</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（4）《黄埔区给排水系统专项规划（2019-2035）》；</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（5）《黄埔区海绵城市专项规划（2019-2035）；</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（6）《广州市道路工程路面结构设计指引》2020 年 4 月；</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（7）《关于在全区新建或改建道路工程中推行管线预埋和多杆合一的通知》穗埔建（2019）118 号；</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（8）《黄埔区市政基础设施设计施工指引 3.0》；</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（9）《广州开发区建设工程项目建设与投资标准指引》；</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（10）《广东省国民经济和社会发展第十四个五年规划和二〇三五年远景目标纲要》</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（11）《广州市国民经济和社会发展第十四个五年规划和二〇三五年远景目标》</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（12）《广州市城市总体规划（2017-2035 年）（草案）》；</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（13）现行国家规范、标准：</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1）《政府投资项目可行性研究报告编写通用大纲》（2023版） </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2）《水利水电工程可行性研究报告编制规程》SL/T618-2021</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3）《防洪标准》GB 50201-2014；</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4）《水利水电工程等级划分及洪水标SL252-2017； </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5）《堤防工程设计规范》GB50286-2013；</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6）《堤防工程施工规范》SL260-2014；</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7）《中国地震动参数区划图》GB18306-2015；</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8）《河道整治设计规范》GB 50707-2011；</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9）《水工挡土墙设计规范》SL379-2007；</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10）《水工混凝土结构设计规范》SL191-2008；</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11）《水利水电工程设计工程量计算规定》SL328-2005； </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12）《建筑工程抗震设防分类标准》GB50223-2008；</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13）《建筑边坡工程技术规范》GB50330-2013；</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14）《建筑地基基础设计规范》（GB50007-2011）；</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15）《水利水电工程施工组织设计规范》（SL 303-2017）； </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16）《建筑基坑工程技术规程》（DBJ/T 15-20-2016）；</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17）《工程建设标准强制性条文》（2020 年版）；</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18）《城市道路交通工程项目规范》（GB 5501-2021）</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19）《城市道路工程设计规范》（CJJ37－2012）（2016 年版） </w:t>
      </w:r>
    </w:p>
    <w:p>
      <w:pPr>
        <w:spacing w:line="420" w:lineRule="exact"/>
        <w:ind w:firstLine="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20）《公路沥青路面设计规范》（JTG D50-2017） </w:t>
      </w:r>
    </w:p>
    <w:p>
      <w:pPr>
        <w:spacing w:line="42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5、工程效果、目标</w:t>
      </w:r>
    </w:p>
    <w:p>
      <w:pPr>
        <w:widowControl/>
        <w:numPr>
          <w:ilvl w:val="0"/>
          <w:numId w:val="0"/>
        </w:numPr>
        <w:kinsoku w:val="0"/>
        <w:autoSpaceDE w:val="0"/>
        <w:autoSpaceDN w:val="0"/>
        <w:adjustRightInd w:val="0"/>
        <w:snapToGrid w:val="0"/>
        <w:spacing w:after="0" w:line="420" w:lineRule="exact"/>
        <w:ind w:firstLine="420" w:firstLineChars="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按照保证安全、降低内涝风险的原则，在乌涌现状工程的基础上，通过河床平 整、堤岸加固、新建、改建水陂，新建三戽涌排涝泵站等工程措施，提升乌涌流域 排涝能力，从而缓解市政雨水管网因顶托引起的内涝现象，降低河道沿线城市内涝 风险。通过工程措施提升乌涌流域排涝能力。</w:t>
      </w:r>
    </w:p>
    <w:p>
      <w:pPr>
        <w:wordWrap w:val="0"/>
        <w:jc w:val="left"/>
        <w:rPr>
          <w:rFonts w:hint="eastAsia" w:ascii="宋体" w:hAnsi="宋体" w:eastAsia="宋体" w:cs="宋体"/>
          <w:color w:val="auto"/>
          <w:szCs w:val="24"/>
          <w:highlight w:val="none"/>
        </w:rPr>
      </w:pPr>
      <w:bookmarkStart w:id="231" w:name="_Toc82786986"/>
      <w:bookmarkStart w:id="232" w:name="_Toc111186802"/>
      <w:r>
        <w:rPr>
          <w:rFonts w:ascii="宋体" w:hAnsi="宋体" w:eastAsia="宋体" w:cs="宋体"/>
          <w:color w:val="auto"/>
          <w:szCs w:val="24"/>
          <w:highlight w:val="none"/>
        </w:rPr>
        <w:br w:type="page"/>
      </w:r>
    </w:p>
    <w:p>
      <w:pPr>
        <w:pStyle w:val="2"/>
        <w:rPr>
          <w:rFonts w:hint="eastAsia" w:ascii="宋体" w:hAnsi="宋体"/>
          <w:color w:val="auto"/>
          <w:highlight w:val="none"/>
        </w:rPr>
      </w:pPr>
      <w:bookmarkStart w:id="233" w:name="_Toc193358022"/>
      <w:r>
        <w:rPr>
          <w:rFonts w:hint="eastAsia" w:ascii="宋体" w:hAnsi="宋体"/>
          <w:color w:val="auto"/>
          <w:highlight w:val="none"/>
        </w:rPr>
        <w:t>第三卷</w:t>
      </w:r>
      <w:bookmarkEnd w:id="231"/>
      <w:bookmarkEnd w:id="232"/>
      <w:bookmarkEnd w:id="233"/>
    </w:p>
    <w:p>
      <w:pPr>
        <w:widowControl/>
        <w:wordWrap w:val="0"/>
        <w:jc w:val="left"/>
        <w:rPr>
          <w:rFonts w:hint="eastAsia"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pPr>
        <w:pStyle w:val="2"/>
        <w:rPr>
          <w:rFonts w:hint="eastAsia" w:ascii="宋体" w:hAnsi="宋体"/>
          <w:color w:val="auto"/>
          <w:highlight w:val="none"/>
        </w:rPr>
        <w:sectPr>
          <w:type w:val="continuous"/>
          <w:pgSz w:w="11905" w:h="16838"/>
          <w:pgMar w:top="1474" w:right="1701" w:bottom="1474" w:left="1701" w:header="720" w:footer="720" w:gutter="0"/>
          <w:cols w:space="720" w:num="1"/>
        </w:sectPr>
      </w:pPr>
      <w:bookmarkStart w:id="234" w:name="_Toc193358023"/>
      <w:bookmarkStart w:id="235" w:name="_Toc111186803"/>
      <w:r>
        <w:rPr>
          <w:rFonts w:hint="eastAsia" w:ascii="宋体" w:hAnsi="宋体"/>
          <w:color w:val="auto"/>
          <w:highlight w:val="none"/>
        </w:rPr>
        <w:t>第六章</w:t>
      </w:r>
      <w:r>
        <w:rPr>
          <w:rFonts w:ascii="宋体" w:hAnsi="宋体"/>
          <w:color w:val="auto"/>
          <w:highlight w:val="none"/>
        </w:rPr>
        <w:t xml:space="preserve">  </w:t>
      </w:r>
      <w:r>
        <w:rPr>
          <w:rFonts w:hint="eastAsia" w:ascii="宋体" w:hAnsi="宋体"/>
          <w:color w:val="auto"/>
          <w:highlight w:val="none"/>
        </w:rPr>
        <w:t>投标文件格式</w:t>
      </w:r>
      <w:bookmarkEnd w:id="234"/>
      <w:bookmarkEnd w:id="235"/>
    </w:p>
    <w:p>
      <w:pPr>
        <w:kinsoku w:val="0"/>
        <w:overflowPunct w:val="0"/>
        <w:spacing w:line="200" w:lineRule="exact"/>
        <w:rPr>
          <w:rFonts w:hint="eastAsia" w:ascii="宋体" w:hAnsi="宋体" w:eastAsia="宋体"/>
          <w:color w:val="auto"/>
          <w:highlight w:val="none"/>
        </w:rPr>
      </w:pPr>
      <w:bookmarkStart w:id="236" w:name="_Toc111186804"/>
      <w:bookmarkStart w:id="237" w:name="_Toc193358024"/>
      <w:bookmarkStart w:id="238" w:name="_Toc18166"/>
    </w:p>
    <w:p>
      <w:pPr>
        <w:kinsoku w:val="0"/>
        <w:overflowPunct w:val="0"/>
        <w:spacing w:line="200" w:lineRule="exact"/>
        <w:rPr>
          <w:rFonts w:hint="eastAsia" w:ascii="宋体" w:hAnsi="宋体" w:eastAsia="宋体"/>
          <w:color w:val="auto"/>
          <w:highlight w:val="none"/>
        </w:rPr>
      </w:pPr>
    </w:p>
    <w:p>
      <w:pPr>
        <w:tabs>
          <w:tab w:val="left" w:pos="3280"/>
        </w:tabs>
        <w:kinsoku w:val="0"/>
        <w:overflowPunct w:val="0"/>
        <w:spacing w:line="381" w:lineRule="exact"/>
        <w:jc w:val="center"/>
        <w:rPr>
          <w:rFonts w:hint="eastAsia" w:ascii="宋体" w:hAnsi="宋体" w:eastAsia="宋体"/>
          <w:color w:val="auto"/>
          <w:sz w:val="36"/>
          <w:szCs w:val="36"/>
          <w:highlight w:val="none"/>
        </w:rPr>
      </w:pPr>
      <w:r>
        <w:rPr>
          <w:rFonts w:ascii="宋体" w:hAnsi="宋体" w:eastAsia="宋体"/>
          <w:color w:val="auto"/>
          <w:sz w:val="36"/>
          <w:szCs w:val="36"/>
          <w:highlight w:val="none"/>
          <w:u w:val="single"/>
        </w:rPr>
        <w:t>（项目</w:t>
      </w:r>
      <w:r>
        <w:rPr>
          <w:rFonts w:ascii="宋体" w:hAnsi="宋体" w:eastAsia="宋体"/>
          <w:color w:val="auto"/>
          <w:spacing w:val="-3"/>
          <w:sz w:val="36"/>
          <w:szCs w:val="36"/>
          <w:highlight w:val="none"/>
          <w:u w:val="single"/>
        </w:rPr>
        <w:t>名</w:t>
      </w:r>
      <w:r>
        <w:rPr>
          <w:rFonts w:ascii="宋体" w:hAnsi="宋体" w:eastAsia="宋体"/>
          <w:color w:val="auto"/>
          <w:sz w:val="36"/>
          <w:szCs w:val="36"/>
          <w:highlight w:val="none"/>
          <w:u w:val="single"/>
        </w:rPr>
        <w:t>称）</w:t>
      </w:r>
    </w:p>
    <w:p>
      <w:pPr>
        <w:kinsoku w:val="0"/>
        <w:overflowPunct w:val="0"/>
        <w:spacing w:line="200" w:lineRule="exact"/>
        <w:rPr>
          <w:rFonts w:hint="eastAsia" w:ascii="宋体" w:hAnsi="宋体" w:eastAsia="宋体"/>
          <w:color w:val="auto"/>
          <w:sz w:val="36"/>
          <w:szCs w:val="36"/>
          <w:highlight w:val="none"/>
        </w:rPr>
      </w:pPr>
    </w:p>
    <w:p>
      <w:pPr>
        <w:kinsoku w:val="0"/>
        <w:overflowPunct w:val="0"/>
        <w:spacing w:before="7" w:line="260" w:lineRule="exact"/>
        <w:rPr>
          <w:rFonts w:hint="eastAsia" w:ascii="宋体" w:hAnsi="宋体" w:eastAsia="宋体"/>
          <w:color w:val="auto"/>
          <w:sz w:val="36"/>
          <w:szCs w:val="36"/>
          <w:highlight w:val="none"/>
        </w:rPr>
      </w:pPr>
    </w:p>
    <w:p>
      <w:pPr>
        <w:rPr>
          <w:rFonts w:hint="eastAsia" w:ascii="宋体" w:hAnsi="宋体" w:eastAsia="宋体" w:cs="Times New Roman"/>
          <w:color w:val="auto"/>
          <w:szCs w:val="20"/>
          <w:highlight w:val="none"/>
          <w:lang w:val="zh-CN"/>
        </w:rPr>
      </w:pPr>
    </w:p>
    <w:p>
      <w:pPr>
        <w:rPr>
          <w:rFonts w:hint="eastAsia" w:ascii="宋体" w:hAnsi="宋体" w:eastAsia="宋体" w:cs="Times New Roman"/>
          <w:color w:val="auto"/>
          <w:szCs w:val="20"/>
          <w:highlight w:val="none"/>
          <w:lang w:val="zh-CN"/>
        </w:rPr>
      </w:pPr>
    </w:p>
    <w:p>
      <w:pPr>
        <w:kinsoku w:val="0"/>
        <w:overflowPunct w:val="0"/>
        <w:spacing w:line="200" w:lineRule="exact"/>
        <w:rPr>
          <w:rFonts w:hint="eastAsia" w:ascii="宋体" w:hAnsi="宋体" w:eastAsia="宋体"/>
          <w:color w:val="auto"/>
          <w:sz w:val="36"/>
          <w:szCs w:val="36"/>
          <w:highlight w:val="none"/>
        </w:rPr>
      </w:pPr>
    </w:p>
    <w:p>
      <w:pPr>
        <w:kinsoku w:val="0"/>
        <w:overflowPunct w:val="0"/>
        <w:spacing w:before="7" w:line="260" w:lineRule="exact"/>
        <w:rPr>
          <w:rFonts w:hint="eastAsia" w:ascii="宋体" w:hAnsi="宋体" w:eastAsia="宋体"/>
          <w:color w:val="auto"/>
          <w:sz w:val="36"/>
          <w:szCs w:val="36"/>
          <w:highlight w:val="none"/>
        </w:rPr>
      </w:pPr>
    </w:p>
    <w:p>
      <w:pPr>
        <w:rPr>
          <w:rFonts w:hint="eastAsia" w:ascii="宋体" w:hAnsi="宋体" w:eastAsia="宋体" w:cs="Times New Roman"/>
          <w:color w:val="auto"/>
          <w:szCs w:val="20"/>
          <w:highlight w:val="none"/>
          <w:lang w:val="zh-CN"/>
        </w:rPr>
      </w:pPr>
    </w:p>
    <w:p>
      <w:pPr>
        <w:tabs>
          <w:tab w:val="left" w:pos="6200"/>
          <w:tab w:val="left" w:pos="6400"/>
        </w:tabs>
        <w:kinsoku w:val="0"/>
        <w:overflowPunct w:val="0"/>
        <w:autoSpaceDE w:val="0"/>
        <w:autoSpaceDN w:val="0"/>
        <w:ind w:right="66"/>
        <w:jc w:val="center"/>
        <w:rPr>
          <w:rFonts w:hint="eastAsia" w:ascii="宋体" w:hAnsi="宋体" w:eastAsia="宋体"/>
          <w:color w:val="auto"/>
          <w:sz w:val="72"/>
          <w:szCs w:val="72"/>
          <w:highlight w:val="none"/>
        </w:rPr>
      </w:pPr>
      <w:r>
        <w:rPr>
          <w:rFonts w:hint="eastAsia" w:ascii="宋体" w:hAnsi="宋体" w:eastAsia="宋体"/>
          <w:color w:val="auto"/>
          <w:sz w:val="72"/>
          <w:szCs w:val="72"/>
          <w:highlight w:val="none"/>
        </w:rPr>
        <w:t>投</w:t>
      </w:r>
      <w:r>
        <w:rPr>
          <w:rFonts w:ascii="宋体" w:hAnsi="宋体" w:eastAsia="宋体"/>
          <w:color w:val="auto"/>
          <w:spacing w:val="-6"/>
          <w:sz w:val="72"/>
          <w:szCs w:val="72"/>
          <w:highlight w:val="none"/>
        </w:rPr>
        <w:t xml:space="preserve"> </w:t>
      </w:r>
      <w:r>
        <w:rPr>
          <w:rFonts w:hint="eastAsia" w:ascii="宋体" w:hAnsi="宋体" w:eastAsia="宋体"/>
          <w:color w:val="auto"/>
          <w:sz w:val="72"/>
          <w:szCs w:val="72"/>
          <w:highlight w:val="none"/>
        </w:rPr>
        <w:t>标</w:t>
      </w:r>
      <w:r>
        <w:rPr>
          <w:rFonts w:ascii="宋体" w:hAnsi="宋体" w:eastAsia="宋体"/>
          <w:color w:val="auto"/>
          <w:spacing w:val="-6"/>
          <w:sz w:val="72"/>
          <w:szCs w:val="72"/>
          <w:highlight w:val="none"/>
        </w:rPr>
        <w:t xml:space="preserve"> </w:t>
      </w:r>
      <w:r>
        <w:rPr>
          <w:rFonts w:hint="eastAsia" w:ascii="宋体" w:hAnsi="宋体" w:eastAsia="宋体"/>
          <w:color w:val="auto"/>
          <w:sz w:val="72"/>
          <w:szCs w:val="72"/>
          <w:highlight w:val="none"/>
        </w:rPr>
        <w:t>文</w:t>
      </w:r>
      <w:r>
        <w:rPr>
          <w:rFonts w:ascii="宋体" w:hAnsi="宋体" w:eastAsia="宋体"/>
          <w:color w:val="auto"/>
          <w:spacing w:val="-5"/>
          <w:sz w:val="72"/>
          <w:szCs w:val="72"/>
          <w:highlight w:val="none"/>
        </w:rPr>
        <w:t xml:space="preserve"> </w:t>
      </w:r>
      <w:r>
        <w:rPr>
          <w:rFonts w:hint="eastAsia" w:ascii="宋体" w:hAnsi="宋体" w:eastAsia="宋体"/>
          <w:color w:val="auto"/>
          <w:sz w:val="72"/>
          <w:szCs w:val="72"/>
          <w:highlight w:val="none"/>
        </w:rPr>
        <w:t>件</w:t>
      </w:r>
    </w:p>
    <w:p>
      <w:pPr>
        <w:kinsoku w:val="0"/>
        <w:overflowPunct w:val="0"/>
        <w:spacing w:line="539" w:lineRule="exact"/>
        <w:ind w:right="11"/>
        <w:rPr>
          <w:rFonts w:hint="eastAsia" w:ascii="宋体" w:hAnsi="宋体" w:eastAsia="宋体"/>
          <w:color w:val="auto"/>
          <w:sz w:val="36"/>
          <w:szCs w:val="36"/>
          <w:highlight w:val="none"/>
        </w:rPr>
      </w:pPr>
    </w:p>
    <w:p>
      <w:pPr>
        <w:kinsoku w:val="0"/>
        <w:overflowPunct w:val="0"/>
        <w:spacing w:line="539" w:lineRule="exact"/>
        <w:ind w:right="11"/>
        <w:jc w:val="center"/>
        <w:rPr>
          <w:rFonts w:hint="eastAsia" w:ascii="宋体" w:hAnsi="宋体" w:eastAsia="宋体"/>
          <w:color w:val="auto"/>
          <w:sz w:val="36"/>
          <w:szCs w:val="36"/>
          <w:highlight w:val="none"/>
        </w:rPr>
      </w:pPr>
      <w:r>
        <w:rPr>
          <w:rFonts w:hint="eastAsia" w:ascii="宋体" w:hAnsi="宋体" w:eastAsia="宋体"/>
          <w:color w:val="auto"/>
          <w:sz w:val="36"/>
          <w:szCs w:val="36"/>
          <w:highlight w:val="none"/>
        </w:rPr>
        <w:t>商务文件（含资格审查文件）</w:t>
      </w:r>
    </w:p>
    <w:p>
      <w:pPr>
        <w:kinsoku w:val="0"/>
        <w:overflowPunct w:val="0"/>
        <w:spacing w:line="200" w:lineRule="exact"/>
        <w:rPr>
          <w:rFonts w:hint="eastAsia" w:ascii="宋体" w:hAnsi="宋体" w:eastAsia="宋体"/>
          <w:color w:val="auto"/>
          <w:sz w:val="36"/>
          <w:szCs w:val="36"/>
          <w:highlight w:val="none"/>
        </w:rPr>
      </w:pPr>
    </w:p>
    <w:p>
      <w:pPr>
        <w:kinsoku w:val="0"/>
        <w:overflowPunct w:val="0"/>
        <w:spacing w:before="7" w:line="260" w:lineRule="exact"/>
        <w:rPr>
          <w:rFonts w:hint="eastAsia" w:ascii="宋体" w:hAnsi="宋体" w:eastAsia="宋体"/>
          <w:color w:val="auto"/>
          <w:sz w:val="36"/>
          <w:szCs w:val="36"/>
          <w:highlight w:val="none"/>
        </w:rPr>
      </w:pPr>
    </w:p>
    <w:p>
      <w:pPr>
        <w:rPr>
          <w:rFonts w:hint="eastAsia" w:ascii="宋体" w:hAnsi="宋体" w:eastAsia="宋体" w:cs="Times New Roman"/>
          <w:color w:val="auto"/>
          <w:szCs w:val="20"/>
          <w:highlight w:val="none"/>
          <w:lang w:val="zh-CN"/>
        </w:rPr>
      </w:pPr>
    </w:p>
    <w:p>
      <w:pPr>
        <w:kinsoku w:val="0"/>
        <w:overflowPunct w:val="0"/>
        <w:spacing w:line="200" w:lineRule="exact"/>
        <w:rPr>
          <w:rFonts w:hint="eastAsia" w:ascii="宋体" w:hAnsi="宋体" w:eastAsia="宋体"/>
          <w:color w:val="auto"/>
          <w:sz w:val="36"/>
          <w:szCs w:val="36"/>
          <w:highlight w:val="none"/>
        </w:rPr>
      </w:pPr>
    </w:p>
    <w:p>
      <w:pPr>
        <w:kinsoku w:val="0"/>
        <w:overflowPunct w:val="0"/>
        <w:spacing w:before="7" w:line="260" w:lineRule="exact"/>
        <w:rPr>
          <w:rFonts w:hint="eastAsia" w:ascii="宋体" w:hAnsi="宋体" w:eastAsia="宋体"/>
          <w:color w:val="auto"/>
          <w:sz w:val="36"/>
          <w:szCs w:val="36"/>
          <w:highlight w:val="none"/>
        </w:rPr>
      </w:pPr>
    </w:p>
    <w:p>
      <w:pPr>
        <w:rPr>
          <w:rFonts w:hint="eastAsia" w:ascii="宋体" w:hAnsi="宋体" w:eastAsia="宋体" w:cs="Times New Roman"/>
          <w:color w:val="auto"/>
          <w:szCs w:val="20"/>
          <w:highlight w:val="none"/>
          <w:lang w:val="zh-CN"/>
        </w:rPr>
      </w:pPr>
    </w:p>
    <w:p>
      <w:pPr>
        <w:kinsoku w:val="0"/>
        <w:overflowPunct w:val="0"/>
        <w:spacing w:line="200" w:lineRule="exact"/>
        <w:rPr>
          <w:rFonts w:hint="eastAsia" w:ascii="宋体" w:hAnsi="宋体" w:eastAsia="宋体"/>
          <w:color w:val="auto"/>
          <w:sz w:val="44"/>
          <w:szCs w:val="44"/>
          <w:highlight w:val="none"/>
        </w:rPr>
      </w:pPr>
    </w:p>
    <w:p>
      <w:pPr>
        <w:kinsoku w:val="0"/>
        <w:overflowPunct w:val="0"/>
        <w:spacing w:line="200" w:lineRule="exact"/>
        <w:rPr>
          <w:rFonts w:hint="eastAsia" w:ascii="宋体" w:hAnsi="宋体" w:eastAsia="宋体"/>
          <w:color w:val="auto"/>
          <w:highlight w:val="none"/>
        </w:rPr>
      </w:pPr>
    </w:p>
    <w:p>
      <w:pPr>
        <w:kinsoku w:val="0"/>
        <w:overflowPunct w:val="0"/>
        <w:spacing w:line="200" w:lineRule="exact"/>
        <w:rPr>
          <w:rFonts w:hint="eastAsia" w:ascii="宋体" w:hAnsi="宋体" w:eastAsia="宋体"/>
          <w:color w:val="auto"/>
          <w:highlight w:val="none"/>
        </w:rPr>
      </w:pPr>
    </w:p>
    <w:p>
      <w:pPr>
        <w:kinsoku w:val="0"/>
        <w:overflowPunct w:val="0"/>
        <w:spacing w:before="19" w:line="220" w:lineRule="exact"/>
        <w:rPr>
          <w:rFonts w:hint="eastAsia" w:ascii="宋体" w:hAnsi="宋体" w:eastAsia="宋体"/>
          <w:color w:val="auto"/>
          <w:sz w:val="22"/>
          <w:highlight w:val="none"/>
        </w:rPr>
      </w:pPr>
    </w:p>
    <w:p>
      <w:pPr>
        <w:kinsoku w:val="0"/>
        <w:overflowPunct w:val="0"/>
        <w:spacing w:line="360" w:lineRule="auto"/>
        <w:ind w:right="-2"/>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ascii="宋体" w:hAnsi="宋体" w:eastAsia="宋体" w:cs="宋体"/>
          <w:color w:val="auto"/>
          <w:sz w:val="28"/>
          <w:szCs w:val="28"/>
          <w:highlight w:val="none"/>
          <w:u w:val="single"/>
        </w:rPr>
        <w:tab/>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w:t>
      </w:r>
      <w:r>
        <w:rPr>
          <w:rFonts w:hint="eastAsia" w:ascii="宋体" w:hAnsi="宋体" w:eastAsia="宋体" w:cs="宋体"/>
          <w:color w:val="auto"/>
          <w:spacing w:val="-3"/>
          <w:sz w:val="28"/>
          <w:szCs w:val="28"/>
          <w:highlight w:val="none"/>
        </w:rPr>
        <w:t>单</w:t>
      </w:r>
      <w:r>
        <w:rPr>
          <w:rFonts w:hint="eastAsia" w:ascii="宋体" w:hAnsi="宋体" w:eastAsia="宋体" w:cs="宋体"/>
          <w:color w:val="auto"/>
          <w:sz w:val="28"/>
          <w:szCs w:val="28"/>
          <w:highlight w:val="none"/>
        </w:rPr>
        <w:t>位</w:t>
      </w:r>
      <w:r>
        <w:rPr>
          <w:rFonts w:hint="eastAsia" w:ascii="宋体" w:hAnsi="宋体" w:eastAsia="宋体" w:cs="宋体"/>
          <w:color w:val="auto"/>
          <w:spacing w:val="-3"/>
          <w:sz w:val="28"/>
          <w:szCs w:val="28"/>
          <w:highlight w:val="none"/>
        </w:rPr>
        <w:t>章</w:t>
      </w:r>
      <w:r>
        <w:rPr>
          <w:rFonts w:hint="eastAsia" w:ascii="宋体" w:hAnsi="宋体" w:eastAsia="宋体" w:cs="宋体"/>
          <w:color w:val="auto"/>
          <w:sz w:val="28"/>
          <w:szCs w:val="28"/>
          <w:highlight w:val="none"/>
        </w:rPr>
        <w:t>）</w:t>
      </w:r>
    </w:p>
    <w:p>
      <w:pPr>
        <w:kinsoku w:val="0"/>
        <w:overflowPunct w:val="0"/>
        <w:spacing w:line="360" w:lineRule="auto"/>
        <w:ind w:right="-2"/>
        <w:jc w:val="center"/>
        <w:rPr>
          <w:rFonts w:hint="eastAsia" w:ascii="宋体" w:hAnsi="宋体" w:eastAsia="宋体" w:cs="宋体"/>
          <w:color w:val="auto"/>
          <w:sz w:val="28"/>
          <w:szCs w:val="28"/>
          <w:highlight w:val="none"/>
        </w:rPr>
      </w:pPr>
      <w:r>
        <w:rPr>
          <w:rFonts w:ascii="宋体" w:hAnsi="宋体" w:eastAsia="宋体" w:cs="宋体"/>
          <w:color w:val="auto"/>
          <w:spacing w:val="2"/>
          <w:sz w:val="28"/>
          <w:szCs w:val="28"/>
          <w:highlight w:val="none"/>
          <w:u w:val="single"/>
        </w:rPr>
        <w:t xml:space="preserve">   </w:t>
      </w:r>
      <w:r>
        <w:rPr>
          <w:rFonts w:hint="eastAsia" w:ascii="宋体" w:hAnsi="宋体" w:eastAsia="宋体" w:cs="宋体"/>
          <w:color w:val="auto"/>
          <w:spacing w:val="2"/>
          <w:sz w:val="28"/>
          <w:szCs w:val="28"/>
          <w:highlight w:val="none"/>
        </w:rPr>
        <w:t>年</w:t>
      </w:r>
      <w:r>
        <w:rPr>
          <w:rFonts w:ascii="宋体" w:hAnsi="宋体" w:eastAsia="宋体" w:cs="宋体"/>
          <w:color w:val="auto"/>
          <w:spacing w:val="2"/>
          <w:sz w:val="28"/>
          <w:szCs w:val="28"/>
          <w:highlight w:val="none"/>
          <w:u w:val="single"/>
        </w:rPr>
        <w:t xml:space="preserve">   </w:t>
      </w:r>
      <w:r>
        <w:rPr>
          <w:rFonts w:hint="eastAsia" w:ascii="宋体" w:hAnsi="宋体" w:eastAsia="宋体" w:cs="宋体"/>
          <w:color w:val="auto"/>
          <w:spacing w:val="2"/>
          <w:sz w:val="28"/>
          <w:szCs w:val="28"/>
          <w:highlight w:val="none"/>
        </w:rPr>
        <w:t>月</w:t>
      </w:r>
      <w:r>
        <w:rPr>
          <w:rFonts w:ascii="宋体" w:hAnsi="宋体" w:eastAsia="宋体" w:cs="宋体"/>
          <w:color w:val="auto"/>
          <w:spacing w:val="2"/>
          <w:sz w:val="28"/>
          <w:szCs w:val="28"/>
          <w:highlight w:val="none"/>
          <w:u w:val="single"/>
        </w:rPr>
        <w:t xml:space="preserve">   </w:t>
      </w:r>
      <w:r>
        <w:rPr>
          <w:rFonts w:hint="eastAsia" w:ascii="宋体" w:hAnsi="宋体" w:eastAsia="宋体" w:cs="宋体"/>
          <w:color w:val="auto"/>
          <w:sz w:val="28"/>
          <w:szCs w:val="28"/>
          <w:highlight w:val="none"/>
        </w:rPr>
        <w:t>日</w:t>
      </w:r>
    </w:p>
    <w:p>
      <w:pPr>
        <w:widowControl/>
        <w:jc w:val="left"/>
        <w:rPr>
          <w:rFonts w:hint="eastAsia" w:ascii="宋体" w:hAnsi="宋体" w:eastAsia="宋体"/>
          <w:b/>
          <w:bCs/>
          <w:color w:val="auto"/>
          <w:spacing w:val="1"/>
          <w:sz w:val="28"/>
          <w:szCs w:val="32"/>
          <w:highlight w:val="none"/>
          <w:lang w:val="zh-CN"/>
        </w:rPr>
      </w:pPr>
      <w:r>
        <w:rPr>
          <w:rFonts w:ascii="宋体" w:hAnsi="宋体" w:eastAsia="宋体"/>
          <w:color w:val="auto"/>
          <w:highlight w:val="none"/>
        </w:rPr>
        <w:br w:type="page"/>
      </w:r>
    </w:p>
    <w:p>
      <w:pPr>
        <w:pStyle w:val="4"/>
        <w:wordWrap w:val="0"/>
        <w:rPr>
          <w:rFonts w:hint="eastAsia"/>
          <w:color w:val="auto"/>
          <w:highlight w:val="none"/>
        </w:rPr>
      </w:pPr>
      <w:r>
        <w:rPr>
          <w:color w:val="auto"/>
          <w:highlight w:val="none"/>
        </w:rPr>
        <w:t>1.</w:t>
      </w:r>
      <w:bookmarkEnd w:id="236"/>
      <w:bookmarkEnd w:id="237"/>
      <w:bookmarkEnd w:id="238"/>
      <w:r>
        <w:rPr>
          <w:color w:val="auto"/>
          <w:highlight w:val="none"/>
        </w:rPr>
        <w:t xml:space="preserve"> </w:t>
      </w:r>
      <w:r>
        <w:rPr>
          <w:rFonts w:hint="eastAsia"/>
          <w:color w:val="auto"/>
          <w:highlight w:val="none"/>
        </w:rPr>
        <w:t>商务文件（含资格审查文件）包括以下资料：</w:t>
      </w:r>
    </w:p>
    <w:p>
      <w:pPr>
        <w:wordWrap w:val="0"/>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ascii="宋体" w:hAnsi="宋体" w:eastAsia="宋体" w:cs="宋体"/>
          <w:color w:val="auto"/>
          <w:sz w:val="24"/>
          <w:szCs w:val="24"/>
          <w:highlight w:val="none"/>
        </w:rPr>
        <w:t>投标函及投标函附录；</w:t>
      </w:r>
    </w:p>
    <w:p>
      <w:pPr>
        <w:wordWrap w:val="0"/>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ascii="宋体" w:hAnsi="宋体" w:eastAsia="宋体" w:cs="宋体"/>
          <w:color w:val="auto"/>
          <w:sz w:val="24"/>
          <w:szCs w:val="24"/>
          <w:highlight w:val="none"/>
        </w:rPr>
        <w:t>法定代表人身份证明</w:t>
      </w:r>
      <w:r>
        <w:rPr>
          <w:rFonts w:hint="eastAsia" w:ascii="宋体" w:hAnsi="宋体" w:eastAsia="宋体" w:cs="宋体"/>
          <w:color w:val="auto"/>
          <w:sz w:val="24"/>
          <w:szCs w:val="24"/>
          <w:highlight w:val="none"/>
        </w:rPr>
        <w:t>；</w:t>
      </w:r>
    </w:p>
    <w:p>
      <w:pPr>
        <w:wordWrap w:val="0"/>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ascii="宋体" w:hAnsi="宋体" w:eastAsia="宋体" w:cs="宋体"/>
          <w:color w:val="auto"/>
          <w:sz w:val="24"/>
          <w:szCs w:val="24"/>
          <w:highlight w:val="none"/>
        </w:rPr>
        <w:t>授权委托书；</w:t>
      </w:r>
    </w:p>
    <w:p>
      <w:pPr>
        <w:wordWrap w:val="0"/>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ascii="宋体" w:hAnsi="宋体" w:eastAsia="宋体" w:cs="宋体"/>
          <w:color w:val="auto"/>
          <w:sz w:val="24"/>
          <w:szCs w:val="24"/>
          <w:highlight w:val="none"/>
        </w:rPr>
        <w:t>联合体协议书</w:t>
      </w:r>
      <w:r>
        <w:rPr>
          <w:rFonts w:hint="eastAsia" w:ascii="宋体" w:hAnsi="宋体" w:eastAsia="宋体" w:cs="宋体"/>
          <w:color w:val="auto"/>
          <w:sz w:val="24"/>
          <w:szCs w:val="24"/>
          <w:highlight w:val="none"/>
        </w:rPr>
        <w:t>（若有）；</w:t>
      </w:r>
    </w:p>
    <w:p>
      <w:pPr>
        <w:wordWrap w:val="0"/>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rPr>
        <w:t>（若有）</w:t>
      </w:r>
      <w:r>
        <w:rPr>
          <w:rFonts w:ascii="宋体" w:hAnsi="宋体" w:eastAsia="宋体" w:cs="宋体"/>
          <w:color w:val="auto"/>
          <w:sz w:val="24"/>
          <w:szCs w:val="24"/>
          <w:highlight w:val="none"/>
        </w:rPr>
        <w:t>；</w:t>
      </w:r>
    </w:p>
    <w:p>
      <w:pPr>
        <w:wordWrap w:val="0"/>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ascii="宋体" w:hAnsi="宋体" w:eastAsia="宋体" w:cs="宋体"/>
          <w:color w:val="auto"/>
          <w:sz w:val="24"/>
          <w:szCs w:val="24"/>
          <w:highlight w:val="none"/>
        </w:rPr>
        <w:t>勘察设计费报价表；</w:t>
      </w:r>
    </w:p>
    <w:p>
      <w:pPr>
        <w:wordWrap w:val="0"/>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ascii="宋体" w:hAnsi="宋体" w:eastAsia="宋体" w:cs="宋体"/>
          <w:color w:val="auto"/>
          <w:sz w:val="24"/>
          <w:szCs w:val="24"/>
          <w:highlight w:val="none"/>
        </w:rPr>
        <w:t>资格审查资料；</w:t>
      </w:r>
    </w:p>
    <w:p>
      <w:pPr>
        <w:wordWrap w:val="0"/>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ascii="宋体" w:hAnsi="宋体" w:eastAsia="宋体" w:cs="宋体"/>
          <w:color w:val="auto"/>
          <w:sz w:val="24"/>
          <w:szCs w:val="24"/>
          <w:highlight w:val="none"/>
        </w:rPr>
        <w:t>投标人须知前附表规定的其他资料。</w:t>
      </w:r>
    </w:p>
    <w:p>
      <w:pPr>
        <w:widowControl/>
        <w:wordWrap w:val="0"/>
        <w:jc w:val="left"/>
        <w:rPr>
          <w:rFonts w:hint="eastAsia" w:ascii="宋体" w:hAnsi="宋体" w:eastAsia="宋体" w:cs="宋体"/>
          <w:b/>
          <w:bCs/>
          <w:color w:val="auto"/>
          <w:szCs w:val="21"/>
          <w:highlight w:val="none"/>
        </w:rPr>
      </w:pPr>
      <w:r>
        <w:rPr>
          <w:rFonts w:ascii="宋体" w:hAnsi="宋体" w:eastAsia="宋体" w:cs="宋体"/>
          <w:b/>
          <w:bCs/>
          <w:color w:val="auto"/>
          <w:szCs w:val="21"/>
          <w:highlight w:val="none"/>
        </w:rPr>
        <w:br w:type="page"/>
      </w:r>
    </w:p>
    <w:p>
      <w:pPr>
        <w:pStyle w:val="5"/>
        <w:wordWrap w:val="0"/>
        <w:rPr>
          <w:rFonts w:hint="eastAsia"/>
          <w:color w:val="auto"/>
          <w:highlight w:val="none"/>
        </w:rPr>
      </w:pPr>
      <w:bookmarkStart w:id="239" w:name="_Toc111186813"/>
      <w:bookmarkStart w:id="240" w:name="_Toc20296"/>
      <w:bookmarkStart w:id="241" w:name="_Toc16936"/>
      <w:bookmarkStart w:id="242" w:name="_Toc111186812"/>
      <w:r>
        <w:rPr>
          <w:rFonts w:hint="eastAsia"/>
          <w:color w:val="auto"/>
          <w:highlight w:val="none"/>
        </w:rPr>
        <w:t>一</w:t>
      </w:r>
      <w:bookmarkEnd w:id="239"/>
      <w:bookmarkEnd w:id="240"/>
      <w:r>
        <w:rPr>
          <w:rFonts w:hint="eastAsia"/>
          <w:color w:val="auto"/>
          <w:highlight w:val="none"/>
        </w:rPr>
        <w:t>、投标函及投标函附录</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rPr>
        <w:t>（一）投标函</w:t>
      </w:r>
    </w:p>
    <w:p>
      <w:pPr>
        <w:spacing w:line="360" w:lineRule="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olor w:val="auto"/>
          <w:highlight w:val="none"/>
        </w:rPr>
        <w:t xml:space="preserve"> </w:t>
      </w:r>
      <w:r>
        <w:rPr>
          <w:rFonts w:hint="eastAsia" w:ascii="宋体" w:hAnsi="宋体" w:eastAsia="宋体" w:cs="宋体"/>
          <w:color w:val="auto"/>
          <w:sz w:val="24"/>
          <w:szCs w:val="24"/>
          <w:highlight w:val="none"/>
        </w:rPr>
        <w:t>我方已仔细研究了</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招标项目的招标文件、合同条件、招标人要求、资料表、附件、补充文件和技术规范等文件，愿意以人民币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大写</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 xml:space="preserve"> 的投标总报价，按合同约定完成勘察设计工作。我方项目负责人是</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2.我方的投标文件包括下列内容：</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(1)投标函及投标函附录；</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(2)法定代表人身份证明或附有法定代表人身份证明的授权委托书；</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(3)联合体协议书(如有)；</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(4)投标保证金(如有)；</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(5)勘察设计费报价表；</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(6)资格审查资料；</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(7)勘察设计方案；</w:t>
      </w:r>
    </w:p>
    <w:p>
      <w:pPr>
        <w:wordWrap w:val="0"/>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3.我方承诺在招标文件规定的投标有效期内不撤销投标文件。</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4.如我方中标，我方承诺：</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(1)在收到中标通知书后，在中标通知书规定的期限内与你方签订合同；</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(2)在签订合同时不向你方提出附加条件；</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(3)按照招标文件要求提交履约保证金；</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(4)在合同约定的期限内完成合同规定的全部义务。</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5.我方在此声明， 所递交的投标文件及有关资料内容完整、真实和准确， 且不存在第二章</w:t>
      </w:r>
      <w:r>
        <w:rPr>
          <w:rFonts w:hint="eastAsia" w:ascii="宋体" w:hAnsi="宋体" w:eastAsia="宋体" w:cs="宋体"/>
          <w:color w:val="auto"/>
          <w:sz w:val="24"/>
          <w:szCs w:val="24"/>
          <w:highlight w:val="none"/>
        </w:rPr>
        <w:t>“投标人须知”第</w:t>
      </w:r>
      <w:r>
        <w:rPr>
          <w:rFonts w:ascii="宋体" w:hAnsi="宋体" w:eastAsia="宋体" w:cs="宋体"/>
          <w:color w:val="auto"/>
          <w:sz w:val="24"/>
          <w:szCs w:val="24"/>
          <w:highlight w:val="none"/>
        </w:rPr>
        <w:t>1.4.3项规定的任何一种情形。</w:t>
      </w:r>
    </w:p>
    <w:p>
      <w:pPr>
        <w:wordWrap w:val="0"/>
        <w:spacing w:line="360" w:lineRule="auto"/>
        <w:ind w:firstLine="566"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(其他补充说明)。</w:t>
      </w:r>
    </w:p>
    <w:p>
      <w:pPr>
        <w:wordWrap w:val="0"/>
        <w:spacing w:line="360" w:lineRule="auto"/>
        <w:rPr>
          <w:rFonts w:hint="eastAsia" w:ascii="宋体" w:hAnsi="宋体" w:eastAsia="宋体" w:cs="宋体"/>
          <w:color w:val="auto"/>
          <w:sz w:val="24"/>
          <w:szCs w:val="24"/>
          <w:highlight w:val="none"/>
        </w:rPr>
      </w:pPr>
    </w:p>
    <w:p>
      <w:pPr>
        <w:widowControl/>
        <w:kinsoku w:val="0"/>
        <w:autoSpaceDE w:val="0"/>
        <w:autoSpaceDN w:val="0"/>
        <w:adjustRightInd w:val="0"/>
        <w:snapToGrid w:val="0"/>
        <w:spacing w:line="360" w:lineRule="auto"/>
        <w:ind w:left="2551" w:leftChars="1215" w:right="253" w:firstLine="1"/>
        <w:jc w:val="left"/>
        <w:textAlignment w:val="baseline"/>
        <w:rPr>
          <w:rFonts w:hint="eastAsia" w:ascii="宋体" w:hAnsi="宋体" w:eastAsia="宋体" w:cs="宋体"/>
          <w:snapToGrid w:val="0"/>
          <w:color w:val="auto"/>
          <w:kern w:val="0"/>
          <w:szCs w:val="21"/>
          <w:highlight w:val="none"/>
        </w:rPr>
      </w:pPr>
      <w:r>
        <w:rPr>
          <w:rFonts w:ascii="宋体" w:hAnsi="宋体" w:eastAsia="宋体" w:cs="宋体"/>
          <w:snapToGrid w:val="0"/>
          <w:color w:val="auto"/>
          <w:spacing w:val="-4"/>
          <w:kern w:val="0"/>
          <w:szCs w:val="21"/>
          <w:highlight w:val="none"/>
        </w:rPr>
        <w:t>投 标 人：</w:t>
      </w:r>
      <w:r>
        <w:rPr>
          <w:rFonts w:ascii="宋体" w:hAnsi="宋体" w:eastAsia="宋体" w:cs="宋体"/>
          <w:snapToGrid w:val="0"/>
          <w:color w:val="auto"/>
          <w:spacing w:val="-4"/>
          <w:kern w:val="0"/>
          <w:szCs w:val="21"/>
          <w:highlight w:val="none"/>
          <w:u w:val="single"/>
        </w:rPr>
        <w:t xml:space="preserve">           </w:t>
      </w:r>
      <w:r>
        <w:rPr>
          <w:rFonts w:ascii="宋体" w:hAnsi="宋体" w:eastAsia="宋体" w:cs="宋体"/>
          <w:snapToGrid w:val="0"/>
          <w:color w:val="auto"/>
          <w:spacing w:val="-2"/>
          <w:kern w:val="0"/>
          <w:szCs w:val="21"/>
          <w:highlight w:val="none"/>
          <w:u w:val="single"/>
        </w:rPr>
        <w:t xml:space="preserve">                         </w:t>
      </w:r>
      <w:r>
        <w:rPr>
          <w:rFonts w:ascii="宋体" w:hAnsi="宋体" w:eastAsia="宋体" w:cs="宋体"/>
          <w:snapToGrid w:val="0"/>
          <w:color w:val="auto"/>
          <w:spacing w:val="-2"/>
          <w:kern w:val="0"/>
          <w:szCs w:val="21"/>
          <w:highlight w:val="none"/>
        </w:rPr>
        <w:t>(盖单位章)</w:t>
      </w:r>
      <w:r>
        <w:rPr>
          <w:rFonts w:ascii="宋体" w:hAnsi="宋体" w:eastAsia="宋体" w:cs="宋体"/>
          <w:snapToGrid w:val="0"/>
          <w:color w:val="auto"/>
          <w:kern w:val="0"/>
          <w:szCs w:val="21"/>
          <w:highlight w:val="none"/>
        </w:rPr>
        <w:t xml:space="preserve"> </w:t>
      </w:r>
    </w:p>
    <w:p>
      <w:pPr>
        <w:widowControl/>
        <w:kinsoku w:val="0"/>
        <w:autoSpaceDE w:val="0"/>
        <w:autoSpaceDN w:val="0"/>
        <w:adjustRightInd w:val="0"/>
        <w:snapToGrid w:val="0"/>
        <w:spacing w:line="360" w:lineRule="auto"/>
        <w:ind w:left="2551" w:leftChars="1215" w:right="253" w:firstLine="1"/>
        <w:jc w:val="left"/>
        <w:textAlignment w:val="baseline"/>
        <w:rPr>
          <w:rFonts w:hint="eastAsia" w:ascii="宋体" w:hAnsi="宋体" w:eastAsia="宋体" w:cs="宋体"/>
          <w:snapToGrid w:val="0"/>
          <w:color w:val="auto"/>
          <w:spacing w:val="-4"/>
          <w:kern w:val="0"/>
          <w:szCs w:val="21"/>
          <w:highlight w:val="none"/>
        </w:rPr>
      </w:pPr>
      <w:r>
        <w:rPr>
          <w:rFonts w:ascii="宋体" w:hAnsi="宋体" w:eastAsia="宋体" w:cs="宋体"/>
          <w:snapToGrid w:val="0"/>
          <w:color w:val="auto"/>
          <w:spacing w:val="-8"/>
          <w:kern w:val="0"/>
          <w:szCs w:val="21"/>
          <w:highlight w:val="none"/>
        </w:rPr>
        <w:t>法定</w:t>
      </w:r>
      <w:r>
        <w:rPr>
          <w:rFonts w:ascii="宋体" w:hAnsi="宋体" w:eastAsia="宋体" w:cs="宋体"/>
          <w:snapToGrid w:val="0"/>
          <w:color w:val="auto"/>
          <w:spacing w:val="-4"/>
          <w:kern w:val="0"/>
          <w:szCs w:val="21"/>
          <w:highlight w:val="none"/>
        </w:rPr>
        <w:t>代表人</w:t>
      </w:r>
      <w:r>
        <w:rPr>
          <w:rFonts w:hint="eastAsia" w:ascii="宋体" w:hAnsi="宋体" w:eastAsia="宋体" w:cs="宋体"/>
          <w:snapToGrid w:val="0"/>
          <w:color w:val="auto"/>
          <w:spacing w:val="-4"/>
          <w:kern w:val="0"/>
          <w:szCs w:val="21"/>
          <w:highlight w:val="none"/>
        </w:rPr>
        <w:t>：</w:t>
      </w:r>
      <w:r>
        <w:rPr>
          <w:rFonts w:ascii="宋体" w:hAnsi="宋体" w:eastAsia="宋体" w:cs="宋体"/>
          <w:snapToGrid w:val="0"/>
          <w:color w:val="auto"/>
          <w:spacing w:val="-4"/>
          <w:kern w:val="0"/>
          <w:szCs w:val="21"/>
          <w:highlight w:val="none"/>
          <w:u w:val="single"/>
        </w:rPr>
        <w:t xml:space="preserve">            </w:t>
      </w:r>
      <w:r>
        <w:rPr>
          <w:rFonts w:ascii="宋体" w:hAnsi="宋体" w:eastAsia="宋体" w:cs="宋体"/>
          <w:snapToGrid w:val="0"/>
          <w:color w:val="auto"/>
          <w:spacing w:val="-4"/>
          <w:kern w:val="0"/>
          <w:szCs w:val="21"/>
          <w:highlight w:val="none"/>
        </w:rPr>
        <w:t>(签字</w:t>
      </w:r>
      <w:r>
        <w:rPr>
          <w:rFonts w:hint="eastAsia" w:ascii="宋体" w:hAnsi="宋体" w:eastAsia="宋体" w:cs="宋体"/>
          <w:snapToGrid w:val="0"/>
          <w:color w:val="auto"/>
          <w:spacing w:val="-4"/>
          <w:kern w:val="0"/>
          <w:szCs w:val="21"/>
          <w:highlight w:val="none"/>
        </w:rPr>
        <w:t>或盖章</w:t>
      </w:r>
      <w:r>
        <w:rPr>
          <w:rFonts w:ascii="宋体" w:hAnsi="宋体" w:eastAsia="宋体" w:cs="宋体"/>
          <w:snapToGrid w:val="0"/>
          <w:color w:val="auto"/>
          <w:spacing w:val="-4"/>
          <w:kern w:val="0"/>
          <w:szCs w:val="21"/>
          <w:highlight w:val="none"/>
        </w:rPr>
        <w:t>)</w:t>
      </w:r>
    </w:p>
    <w:p>
      <w:pPr>
        <w:widowControl/>
        <w:kinsoku w:val="0"/>
        <w:autoSpaceDE w:val="0"/>
        <w:autoSpaceDN w:val="0"/>
        <w:adjustRightInd w:val="0"/>
        <w:snapToGrid w:val="0"/>
        <w:spacing w:line="360" w:lineRule="auto"/>
        <w:ind w:left="2551" w:leftChars="1215" w:right="253" w:firstLine="1"/>
        <w:jc w:val="left"/>
        <w:textAlignment w:val="baseline"/>
        <w:rPr>
          <w:rFonts w:hint="eastAsia" w:ascii="宋体" w:hAnsi="宋体" w:eastAsia="宋体" w:cs="宋体"/>
          <w:snapToGrid w:val="0"/>
          <w:color w:val="auto"/>
          <w:spacing w:val="-4"/>
          <w:kern w:val="0"/>
          <w:szCs w:val="21"/>
          <w:highlight w:val="none"/>
        </w:rPr>
      </w:pPr>
      <w:r>
        <w:rPr>
          <w:rFonts w:ascii="宋体" w:hAnsi="宋体" w:eastAsia="宋体" w:cs="宋体"/>
          <w:snapToGrid w:val="0"/>
          <w:color w:val="auto"/>
          <w:spacing w:val="-4"/>
          <w:kern w:val="0"/>
          <w:szCs w:val="21"/>
          <w:highlight w:val="none"/>
        </w:rPr>
        <w:t>委托代理人：</w:t>
      </w:r>
      <w:r>
        <w:rPr>
          <w:rFonts w:ascii="宋体" w:hAnsi="宋体" w:eastAsia="宋体" w:cs="宋体"/>
          <w:snapToGrid w:val="0"/>
          <w:color w:val="auto"/>
          <w:spacing w:val="-4"/>
          <w:kern w:val="0"/>
          <w:szCs w:val="21"/>
          <w:highlight w:val="none"/>
          <w:u w:val="single"/>
        </w:rPr>
        <w:t xml:space="preserve">            </w:t>
      </w:r>
      <w:r>
        <w:rPr>
          <w:rFonts w:ascii="宋体" w:hAnsi="宋体" w:eastAsia="宋体" w:cs="宋体"/>
          <w:snapToGrid w:val="0"/>
          <w:color w:val="auto"/>
          <w:spacing w:val="-4"/>
          <w:kern w:val="0"/>
          <w:szCs w:val="21"/>
          <w:highlight w:val="none"/>
        </w:rPr>
        <w:t>(签字)</w:t>
      </w:r>
    </w:p>
    <w:p>
      <w:pPr>
        <w:widowControl/>
        <w:kinsoku w:val="0"/>
        <w:autoSpaceDE w:val="0"/>
        <w:autoSpaceDN w:val="0"/>
        <w:adjustRightInd w:val="0"/>
        <w:snapToGrid w:val="0"/>
        <w:spacing w:line="360" w:lineRule="auto"/>
        <w:ind w:left="2551" w:leftChars="1215" w:firstLine="1"/>
        <w:jc w:val="left"/>
        <w:textAlignment w:val="baseline"/>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项目负责人：</w:t>
      </w:r>
      <w:r>
        <w:rPr>
          <w:rFonts w:ascii="宋体" w:hAnsi="宋体" w:eastAsia="宋体" w:cs="宋体"/>
          <w:b/>
          <w:snapToGrid w:val="0"/>
          <w:color w:val="auto"/>
          <w:spacing w:val="-4"/>
          <w:kern w:val="0"/>
          <w:szCs w:val="21"/>
          <w:highlight w:val="none"/>
          <w:u w:val="single"/>
        </w:rPr>
        <w:t xml:space="preserve">            </w:t>
      </w:r>
      <w:r>
        <w:rPr>
          <w:rFonts w:ascii="宋体" w:hAnsi="宋体" w:eastAsia="宋体" w:cs="宋体"/>
          <w:bCs/>
          <w:snapToGrid w:val="0"/>
          <w:color w:val="auto"/>
          <w:spacing w:val="-4"/>
          <w:kern w:val="0"/>
          <w:szCs w:val="21"/>
          <w:highlight w:val="none"/>
        </w:rPr>
        <w:t>(签字)</w:t>
      </w:r>
    </w:p>
    <w:p>
      <w:pPr>
        <w:widowControl/>
        <w:kinsoku w:val="0"/>
        <w:autoSpaceDE w:val="0"/>
        <w:autoSpaceDN w:val="0"/>
        <w:adjustRightInd w:val="0"/>
        <w:snapToGrid w:val="0"/>
        <w:spacing w:line="360" w:lineRule="auto"/>
        <w:ind w:left="2551" w:leftChars="1215" w:right="239" w:firstLine="1"/>
        <w:jc w:val="left"/>
        <w:textAlignment w:val="baseline"/>
        <w:rPr>
          <w:rFonts w:hint="eastAsia" w:ascii="宋体" w:hAnsi="宋体" w:eastAsia="宋体" w:cs="宋体"/>
          <w:snapToGrid w:val="0"/>
          <w:color w:val="auto"/>
          <w:kern w:val="0"/>
          <w:szCs w:val="21"/>
          <w:highlight w:val="none"/>
        </w:rPr>
      </w:pPr>
      <w:r>
        <w:rPr>
          <w:rFonts w:ascii="宋体" w:hAnsi="宋体" w:eastAsia="宋体" w:cs="宋体"/>
          <w:snapToGrid w:val="0"/>
          <w:color w:val="auto"/>
          <w:spacing w:val="-4"/>
          <w:kern w:val="0"/>
          <w:szCs w:val="21"/>
          <w:highlight w:val="none"/>
        </w:rPr>
        <w:t xml:space="preserve">地  </w:t>
      </w:r>
      <w:r>
        <w:rPr>
          <w:rFonts w:ascii="宋体" w:hAnsi="宋体" w:eastAsia="宋体" w:cs="宋体"/>
          <w:snapToGrid w:val="0"/>
          <w:color w:val="auto"/>
          <w:spacing w:val="-2"/>
          <w:kern w:val="0"/>
          <w:szCs w:val="21"/>
          <w:highlight w:val="none"/>
        </w:rPr>
        <w:t xml:space="preserve">  址：</w:t>
      </w:r>
      <w:r>
        <w:rPr>
          <w:rFonts w:ascii="宋体" w:hAnsi="宋体" w:eastAsia="宋体" w:cs="宋体"/>
          <w:snapToGrid w:val="0"/>
          <w:color w:val="auto"/>
          <w:spacing w:val="-2"/>
          <w:kern w:val="0"/>
          <w:szCs w:val="21"/>
          <w:highlight w:val="none"/>
          <w:u w:val="single"/>
        </w:rPr>
        <w:t xml:space="preserve">                                               </w:t>
      </w:r>
      <w:r>
        <w:rPr>
          <w:rFonts w:ascii="宋体" w:hAnsi="宋体" w:eastAsia="宋体" w:cs="宋体"/>
          <w:snapToGrid w:val="0"/>
          <w:color w:val="auto"/>
          <w:kern w:val="0"/>
          <w:szCs w:val="21"/>
          <w:highlight w:val="none"/>
        </w:rPr>
        <w:t xml:space="preserve"> </w:t>
      </w:r>
    </w:p>
    <w:p>
      <w:pPr>
        <w:widowControl/>
        <w:kinsoku w:val="0"/>
        <w:autoSpaceDE w:val="0"/>
        <w:autoSpaceDN w:val="0"/>
        <w:adjustRightInd w:val="0"/>
        <w:snapToGrid w:val="0"/>
        <w:spacing w:line="360" w:lineRule="auto"/>
        <w:ind w:left="2551" w:leftChars="1215" w:right="239" w:firstLine="1"/>
        <w:jc w:val="left"/>
        <w:textAlignment w:val="baseline"/>
        <w:rPr>
          <w:rFonts w:hint="eastAsia" w:ascii="宋体" w:hAnsi="宋体" w:eastAsia="宋体" w:cs="宋体"/>
          <w:snapToGrid w:val="0"/>
          <w:color w:val="auto"/>
          <w:kern w:val="0"/>
          <w:szCs w:val="21"/>
          <w:highlight w:val="none"/>
        </w:rPr>
      </w:pPr>
      <w:r>
        <w:rPr>
          <w:rFonts w:ascii="宋体" w:hAnsi="宋体" w:eastAsia="宋体" w:cs="宋体"/>
          <w:snapToGrid w:val="0"/>
          <w:color w:val="auto"/>
          <w:spacing w:val="-4"/>
          <w:kern w:val="0"/>
          <w:szCs w:val="21"/>
          <w:highlight w:val="none"/>
        </w:rPr>
        <w:t xml:space="preserve">网 </w:t>
      </w:r>
      <w:r>
        <w:rPr>
          <w:rFonts w:ascii="宋体" w:hAnsi="宋体" w:eastAsia="宋体" w:cs="宋体"/>
          <w:snapToGrid w:val="0"/>
          <w:color w:val="auto"/>
          <w:spacing w:val="-2"/>
          <w:kern w:val="0"/>
          <w:szCs w:val="21"/>
          <w:highlight w:val="none"/>
        </w:rPr>
        <w:t xml:space="preserve">   址：</w:t>
      </w:r>
      <w:r>
        <w:rPr>
          <w:rFonts w:ascii="宋体" w:hAnsi="宋体" w:eastAsia="宋体" w:cs="宋体"/>
          <w:snapToGrid w:val="0"/>
          <w:color w:val="auto"/>
          <w:spacing w:val="-2"/>
          <w:kern w:val="0"/>
          <w:szCs w:val="21"/>
          <w:highlight w:val="none"/>
          <w:u w:val="single"/>
        </w:rPr>
        <w:t xml:space="preserve">                                               </w:t>
      </w:r>
      <w:r>
        <w:rPr>
          <w:rFonts w:ascii="宋体" w:hAnsi="宋体" w:eastAsia="宋体" w:cs="宋体"/>
          <w:snapToGrid w:val="0"/>
          <w:color w:val="auto"/>
          <w:kern w:val="0"/>
          <w:szCs w:val="21"/>
          <w:highlight w:val="none"/>
        </w:rPr>
        <w:t xml:space="preserve"> </w:t>
      </w:r>
    </w:p>
    <w:p>
      <w:pPr>
        <w:widowControl/>
        <w:kinsoku w:val="0"/>
        <w:autoSpaceDE w:val="0"/>
        <w:autoSpaceDN w:val="0"/>
        <w:adjustRightInd w:val="0"/>
        <w:snapToGrid w:val="0"/>
        <w:spacing w:line="360" w:lineRule="auto"/>
        <w:ind w:left="2551" w:leftChars="1215" w:right="239" w:firstLine="1"/>
        <w:jc w:val="left"/>
        <w:textAlignment w:val="baseline"/>
        <w:rPr>
          <w:rFonts w:hint="eastAsia" w:ascii="宋体" w:hAnsi="宋体" w:eastAsia="宋体" w:cs="宋体"/>
          <w:snapToGrid w:val="0"/>
          <w:color w:val="auto"/>
          <w:kern w:val="0"/>
          <w:szCs w:val="21"/>
          <w:highlight w:val="none"/>
        </w:rPr>
      </w:pPr>
      <w:r>
        <w:rPr>
          <w:rFonts w:ascii="宋体" w:hAnsi="宋体" w:eastAsia="宋体" w:cs="宋体"/>
          <w:snapToGrid w:val="0"/>
          <w:color w:val="auto"/>
          <w:spacing w:val="-4"/>
          <w:kern w:val="0"/>
          <w:szCs w:val="21"/>
          <w:highlight w:val="none"/>
        </w:rPr>
        <w:t xml:space="preserve">电 </w:t>
      </w:r>
      <w:r>
        <w:rPr>
          <w:rFonts w:ascii="宋体" w:hAnsi="宋体" w:eastAsia="宋体" w:cs="宋体"/>
          <w:snapToGrid w:val="0"/>
          <w:color w:val="auto"/>
          <w:spacing w:val="-2"/>
          <w:kern w:val="0"/>
          <w:szCs w:val="21"/>
          <w:highlight w:val="none"/>
        </w:rPr>
        <w:t xml:space="preserve">   话：</w:t>
      </w:r>
      <w:r>
        <w:rPr>
          <w:rFonts w:ascii="宋体" w:hAnsi="宋体" w:eastAsia="宋体" w:cs="宋体"/>
          <w:snapToGrid w:val="0"/>
          <w:color w:val="auto"/>
          <w:spacing w:val="-2"/>
          <w:kern w:val="0"/>
          <w:szCs w:val="21"/>
          <w:highlight w:val="none"/>
          <w:u w:val="single"/>
        </w:rPr>
        <w:t xml:space="preserve">                                               </w:t>
      </w:r>
      <w:r>
        <w:rPr>
          <w:rFonts w:ascii="宋体" w:hAnsi="宋体" w:eastAsia="宋体" w:cs="宋体"/>
          <w:snapToGrid w:val="0"/>
          <w:color w:val="auto"/>
          <w:kern w:val="0"/>
          <w:szCs w:val="21"/>
          <w:highlight w:val="none"/>
        </w:rPr>
        <w:t xml:space="preserve"> </w:t>
      </w:r>
    </w:p>
    <w:p>
      <w:pPr>
        <w:widowControl/>
        <w:kinsoku w:val="0"/>
        <w:autoSpaceDE w:val="0"/>
        <w:autoSpaceDN w:val="0"/>
        <w:adjustRightInd w:val="0"/>
        <w:snapToGrid w:val="0"/>
        <w:spacing w:line="360" w:lineRule="auto"/>
        <w:ind w:left="2551" w:leftChars="1215" w:right="239" w:firstLine="1"/>
        <w:jc w:val="left"/>
        <w:textAlignment w:val="baseline"/>
        <w:rPr>
          <w:rFonts w:hint="eastAsia" w:ascii="宋体" w:hAnsi="宋体" w:eastAsia="宋体" w:cs="宋体"/>
          <w:snapToGrid w:val="0"/>
          <w:color w:val="auto"/>
          <w:kern w:val="0"/>
          <w:szCs w:val="21"/>
          <w:highlight w:val="none"/>
        </w:rPr>
      </w:pPr>
      <w:r>
        <w:rPr>
          <w:rFonts w:ascii="宋体" w:hAnsi="宋体" w:eastAsia="宋体" w:cs="宋体"/>
          <w:snapToGrid w:val="0"/>
          <w:color w:val="auto"/>
          <w:spacing w:val="-4"/>
          <w:kern w:val="0"/>
          <w:szCs w:val="21"/>
          <w:highlight w:val="none"/>
        </w:rPr>
        <w:t xml:space="preserve">传 </w:t>
      </w:r>
      <w:r>
        <w:rPr>
          <w:rFonts w:ascii="宋体" w:hAnsi="宋体" w:eastAsia="宋体" w:cs="宋体"/>
          <w:snapToGrid w:val="0"/>
          <w:color w:val="auto"/>
          <w:spacing w:val="-2"/>
          <w:kern w:val="0"/>
          <w:szCs w:val="21"/>
          <w:highlight w:val="none"/>
        </w:rPr>
        <w:t xml:space="preserve">   真：</w:t>
      </w:r>
      <w:r>
        <w:rPr>
          <w:rFonts w:ascii="宋体" w:hAnsi="宋体" w:eastAsia="宋体" w:cs="宋体"/>
          <w:snapToGrid w:val="0"/>
          <w:color w:val="auto"/>
          <w:spacing w:val="-2"/>
          <w:kern w:val="0"/>
          <w:szCs w:val="21"/>
          <w:highlight w:val="none"/>
          <w:u w:val="single"/>
        </w:rPr>
        <w:t xml:space="preserve">                                               </w:t>
      </w:r>
      <w:r>
        <w:rPr>
          <w:rFonts w:ascii="宋体" w:hAnsi="宋体" w:eastAsia="宋体" w:cs="宋体"/>
          <w:snapToGrid w:val="0"/>
          <w:color w:val="auto"/>
          <w:kern w:val="0"/>
          <w:szCs w:val="21"/>
          <w:highlight w:val="none"/>
        </w:rPr>
        <w:t xml:space="preserve"> </w:t>
      </w:r>
    </w:p>
    <w:p>
      <w:pPr>
        <w:widowControl/>
        <w:kinsoku w:val="0"/>
        <w:autoSpaceDE w:val="0"/>
        <w:autoSpaceDN w:val="0"/>
        <w:adjustRightInd w:val="0"/>
        <w:snapToGrid w:val="0"/>
        <w:spacing w:line="360" w:lineRule="auto"/>
        <w:ind w:left="2551" w:leftChars="1215" w:right="239" w:firstLine="1"/>
        <w:jc w:val="left"/>
        <w:textAlignment w:val="baseline"/>
        <w:rPr>
          <w:rFonts w:hint="eastAsia" w:ascii="宋体" w:hAnsi="宋体" w:eastAsia="宋体"/>
          <w:color w:val="auto"/>
          <w:highlight w:val="none"/>
        </w:rPr>
      </w:pPr>
      <w:r>
        <w:rPr>
          <w:rFonts w:ascii="宋体" w:hAnsi="宋体" w:eastAsia="宋体" w:cs="宋体"/>
          <w:snapToGrid w:val="0"/>
          <w:color w:val="auto"/>
          <w:spacing w:val="-4"/>
          <w:kern w:val="0"/>
          <w:szCs w:val="21"/>
          <w:highlight w:val="none"/>
        </w:rPr>
        <w:t>邮政编码：</w:t>
      </w:r>
      <w:r>
        <w:rPr>
          <w:rFonts w:ascii="宋体" w:hAnsi="宋体" w:eastAsia="宋体" w:cs="宋体"/>
          <w:snapToGrid w:val="0"/>
          <w:color w:val="auto"/>
          <w:spacing w:val="-2"/>
          <w:kern w:val="0"/>
          <w:szCs w:val="21"/>
          <w:highlight w:val="none"/>
          <w:u w:val="single"/>
        </w:rPr>
        <w:t xml:space="preserve">                                               </w:t>
      </w:r>
      <w:r>
        <w:rPr>
          <w:rFonts w:ascii="宋体" w:hAnsi="宋体" w:eastAsia="宋体" w:cs="宋体"/>
          <w:snapToGrid w:val="0"/>
          <w:color w:val="auto"/>
          <w:kern w:val="0"/>
          <w:szCs w:val="21"/>
          <w:highlight w:val="none"/>
        </w:rPr>
        <w:t xml:space="preserve"> </w:t>
      </w:r>
    </w:p>
    <w:p>
      <w:pPr>
        <w:wordWrap w:val="0"/>
        <w:spacing w:line="360" w:lineRule="auto"/>
        <w:ind w:left="2551" w:leftChars="1215" w:firstLine="1"/>
        <w:jc w:val="right"/>
        <w:rPr>
          <w:rFonts w:hint="eastAsia" w:ascii="宋体" w:hAnsi="宋体" w:eastAsia="宋体" w:cs="宋体"/>
          <w:color w:val="auto"/>
          <w:sz w:val="24"/>
          <w:szCs w:val="24"/>
          <w:highlight w:val="none"/>
        </w:rPr>
      </w:pPr>
      <w:r>
        <w:rPr>
          <w:rFonts w:ascii="宋体" w:hAnsi="宋体" w:eastAsia="宋体" w:cs="宋体"/>
          <w:snapToGrid w:val="0"/>
          <w:color w:val="auto"/>
          <w:kern w:val="0"/>
          <w:szCs w:val="21"/>
          <w:highlight w:val="none"/>
          <w:u w:val="single"/>
        </w:rPr>
        <w:t xml:space="preserve"> </w:t>
      </w:r>
      <w:r>
        <w:rPr>
          <w:rFonts w:ascii="宋体" w:hAnsi="宋体" w:eastAsia="宋体" w:cs="宋体"/>
          <w:snapToGrid w:val="0"/>
          <w:color w:val="auto"/>
          <w:kern w:val="0"/>
          <w:szCs w:val="21"/>
          <w:highlight w:val="none"/>
          <w:u w:val="single"/>
        </w:rPr>
        <w:tab/>
      </w:r>
      <w:r>
        <w:rPr>
          <w:rFonts w:ascii="宋体" w:hAnsi="宋体" w:eastAsia="宋体" w:cs="宋体"/>
          <w:snapToGrid w:val="0"/>
          <w:color w:val="auto"/>
          <w:spacing w:val="-1"/>
          <w:kern w:val="0"/>
          <w:szCs w:val="21"/>
          <w:highlight w:val="none"/>
        </w:rPr>
        <w:t>年</w:t>
      </w:r>
      <w:r>
        <w:rPr>
          <w:rFonts w:ascii="宋体" w:hAnsi="宋体" w:eastAsia="宋体" w:cs="宋体"/>
          <w:snapToGrid w:val="0"/>
          <w:color w:val="auto"/>
          <w:spacing w:val="-1"/>
          <w:kern w:val="0"/>
          <w:szCs w:val="21"/>
          <w:highlight w:val="none"/>
          <w:u w:val="single"/>
        </w:rPr>
        <w:t xml:space="preserve">    </w:t>
      </w:r>
      <w:r>
        <w:rPr>
          <w:rFonts w:ascii="宋体" w:hAnsi="宋体" w:eastAsia="宋体" w:cs="宋体"/>
          <w:snapToGrid w:val="0"/>
          <w:color w:val="auto"/>
          <w:spacing w:val="-1"/>
          <w:kern w:val="0"/>
          <w:szCs w:val="21"/>
          <w:highlight w:val="none"/>
        </w:rPr>
        <w:t>月</w:t>
      </w:r>
      <w:r>
        <w:rPr>
          <w:rFonts w:ascii="宋体" w:hAnsi="宋体" w:eastAsia="宋体" w:cs="宋体"/>
          <w:snapToGrid w:val="0"/>
          <w:color w:val="auto"/>
          <w:spacing w:val="-1"/>
          <w:kern w:val="0"/>
          <w:szCs w:val="21"/>
          <w:highlight w:val="none"/>
          <w:u w:val="single"/>
        </w:rPr>
        <w:t xml:space="preserve">  </w:t>
      </w:r>
      <w:r>
        <w:rPr>
          <w:rFonts w:ascii="宋体" w:hAnsi="宋体" w:eastAsia="宋体" w:cs="宋体"/>
          <w:snapToGrid w:val="0"/>
          <w:color w:val="auto"/>
          <w:kern w:val="0"/>
          <w:szCs w:val="21"/>
          <w:highlight w:val="none"/>
          <w:u w:val="single"/>
        </w:rPr>
        <w:t xml:space="preserve">  </w:t>
      </w:r>
      <w:r>
        <w:rPr>
          <w:rFonts w:ascii="宋体" w:hAnsi="宋体" w:eastAsia="宋体" w:cs="宋体"/>
          <w:snapToGrid w:val="0"/>
          <w:color w:val="auto"/>
          <w:kern w:val="0"/>
          <w:szCs w:val="21"/>
          <w:highlight w:val="none"/>
        </w:rPr>
        <w:t>日</w:t>
      </w:r>
    </w:p>
    <w:p>
      <w:pPr>
        <w:wordWrap w:val="0"/>
        <w:spacing w:line="360" w:lineRule="auto"/>
        <w:ind w:right="1200"/>
        <w:rPr>
          <w:rFonts w:hint="eastAsia" w:ascii="宋体" w:hAnsi="宋体" w:eastAsia="宋体" w:cs="宋体"/>
          <w:b/>
          <w:bCs/>
          <w:color w:val="auto"/>
          <w:sz w:val="24"/>
          <w:szCs w:val="24"/>
          <w:highlight w:val="none"/>
          <w:u w:val="single"/>
        </w:rPr>
      </w:pPr>
    </w:p>
    <w:p>
      <w:pPr>
        <w:wordWrap w:val="0"/>
        <w:spacing w:line="360" w:lineRule="auto"/>
        <w:ind w:right="1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u w:val="single"/>
        </w:rPr>
        <w:t>（注：如联合体投标人，由投标主办方盖章签字即可。）</w:t>
      </w:r>
    </w:p>
    <w:p>
      <w:pPr>
        <w:wordWrap w:val="0"/>
        <w:jc w:val="center"/>
        <w:rPr>
          <w:rFonts w:hint="eastAsia" w:ascii="宋体" w:hAnsi="宋体" w:eastAsia="宋体" w:cs="宋体"/>
          <w:b/>
          <w:color w:val="auto"/>
          <w:sz w:val="28"/>
          <w:szCs w:val="28"/>
          <w:highlight w:val="none"/>
        </w:rPr>
      </w:pPr>
      <w:r>
        <w:rPr>
          <w:rFonts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（二）</w:t>
      </w:r>
      <w:r>
        <w:rPr>
          <w:rFonts w:hint="eastAsia" w:ascii="宋体" w:hAnsi="宋体" w:eastAsia="宋体" w:cs="宋体"/>
          <w:b/>
          <w:color w:val="auto"/>
          <w:sz w:val="28"/>
          <w:szCs w:val="28"/>
          <w:highlight w:val="none"/>
        </w:rPr>
        <w:t>投标函附录</w:t>
      </w:r>
    </w:p>
    <w:p>
      <w:pPr>
        <w:wordWrap w:val="0"/>
        <w:jc w:val="center"/>
        <w:rPr>
          <w:rFonts w:hint="eastAsia" w:ascii="宋体" w:hAnsi="宋体" w:eastAsia="宋体" w:cs="宋体"/>
          <w:b/>
          <w:bCs/>
          <w:color w:val="auto"/>
          <w:sz w:val="32"/>
          <w:szCs w:val="32"/>
          <w:highlight w:val="none"/>
        </w:rPr>
      </w:pPr>
    </w:p>
    <w:tbl>
      <w:tblPr>
        <w:tblStyle w:val="4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68"/>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5387" w:type="dxa"/>
            <w:vAlign w:val="center"/>
          </w:tcPr>
          <w:p>
            <w:pPr>
              <w:spacing w:line="360" w:lineRule="auto"/>
              <w:jc w:val="center"/>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投标总报价（元）</w:t>
            </w:r>
          </w:p>
        </w:tc>
        <w:tc>
          <w:tcPr>
            <w:tcW w:w="5387" w:type="dxa"/>
            <w:vAlign w:val="center"/>
          </w:tcPr>
          <w:p>
            <w:pPr>
              <w:spacing w:line="360" w:lineRule="auto"/>
              <w:jc w:val="center"/>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其中</w:t>
            </w:r>
          </w:p>
        </w:tc>
        <w:tc>
          <w:tcPr>
            <w:tcW w:w="2268" w:type="dxa"/>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勘察费报价（元）</w:t>
            </w:r>
          </w:p>
        </w:tc>
        <w:tc>
          <w:tcPr>
            <w:tcW w:w="5387" w:type="dxa"/>
            <w:vAlign w:val="center"/>
          </w:tcPr>
          <w:p>
            <w:pPr>
              <w:spacing w:line="360" w:lineRule="auto"/>
              <w:jc w:val="center"/>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360" w:lineRule="auto"/>
              <w:jc w:val="center"/>
              <w:rPr>
                <w:rFonts w:hint="eastAsia" w:ascii="宋体" w:hAnsi="宋体" w:eastAsia="宋体" w:cs="Times New Roman"/>
                <w:color w:val="auto"/>
                <w:sz w:val="24"/>
                <w:szCs w:val="24"/>
                <w:highlight w:val="none"/>
              </w:rPr>
            </w:pPr>
          </w:p>
        </w:tc>
        <w:tc>
          <w:tcPr>
            <w:tcW w:w="2268" w:type="dxa"/>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勘察费投标下浮率</w:t>
            </w:r>
          </w:p>
        </w:tc>
        <w:tc>
          <w:tcPr>
            <w:tcW w:w="5387" w:type="dxa"/>
            <w:vAlign w:val="center"/>
          </w:tcPr>
          <w:p>
            <w:pPr>
              <w:spacing w:line="36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360" w:lineRule="auto"/>
              <w:jc w:val="center"/>
              <w:rPr>
                <w:rFonts w:hint="eastAsia" w:ascii="宋体" w:hAnsi="宋体" w:eastAsia="宋体" w:cs="Times New Roman"/>
                <w:color w:val="auto"/>
                <w:sz w:val="24"/>
                <w:szCs w:val="24"/>
                <w:highlight w:val="none"/>
              </w:rPr>
            </w:pPr>
          </w:p>
        </w:tc>
        <w:tc>
          <w:tcPr>
            <w:tcW w:w="2268" w:type="dxa"/>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设计费报价（元）</w:t>
            </w:r>
          </w:p>
        </w:tc>
        <w:tc>
          <w:tcPr>
            <w:tcW w:w="5387" w:type="dxa"/>
            <w:vAlign w:val="center"/>
          </w:tcPr>
          <w:p>
            <w:pPr>
              <w:spacing w:line="360" w:lineRule="auto"/>
              <w:jc w:val="center"/>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line="360" w:lineRule="auto"/>
              <w:jc w:val="center"/>
              <w:rPr>
                <w:rFonts w:hint="eastAsia" w:ascii="宋体" w:hAnsi="宋体" w:eastAsia="宋体" w:cs="Times New Roman"/>
                <w:color w:val="auto"/>
                <w:sz w:val="24"/>
                <w:szCs w:val="24"/>
                <w:highlight w:val="none"/>
              </w:rPr>
            </w:pPr>
          </w:p>
        </w:tc>
        <w:tc>
          <w:tcPr>
            <w:tcW w:w="2268" w:type="dxa"/>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设计费投标下浮率</w:t>
            </w:r>
          </w:p>
        </w:tc>
        <w:tc>
          <w:tcPr>
            <w:tcW w:w="5387" w:type="dxa"/>
            <w:vAlign w:val="center"/>
          </w:tcPr>
          <w:p>
            <w:pPr>
              <w:spacing w:line="36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勘察设计服务期限</w:t>
            </w:r>
          </w:p>
        </w:tc>
        <w:tc>
          <w:tcPr>
            <w:tcW w:w="5387" w:type="dxa"/>
            <w:vAlign w:val="center"/>
          </w:tcPr>
          <w:p>
            <w:pPr>
              <w:spacing w:line="360" w:lineRule="auto"/>
              <w:jc w:val="center"/>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spacing w:line="360" w:lineRule="auto"/>
              <w:jc w:val="center"/>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投标内容</w:t>
            </w:r>
          </w:p>
        </w:tc>
        <w:tc>
          <w:tcPr>
            <w:tcW w:w="5387" w:type="dxa"/>
            <w:vAlign w:val="center"/>
          </w:tcPr>
          <w:p>
            <w:pPr>
              <w:spacing w:line="360" w:lineRule="auto"/>
              <w:jc w:val="center"/>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spacing w:line="360" w:lineRule="auto"/>
              <w:jc w:val="center"/>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质量标准</w:t>
            </w:r>
          </w:p>
        </w:tc>
        <w:tc>
          <w:tcPr>
            <w:tcW w:w="5387" w:type="dxa"/>
            <w:vAlign w:val="center"/>
          </w:tcPr>
          <w:p>
            <w:pPr>
              <w:spacing w:line="360" w:lineRule="auto"/>
              <w:jc w:val="center"/>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spacing w:line="360" w:lineRule="auto"/>
              <w:jc w:val="center"/>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投标有效期</w:t>
            </w:r>
          </w:p>
        </w:tc>
        <w:tc>
          <w:tcPr>
            <w:tcW w:w="5387" w:type="dxa"/>
            <w:vAlign w:val="center"/>
          </w:tcPr>
          <w:p>
            <w:pPr>
              <w:spacing w:line="360" w:lineRule="auto"/>
              <w:jc w:val="center"/>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gridSpan w:val="2"/>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项目负责人</w:t>
            </w:r>
          </w:p>
        </w:tc>
        <w:tc>
          <w:tcPr>
            <w:tcW w:w="5387" w:type="dxa"/>
            <w:vAlign w:val="center"/>
          </w:tcPr>
          <w:p>
            <w:pPr>
              <w:pStyle w:val="162"/>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p>
            <w:pPr>
              <w:spacing w:line="360" w:lineRule="auto"/>
              <w:rPr>
                <w:rFonts w:hint="eastAsia"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证书编号：</w:t>
            </w:r>
          </w:p>
        </w:tc>
      </w:tr>
    </w:tbl>
    <w:p>
      <w:pPr>
        <w:spacing w:line="360" w:lineRule="auto"/>
        <w:rPr>
          <w:rFonts w:hint="eastAsia" w:ascii="宋体" w:hAnsi="宋体" w:eastAsia="宋体"/>
          <w:color w:val="auto"/>
          <w:sz w:val="24"/>
          <w:szCs w:val="24"/>
          <w:highlight w:val="none"/>
        </w:rPr>
      </w:pPr>
    </w:p>
    <w:p>
      <w:pPr>
        <w:wordWrap w:val="0"/>
        <w:spacing w:line="360" w:lineRule="auto"/>
        <w:ind w:firstLine="420"/>
        <w:jc w:val="righ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ind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(签字或盖章)</w:t>
      </w:r>
    </w:p>
    <w:p>
      <w:pPr>
        <w:wordWrap w:val="0"/>
        <w:spacing w:line="360" w:lineRule="auto"/>
        <w:ind w:firstLine="5280" w:firstLineChars="2200"/>
        <w:jc w:val="righ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olor w:val="auto"/>
          <w:sz w:val="24"/>
          <w:szCs w:val="24"/>
          <w:highlight w:val="none"/>
        </w:rPr>
      </w:pPr>
    </w:p>
    <w:p>
      <w:pPr>
        <w:spacing w:line="360" w:lineRule="auto"/>
        <w:rPr>
          <w:rFonts w:hint="eastAsia" w:ascii="宋体" w:hAnsi="宋体" w:eastAsia="宋体"/>
          <w:color w:val="auto"/>
          <w:sz w:val="24"/>
          <w:szCs w:val="24"/>
          <w:highlight w:val="none"/>
          <w:u w:val="single"/>
        </w:rPr>
      </w:pPr>
    </w:p>
    <w:p>
      <w:pPr>
        <w:spacing w:line="360" w:lineRule="auto"/>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说明：</w:t>
      </w:r>
      <w:r>
        <w:rPr>
          <w:rFonts w:hint="eastAsia" w:ascii="宋体" w:hAnsi="宋体" w:eastAsia="宋体"/>
          <w:color w:val="auto"/>
          <w:sz w:val="24"/>
          <w:szCs w:val="24"/>
          <w:highlight w:val="none"/>
          <w:u w:val="single"/>
        </w:rPr>
        <w:t>勘察费投标下浮率</w:t>
      </w:r>
      <w:r>
        <w:rPr>
          <w:rFonts w:ascii="宋体" w:hAnsi="宋体" w:eastAsia="宋体"/>
          <w:color w:val="auto"/>
          <w:sz w:val="24"/>
          <w:szCs w:val="24"/>
          <w:highlight w:val="none"/>
          <w:u w:val="single"/>
        </w:rPr>
        <w:t xml:space="preserve"> =（1-勘察费报价/勘察费最高投标限价）*100%</w:t>
      </w:r>
    </w:p>
    <w:p>
      <w:pPr>
        <w:spacing w:line="360" w:lineRule="auto"/>
        <w:ind w:firstLine="720" w:firstLineChars="3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设计费投标下浮率</w:t>
      </w:r>
      <w:r>
        <w:rPr>
          <w:rFonts w:ascii="宋体" w:hAnsi="宋体" w:eastAsia="宋体"/>
          <w:color w:val="auto"/>
          <w:sz w:val="24"/>
          <w:szCs w:val="24"/>
          <w:highlight w:val="none"/>
          <w:u w:val="single"/>
        </w:rPr>
        <w:t xml:space="preserve"> =（1-设计费报价/设计费最高投标限价）*100%</w:t>
      </w:r>
    </w:p>
    <w:p>
      <w:pPr>
        <w:spacing w:line="360" w:lineRule="auto"/>
        <w:rPr>
          <w:rFonts w:hint="eastAsia" w:ascii="宋体" w:hAnsi="宋体" w:eastAsia="宋体"/>
          <w:color w:val="auto"/>
          <w:sz w:val="24"/>
          <w:szCs w:val="24"/>
          <w:highlight w:val="none"/>
        </w:rPr>
      </w:pPr>
    </w:p>
    <w:p>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（注：如联合体投标人，由投标主办方盖章签字即可。）</w:t>
      </w:r>
    </w:p>
    <w:p>
      <w:pPr>
        <w:pStyle w:val="5"/>
        <w:wordWrap w:val="0"/>
        <w:rPr>
          <w:rFonts w:hint="eastAsia"/>
          <w:color w:val="auto"/>
          <w:highlight w:val="none"/>
        </w:rPr>
      </w:pPr>
      <w:r>
        <w:rPr>
          <w:color w:val="auto"/>
          <w:highlight w:val="none"/>
        </w:rPr>
        <w:br w:type="page"/>
      </w:r>
      <w:r>
        <w:rPr>
          <w:rFonts w:hint="eastAsia"/>
          <w:color w:val="auto"/>
          <w:highlight w:val="none"/>
        </w:rPr>
        <w:t>二、</w:t>
      </w:r>
      <w:bookmarkEnd w:id="241"/>
      <w:bookmarkEnd w:id="242"/>
      <w:r>
        <w:rPr>
          <w:rFonts w:hint="eastAsia"/>
          <w:color w:val="auto"/>
          <w:highlight w:val="none"/>
        </w:rPr>
        <w:t>法定代表人身份证明</w:t>
      </w: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p>
    <w:p>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ascii="宋体" w:hAnsi="宋体" w:eastAsia="宋体" w:cs="宋体"/>
          <w:color w:val="auto"/>
          <w:sz w:val="24"/>
          <w:szCs w:val="24"/>
          <w:highlight w:val="none"/>
          <w:u w:val="single"/>
        </w:rPr>
        <w:t xml:space="preserve">        </w:t>
      </w:r>
    </w:p>
    <w:p>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附：法定代表人身份证正反面扫描件。</w:t>
      </w: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ind w:firstLine="420"/>
        <w:jc w:val="righ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 投标人：</w:t>
      </w:r>
      <w:r>
        <w:rPr>
          <w:rFonts w:ascii="宋体" w:hAnsi="宋体" w:eastAsia="宋体" w:cs="宋体"/>
          <w:color w:val="auto"/>
          <w:sz w:val="24"/>
          <w:szCs w:val="24"/>
          <w:highlight w:val="none"/>
          <w:u w:val="single"/>
        </w:rPr>
        <w:t xml:space="preserve">          </w:t>
      </w:r>
      <w:bookmarkStart w:id="243" w:name="page82"/>
      <w:bookmarkEnd w:id="243"/>
      <w:r>
        <w:rPr>
          <w:rFonts w:hint="eastAsia" w:ascii="宋体" w:hAnsi="宋体" w:eastAsia="宋体" w:cs="宋体"/>
          <w:color w:val="auto"/>
          <w:sz w:val="24"/>
          <w:szCs w:val="24"/>
          <w:highlight w:val="none"/>
        </w:rPr>
        <w:t>（</w:t>
      </w:r>
      <w:bookmarkStart w:id="244" w:name="_Toc14709396"/>
      <w:r>
        <w:rPr>
          <w:rFonts w:hint="eastAsia" w:ascii="宋体" w:hAnsi="宋体" w:eastAsia="宋体" w:cs="宋体"/>
          <w:color w:val="auto"/>
          <w:sz w:val="24"/>
          <w:szCs w:val="24"/>
          <w:highlight w:val="none"/>
        </w:rPr>
        <w:t>盖单位章）</w:t>
      </w:r>
    </w:p>
    <w:bookmarkEnd w:id="244"/>
    <w:p>
      <w:pPr>
        <w:wordWrap w:val="0"/>
        <w:spacing w:line="360" w:lineRule="auto"/>
        <w:ind w:firstLine="5280" w:firstLineChars="2200"/>
        <w:jc w:val="righ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ind w:right="1200"/>
        <w:rPr>
          <w:rFonts w:hint="eastAsia" w:ascii="宋体" w:hAnsi="宋体" w:eastAsia="宋体" w:cs="宋体"/>
          <w:color w:val="auto"/>
          <w:sz w:val="24"/>
          <w:szCs w:val="24"/>
          <w:highlight w:val="none"/>
          <w:lang w:val="zh-CN"/>
        </w:rPr>
      </w:pPr>
      <w:bookmarkStart w:id="245" w:name="_Toc35513541"/>
      <w:r>
        <w:rPr>
          <w:rFonts w:hint="eastAsia" w:ascii="宋体" w:hAnsi="宋体" w:eastAsia="宋体" w:cs="宋体"/>
          <w:b/>
          <w:bCs/>
          <w:color w:val="auto"/>
          <w:sz w:val="24"/>
          <w:szCs w:val="24"/>
          <w:highlight w:val="none"/>
          <w:u w:val="single"/>
        </w:rPr>
        <w:t>（注：如联合体投标人，由投标主办方出具即可。）</w:t>
      </w:r>
    </w:p>
    <w:p>
      <w:pPr>
        <w:wordWrap w:val="0"/>
        <w:spacing w:line="360" w:lineRule="auto"/>
        <w:ind w:firstLine="420"/>
        <w:rPr>
          <w:rFonts w:hint="eastAsia" w:ascii="宋体" w:hAnsi="宋体" w:eastAsia="宋体" w:cs="宋体"/>
          <w:color w:val="auto"/>
          <w:sz w:val="24"/>
          <w:szCs w:val="24"/>
          <w:highlight w:val="none"/>
        </w:rPr>
      </w:pPr>
    </w:p>
    <w:p>
      <w:pPr>
        <w:pStyle w:val="5"/>
        <w:wordWrap w:val="0"/>
        <w:rPr>
          <w:rFonts w:hint="eastAsia" w:cs="宋体"/>
          <w:b w:val="0"/>
          <w:color w:val="auto"/>
          <w:sz w:val="28"/>
          <w:szCs w:val="28"/>
          <w:highlight w:val="none"/>
        </w:rPr>
      </w:pPr>
      <w:r>
        <w:rPr>
          <w:rFonts w:cs="宋体"/>
          <w:b w:val="0"/>
          <w:color w:val="auto"/>
          <w:sz w:val="32"/>
          <w:highlight w:val="none"/>
        </w:rPr>
        <w:br w:type="page"/>
      </w:r>
      <w:bookmarkStart w:id="246" w:name="_Toc82786998"/>
      <w:r>
        <w:rPr>
          <w:rFonts w:hint="eastAsia"/>
          <w:color w:val="auto"/>
          <w:highlight w:val="none"/>
        </w:rPr>
        <w:t>三、授权委托书</w:t>
      </w:r>
      <w:bookmarkEnd w:id="245"/>
      <w:bookmarkEnd w:id="246"/>
    </w:p>
    <w:p>
      <w:pPr>
        <w:wordWrap w:val="0"/>
        <w:spacing w:line="360" w:lineRule="auto"/>
        <w:ind w:firstLine="480"/>
        <w:rPr>
          <w:rFonts w:hint="eastAsia" w:ascii="宋体" w:hAnsi="宋体" w:eastAsia="宋体" w:cs="宋体"/>
          <w:color w:val="auto"/>
          <w:sz w:val="24"/>
          <w:szCs w:val="24"/>
          <w:highlight w:val="none"/>
        </w:rPr>
      </w:pPr>
    </w:p>
    <w:p>
      <w:pPr>
        <w:wordWrap w:val="0"/>
        <w:topLinePunct/>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（姓名）为我方代理人。代理人根据授权，以我方名义签署、澄清确认、递交、撤回、修改</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招标项目投标文件、签订合同和处理有关事宜，其法律后果由我方承担。</w:t>
      </w:r>
    </w:p>
    <w:p>
      <w:pPr>
        <w:wordWrap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ordWrap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代理人无转委托权。代理人为投标人正式职工，必须具有离投标截止时间最近的</w:t>
      </w:r>
      <w:r>
        <w:rPr>
          <w:rFonts w:ascii="宋体" w:hAnsi="宋体" w:eastAsia="宋体" w:cs="宋体"/>
          <w:color w:val="auto"/>
          <w:sz w:val="24"/>
          <w:szCs w:val="24"/>
          <w:highlight w:val="none"/>
        </w:rPr>
        <w:t>1个月</w:t>
      </w:r>
      <w:r>
        <w:rPr>
          <w:rFonts w:ascii="宋体" w:hAnsi="宋体" w:eastAsia="宋体" w:cs="宋体"/>
          <w:color w:val="auto"/>
          <w:sz w:val="24"/>
          <w:szCs w:val="24"/>
          <w:highlight w:val="none"/>
          <w:u w:val="single"/>
        </w:rPr>
        <w:t>（2025年0</w:t>
      </w:r>
      <w:r>
        <w:rPr>
          <w:rFonts w:hint="eastAsia" w:ascii="宋体" w:hAnsi="宋体" w:eastAsia="宋体" w:cs="宋体"/>
          <w:color w:val="auto"/>
          <w:sz w:val="24"/>
          <w:szCs w:val="24"/>
          <w:highlight w:val="none"/>
          <w:u w:val="single"/>
          <w:lang w:val="en-US" w:eastAsia="zh-CN"/>
        </w:rPr>
        <w:t>7</w:t>
      </w:r>
      <w:r>
        <w:rPr>
          <w:rFonts w:ascii="宋体" w:hAnsi="宋体" w:eastAsia="宋体" w:cs="宋体"/>
          <w:color w:val="auto"/>
          <w:sz w:val="24"/>
          <w:szCs w:val="24"/>
          <w:highlight w:val="none"/>
          <w:u w:val="single"/>
        </w:rPr>
        <w:t>月或0</w:t>
      </w:r>
      <w:r>
        <w:rPr>
          <w:rFonts w:hint="eastAsia" w:ascii="宋体" w:hAnsi="宋体" w:eastAsia="宋体" w:cs="宋体"/>
          <w:color w:val="auto"/>
          <w:sz w:val="24"/>
          <w:szCs w:val="24"/>
          <w:highlight w:val="none"/>
          <w:u w:val="single"/>
          <w:lang w:val="en-US" w:eastAsia="zh-CN"/>
        </w:rPr>
        <w:t>8</w:t>
      </w:r>
      <w:r>
        <w:rPr>
          <w:rFonts w:ascii="宋体" w:hAnsi="宋体" w:eastAsia="宋体" w:cs="宋体"/>
          <w:color w:val="auto"/>
          <w:sz w:val="24"/>
          <w:szCs w:val="24"/>
          <w:highlight w:val="none"/>
          <w:u w:val="single"/>
        </w:rPr>
        <w:t>月）</w:t>
      </w:r>
      <w:r>
        <w:rPr>
          <w:rFonts w:ascii="宋体" w:hAnsi="宋体" w:eastAsia="宋体" w:cs="宋体"/>
          <w:color w:val="auto"/>
          <w:sz w:val="24"/>
          <w:szCs w:val="24"/>
          <w:highlight w:val="none"/>
        </w:rPr>
        <w:t>在本单位缴纳的社保证明文件</w:t>
      </w:r>
      <w:r>
        <w:rPr>
          <w:rFonts w:hint="eastAsia" w:ascii="宋体" w:hAnsi="宋体" w:eastAsia="宋体" w:cs="宋体"/>
          <w:color w:val="auto"/>
          <w:sz w:val="24"/>
          <w:szCs w:val="24"/>
          <w:highlight w:val="none"/>
        </w:rPr>
        <w:t>。</w:t>
      </w: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附：委托代理人身份证正反面和社保证明扫描件。</w:t>
      </w: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rPr>
          <w:rFonts w:hint="eastAsia" w:ascii="宋体" w:hAnsi="宋体" w:eastAsia="宋体" w:cs="宋体"/>
          <w:color w:val="auto"/>
          <w:sz w:val="24"/>
          <w:szCs w:val="24"/>
          <w:highlight w:val="none"/>
        </w:rPr>
      </w:pP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标</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360" w:lineRule="auto"/>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wordWrap w:val="0"/>
        <w:spacing w:line="360" w:lineRule="auto"/>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rPr>
        <w:t xml:space="preserve">                        </w:t>
      </w:r>
    </w:p>
    <w:p>
      <w:pPr>
        <w:wordWrap w:val="0"/>
        <w:spacing w:line="360" w:lineRule="auto"/>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wordWrap w:val="0"/>
        <w:spacing w:line="360" w:lineRule="auto"/>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rPr>
        <w:t xml:space="preserve">                        </w:t>
      </w:r>
    </w:p>
    <w:p>
      <w:pPr>
        <w:wordWrap w:val="0"/>
        <w:spacing w:line="360" w:lineRule="auto"/>
        <w:ind w:firstLine="420"/>
        <w:jc w:val="righ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ordWrap w:val="0"/>
        <w:spacing w:line="360" w:lineRule="auto"/>
        <w:ind w:firstLine="480"/>
        <w:rPr>
          <w:rFonts w:hint="eastAsia" w:ascii="宋体" w:hAnsi="宋体" w:eastAsia="宋体" w:cs="宋体"/>
          <w:color w:val="auto"/>
          <w:sz w:val="24"/>
          <w:szCs w:val="24"/>
          <w:highlight w:val="none"/>
        </w:rPr>
      </w:pPr>
    </w:p>
    <w:p>
      <w:pPr>
        <w:wordWrap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（注：如联合体投标人，由投标主办方出具即可。）</w:t>
      </w:r>
    </w:p>
    <w:p>
      <w:pPr>
        <w:pStyle w:val="5"/>
        <w:wordWrap w:val="0"/>
        <w:rPr>
          <w:rFonts w:hint="eastAsia"/>
          <w:color w:val="auto"/>
          <w:highlight w:val="none"/>
        </w:rPr>
      </w:pPr>
      <w:r>
        <w:rPr>
          <w:color w:val="auto"/>
          <w:highlight w:val="none"/>
        </w:rPr>
        <w:br w:type="page"/>
      </w:r>
      <w:bookmarkStart w:id="247" w:name="_Toc17883"/>
      <w:bookmarkStart w:id="248" w:name="_Toc111186814"/>
    </w:p>
    <w:bookmarkEnd w:id="247"/>
    <w:bookmarkEnd w:id="248"/>
    <w:p>
      <w:pPr>
        <w:pStyle w:val="5"/>
        <w:wordWrap w:val="0"/>
        <w:rPr>
          <w:rFonts w:hint="eastAsia"/>
          <w:color w:val="auto"/>
          <w:highlight w:val="none"/>
        </w:rPr>
      </w:pPr>
      <w:r>
        <w:rPr>
          <w:rFonts w:hint="eastAsia"/>
          <w:color w:val="auto"/>
          <w:highlight w:val="none"/>
        </w:rPr>
        <w:t>四、联合体协议书</w:t>
      </w:r>
    </w:p>
    <w:p>
      <w:pPr>
        <w:wordWrap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pPr>
        <w:wordWrap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w:t>
      </w:r>
    </w:p>
    <w:p>
      <w:pPr>
        <w:wordWrap w:val="0"/>
        <w:spacing w:line="360" w:lineRule="auto"/>
        <w:jc w:val="center"/>
        <w:rPr>
          <w:rFonts w:hint="eastAsia" w:ascii="宋体" w:hAnsi="宋体" w:eastAsia="宋体" w:cs="宋体"/>
          <w:color w:val="auto"/>
          <w:sz w:val="24"/>
          <w:szCs w:val="24"/>
          <w:highlight w:val="none"/>
        </w:rPr>
      </w:pPr>
    </w:p>
    <w:p>
      <w:pPr>
        <w:wordWrap w:val="0"/>
        <w:spacing w:line="360" w:lineRule="auto"/>
        <w:ind w:firstLine="480" w:firstLineChars="200"/>
        <w:rPr>
          <w:rFonts w:hint="eastAsia" w:ascii="宋体" w:hAnsi="宋体" w:eastAsia="宋体" w:cs="宋体"/>
          <w:color w:val="auto"/>
          <w:sz w:val="24"/>
          <w:szCs w:val="24"/>
          <w:highlight w:val="none"/>
          <w:lang w:val="zh-CN"/>
        </w:rPr>
      </w:pPr>
      <w:r>
        <w:rPr>
          <w:rFonts w:ascii="宋体" w:hAnsi="宋体" w:eastAsia="宋体" w:cs="宋体"/>
          <w:color w:val="auto"/>
          <w:sz w:val="24"/>
          <w:szCs w:val="24"/>
          <w:highlight w:val="none"/>
          <w:u w:val="single"/>
          <w:lang w:val="zh-CN"/>
        </w:rPr>
        <w:tab/>
      </w:r>
      <w:r>
        <w:rPr>
          <w:rFonts w:ascii="宋体" w:hAnsi="宋体" w:eastAsia="宋体" w:cs="宋体"/>
          <w:color w:val="auto"/>
          <w:sz w:val="24"/>
          <w:szCs w:val="24"/>
          <w:highlight w:val="none"/>
          <w:u w:val="single"/>
          <w:lang w:val="zh-CN"/>
        </w:rPr>
        <w:t xml:space="preserve">            </w:t>
      </w:r>
      <w:r>
        <w:rPr>
          <w:rFonts w:ascii="宋体" w:hAnsi="宋体" w:eastAsia="宋体" w:cs="宋体"/>
          <w:color w:val="auto"/>
          <w:sz w:val="24"/>
          <w:szCs w:val="24"/>
          <w:highlight w:val="none"/>
          <w:lang w:val="zh-CN"/>
        </w:rPr>
        <w:t>(所有成员单位名称) 自愿组成</w:t>
      </w:r>
      <w:r>
        <w:rPr>
          <w:rFonts w:ascii="宋体" w:hAnsi="宋体" w:eastAsia="宋体" w:cs="宋体"/>
          <w:color w:val="auto"/>
          <w:sz w:val="24"/>
          <w:szCs w:val="24"/>
          <w:highlight w:val="none"/>
          <w:u w:val="single"/>
          <w:lang w:val="zh-CN"/>
        </w:rPr>
        <w:t xml:space="preserve">        </w:t>
      </w:r>
      <w:r>
        <w:rPr>
          <w:rFonts w:ascii="宋体" w:hAnsi="宋体" w:eastAsia="宋体" w:cs="宋体"/>
          <w:color w:val="auto"/>
          <w:sz w:val="24"/>
          <w:szCs w:val="24"/>
          <w:highlight w:val="none"/>
          <w:lang w:val="zh-CN"/>
        </w:rPr>
        <w:t xml:space="preserve"> (联合体名称) 联合体，共同 参加</w:t>
      </w:r>
      <w:r>
        <w:rPr>
          <w:rFonts w:ascii="宋体" w:hAnsi="宋体" w:eastAsia="宋体" w:cs="宋体"/>
          <w:color w:val="auto"/>
          <w:sz w:val="24"/>
          <w:szCs w:val="24"/>
          <w:highlight w:val="none"/>
          <w:u w:val="single"/>
          <w:lang w:val="zh-CN"/>
        </w:rPr>
        <w:t xml:space="preserve">                 </w:t>
      </w:r>
      <w:r>
        <w:rPr>
          <w:rFonts w:ascii="宋体" w:hAnsi="宋体" w:eastAsia="宋体" w:cs="宋体"/>
          <w:color w:val="auto"/>
          <w:sz w:val="24"/>
          <w:szCs w:val="24"/>
          <w:highlight w:val="none"/>
          <w:lang w:val="zh-CN"/>
        </w:rPr>
        <w:t>(项目名称)招标项目投标。现就联合体投标事宜订立如下协议。</w:t>
      </w:r>
    </w:p>
    <w:p>
      <w:pPr>
        <w:wordWrap w:val="0"/>
        <w:spacing w:line="360" w:lineRule="auto"/>
        <w:ind w:firstLine="480" w:firstLineChars="200"/>
        <w:rPr>
          <w:rFonts w:hint="eastAsia"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1.</w:t>
      </w:r>
      <w:r>
        <w:rPr>
          <w:rFonts w:ascii="宋体" w:hAnsi="宋体" w:eastAsia="宋体" w:cs="宋体"/>
          <w:color w:val="auto"/>
          <w:sz w:val="24"/>
          <w:szCs w:val="24"/>
          <w:highlight w:val="none"/>
          <w:u w:val="single"/>
          <w:lang w:val="zh-CN"/>
        </w:rPr>
        <w:t xml:space="preserve">                          </w:t>
      </w:r>
      <w:r>
        <w:rPr>
          <w:rFonts w:ascii="宋体" w:hAnsi="宋体" w:eastAsia="宋体" w:cs="宋体"/>
          <w:color w:val="auto"/>
          <w:sz w:val="24"/>
          <w:szCs w:val="24"/>
          <w:highlight w:val="none"/>
          <w:lang w:val="zh-CN"/>
        </w:rPr>
        <w:t>(某成员单位名称)为</w:t>
      </w:r>
      <w:r>
        <w:rPr>
          <w:rFonts w:ascii="宋体" w:hAnsi="宋体" w:eastAsia="宋体" w:cs="宋体"/>
          <w:color w:val="auto"/>
          <w:sz w:val="24"/>
          <w:szCs w:val="24"/>
          <w:highlight w:val="none"/>
          <w:u w:val="single"/>
          <w:lang w:val="zh-CN"/>
        </w:rPr>
        <w:t xml:space="preserve">         </w:t>
      </w:r>
      <w:r>
        <w:rPr>
          <w:rFonts w:ascii="宋体" w:hAnsi="宋体" w:eastAsia="宋体" w:cs="宋体"/>
          <w:color w:val="auto"/>
          <w:sz w:val="24"/>
          <w:szCs w:val="24"/>
          <w:highlight w:val="none"/>
          <w:lang w:val="zh-CN"/>
        </w:rPr>
        <w:t>(联合体名称)主办方。</w:t>
      </w:r>
    </w:p>
    <w:p>
      <w:pPr>
        <w:wordWrap w:val="0"/>
        <w:spacing w:line="360" w:lineRule="auto"/>
        <w:ind w:firstLine="480" w:firstLineChars="200"/>
        <w:rPr>
          <w:rFonts w:hint="eastAsia"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2.联合体各成员授权主办方代表联合体参加投标活动，签署文件，提交和接收相关的资料、信息及指示，进行合同谈判活动，负责合同实施阶段的组织和协调工作，以及处理与本招标项目有关的一切事宜。</w:t>
      </w:r>
    </w:p>
    <w:p>
      <w:pPr>
        <w:wordWrap w:val="0"/>
        <w:spacing w:line="360" w:lineRule="auto"/>
        <w:ind w:firstLine="480" w:firstLineChars="200"/>
        <w:rPr>
          <w:rFonts w:hint="eastAsia"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3.联合体主办方在本项目中签署的一切文件和处理的一切事宜，联合体各成员均予以承认。联合体各成员将严格按照招标文件、投标文件和合同的要求全面履行义务，并向招标人承担连带责任。</w:t>
      </w:r>
    </w:p>
    <w:p>
      <w:pPr>
        <w:wordWrap w:val="0"/>
        <w:spacing w:line="360" w:lineRule="auto"/>
        <w:ind w:firstLine="480" w:firstLineChars="200"/>
        <w:rPr>
          <w:rFonts w:hint="eastAsia"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4.联合体各成员单位内部的职责分工如下：</w:t>
      </w:r>
      <w:r>
        <w:rPr>
          <w:rFonts w:ascii="宋体" w:hAnsi="宋体" w:eastAsia="宋体" w:cs="宋体"/>
          <w:color w:val="auto"/>
          <w:sz w:val="24"/>
          <w:szCs w:val="24"/>
          <w:highlight w:val="none"/>
          <w:u w:val="single"/>
          <w:lang w:val="zh-CN"/>
        </w:rPr>
        <w:t xml:space="preserve">                </w:t>
      </w:r>
      <w:r>
        <w:rPr>
          <w:rFonts w:ascii="宋体" w:hAnsi="宋体" w:eastAsia="宋体" w:cs="宋体"/>
          <w:color w:val="auto"/>
          <w:sz w:val="24"/>
          <w:szCs w:val="24"/>
          <w:highlight w:val="none"/>
          <w:lang w:val="zh-CN"/>
        </w:rPr>
        <w:t>。</w:t>
      </w:r>
    </w:p>
    <w:p>
      <w:pPr>
        <w:wordWrap w:val="0"/>
        <w:spacing w:line="360" w:lineRule="auto"/>
        <w:ind w:firstLine="480" w:firstLineChars="200"/>
        <w:rPr>
          <w:rFonts w:hint="eastAsia"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5.本协议书自所有成员单位法定代表人或其委托代理人签字或盖单位章之日起生效， 合同履行完毕后自动失效。</w:t>
      </w:r>
    </w:p>
    <w:p>
      <w:pPr>
        <w:wordWrap w:val="0"/>
        <w:spacing w:line="360" w:lineRule="auto"/>
        <w:ind w:firstLine="480" w:firstLineChars="200"/>
        <w:rPr>
          <w:rFonts w:hint="eastAsia"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6.本协议书一式</w:t>
      </w:r>
      <w:r>
        <w:rPr>
          <w:rFonts w:ascii="宋体" w:hAnsi="宋体" w:eastAsia="宋体" w:cs="宋体"/>
          <w:color w:val="auto"/>
          <w:sz w:val="24"/>
          <w:szCs w:val="24"/>
          <w:highlight w:val="none"/>
          <w:u w:val="single"/>
          <w:lang w:val="zh-CN"/>
        </w:rPr>
        <w:t xml:space="preserve">    </w:t>
      </w:r>
      <w:r>
        <w:rPr>
          <w:rFonts w:ascii="宋体" w:hAnsi="宋体" w:eastAsia="宋体" w:cs="宋体"/>
          <w:color w:val="auto"/>
          <w:sz w:val="24"/>
          <w:szCs w:val="24"/>
          <w:highlight w:val="none"/>
          <w:lang w:val="zh-CN"/>
        </w:rPr>
        <w:t>份，联合体成员和招标人各执一份。</w:t>
      </w:r>
    </w:p>
    <w:p>
      <w:pPr>
        <w:wordWrap w:val="0"/>
        <w:spacing w:line="360" w:lineRule="auto"/>
        <w:rPr>
          <w:rFonts w:hint="eastAsia" w:ascii="宋体" w:hAnsi="宋体" w:eastAsia="宋体" w:cs="宋体"/>
          <w:color w:val="auto"/>
          <w:sz w:val="24"/>
          <w:szCs w:val="24"/>
          <w:highlight w:val="none"/>
          <w:lang w:val="zh-CN"/>
        </w:rPr>
      </w:pPr>
    </w:p>
    <w:p>
      <w:pPr>
        <w:widowControl/>
        <w:kinsoku w:val="0"/>
        <w:autoSpaceDE w:val="0"/>
        <w:autoSpaceDN w:val="0"/>
        <w:adjustRightInd w:val="0"/>
        <w:snapToGrid w:val="0"/>
        <w:spacing w:line="360" w:lineRule="auto"/>
        <w:ind w:left="2409" w:right="32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联合体主办方名称：</w:t>
      </w:r>
      <w:r>
        <w:rPr>
          <w:rFonts w:ascii="宋体" w:hAnsi="宋体" w:eastAsia="宋体" w:cs="宋体"/>
          <w:snapToGrid w:val="0"/>
          <w:color w:val="auto"/>
          <w:spacing w:val="-4"/>
          <w:kern w:val="0"/>
          <w:sz w:val="24"/>
          <w:szCs w:val="24"/>
          <w:highlight w:val="none"/>
          <w:u w:val="single"/>
        </w:rPr>
        <w:t xml:space="preserve">        </w:t>
      </w:r>
      <w:r>
        <w:rPr>
          <w:rFonts w:ascii="宋体" w:hAnsi="宋体" w:eastAsia="宋体" w:cs="宋体"/>
          <w:snapToGrid w:val="0"/>
          <w:color w:val="auto"/>
          <w:spacing w:val="-2"/>
          <w:kern w:val="0"/>
          <w:sz w:val="24"/>
          <w:szCs w:val="24"/>
          <w:highlight w:val="none"/>
          <w:u w:val="single"/>
        </w:rPr>
        <w:t xml:space="preserve">             </w:t>
      </w:r>
      <w:r>
        <w:rPr>
          <w:rFonts w:ascii="宋体" w:hAnsi="宋体" w:eastAsia="宋体" w:cs="宋体"/>
          <w:snapToGrid w:val="0"/>
          <w:color w:val="auto"/>
          <w:spacing w:val="-2"/>
          <w:kern w:val="0"/>
          <w:sz w:val="24"/>
          <w:szCs w:val="24"/>
          <w:highlight w:val="none"/>
        </w:rPr>
        <w:t>(盖单位章)</w:t>
      </w:r>
      <w:r>
        <w:rPr>
          <w:rFonts w:ascii="宋体" w:hAnsi="宋体" w:eastAsia="宋体" w:cs="宋体"/>
          <w:snapToGrid w:val="0"/>
          <w:color w:val="auto"/>
          <w:kern w:val="0"/>
          <w:sz w:val="24"/>
          <w:szCs w:val="24"/>
          <w:highlight w:val="none"/>
        </w:rPr>
        <w:t xml:space="preserve"> </w:t>
      </w:r>
    </w:p>
    <w:p>
      <w:pPr>
        <w:widowControl/>
        <w:kinsoku w:val="0"/>
        <w:autoSpaceDE w:val="0"/>
        <w:autoSpaceDN w:val="0"/>
        <w:adjustRightInd w:val="0"/>
        <w:snapToGrid w:val="0"/>
        <w:spacing w:line="360" w:lineRule="auto"/>
        <w:ind w:left="2409" w:right="327"/>
        <w:jc w:val="left"/>
        <w:textAlignment w:val="baseline"/>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法定代表人：</w:t>
      </w:r>
      <w:r>
        <w:rPr>
          <w:rFonts w:ascii="宋体" w:hAnsi="宋体" w:eastAsia="宋体" w:cs="宋体"/>
          <w:snapToGrid w:val="0"/>
          <w:color w:val="auto"/>
          <w:spacing w:val="-4"/>
          <w:kern w:val="0"/>
          <w:sz w:val="24"/>
          <w:szCs w:val="24"/>
          <w:highlight w:val="none"/>
          <w:u w:val="single"/>
        </w:rPr>
        <w:t xml:space="preserve">             </w:t>
      </w:r>
      <w:r>
        <w:rPr>
          <w:rFonts w:ascii="宋体" w:hAnsi="宋体" w:eastAsia="宋体" w:cs="宋体"/>
          <w:snapToGrid w:val="0"/>
          <w:color w:val="auto"/>
          <w:spacing w:val="-4"/>
          <w:kern w:val="0"/>
          <w:sz w:val="24"/>
          <w:szCs w:val="24"/>
          <w:highlight w:val="none"/>
        </w:rPr>
        <w:t>(签字或盖章</w:t>
      </w:r>
      <w:r>
        <w:rPr>
          <w:rFonts w:ascii="宋体" w:hAnsi="宋体" w:eastAsia="宋体" w:cs="宋体"/>
          <w:snapToGrid w:val="0"/>
          <w:color w:val="auto"/>
          <w:spacing w:val="-1"/>
          <w:kern w:val="0"/>
          <w:sz w:val="24"/>
          <w:szCs w:val="24"/>
          <w:highlight w:val="none"/>
        </w:rPr>
        <w:t>)</w:t>
      </w:r>
    </w:p>
    <w:p>
      <w:pPr>
        <w:widowControl/>
        <w:kinsoku w:val="0"/>
        <w:autoSpaceDE w:val="0"/>
        <w:autoSpaceDN w:val="0"/>
        <w:adjustRightInd w:val="0"/>
        <w:snapToGrid w:val="0"/>
        <w:spacing w:line="360" w:lineRule="auto"/>
        <w:ind w:left="2409" w:right="32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委托代理人：</w:t>
      </w:r>
      <w:r>
        <w:rPr>
          <w:rFonts w:ascii="宋体" w:hAnsi="宋体" w:eastAsia="宋体" w:cs="宋体"/>
          <w:snapToGrid w:val="0"/>
          <w:color w:val="auto"/>
          <w:spacing w:val="-4"/>
          <w:kern w:val="0"/>
          <w:sz w:val="24"/>
          <w:szCs w:val="24"/>
          <w:highlight w:val="none"/>
          <w:u w:val="single"/>
        </w:rPr>
        <w:t xml:space="preserve">             </w:t>
      </w:r>
      <w:r>
        <w:rPr>
          <w:rFonts w:ascii="宋体" w:hAnsi="宋体" w:eastAsia="宋体" w:cs="宋体"/>
          <w:snapToGrid w:val="0"/>
          <w:color w:val="auto"/>
          <w:spacing w:val="-4"/>
          <w:kern w:val="0"/>
          <w:sz w:val="24"/>
          <w:szCs w:val="24"/>
          <w:highlight w:val="none"/>
        </w:rPr>
        <w:t>(签字</w:t>
      </w:r>
      <w:r>
        <w:rPr>
          <w:rFonts w:ascii="宋体" w:hAnsi="宋体" w:eastAsia="宋体" w:cs="宋体"/>
          <w:snapToGrid w:val="0"/>
          <w:color w:val="auto"/>
          <w:spacing w:val="-1"/>
          <w:kern w:val="0"/>
          <w:sz w:val="24"/>
          <w:szCs w:val="24"/>
          <w:highlight w:val="none"/>
        </w:rPr>
        <w:t>)</w:t>
      </w:r>
    </w:p>
    <w:p>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4"/>
          <w:szCs w:val="24"/>
          <w:highlight w:val="none"/>
        </w:rPr>
      </w:pPr>
    </w:p>
    <w:p>
      <w:pPr>
        <w:widowControl/>
        <w:kinsoku w:val="0"/>
        <w:autoSpaceDE w:val="0"/>
        <w:autoSpaceDN w:val="0"/>
        <w:adjustRightInd w:val="0"/>
        <w:snapToGrid w:val="0"/>
        <w:spacing w:line="360" w:lineRule="auto"/>
        <w:ind w:left="2409" w:right="32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联合体成员名称：</w:t>
      </w:r>
      <w:r>
        <w:rPr>
          <w:rFonts w:ascii="宋体" w:hAnsi="宋体" w:eastAsia="宋体" w:cs="宋体"/>
          <w:snapToGrid w:val="0"/>
          <w:color w:val="auto"/>
          <w:spacing w:val="-4"/>
          <w:kern w:val="0"/>
          <w:sz w:val="24"/>
          <w:szCs w:val="24"/>
          <w:highlight w:val="none"/>
          <w:u w:val="single"/>
        </w:rPr>
        <w:t xml:space="preserve">        </w:t>
      </w:r>
      <w:r>
        <w:rPr>
          <w:rFonts w:ascii="宋体" w:hAnsi="宋体" w:eastAsia="宋体" w:cs="宋体"/>
          <w:snapToGrid w:val="0"/>
          <w:color w:val="auto"/>
          <w:spacing w:val="-2"/>
          <w:kern w:val="0"/>
          <w:sz w:val="24"/>
          <w:szCs w:val="24"/>
          <w:highlight w:val="none"/>
          <w:u w:val="single"/>
        </w:rPr>
        <w:t xml:space="preserve">               </w:t>
      </w:r>
      <w:r>
        <w:rPr>
          <w:rFonts w:ascii="宋体" w:hAnsi="宋体" w:eastAsia="宋体" w:cs="宋体"/>
          <w:snapToGrid w:val="0"/>
          <w:color w:val="auto"/>
          <w:spacing w:val="-2"/>
          <w:kern w:val="0"/>
          <w:sz w:val="24"/>
          <w:szCs w:val="24"/>
          <w:highlight w:val="none"/>
        </w:rPr>
        <w:t>(盖单位章)</w:t>
      </w:r>
      <w:r>
        <w:rPr>
          <w:rFonts w:ascii="宋体" w:hAnsi="宋体" w:eastAsia="宋体" w:cs="宋体"/>
          <w:snapToGrid w:val="0"/>
          <w:color w:val="auto"/>
          <w:kern w:val="0"/>
          <w:sz w:val="24"/>
          <w:szCs w:val="24"/>
          <w:highlight w:val="none"/>
        </w:rPr>
        <w:t xml:space="preserve"> </w:t>
      </w:r>
    </w:p>
    <w:p>
      <w:pPr>
        <w:widowControl/>
        <w:kinsoku w:val="0"/>
        <w:autoSpaceDE w:val="0"/>
        <w:autoSpaceDN w:val="0"/>
        <w:adjustRightInd w:val="0"/>
        <w:snapToGrid w:val="0"/>
        <w:spacing w:line="360" w:lineRule="auto"/>
        <w:ind w:left="2409" w:right="32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8"/>
          <w:kern w:val="0"/>
          <w:sz w:val="24"/>
          <w:szCs w:val="24"/>
          <w:highlight w:val="none"/>
        </w:rPr>
        <w:t>法定</w:t>
      </w:r>
      <w:r>
        <w:rPr>
          <w:rFonts w:hint="eastAsia" w:ascii="宋体" w:hAnsi="宋体" w:eastAsia="宋体" w:cs="宋体"/>
          <w:snapToGrid w:val="0"/>
          <w:color w:val="auto"/>
          <w:spacing w:val="-7"/>
          <w:kern w:val="0"/>
          <w:sz w:val="24"/>
          <w:szCs w:val="24"/>
          <w:highlight w:val="none"/>
        </w:rPr>
        <w:t>代</w:t>
      </w:r>
      <w:r>
        <w:rPr>
          <w:rFonts w:hint="eastAsia" w:ascii="宋体" w:hAnsi="宋体" w:eastAsia="宋体" w:cs="宋体"/>
          <w:snapToGrid w:val="0"/>
          <w:color w:val="auto"/>
          <w:spacing w:val="-4"/>
          <w:kern w:val="0"/>
          <w:sz w:val="24"/>
          <w:szCs w:val="24"/>
          <w:highlight w:val="none"/>
        </w:rPr>
        <w:t>表人：</w:t>
      </w:r>
      <w:r>
        <w:rPr>
          <w:rFonts w:ascii="宋体" w:hAnsi="宋体" w:eastAsia="宋体" w:cs="宋体"/>
          <w:snapToGrid w:val="0"/>
          <w:color w:val="auto"/>
          <w:spacing w:val="-4"/>
          <w:kern w:val="0"/>
          <w:sz w:val="24"/>
          <w:szCs w:val="24"/>
          <w:highlight w:val="none"/>
          <w:u w:val="single"/>
        </w:rPr>
        <w:t xml:space="preserve">           </w:t>
      </w:r>
      <w:r>
        <w:rPr>
          <w:rFonts w:ascii="宋体" w:hAnsi="宋体" w:eastAsia="宋体" w:cs="宋体"/>
          <w:snapToGrid w:val="0"/>
          <w:color w:val="auto"/>
          <w:spacing w:val="-4"/>
          <w:kern w:val="0"/>
          <w:sz w:val="24"/>
          <w:szCs w:val="24"/>
          <w:highlight w:val="none"/>
        </w:rPr>
        <w:t>(签字或盖章)</w:t>
      </w:r>
    </w:p>
    <w:p>
      <w:pPr>
        <w:widowControl/>
        <w:kinsoku w:val="0"/>
        <w:autoSpaceDE w:val="0"/>
        <w:autoSpaceDN w:val="0"/>
        <w:adjustRightInd w:val="0"/>
        <w:snapToGrid w:val="0"/>
        <w:spacing w:line="360" w:lineRule="auto"/>
        <w:ind w:left="2409" w:right="32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委托代理人：</w:t>
      </w:r>
      <w:r>
        <w:rPr>
          <w:rFonts w:ascii="宋体" w:hAnsi="宋体" w:eastAsia="宋体" w:cs="宋体"/>
          <w:snapToGrid w:val="0"/>
          <w:color w:val="auto"/>
          <w:spacing w:val="-4"/>
          <w:kern w:val="0"/>
          <w:sz w:val="24"/>
          <w:szCs w:val="24"/>
          <w:highlight w:val="none"/>
          <w:u w:val="single"/>
        </w:rPr>
        <w:t xml:space="preserve">           </w:t>
      </w:r>
      <w:r>
        <w:rPr>
          <w:rFonts w:ascii="宋体" w:hAnsi="宋体" w:eastAsia="宋体" w:cs="宋体"/>
          <w:snapToGrid w:val="0"/>
          <w:color w:val="auto"/>
          <w:spacing w:val="-4"/>
          <w:kern w:val="0"/>
          <w:sz w:val="24"/>
          <w:szCs w:val="24"/>
          <w:highlight w:val="none"/>
        </w:rPr>
        <w:t>(签字)</w:t>
      </w:r>
    </w:p>
    <w:p>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4"/>
          <w:szCs w:val="24"/>
          <w:highlight w:val="none"/>
        </w:rPr>
      </w:pPr>
    </w:p>
    <w:p>
      <w:pPr>
        <w:wordWrap w:val="0"/>
        <w:spacing w:line="360" w:lineRule="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日</w:t>
      </w:r>
    </w:p>
    <w:p>
      <w:pPr>
        <w:widowControl/>
        <w:wordWrap w:val="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注：非联合体投标的，无需提交本协议书。本联合体协议书可根据联合体成员数量自行调整相关内容。</w:t>
      </w:r>
    </w:p>
    <w:p>
      <w:pPr>
        <w:pStyle w:val="5"/>
        <w:wordWrap w:val="0"/>
        <w:rPr>
          <w:rFonts w:hint="eastAsia"/>
          <w:color w:val="auto"/>
          <w:highlight w:val="none"/>
          <w:u w:val="single"/>
        </w:rPr>
      </w:pPr>
      <w:r>
        <w:rPr>
          <w:color w:val="auto"/>
          <w:highlight w:val="none"/>
        </w:rPr>
        <w:br w:type="page"/>
      </w:r>
      <w:bookmarkStart w:id="249" w:name="_Toc23229"/>
      <w:bookmarkStart w:id="250" w:name="_Toc111186815"/>
    </w:p>
    <w:p>
      <w:pPr>
        <w:pStyle w:val="5"/>
        <w:wordWrap w:val="0"/>
        <w:rPr>
          <w:rFonts w:hint="eastAsia"/>
          <w:color w:val="auto"/>
          <w:highlight w:val="none"/>
        </w:rPr>
      </w:pPr>
      <w:r>
        <w:rPr>
          <w:rFonts w:hint="eastAsia"/>
          <w:color w:val="auto"/>
          <w:highlight w:val="none"/>
        </w:rPr>
        <w:t>五、投标保证金</w:t>
      </w:r>
    </w:p>
    <w:p>
      <w:pPr>
        <w:rPr>
          <w:rFonts w:hint="eastAsia" w:ascii="宋体" w:hAnsi="宋体" w:eastAsia="宋体"/>
          <w:color w:val="auto"/>
          <w:sz w:val="24"/>
          <w:szCs w:val="24"/>
          <w:highlight w:val="none"/>
          <w:u w:val="single"/>
          <w:lang w:val="zh-CN"/>
        </w:rPr>
      </w:pPr>
      <w:r>
        <w:rPr>
          <w:rFonts w:hint="eastAsia" w:ascii="宋体" w:hAnsi="宋体" w:eastAsia="宋体"/>
          <w:color w:val="auto"/>
          <w:sz w:val="24"/>
          <w:szCs w:val="24"/>
          <w:highlight w:val="none"/>
          <w:u w:val="single"/>
          <w:lang w:val="zh-CN"/>
        </w:rPr>
        <w:t>本项目不要求。</w:t>
      </w:r>
    </w:p>
    <w:p>
      <w:pPr>
        <w:widowControl/>
        <w:jc w:val="left"/>
        <w:rPr>
          <w:rFonts w:hint="eastAsia" w:ascii="宋体" w:hAnsi="宋体" w:eastAsia="宋体" w:cs="Times New Roman"/>
          <w:b/>
          <w:color w:val="auto"/>
          <w:kern w:val="0"/>
          <w:sz w:val="24"/>
          <w:szCs w:val="24"/>
          <w:highlight w:val="none"/>
          <w:lang w:val="zh-CN"/>
        </w:rPr>
      </w:pPr>
      <w:r>
        <w:rPr>
          <w:rFonts w:ascii="宋体" w:hAnsi="宋体" w:eastAsia="宋体"/>
          <w:color w:val="auto"/>
          <w:highlight w:val="none"/>
        </w:rPr>
        <w:br w:type="page"/>
      </w:r>
    </w:p>
    <w:p>
      <w:pPr>
        <w:pStyle w:val="5"/>
        <w:wordWrap w:val="0"/>
        <w:rPr>
          <w:rFonts w:hint="eastAsia"/>
          <w:color w:val="auto"/>
          <w:highlight w:val="none"/>
        </w:rPr>
      </w:pPr>
      <w:r>
        <w:rPr>
          <w:rFonts w:hint="eastAsia"/>
          <w:color w:val="auto"/>
          <w:highlight w:val="none"/>
        </w:rPr>
        <w:t>六、勘察设计费报价表</w:t>
      </w:r>
    </w:p>
    <w:p>
      <w:pPr>
        <w:spacing w:after="120" w:afterLines="50" w:line="540" w:lineRule="atLeast"/>
        <w:rPr>
          <w:rFonts w:hint="eastAsia" w:ascii="宋体" w:hAnsi="宋体" w:eastAsia="宋体"/>
          <w:color w:val="auto"/>
          <w:szCs w:val="21"/>
          <w:highlight w:val="none"/>
          <w:u w:val="single"/>
        </w:rPr>
      </w:pPr>
      <w:r>
        <w:rPr>
          <w:rFonts w:hint="eastAsia" w:ascii="宋体" w:hAnsi="宋体" w:eastAsia="宋体"/>
          <w:color w:val="auto"/>
          <w:szCs w:val="21"/>
          <w:highlight w:val="none"/>
        </w:rPr>
        <w:t>项目名称：</w:t>
      </w:r>
      <w:r>
        <w:rPr>
          <w:rFonts w:ascii="宋体" w:hAnsi="宋体" w:eastAsia="宋体"/>
          <w:color w:val="auto"/>
          <w:szCs w:val="21"/>
          <w:highlight w:val="none"/>
          <w:u w:val="single"/>
        </w:rPr>
        <w:t xml:space="preserve">                       </w:t>
      </w:r>
    </w:p>
    <w:tbl>
      <w:tblPr>
        <w:tblStyle w:val="45"/>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4"/>
        <w:gridCol w:w="1581"/>
        <w:gridCol w:w="1605"/>
        <w:gridCol w:w="1380"/>
        <w:gridCol w:w="168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jc w:val="center"/>
        </w:trPr>
        <w:tc>
          <w:tcPr>
            <w:tcW w:w="824"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581"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项目费用名称</w:t>
            </w:r>
          </w:p>
        </w:tc>
        <w:tc>
          <w:tcPr>
            <w:tcW w:w="1605" w:type="dxa"/>
            <w:vAlign w:val="center"/>
          </w:tcPr>
          <w:p>
            <w:pPr>
              <w:jc w:val="center"/>
              <w:rPr>
                <w:rFonts w:hint="eastAsia" w:ascii="宋体" w:hAnsi="宋体" w:eastAsia="宋体" w:cs="宋体"/>
                <w:b/>
                <w:bCs/>
                <w:color w:val="auto"/>
                <w:szCs w:val="21"/>
                <w:highlight w:val="none"/>
              </w:rPr>
            </w:pPr>
            <w:r>
              <w:rPr>
                <w:rFonts w:hint="eastAsia" w:ascii="宋体" w:hAnsi="宋体" w:eastAsia="宋体"/>
                <w:b/>
                <w:bCs/>
                <w:color w:val="auto"/>
                <w:szCs w:val="21"/>
                <w:highlight w:val="none"/>
              </w:rPr>
              <w:t>最高投标限价</w:t>
            </w:r>
            <w:r>
              <w:rPr>
                <w:rFonts w:hint="eastAsia" w:ascii="宋体" w:hAnsi="宋体" w:eastAsia="宋体" w:cs="宋体"/>
                <w:b/>
                <w:bCs/>
                <w:color w:val="auto"/>
                <w:szCs w:val="21"/>
                <w:highlight w:val="none"/>
              </w:rPr>
              <w:t>（元）</w:t>
            </w:r>
          </w:p>
        </w:tc>
        <w:tc>
          <w:tcPr>
            <w:tcW w:w="1380"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投标下浮率</w:t>
            </w:r>
          </w:p>
        </w:tc>
        <w:tc>
          <w:tcPr>
            <w:tcW w:w="1683"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投标报价（元）</w:t>
            </w:r>
          </w:p>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（下浮后费用）</w:t>
            </w:r>
          </w:p>
        </w:tc>
        <w:tc>
          <w:tcPr>
            <w:tcW w:w="1349" w:type="dxa"/>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2" w:hRule="atLeast"/>
          <w:jc w:val="center"/>
        </w:trPr>
        <w:tc>
          <w:tcPr>
            <w:tcW w:w="824" w:type="dxa"/>
            <w:vAlign w:val="center"/>
          </w:tcPr>
          <w:p>
            <w:pPr>
              <w:jc w:val="center"/>
              <w:rPr>
                <w:rFonts w:hint="eastAsia" w:ascii="宋体" w:hAnsi="宋体" w:eastAsia="宋体" w:cs="宋体"/>
                <w:bCs/>
                <w:color w:val="auto"/>
                <w:szCs w:val="21"/>
                <w:highlight w:val="none"/>
              </w:rPr>
            </w:pPr>
            <w:r>
              <w:rPr>
                <w:rFonts w:ascii="宋体" w:hAnsi="宋体" w:eastAsia="宋体" w:cs="宋体"/>
                <w:bCs/>
                <w:color w:val="auto"/>
                <w:szCs w:val="21"/>
                <w:highlight w:val="none"/>
              </w:rPr>
              <w:t>1</w:t>
            </w:r>
          </w:p>
        </w:tc>
        <w:tc>
          <w:tcPr>
            <w:tcW w:w="158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勘察费</w:t>
            </w:r>
          </w:p>
        </w:tc>
        <w:tc>
          <w:tcPr>
            <w:tcW w:w="160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823728.74 </w:t>
            </w:r>
          </w:p>
        </w:tc>
        <w:tc>
          <w:tcPr>
            <w:tcW w:w="1380" w:type="dxa"/>
            <w:vAlign w:val="center"/>
          </w:tcPr>
          <w:p>
            <w:pPr>
              <w:ind w:firstLine="420" w:firstLineChars="200"/>
              <w:rPr>
                <w:rFonts w:hint="eastAsia" w:ascii="宋体" w:hAnsi="宋体" w:eastAsia="宋体" w:cs="宋体"/>
                <w:bCs/>
                <w:color w:val="auto"/>
                <w:szCs w:val="21"/>
                <w:highlight w:val="none"/>
                <w:u w:val="single"/>
              </w:rPr>
            </w:pPr>
            <w:r>
              <w:rPr>
                <w:rFonts w:ascii="宋体" w:hAnsi="宋体" w:eastAsia="宋体" w:cs="宋体"/>
                <w:bCs/>
                <w:color w:val="auto"/>
                <w:szCs w:val="21"/>
                <w:highlight w:val="none"/>
                <w:u w:val="single"/>
              </w:rPr>
              <w:t xml:space="preserve">  </w:t>
            </w:r>
            <w:r>
              <w:rPr>
                <w:rFonts w:ascii="宋体" w:hAnsi="宋体" w:eastAsia="宋体" w:cs="宋体"/>
                <w:bCs/>
                <w:color w:val="auto"/>
                <w:szCs w:val="21"/>
                <w:highlight w:val="none"/>
              </w:rPr>
              <w:t>%</w:t>
            </w:r>
          </w:p>
        </w:tc>
        <w:tc>
          <w:tcPr>
            <w:tcW w:w="1683" w:type="dxa"/>
            <w:vAlign w:val="center"/>
          </w:tcPr>
          <w:p>
            <w:pPr>
              <w:jc w:val="center"/>
              <w:rPr>
                <w:rFonts w:hint="eastAsia" w:ascii="宋体" w:hAnsi="宋体" w:eastAsia="宋体" w:cs="宋体"/>
                <w:bCs/>
                <w:color w:val="auto"/>
                <w:szCs w:val="21"/>
                <w:highlight w:val="none"/>
              </w:rPr>
            </w:pPr>
          </w:p>
        </w:tc>
        <w:tc>
          <w:tcPr>
            <w:tcW w:w="1349" w:type="dxa"/>
            <w:vAlign w:val="center"/>
          </w:tcPr>
          <w:p>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投标下浮率</w:t>
            </w:r>
            <w:r>
              <w:rPr>
                <w:rFonts w:ascii="宋体" w:hAnsi="宋体" w:eastAsia="宋体" w:cs="宋体"/>
                <w:color w:val="auto"/>
                <w:szCs w:val="21"/>
                <w:highlight w:val="none"/>
              </w:rPr>
              <w:t>=【1-（勘察费投标报价/勘察费最高投标限价）】*100%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0" w:hRule="atLeast"/>
          <w:jc w:val="center"/>
        </w:trPr>
        <w:tc>
          <w:tcPr>
            <w:tcW w:w="824" w:type="dxa"/>
            <w:vAlign w:val="center"/>
          </w:tcPr>
          <w:p>
            <w:pPr>
              <w:jc w:val="center"/>
              <w:rPr>
                <w:rFonts w:hint="eastAsia" w:ascii="宋体" w:hAnsi="宋体" w:eastAsia="宋体" w:cs="宋体"/>
                <w:bCs/>
                <w:color w:val="auto"/>
                <w:szCs w:val="21"/>
                <w:highlight w:val="none"/>
              </w:rPr>
            </w:pPr>
            <w:r>
              <w:rPr>
                <w:rFonts w:ascii="宋体" w:hAnsi="宋体" w:eastAsia="宋体" w:cs="宋体"/>
                <w:bCs/>
                <w:color w:val="auto"/>
                <w:szCs w:val="21"/>
                <w:highlight w:val="none"/>
              </w:rPr>
              <w:t>2</w:t>
            </w:r>
          </w:p>
        </w:tc>
        <w:tc>
          <w:tcPr>
            <w:tcW w:w="158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设计费</w:t>
            </w:r>
          </w:p>
        </w:tc>
        <w:tc>
          <w:tcPr>
            <w:tcW w:w="160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2119807.92</w:t>
            </w:r>
          </w:p>
        </w:tc>
        <w:tc>
          <w:tcPr>
            <w:tcW w:w="1380" w:type="dxa"/>
            <w:vAlign w:val="center"/>
          </w:tcPr>
          <w:p>
            <w:pPr>
              <w:ind w:firstLine="420" w:firstLineChars="200"/>
              <w:rPr>
                <w:rFonts w:hint="eastAsia" w:ascii="宋体" w:hAnsi="宋体" w:eastAsia="宋体" w:cs="宋体"/>
                <w:bCs/>
                <w:color w:val="auto"/>
                <w:szCs w:val="21"/>
                <w:highlight w:val="none"/>
                <w:u w:val="single"/>
              </w:rPr>
            </w:pPr>
            <w:r>
              <w:rPr>
                <w:rFonts w:ascii="宋体" w:hAnsi="宋体" w:eastAsia="宋体" w:cs="宋体"/>
                <w:bCs/>
                <w:color w:val="auto"/>
                <w:szCs w:val="21"/>
                <w:highlight w:val="none"/>
                <w:u w:val="single"/>
              </w:rPr>
              <w:t xml:space="preserve">  </w:t>
            </w:r>
            <w:r>
              <w:rPr>
                <w:rFonts w:ascii="宋体" w:hAnsi="宋体" w:eastAsia="宋体" w:cs="宋体"/>
                <w:bCs/>
                <w:color w:val="auto"/>
                <w:szCs w:val="21"/>
                <w:highlight w:val="none"/>
              </w:rPr>
              <w:t>%</w:t>
            </w:r>
          </w:p>
        </w:tc>
        <w:tc>
          <w:tcPr>
            <w:tcW w:w="1683" w:type="dxa"/>
            <w:vAlign w:val="center"/>
          </w:tcPr>
          <w:p>
            <w:pPr>
              <w:jc w:val="center"/>
              <w:rPr>
                <w:rFonts w:hint="eastAsia" w:ascii="宋体" w:hAnsi="宋体" w:eastAsia="宋体" w:cs="宋体"/>
                <w:bCs/>
                <w:color w:val="auto"/>
                <w:szCs w:val="21"/>
                <w:highlight w:val="none"/>
              </w:rPr>
            </w:pPr>
          </w:p>
        </w:tc>
        <w:tc>
          <w:tcPr>
            <w:tcW w:w="1349" w:type="dxa"/>
            <w:vAlign w:val="center"/>
          </w:tcPr>
          <w:p>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投标下浮率</w:t>
            </w:r>
            <w:r>
              <w:rPr>
                <w:rFonts w:ascii="宋体" w:hAnsi="宋体" w:eastAsia="宋体" w:cs="宋体"/>
                <w:color w:val="auto"/>
                <w:szCs w:val="21"/>
                <w:highlight w:val="none"/>
              </w:rPr>
              <w:t>=【1-（设计费投标报价/设计费最高投标限价）】*100%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2" w:hRule="atLeast"/>
          <w:jc w:val="center"/>
        </w:trPr>
        <w:tc>
          <w:tcPr>
            <w:tcW w:w="2405"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160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2943536.66 </w:t>
            </w:r>
          </w:p>
        </w:tc>
        <w:tc>
          <w:tcPr>
            <w:tcW w:w="1380" w:type="dxa"/>
            <w:vAlign w:val="center"/>
          </w:tcPr>
          <w:p>
            <w:pPr>
              <w:jc w:val="center"/>
              <w:rPr>
                <w:rFonts w:hint="eastAsia" w:ascii="宋体" w:hAnsi="宋体" w:eastAsia="宋体" w:cs="宋体"/>
                <w:color w:val="auto"/>
                <w:szCs w:val="21"/>
                <w:highlight w:val="none"/>
              </w:rPr>
            </w:pPr>
            <w:r>
              <w:rPr>
                <w:rFonts w:ascii="宋体" w:hAnsi="宋体" w:eastAsia="宋体" w:cs="宋体"/>
                <w:color w:val="auto"/>
                <w:szCs w:val="21"/>
                <w:highlight w:val="none"/>
              </w:rPr>
              <w:t>/</w:t>
            </w:r>
          </w:p>
        </w:tc>
        <w:tc>
          <w:tcPr>
            <w:tcW w:w="1683" w:type="dxa"/>
            <w:vAlign w:val="center"/>
          </w:tcPr>
          <w:p>
            <w:pPr>
              <w:jc w:val="center"/>
              <w:rPr>
                <w:rFonts w:hint="eastAsia" w:ascii="宋体" w:hAnsi="宋体" w:eastAsia="宋体" w:cs="宋体"/>
                <w:color w:val="auto"/>
                <w:szCs w:val="21"/>
                <w:highlight w:val="none"/>
              </w:rPr>
            </w:pPr>
          </w:p>
        </w:tc>
        <w:tc>
          <w:tcPr>
            <w:tcW w:w="134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w:t>
            </w:r>
            <w:r>
              <w:rPr>
                <w:rFonts w:ascii="宋体" w:hAnsi="宋体" w:eastAsia="宋体" w:cs="宋体"/>
                <w:color w:val="auto"/>
                <w:szCs w:val="21"/>
                <w:highlight w:val="none"/>
              </w:rPr>
              <w:t>=勘察费投标报价+设计费投标报价</w:t>
            </w:r>
          </w:p>
        </w:tc>
      </w:tr>
    </w:tbl>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ascii="宋体" w:hAnsi="宋体" w:eastAsia="宋体" w:cs="宋体"/>
          <w:color w:val="auto"/>
          <w:szCs w:val="21"/>
          <w:highlight w:val="none"/>
        </w:rPr>
        <w:t>1、投标报价填报保留到小数点后2</w:t>
      </w:r>
      <w:r>
        <w:rPr>
          <w:rFonts w:hint="eastAsia" w:ascii="宋体" w:hAnsi="宋体" w:eastAsia="宋体" w:cs="宋体"/>
          <w:color w:val="auto"/>
          <w:szCs w:val="21"/>
          <w:highlight w:val="none"/>
        </w:rPr>
        <w:t>位。</w:t>
      </w:r>
    </w:p>
    <w:p>
      <w:pPr>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2、勘察费投标</w:t>
      </w:r>
      <w:r>
        <w:rPr>
          <w:rFonts w:hint="eastAsia" w:ascii="宋体" w:hAnsi="宋体" w:eastAsia="宋体" w:cs="宋体"/>
          <w:color w:val="auto"/>
          <w:szCs w:val="21"/>
          <w:highlight w:val="none"/>
        </w:rPr>
        <w:t>下浮率</w:t>
      </w:r>
      <w:r>
        <w:rPr>
          <w:rFonts w:ascii="宋体" w:hAnsi="宋体" w:eastAsia="宋体" w:cs="宋体"/>
          <w:color w:val="auto"/>
          <w:szCs w:val="21"/>
          <w:highlight w:val="none"/>
        </w:rPr>
        <w:t xml:space="preserve"> =（1-勘察费报价/勘察费最高投标限价）*100%；设计费投标</w:t>
      </w:r>
      <w:r>
        <w:rPr>
          <w:rFonts w:hint="eastAsia" w:ascii="宋体" w:hAnsi="宋体" w:eastAsia="宋体" w:cs="宋体"/>
          <w:color w:val="auto"/>
          <w:szCs w:val="21"/>
          <w:highlight w:val="none"/>
        </w:rPr>
        <w:t>下浮率</w:t>
      </w:r>
      <w:r>
        <w:rPr>
          <w:rFonts w:ascii="宋体" w:hAnsi="宋体" w:eastAsia="宋体" w:cs="宋体"/>
          <w:color w:val="auto"/>
          <w:szCs w:val="21"/>
          <w:highlight w:val="none"/>
        </w:rPr>
        <w:t xml:space="preserve"> =（1-设计费报价/设计费最高投标限价）*100%</w:t>
      </w:r>
    </w:p>
    <w:p>
      <w:pPr>
        <w:ind w:firstLine="420" w:firstLineChars="200"/>
        <w:rPr>
          <w:rFonts w:hint="eastAsia" w:ascii="宋体" w:hAnsi="宋体" w:eastAsia="宋体" w:cs="宋体"/>
          <w:bCs/>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zh-CN"/>
        </w:rPr>
        <w:t>投标下浮率以百分比为单位，保留到小数点后</w:t>
      </w:r>
      <w:r>
        <w:rPr>
          <w:rFonts w:ascii="宋体" w:hAnsi="宋体" w:eastAsia="宋体" w:cs="宋体"/>
          <w:color w:val="auto"/>
          <w:szCs w:val="21"/>
          <w:highlight w:val="none"/>
        </w:rPr>
        <w:t>2</w:t>
      </w:r>
      <w:r>
        <w:rPr>
          <w:rFonts w:hint="eastAsia" w:ascii="宋体" w:hAnsi="宋体" w:eastAsia="宋体" w:cs="宋体"/>
          <w:color w:val="auto"/>
          <w:szCs w:val="21"/>
          <w:highlight w:val="none"/>
          <w:lang w:val="zh-CN"/>
        </w:rPr>
        <w:t>位。</w:t>
      </w:r>
      <w:r>
        <w:rPr>
          <w:rFonts w:hint="eastAsia" w:ascii="宋体" w:hAnsi="宋体" w:eastAsia="宋体" w:cs="宋体"/>
          <w:color w:val="auto"/>
          <w:szCs w:val="21"/>
          <w:highlight w:val="none"/>
        </w:rPr>
        <w:t>投标报价与投标下浮率不符时，以投标下浮率为准修正总价。</w:t>
      </w:r>
    </w:p>
    <w:p>
      <w:pPr>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4、勘察费包含勘探费和测量费。</w:t>
      </w:r>
    </w:p>
    <w:p>
      <w:pPr>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5、最高投标限价详见勘探费计算依据表、测量费计算依据表、工程设计费用计算表。</w:t>
      </w:r>
    </w:p>
    <w:p>
      <w:pPr>
        <w:spacing w:line="366" w:lineRule="exact"/>
        <w:rPr>
          <w:rFonts w:hint="eastAsia" w:ascii="宋体" w:hAnsi="宋体"/>
          <w:b/>
          <w:bCs/>
          <w:color w:val="auto"/>
          <w:highlight w:val="none"/>
        </w:rPr>
      </w:pPr>
      <w:r>
        <w:rPr>
          <w:rFonts w:hint="eastAsia" w:ascii="宋体" w:hAnsi="宋体"/>
          <w:b/>
          <w:bCs/>
          <w:color w:val="auto"/>
          <w:szCs w:val="21"/>
          <w:highlight w:val="none"/>
        </w:rPr>
        <w:t>附表：</w:t>
      </w:r>
    </w:p>
    <w:p>
      <w:pPr>
        <w:spacing w:line="366" w:lineRule="exact"/>
        <w:rPr>
          <w:rFonts w:hint="eastAsia" w:ascii="宋体" w:hAnsi="宋体"/>
          <w:b/>
          <w:bCs/>
          <w:color w:val="auto"/>
          <w:highlight w:val="none"/>
        </w:rPr>
      </w:pPr>
      <w:r>
        <w:rPr>
          <w:rFonts w:hint="eastAsia" w:ascii="宋体" w:hAnsi="宋体"/>
          <w:b/>
          <w:bCs/>
          <w:color w:val="auto"/>
          <w:szCs w:val="21"/>
          <w:highlight w:val="none"/>
        </w:rPr>
        <w:t>1、勘探费计算依据表</w:t>
      </w:r>
    </w:p>
    <w:p>
      <w:pPr>
        <w:spacing w:line="366" w:lineRule="exact"/>
        <w:rPr>
          <w:rFonts w:hint="eastAsia" w:ascii="宋体" w:hAnsi="宋体" w:eastAsia="宋体"/>
          <w:b/>
          <w:bCs/>
          <w:color w:val="auto"/>
          <w:highlight w:val="none"/>
        </w:rPr>
      </w:pPr>
      <w:r>
        <w:rPr>
          <w:rFonts w:hint="eastAsia" w:ascii="宋体" w:hAnsi="宋体" w:eastAsia="宋体"/>
          <w:b/>
          <w:bCs/>
          <w:color w:val="auto"/>
          <w:szCs w:val="21"/>
          <w:highlight w:val="none"/>
        </w:rPr>
        <w:t>2、</w:t>
      </w:r>
      <w:r>
        <w:rPr>
          <w:rFonts w:hint="eastAsia" w:ascii="宋体" w:hAnsi="宋体" w:eastAsia="宋体"/>
          <w:b/>
          <w:bCs/>
          <w:color w:val="auto"/>
          <w:highlight w:val="none"/>
        </w:rPr>
        <w:t>测量费计算依据表</w:t>
      </w:r>
    </w:p>
    <w:p>
      <w:pPr>
        <w:spacing w:line="366" w:lineRule="exact"/>
        <w:rPr>
          <w:rFonts w:hint="eastAsia" w:ascii="宋体" w:hAnsi="宋体"/>
          <w:b/>
          <w:bCs/>
          <w:color w:val="auto"/>
          <w:highlight w:val="none"/>
        </w:rPr>
      </w:pPr>
      <w:r>
        <w:rPr>
          <w:rFonts w:hint="eastAsia" w:ascii="宋体" w:hAnsi="宋体" w:eastAsia="宋体"/>
          <w:b/>
          <w:bCs/>
          <w:color w:val="auto"/>
          <w:szCs w:val="21"/>
          <w:highlight w:val="none"/>
        </w:rPr>
        <w:t>3</w:t>
      </w:r>
      <w:r>
        <w:rPr>
          <w:rFonts w:hint="eastAsia" w:ascii="宋体" w:hAnsi="宋体"/>
          <w:b/>
          <w:bCs/>
          <w:color w:val="auto"/>
          <w:szCs w:val="21"/>
          <w:highlight w:val="none"/>
        </w:rPr>
        <w:t>、工程设计费用计算表</w:t>
      </w:r>
    </w:p>
    <w:p>
      <w:pPr>
        <w:spacing w:line="366" w:lineRule="exact"/>
        <w:rPr>
          <w:rFonts w:hint="eastAsia" w:ascii="宋体" w:hAnsi="宋体" w:eastAsia="宋体"/>
          <w:color w:val="auto"/>
          <w:szCs w:val="21"/>
          <w:highlight w:val="none"/>
        </w:rPr>
      </w:pPr>
    </w:p>
    <w:p>
      <w:pPr>
        <w:widowControl/>
        <w:jc w:val="left"/>
        <w:rPr>
          <w:rFonts w:hint="eastAsia" w:ascii="宋体" w:hAnsi="宋体" w:eastAsia="宋体"/>
          <w:color w:val="auto"/>
          <w:sz w:val="24"/>
          <w:szCs w:val="24"/>
          <w:highlight w:val="none"/>
        </w:rPr>
      </w:pPr>
      <w:r>
        <w:rPr>
          <w:rFonts w:ascii="宋体" w:hAnsi="宋体" w:eastAsia="宋体"/>
          <w:color w:val="auto"/>
          <w:sz w:val="24"/>
          <w:szCs w:val="24"/>
          <w:highlight w:val="none"/>
        </w:rPr>
        <w:br w:type="page"/>
      </w:r>
    </w:p>
    <w:p>
      <w:pPr>
        <w:widowControl/>
        <w:kinsoku w:val="0"/>
        <w:autoSpaceDE w:val="0"/>
        <w:autoSpaceDN w:val="0"/>
        <w:adjustRightInd w:val="0"/>
        <w:snapToGrid w:val="0"/>
        <w:spacing w:after="0" w:line="366" w:lineRule="exact"/>
        <w:jc w:val="left"/>
        <w:textAlignment w:val="baseline"/>
        <w:rPr>
          <w:rFonts w:ascii="宋体" w:hAnsi="宋体" w:eastAsia="Arial" w:cs="Arial"/>
          <w:snapToGrid w:val="0"/>
          <w:color w:val="auto"/>
          <w:kern w:val="0"/>
          <w:szCs w:val="21"/>
          <w:highlight w:val="none"/>
        </w:rPr>
      </w:pPr>
      <w:r>
        <w:rPr>
          <w:rFonts w:hint="eastAsia" w:ascii="宋体" w:hAnsi="宋体" w:eastAsia="宋体" w:cs="宋体"/>
          <w:snapToGrid w:val="0"/>
          <w:color w:val="auto"/>
          <w:kern w:val="0"/>
          <w:szCs w:val="21"/>
          <w:highlight w:val="none"/>
        </w:rPr>
        <w:t>附表</w:t>
      </w:r>
      <w:r>
        <w:rPr>
          <w:rFonts w:hint="eastAsia" w:ascii="宋体" w:hAnsi="宋体" w:eastAsia="Arial" w:cs="Arial"/>
          <w:snapToGrid w:val="0"/>
          <w:color w:val="auto"/>
          <w:kern w:val="0"/>
          <w:szCs w:val="21"/>
          <w:highlight w:val="none"/>
        </w:rPr>
        <w:t>1</w:t>
      </w:r>
      <w:r>
        <w:rPr>
          <w:rFonts w:hint="eastAsia" w:ascii="宋体" w:hAnsi="宋体" w:eastAsia="宋体" w:cs="宋体"/>
          <w:snapToGrid w:val="0"/>
          <w:color w:val="auto"/>
          <w:kern w:val="0"/>
          <w:szCs w:val="21"/>
          <w:highlight w:val="none"/>
        </w:rPr>
        <w:t>：</w:t>
      </w:r>
    </w:p>
    <w:p>
      <w:pPr>
        <w:widowControl/>
        <w:kinsoku w:val="0"/>
        <w:wordWrap w:val="0"/>
        <w:topLinePunct/>
        <w:autoSpaceDE w:val="0"/>
        <w:autoSpaceDN w:val="0"/>
        <w:adjustRightInd w:val="0"/>
        <w:snapToGrid w:val="0"/>
        <w:spacing w:after="0" w:line="240" w:lineRule="auto"/>
        <w:jc w:val="center"/>
        <w:textAlignment w:val="baseline"/>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32"/>
          <w:szCs w:val="21"/>
          <w:highlight w:val="none"/>
        </w:rPr>
        <w:t>勘探费计算依据表</w:t>
      </w:r>
    </w:p>
    <w:tbl>
      <w:tblPr>
        <w:tblStyle w:val="4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432"/>
        <w:gridCol w:w="2407"/>
        <w:gridCol w:w="1139"/>
        <w:gridCol w:w="1245"/>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勘探费</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限价</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一般场地道路工程、排水管网工程、房建工程</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每米综合包干单价（元）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暂定工程量（米）</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690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暂定勘探费（元）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138000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山上道路工程、房建工程</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每米综合包干单价（元）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暂定工程量（米）</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暂定勘探费（元）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水上道路工程</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每米综合包干单价（元）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暂定工程量（米）</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298</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暂定勘探费（元）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119200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一般场地桥梁工程</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每米综合包干单价（元）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暂定工程量（米）</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暂定勘探费（元）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山上水上桥梁工程</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每米综合包干单价（元）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暂定工程量（米）</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暂定勘探费（元）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跨江、河桥梁工程</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每米综合包干单价（元）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暂定工程量（米）</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220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暂定勘探费（元）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176000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过山隧道工程</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每米综合包干单价（元）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暂定工程量（米）</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暂定勘探费（元）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2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433200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atLeast"/>
              <w:jc w:val="center"/>
              <w:rPr>
                <w:rFonts w:hint="eastAsia" w:ascii="宋体" w:hAnsi="宋体" w:eastAsia="宋体" w:cs="宋体"/>
                <w:i w:val="0"/>
                <w:iCs w:val="0"/>
                <w:color w:val="auto"/>
                <w:sz w:val="21"/>
                <w:szCs w:val="21"/>
                <w:highlight w:val="none"/>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atLeas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22=3+6+9+12+15+18+21</w:t>
            </w:r>
          </w:p>
        </w:tc>
      </w:tr>
    </w:tbl>
    <w:p>
      <w:pPr>
        <w:widowControl/>
        <w:kinsoku w:val="0"/>
        <w:wordWrap w:val="0"/>
        <w:topLinePunct/>
        <w:autoSpaceDE w:val="0"/>
        <w:autoSpaceDN w:val="0"/>
        <w:adjustRightInd w:val="0"/>
        <w:snapToGrid w:val="0"/>
        <w:spacing w:after="0" w:line="240" w:lineRule="auto"/>
        <w:ind w:firstLine="420" w:firstLineChars="200"/>
        <w:jc w:val="left"/>
        <w:textAlignment w:val="baseline"/>
        <w:rPr>
          <w:rFonts w:ascii="宋体" w:hAnsi="宋体" w:eastAsia="Arial" w:cs="Arial"/>
          <w:snapToGrid w:val="0"/>
          <w:color w:val="auto"/>
          <w:kern w:val="0"/>
          <w:szCs w:val="21"/>
          <w:highlight w:val="none"/>
        </w:rPr>
      </w:pPr>
      <w:r>
        <w:rPr>
          <w:rFonts w:hint="eastAsia" w:ascii="宋体" w:hAnsi="宋体" w:eastAsia="宋体" w:cs="宋体"/>
          <w:snapToGrid w:val="0"/>
          <w:color w:val="auto"/>
          <w:kern w:val="0"/>
          <w:szCs w:val="21"/>
          <w:highlight w:val="none"/>
        </w:rPr>
        <w:t>注：最终勘探内容和工作量以招标人根据现场实际情况确认为准。</w:t>
      </w:r>
    </w:p>
    <w:p>
      <w:pPr>
        <w:widowControl/>
        <w:kinsoku w:val="0"/>
        <w:autoSpaceDE w:val="0"/>
        <w:autoSpaceDN w:val="0"/>
        <w:adjustRightInd w:val="0"/>
        <w:snapToGrid w:val="0"/>
        <w:spacing w:after="0" w:line="240" w:lineRule="auto"/>
        <w:jc w:val="left"/>
        <w:textAlignment w:val="baseline"/>
        <w:rPr>
          <w:rFonts w:hint="eastAsia" w:ascii="宋体" w:hAnsi="宋体" w:eastAsia="宋体" w:cs="宋体"/>
          <w:snapToGrid w:val="0"/>
          <w:color w:val="auto"/>
          <w:spacing w:val="-3"/>
          <w:kern w:val="0"/>
          <w:szCs w:val="21"/>
          <w:highlight w:val="none"/>
        </w:rPr>
      </w:pPr>
      <w:r>
        <w:rPr>
          <w:rFonts w:hint="eastAsia" w:ascii="宋体" w:hAnsi="宋体" w:eastAsia="宋体" w:cs="宋体"/>
          <w:snapToGrid w:val="0"/>
          <w:color w:val="auto"/>
          <w:spacing w:val="-3"/>
          <w:kern w:val="0"/>
          <w:szCs w:val="21"/>
          <w:highlight w:val="none"/>
        </w:rPr>
        <w:br w:type="page"/>
      </w:r>
    </w:p>
    <w:p>
      <w:pPr>
        <w:widowControl/>
        <w:kinsoku w:val="0"/>
        <w:autoSpaceDE w:val="0"/>
        <w:autoSpaceDN w:val="0"/>
        <w:adjustRightInd w:val="0"/>
        <w:snapToGrid w:val="0"/>
        <w:spacing w:after="0" w:line="366" w:lineRule="exact"/>
        <w:jc w:val="left"/>
        <w:textAlignment w:val="baseline"/>
        <w:rPr>
          <w:rFonts w:ascii="宋体" w:hAnsi="宋体" w:eastAsia="Arial" w:cs="Arial"/>
          <w:snapToGrid w:val="0"/>
          <w:color w:val="auto"/>
          <w:kern w:val="0"/>
          <w:szCs w:val="21"/>
          <w:highlight w:val="none"/>
        </w:rPr>
      </w:pPr>
      <w:r>
        <w:rPr>
          <w:rFonts w:hint="eastAsia" w:ascii="宋体" w:hAnsi="宋体" w:eastAsia="宋体" w:cs="宋体"/>
          <w:snapToGrid w:val="0"/>
          <w:color w:val="auto"/>
          <w:kern w:val="0"/>
          <w:szCs w:val="21"/>
          <w:highlight w:val="none"/>
        </w:rPr>
        <w:t>附表</w:t>
      </w:r>
      <w:r>
        <w:rPr>
          <w:rFonts w:hint="eastAsia" w:ascii="宋体" w:hAnsi="宋体" w:eastAsia="宋体" w:cs="Arial"/>
          <w:snapToGrid w:val="0"/>
          <w:color w:val="auto"/>
          <w:kern w:val="0"/>
          <w:szCs w:val="21"/>
          <w:highlight w:val="none"/>
        </w:rPr>
        <w:t>2</w:t>
      </w:r>
      <w:r>
        <w:rPr>
          <w:rFonts w:hint="eastAsia" w:ascii="宋体" w:hAnsi="宋体" w:eastAsia="宋体" w:cs="宋体"/>
          <w:snapToGrid w:val="0"/>
          <w:color w:val="auto"/>
          <w:kern w:val="0"/>
          <w:szCs w:val="21"/>
          <w:highlight w:val="none"/>
        </w:rPr>
        <w:t>：</w:t>
      </w:r>
    </w:p>
    <w:p>
      <w:pPr>
        <w:widowControl/>
        <w:kinsoku w:val="0"/>
        <w:autoSpaceDE w:val="0"/>
        <w:autoSpaceDN w:val="0"/>
        <w:adjustRightInd w:val="0"/>
        <w:snapToGrid w:val="0"/>
        <w:spacing w:after="0" w:line="320" w:lineRule="exact"/>
        <w:jc w:val="center"/>
        <w:textAlignment w:val="baseline"/>
        <w:rPr>
          <w:rFonts w:ascii="宋体" w:hAnsi="宋体" w:eastAsia="Arial" w:cs="Arial"/>
          <w:snapToGrid w:val="0"/>
          <w:color w:val="auto"/>
          <w:kern w:val="0"/>
          <w:sz w:val="24"/>
          <w:szCs w:val="21"/>
          <w:highlight w:val="none"/>
        </w:rPr>
      </w:pPr>
      <w:r>
        <w:rPr>
          <w:rFonts w:hint="eastAsia" w:ascii="宋体" w:hAnsi="宋体" w:eastAsia="宋体" w:cs="宋体"/>
          <w:b/>
          <w:snapToGrid w:val="0"/>
          <w:color w:val="auto"/>
          <w:kern w:val="0"/>
          <w:sz w:val="32"/>
          <w:szCs w:val="21"/>
          <w:highlight w:val="none"/>
        </w:rPr>
        <w:t>测量费计算依据表</w:t>
      </w:r>
    </w:p>
    <w:p>
      <w:pPr>
        <w:numPr>
          <w:ilvl w:val="0"/>
          <w:numId w:val="0"/>
        </w:numPr>
        <w:rPr>
          <w:rFonts w:hint="eastAsia"/>
          <w:color w:val="auto"/>
          <w:sz w:val="28"/>
          <w:szCs w:val="36"/>
          <w:highlight w:val="none"/>
          <w:lang w:val="en-US" w:eastAsia="zh-CN"/>
        </w:rPr>
      </w:pPr>
    </w:p>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
        <w:gridCol w:w="1730"/>
        <w:gridCol w:w="589"/>
        <w:gridCol w:w="706"/>
        <w:gridCol w:w="652"/>
        <w:gridCol w:w="558"/>
        <w:gridCol w:w="1140"/>
        <w:gridCol w:w="1250"/>
        <w:gridCol w:w="1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复杂程度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测量费计算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E级GPS测量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E级GPS RTK观测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38295.00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规划报建用地预审地形图控制点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二级点（三角边）测量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图根控制点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11615.00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Ⅳ等水准测量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图根水准测量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1：500数字化地形图（一般区）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13456.15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规划报建用地预审地形图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1：500数字化地形图（建筑区）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13456.15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1：500数字化地形图（建筑区）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5"/>
                <w:color w:val="auto"/>
                <w:highlight w:val="none"/>
                <w:lang w:val="en-US" w:eastAsia="zh-CN" w:bidi="ar"/>
              </w:rPr>
              <w:t>km</w:t>
            </w:r>
            <w:r>
              <w:rPr>
                <w:rStyle w:val="166"/>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1：500数字化地形图（一般区）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5"/>
                <w:color w:val="auto"/>
                <w:highlight w:val="none"/>
                <w:lang w:val="en-US" w:eastAsia="zh-CN" w:bidi="ar"/>
              </w:rPr>
              <w:t>km</w:t>
            </w:r>
            <w:r>
              <w:rPr>
                <w:rStyle w:val="166"/>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76112.10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1:500水域测量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65"/>
                <w:color w:val="auto"/>
                <w:highlight w:val="none"/>
                <w:lang w:val="en-US" w:eastAsia="zh-CN" w:bidi="ar"/>
              </w:rPr>
              <w:t>km</w:t>
            </w:r>
            <w:r>
              <w:rPr>
                <w:rStyle w:val="166"/>
                <w:color w:val="auto"/>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118396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72221.56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定测中桩施放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定测纵断面测量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30329.60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横断面测量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树木摸查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桥涵现况测量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线高、悬高测量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出水口调查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路口标高加密测量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（1—19）项之和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258573.26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技术工作费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（20-2-3-7-8）×22%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48461.22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测量合计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214924.13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物探费计算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雨水管物探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污水管物探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给水管物探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电力管线物探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61200.00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通讯管线物探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其他工业管线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（1.1—1.7）项之和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139500.00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管线测量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雨水管测量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11688.00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污水管测量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9740.00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给水管测量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9740.00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电力管线测量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24582.00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通讯管线测量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8676.00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燃气管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其他工业管线测量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标高测点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（2.1—2.8）项之和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技术工作费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{（1.8）+（2.9）-（2.8}×22%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45237.72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物探合计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{（1.8）+（2.9）+（3）}×70%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175604.60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测量及物探合计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 + 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390528.74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Pr>
        <w:widowControl/>
        <w:kinsoku w:val="0"/>
        <w:autoSpaceDE w:val="0"/>
        <w:autoSpaceDN w:val="0"/>
        <w:adjustRightInd w:val="0"/>
        <w:spacing w:after="0" w:line="240" w:lineRule="auto"/>
        <w:ind w:firstLine="424" w:firstLineChars="202"/>
        <w:jc w:val="left"/>
        <w:textAlignment w:val="baseline"/>
        <w:rPr>
          <w:rFonts w:ascii="宋体" w:hAnsi="宋体" w:eastAsia="Arial" w:cs="Arial"/>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注：</w:t>
      </w:r>
      <w:r>
        <w:rPr>
          <w:rFonts w:hint="eastAsia" w:ascii="宋体" w:hAnsi="宋体" w:eastAsia="宋体" w:cs="宋体"/>
          <w:snapToGrid w:val="0"/>
          <w:color w:val="auto"/>
          <w:kern w:val="0"/>
          <w:szCs w:val="21"/>
          <w:highlight w:val="none"/>
        </w:rPr>
        <w:t>最终测量内容和工作量以招标人根据现场实际情况确认为准。</w:t>
      </w:r>
    </w:p>
    <w:p>
      <w:pPr>
        <w:widowControl/>
        <w:kinsoku w:val="0"/>
        <w:autoSpaceDE w:val="0"/>
        <w:autoSpaceDN w:val="0"/>
        <w:adjustRightInd w:val="0"/>
        <w:spacing w:after="0" w:line="240" w:lineRule="auto"/>
        <w:ind w:firstLine="424" w:firstLineChars="202"/>
        <w:jc w:val="left"/>
        <w:textAlignment w:val="baseline"/>
        <w:rPr>
          <w:rFonts w:ascii="宋体" w:hAnsi="宋体" w:eastAsia="Arial" w:cs="Arial"/>
          <w:snapToGrid w:val="0"/>
          <w:color w:val="auto"/>
          <w:kern w:val="0"/>
          <w:szCs w:val="21"/>
          <w:highlight w:val="none"/>
        </w:rPr>
      </w:pPr>
      <w:r>
        <w:rPr>
          <w:rFonts w:hint="eastAsia" w:ascii="宋体" w:hAnsi="宋体" w:eastAsia="宋体" w:cs="宋体"/>
          <w:snapToGrid w:val="0"/>
          <w:color w:val="auto"/>
          <w:kern w:val="0"/>
          <w:szCs w:val="21"/>
          <w:highlight w:val="none"/>
          <w:u w:val="single"/>
        </w:rPr>
        <w:t>本工程测量如含文物、坟墓等重要构、建筑物测量，费用由投标人在投标报价中综合考虑。</w:t>
      </w:r>
    </w:p>
    <w:p>
      <w:pPr>
        <w:widowControl/>
        <w:kinsoku w:val="0"/>
        <w:autoSpaceDE w:val="0"/>
        <w:autoSpaceDN w:val="0"/>
        <w:adjustRightInd w:val="0"/>
        <w:snapToGrid w:val="0"/>
        <w:spacing w:after="0" w:line="240" w:lineRule="auto"/>
        <w:jc w:val="left"/>
        <w:textAlignment w:val="baseline"/>
        <w:outlineLvl w:val="0"/>
        <w:rPr>
          <w:rFonts w:hint="eastAsia" w:ascii="宋体" w:hAnsi="宋体" w:eastAsia="宋体" w:cs="宋体"/>
          <w:snapToGrid w:val="0"/>
          <w:color w:val="auto"/>
          <w:spacing w:val="-3"/>
          <w:kern w:val="0"/>
          <w:szCs w:val="21"/>
          <w:highlight w:val="none"/>
        </w:rPr>
      </w:pPr>
    </w:p>
    <w:p>
      <w:pPr>
        <w:widowControl/>
        <w:kinsoku w:val="0"/>
        <w:autoSpaceDE w:val="0"/>
        <w:autoSpaceDN w:val="0"/>
        <w:adjustRightInd w:val="0"/>
        <w:snapToGrid w:val="0"/>
        <w:spacing w:after="0" w:line="240" w:lineRule="auto"/>
        <w:jc w:val="left"/>
        <w:textAlignment w:val="baseline"/>
        <w:rPr>
          <w:rFonts w:hint="eastAsia" w:ascii="宋体" w:hAnsi="宋体" w:eastAsia="宋体" w:cs="宋体"/>
          <w:snapToGrid w:val="0"/>
          <w:color w:val="auto"/>
          <w:spacing w:val="-3"/>
          <w:kern w:val="0"/>
          <w:szCs w:val="21"/>
          <w:highlight w:val="none"/>
        </w:rPr>
      </w:pPr>
      <w:r>
        <w:rPr>
          <w:rFonts w:hint="eastAsia" w:ascii="宋体" w:hAnsi="宋体" w:eastAsia="宋体" w:cs="宋体"/>
          <w:snapToGrid w:val="0"/>
          <w:color w:val="auto"/>
          <w:spacing w:val="-3"/>
          <w:kern w:val="0"/>
          <w:szCs w:val="21"/>
          <w:highlight w:val="none"/>
        </w:rPr>
        <w:br w:type="page"/>
      </w:r>
    </w:p>
    <w:p>
      <w:pPr>
        <w:widowControl/>
        <w:kinsoku w:val="0"/>
        <w:autoSpaceDE w:val="0"/>
        <w:autoSpaceDN w:val="0"/>
        <w:adjustRightInd w:val="0"/>
        <w:snapToGrid w:val="0"/>
        <w:spacing w:after="0" w:line="240" w:lineRule="auto"/>
        <w:jc w:val="left"/>
        <w:textAlignment w:val="baseline"/>
        <w:rPr>
          <w:rFonts w:hint="eastAsia" w:ascii="宋体" w:hAnsi="宋体" w:eastAsia="宋体" w:cs="Arial"/>
          <w:b/>
          <w:snapToGrid w:val="0"/>
          <w:color w:val="auto"/>
          <w:kern w:val="0"/>
          <w:szCs w:val="21"/>
          <w:highlight w:val="none"/>
        </w:rPr>
      </w:pPr>
      <w:r>
        <w:rPr>
          <w:rFonts w:hint="eastAsia" w:ascii="宋体" w:hAnsi="宋体" w:eastAsia="宋体" w:cs="Arial"/>
          <w:b/>
          <w:snapToGrid w:val="0"/>
          <w:color w:val="auto"/>
          <w:kern w:val="0"/>
          <w:szCs w:val="21"/>
          <w:highlight w:val="none"/>
          <w:u w:val="single"/>
        </w:rPr>
        <w:t>附表3</w:t>
      </w:r>
    </w:p>
    <w:p>
      <w:pPr>
        <w:widowControl/>
        <w:kinsoku w:val="0"/>
        <w:autoSpaceDE w:val="0"/>
        <w:autoSpaceDN w:val="0"/>
        <w:adjustRightInd w:val="0"/>
        <w:snapToGrid w:val="0"/>
        <w:spacing w:after="0" w:line="240" w:lineRule="auto"/>
        <w:jc w:val="center"/>
        <w:textAlignment w:val="baseline"/>
        <w:rPr>
          <w:rFonts w:ascii="宋体" w:hAnsi="宋体" w:eastAsia="Arial" w:cs="Arial"/>
          <w:b/>
          <w:bCs/>
          <w:snapToGrid w:val="0"/>
          <w:color w:val="auto"/>
          <w:kern w:val="0"/>
          <w:sz w:val="32"/>
          <w:szCs w:val="32"/>
          <w:highlight w:val="none"/>
          <w:u w:val="wave"/>
        </w:rPr>
      </w:pPr>
    </w:p>
    <w:p>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仿宋" w:hAnsi="仿宋" w:eastAsia="仿宋" w:cs="仿宋"/>
          <w:i w:val="0"/>
          <w:iCs w:val="0"/>
          <w:caps w:val="0"/>
          <w:color w:val="auto"/>
          <w:spacing w:val="0"/>
          <w:sz w:val="24"/>
          <w:szCs w:val="24"/>
          <w:highlight w:val="none"/>
          <w:shd w:val="clear" w:fill="FFFFFF"/>
          <w:lang w:val="en-US" w:eastAsia="zh-CN"/>
        </w:rPr>
      </w:pPr>
      <w:r>
        <w:rPr>
          <w:rFonts w:hint="eastAsia" w:ascii="宋体" w:hAnsi="宋体" w:eastAsia="宋体" w:cs="宋体"/>
          <w:b/>
          <w:bCs/>
          <w:snapToGrid w:val="0"/>
          <w:color w:val="auto"/>
          <w:kern w:val="0"/>
          <w:sz w:val="32"/>
          <w:szCs w:val="32"/>
          <w:highlight w:val="none"/>
          <w:u w:val="wave"/>
        </w:rPr>
        <w:t>工程设计费用计算表</w:t>
      </w:r>
    </w:p>
    <w:tbl>
      <w:tblPr>
        <w:tblStyle w:val="45"/>
        <w:tblW w:w="49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1293"/>
        <w:gridCol w:w="1669"/>
        <w:gridCol w:w="1476"/>
        <w:gridCol w:w="1587"/>
        <w:gridCol w:w="1496"/>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8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10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建筑安装工程费(万元）</w:t>
            </w:r>
          </w:p>
        </w:tc>
        <w:tc>
          <w:tcPr>
            <w:tcW w:w="6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工程设计收费基价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（万元）</w:t>
            </w:r>
          </w:p>
        </w:tc>
        <w:tc>
          <w:tcPr>
            <w:tcW w:w="95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调整系数</w:t>
            </w:r>
          </w:p>
        </w:tc>
        <w:tc>
          <w:tcPr>
            <w:tcW w:w="89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基本设计费</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（万元）</w:t>
            </w:r>
          </w:p>
        </w:tc>
        <w:tc>
          <w:tcPr>
            <w:tcW w:w="39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7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项目总投资</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A=</w:t>
            </w:r>
            <w:r>
              <w:rPr>
                <w:rFonts w:hint="eastAsia" w:ascii="宋体" w:hAnsi="宋体" w:eastAsia="宋体" w:cs="宋体"/>
                <w:color w:val="auto"/>
                <w:sz w:val="21"/>
                <w:szCs w:val="21"/>
                <w:highlight w:val="none"/>
                <w:lang w:val="en-US" w:eastAsia="zh-CN"/>
              </w:rPr>
              <w:t>9280.82</w:t>
            </w:r>
          </w:p>
        </w:tc>
        <w:tc>
          <w:tcPr>
            <w:tcW w:w="6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L=284.950632</w:t>
            </w:r>
          </w:p>
        </w:tc>
        <w:tc>
          <w:tcPr>
            <w:tcW w:w="9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p>
        </w:tc>
        <w:tc>
          <w:tcPr>
            <w:tcW w:w="8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B=284.950632</w:t>
            </w:r>
          </w:p>
        </w:tc>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河道堤防工程</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4969.57</w:t>
            </w:r>
          </w:p>
        </w:tc>
        <w:tc>
          <w:tcPr>
            <w:tcW w:w="6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152.5815728</w:t>
            </w:r>
          </w:p>
        </w:tc>
        <w:tc>
          <w:tcPr>
            <w:tcW w:w="9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0.8*1.15*0.85</w:t>
            </w:r>
          </w:p>
        </w:tc>
        <w:tc>
          <w:tcPr>
            <w:tcW w:w="8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119.3187899</w:t>
            </w:r>
          </w:p>
        </w:tc>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水闸工程</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1668.87</w:t>
            </w:r>
          </w:p>
        </w:tc>
        <w:tc>
          <w:tcPr>
            <w:tcW w:w="6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51.23960612</w:t>
            </w:r>
          </w:p>
        </w:tc>
        <w:tc>
          <w:tcPr>
            <w:tcW w:w="9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0.8*1.15*1.3</w:t>
            </w:r>
          </w:p>
        </w:tc>
        <w:tc>
          <w:tcPr>
            <w:tcW w:w="16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61.28256891</w:t>
            </w:r>
          </w:p>
        </w:tc>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泵站工程</w:t>
            </w:r>
          </w:p>
        </w:tc>
        <w:tc>
          <w:tcPr>
            <w:tcW w:w="100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2642.38</w:t>
            </w:r>
          </w:p>
        </w:tc>
        <w:tc>
          <w:tcPr>
            <w:tcW w:w="69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81.12945311</w:t>
            </w:r>
          </w:p>
        </w:tc>
        <w:tc>
          <w:tcPr>
            <w:tcW w:w="95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0.8*1*</w:t>
            </w:r>
            <w:r>
              <w:rPr>
                <w:rFonts w:hint="eastAsia" w:ascii="宋体" w:hAnsi="宋体" w:eastAsia="宋体" w:cs="宋体"/>
                <w:color w:val="auto"/>
                <w:sz w:val="21"/>
                <w:szCs w:val="21"/>
                <w:highlight w:val="none"/>
                <w:lang w:val="en-US" w:eastAsia="zh-CN"/>
              </w:rPr>
              <w:t>1.3</w:t>
            </w:r>
          </w:p>
        </w:tc>
        <w:tc>
          <w:tcPr>
            <w:tcW w:w="16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84.37463123</w:t>
            </w:r>
          </w:p>
        </w:tc>
        <w:tc>
          <w:tcPr>
            <w:tcW w:w="39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7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设计总收费</w:t>
            </w:r>
          </w:p>
        </w:tc>
        <w:tc>
          <w:tcPr>
            <w:tcW w:w="2644"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下浮20%</w:t>
            </w:r>
          </w:p>
        </w:tc>
        <w:tc>
          <w:tcPr>
            <w:tcW w:w="16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211.980792</w:t>
            </w:r>
          </w:p>
        </w:tc>
        <w:tc>
          <w:tcPr>
            <w:tcW w:w="399"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highlight w:val="none"/>
                <w:u w:val="none"/>
              </w:rPr>
            </w:pPr>
          </w:p>
        </w:tc>
      </w:tr>
    </w:tbl>
    <w:p>
      <w:pPr>
        <w:widowControl/>
        <w:kinsoku w:val="0"/>
        <w:autoSpaceDE w:val="0"/>
        <w:autoSpaceDN w:val="0"/>
        <w:adjustRightInd w:val="0"/>
        <w:snapToGrid w:val="0"/>
        <w:spacing w:after="0" w:line="240" w:lineRule="auto"/>
        <w:ind w:firstLine="414" w:firstLineChars="202"/>
        <w:jc w:val="left"/>
        <w:textAlignment w:val="baseline"/>
        <w:rPr>
          <w:rFonts w:ascii="宋体" w:hAnsi="宋体" w:eastAsia="Arial" w:cs="Arial"/>
          <w:snapToGrid w:val="0"/>
          <w:color w:val="auto"/>
          <w:kern w:val="0"/>
          <w:szCs w:val="21"/>
          <w:highlight w:val="none"/>
        </w:rPr>
      </w:pPr>
      <w:r>
        <w:rPr>
          <w:rFonts w:hint="eastAsia" w:ascii="宋体" w:hAnsi="宋体" w:eastAsia="宋体" w:cs="宋体"/>
          <w:b/>
          <w:bCs/>
          <w:snapToGrid w:val="0"/>
          <w:color w:val="auto"/>
          <w:spacing w:val="-3"/>
          <w:kern w:val="0"/>
          <w:szCs w:val="21"/>
          <w:highlight w:val="none"/>
        </w:rPr>
        <w:t>注：本计算表为固定格式，相关内容及数据不需修改填报。设计费按照“六、勘察设计费报价表”填报即可。</w:t>
      </w:r>
      <w:r>
        <w:rPr>
          <w:rFonts w:hint="eastAsia" w:ascii="宋体" w:hAnsi="宋体" w:eastAsia="宋体" w:cs="宋体"/>
          <w:snapToGrid w:val="0"/>
          <w:color w:val="auto"/>
          <w:spacing w:val="-3"/>
          <w:kern w:val="0"/>
          <w:szCs w:val="21"/>
          <w:highlight w:val="none"/>
        </w:rPr>
        <w:br w:type="page"/>
      </w:r>
    </w:p>
    <w:p>
      <w:pPr>
        <w:wordWrap w:val="0"/>
        <w:rPr>
          <w:rFonts w:hint="eastAsia" w:ascii="宋体" w:hAnsi="宋体" w:eastAsia="宋体" w:cs="宋体"/>
          <w:color w:val="auto"/>
          <w:szCs w:val="24"/>
          <w:highlight w:val="none"/>
        </w:rPr>
      </w:pPr>
    </w:p>
    <w:bookmarkEnd w:id="249"/>
    <w:bookmarkEnd w:id="250"/>
    <w:p>
      <w:pPr>
        <w:pStyle w:val="5"/>
        <w:wordWrap w:val="0"/>
        <w:rPr>
          <w:rFonts w:hint="eastAsia"/>
          <w:color w:val="auto"/>
          <w:highlight w:val="none"/>
        </w:rPr>
      </w:pPr>
      <w:r>
        <w:rPr>
          <w:rFonts w:hint="eastAsia"/>
          <w:color w:val="auto"/>
          <w:highlight w:val="none"/>
        </w:rPr>
        <w:t>七、</w:t>
      </w:r>
      <w:r>
        <w:rPr>
          <w:rFonts w:hint="eastAsia" w:cs="宋体"/>
          <w:color w:val="auto"/>
          <w:highlight w:val="none"/>
        </w:rPr>
        <w:t>资格审查资料</w:t>
      </w:r>
    </w:p>
    <w:p>
      <w:pPr>
        <w:widowControl/>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rPr>
        <w:t>营业执照或事业单位登记机构核发的事业单位法人证书、资质证书、香港企业相关证明资料；</w:t>
      </w:r>
    </w:p>
    <w:p>
      <w:pPr>
        <w:widowControl/>
        <w:spacing w:line="360" w:lineRule="auto"/>
        <w:jc w:val="left"/>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2）</w:t>
      </w:r>
      <w:r>
        <w:rPr>
          <w:rFonts w:hint="eastAsia" w:ascii="宋体" w:hAnsi="宋体" w:eastAsia="宋体"/>
          <w:color w:val="auto"/>
          <w:sz w:val="24"/>
          <w:szCs w:val="24"/>
          <w:highlight w:val="none"/>
        </w:rPr>
        <w:t>项目负责人资格证明资料；</w:t>
      </w:r>
    </w:p>
    <w:p>
      <w:pPr>
        <w:widowControl/>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3）业绩证明资料</w:t>
      </w:r>
      <w:r>
        <w:rPr>
          <w:rFonts w:hint="eastAsia" w:ascii="宋体" w:hAnsi="宋体" w:eastAsia="宋体"/>
          <w:color w:val="auto"/>
          <w:sz w:val="24"/>
          <w:szCs w:val="24"/>
          <w:highlight w:val="none"/>
          <w:u w:val="single"/>
        </w:rPr>
        <w:t>（如要求）</w:t>
      </w:r>
      <w:r>
        <w:rPr>
          <w:rFonts w:hint="eastAsia" w:ascii="宋体" w:hAnsi="宋体" w:eastAsia="宋体"/>
          <w:color w:val="auto"/>
          <w:sz w:val="24"/>
          <w:szCs w:val="24"/>
          <w:highlight w:val="none"/>
        </w:rPr>
        <w:t>；</w:t>
      </w:r>
    </w:p>
    <w:p>
      <w:pPr>
        <w:widowControl/>
        <w:spacing w:line="360" w:lineRule="auto"/>
        <w:jc w:val="left"/>
        <w:rPr>
          <w:rFonts w:hint="eastAsia" w:ascii="宋体" w:hAnsi="宋体" w:eastAsia="宋体" w:cs="宋体"/>
          <w:bCs/>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5）“信用广州”网站查询结果网页截图；</w:t>
      </w:r>
    </w:p>
    <w:p>
      <w:pPr>
        <w:widowControl/>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4）投标人声明</w:t>
      </w:r>
      <w:r>
        <w:rPr>
          <w:rFonts w:hint="eastAsia" w:ascii="宋体" w:hAnsi="宋体" w:eastAsia="宋体" w:cs="宋体"/>
          <w:bCs/>
          <w:color w:val="auto"/>
          <w:sz w:val="24"/>
          <w:szCs w:val="24"/>
          <w:highlight w:val="none"/>
        </w:rPr>
        <w:t>、廉洁承诺书；</w:t>
      </w:r>
    </w:p>
    <w:p>
      <w:pPr>
        <w:widowControl/>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5）满足招标公告评审要求的其他资料。</w:t>
      </w:r>
    </w:p>
    <w:p>
      <w:pPr>
        <w:widowControl/>
        <w:jc w:val="left"/>
        <w:rPr>
          <w:rFonts w:hint="eastAsia" w:ascii="宋体" w:hAnsi="宋体" w:eastAsia="宋体" w:cs="宋体"/>
          <w:b/>
          <w:color w:val="auto"/>
          <w:sz w:val="28"/>
          <w:szCs w:val="28"/>
          <w:highlight w:val="none"/>
        </w:rPr>
      </w:pPr>
      <w:r>
        <w:rPr>
          <w:rFonts w:ascii="宋体" w:hAnsi="宋体" w:eastAsia="宋体" w:cs="宋体"/>
          <w:b/>
          <w:color w:val="auto"/>
          <w:sz w:val="28"/>
          <w:szCs w:val="28"/>
          <w:highlight w:val="none"/>
        </w:rPr>
        <w:br w:type="page"/>
      </w:r>
    </w:p>
    <w:p>
      <w:pPr>
        <w:wordWrap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投标人声明</w:t>
      </w:r>
    </w:p>
    <w:p>
      <w:pPr>
        <w:wordWrap w:val="0"/>
        <w:spacing w:line="360" w:lineRule="auto"/>
        <w:ind w:firstLine="629"/>
        <w:rPr>
          <w:rFonts w:hint="eastAsia" w:ascii="宋体" w:hAnsi="宋体" w:eastAsia="宋体" w:cs="宋体"/>
          <w:color w:val="auto"/>
          <w:kern w:val="0"/>
          <w:sz w:val="24"/>
          <w:szCs w:val="24"/>
          <w:highlight w:val="none"/>
        </w:rPr>
      </w:pPr>
    </w:p>
    <w:p>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pPr>
        <w:wordWrap w:val="0"/>
        <w:spacing w:line="360" w:lineRule="auto"/>
        <w:ind w:firstLine="566" w:firstLineChars="2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投标工作，作出郑重声明：我方与招标人过去3年内无合同履约纠纷，不存在第二章“投标人须知”第1.4.3项规定的任何一种情形。</w:t>
      </w:r>
    </w:p>
    <w:p>
      <w:pPr>
        <w:wordWrap w:val="0"/>
        <w:spacing w:line="360" w:lineRule="auto"/>
        <w:ind w:firstLine="566" w:firstLineChars="2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本公司积极响应广州市关于投身“百千万工程”的号召，主动参与政府投资类建设工程施工项目的建筑业结对帮扶等活动。</w:t>
      </w:r>
    </w:p>
    <w:p>
      <w:pPr>
        <w:wordWrap w:val="0"/>
        <w:spacing w:line="360" w:lineRule="auto"/>
        <w:ind w:firstLine="566" w:firstLineChars="236"/>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在招投标过程中，投标人</w:t>
      </w:r>
      <w:r>
        <w:rPr>
          <w:rFonts w:ascii="宋体" w:hAnsi="宋体" w:eastAsia="宋体" w:cs="宋体"/>
          <w:color w:val="auto"/>
          <w:kern w:val="0"/>
          <w:sz w:val="24"/>
          <w:szCs w:val="24"/>
          <w:highlight w:val="none"/>
          <w:u w:val="single"/>
        </w:rPr>
        <w:t>(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wordWrap w:val="0"/>
        <w:spacing w:line="360" w:lineRule="auto"/>
        <w:ind w:firstLine="566" w:firstLineChars="23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pPr>
        <w:wordWrap w:val="0"/>
        <w:spacing w:line="360" w:lineRule="auto"/>
        <w:ind w:firstLine="4080" w:firstLineChars="17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pPr>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p>
      <w:pPr>
        <w:wordWrap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pPr>
        <w:widowControl/>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pPr>
        <w:wordWrap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廉洁承诺书</w:t>
      </w:r>
    </w:p>
    <w:p>
      <w:pPr>
        <w:wordWrap w:val="0"/>
        <w:spacing w:line="360" w:lineRule="auto"/>
        <w:ind w:firstLine="629"/>
        <w:rPr>
          <w:rFonts w:hint="eastAsia" w:ascii="宋体" w:hAnsi="宋体" w:eastAsia="宋体" w:cs="宋体"/>
          <w:color w:val="auto"/>
          <w:kern w:val="0"/>
          <w:sz w:val="24"/>
          <w:szCs w:val="24"/>
          <w:highlight w:val="none"/>
        </w:rPr>
      </w:pPr>
    </w:p>
    <w:p>
      <w:pPr>
        <w:wordWrap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pPr>
        <w:wordWrap w:val="0"/>
        <w:spacing w:line="360" w:lineRule="auto"/>
        <w:ind w:firstLine="566" w:firstLineChars="23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本公司参加了</w:t>
      </w:r>
      <w:r>
        <w:rPr>
          <w:rFonts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投标，为确保招标工作的公平、公正、公开、有序进行，我们保证遵守《中华人民共和国招标投标法》、《中华人民共和国招标投标法实施条例》、《广东省实施</w:t>
      </w:r>
      <w:r>
        <w:rPr>
          <w:rFonts w:ascii="宋体" w:hAnsi="宋体" w:eastAsia="宋体" w:cs="宋体"/>
          <w:color w:val="auto"/>
          <w:kern w:val="0"/>
          <w:sz w:val="24"/>
          <w:szCs w:val="24"/>
          <w:highlight w:val="none"/>
        </w:rPr>
        <w:t>&lt;中华人民共和国招标投标法&gt;办法》等法律法规，</w:t>
      </w:r>
      <w:r>
        <w:rPr>
          <w:rFonts w:hint="eastAsia" w:ascii="宋体" w:hAnsi="宋体" w:eastAsia="宋体" w:cs="宋体"/>
          <w:color w:val="auto"/>
          <w:kern w:val="0"/>
          <w:sz w:val="24"/>
          <w:szCs w:val="24"/>
          <w:highlight w:val="none"/>
        </w:rPr>
        <w:t>特承诺如下事项：</w:t>
      </w:r>
    </w:p>
    <w:p>
      <w:pPr>
        <w:wordWrap w:val="0"/>
        <w:spacing w:line="360" w:lineRule="auto"/>
        <w:ind w:firstLine="566" w:firstLineChars="23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一、自觉遵守国家有关法律法规及廉洁规定。</w:t>
      </w:r>
    </w:p>
    <w:p>
      <w:pPr>
        <w:wordWrap w:val="0"/>
        <w:spacing w:line="360" w:lineRule="auto"/>
        <w:ind w:firstLine="566" w:firstLineChars="23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二、不与招标单位工作人员串通投标，损害国家利益、企业利益以及他人的合法利益；</w:t>
      </w:r>
    </w:p>
    <w:p>
      <w:pPr>
        <w:wordWrap w:val="0"/>
        <w:spacing w:line="360" w:lineRule="auto"/>
        <w:ind w:firstLine="566" w:firstLineChars="23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三、不与其他单位围标、串标，不出让投标资格，不向招标人或评标委员会成员行贿。</w:t>
      </w:r>
    </w:p>
    <w:p>
      <w:pPr>
        <w:wordWrap w:val="0"/>
        <w:spacing w:line="360" w:lineRule="auto"/>
        <w:ind w:firstLine="566" w:firstLineChars="23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四、不以任何名义向参与招标、评标工作的有关人员提供高消费宴请及娱乐活动和赠送回扣、红包、礼金、购物卡、有价证券、贵重物品和好处费、感谢费等；</w:t>
      </w:r>
      <w:r>
        <w:rPr>
          <w:rFonts w:ascii="宋体" w:hAnsi="宋体" w:eastAsia="宋体" w:cs="宋体"/>
          <w:color w:val="auto"/>
          <w:kern w:val="0"/>
          <w:sz w:val="24"/>
          <w:szCs w:val="24"/>
          <w:highlight w:val="none"/>
        </w:rPr>
        <w:t xml:space="preserve"> </w:t>
      </w:r>
    </w:p>
    <w:p>
      <w:pPr>
        <w:wordWrap w:val="0"/>
        <w:spacing w:line="360" w:lineRule="auto"/>
        <w:ind w:firstLine="566" w:firstLineChars="23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五、不以任何名义为参与招标、评标工作的有关人员装修住房、婚丧嫁娶、配偶子女的工作安排以及境内外旅游等提供方便；</w:t>
      </w:r>
    </w:p>
    <w:p>
      <w:pPr>
        <w:wordWrap w:val="0"/>
        <w:spacing w:line="360" w:lineRule="auto"/>
        <w:ind w:firstLine="566" w:firstLineChars="23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六、不以谋取非正当利益为目的，擅自与参与招标、评标工作的有关人员就业务问题进行私下商谈或者达成利益默契。</w:t>
      </w:r>
    </w:p>
    <w:p>
      <w:pPr>
        <w:wordWrap w:val="0"/>
        <w:spacing w:line="360" w:lineRule="auto"/>
        <w:ind w:firstLine="566" w:firstLineChars="23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本公司违反上述承诺，或本承诺陈述与事实不符，经查实，本公司愿意接受公开通报，被招标监管部门信用评价记录不良行为并扣分，并承担由此带来的法律后果。</w:t>
      </w:r>
    </w:p>
    <w:p>
      <w:pPr>
        <w:wordWrap w:val="0"/>
        <w:spacing w:line="360" w:lineRule="auto"/>
        <w:jc w:val="left"/>
        <w:rPr>
          <w:rFonts w:hint="eastAsia" w:ascii="宋体" w:hAnsi="宋体" w:eastAsia="宋体" w:cs="宋体"/>
          <w:color w:val="auto"/>
          <w:kern w:val="0"/>
          <w:sz w:val="24"/>
          <w:szCs w:val="24"/>
          <w:highlight w:val="none"/>
        </w:rPr>
      </w:pPr>
    </w:p>
    <w:p>
      <w:pPr>
        <w:wordWrap w:val="0"/>
        <w:spacing w:line="360" w:lineRule="auto"/>
        <w:jc w:val="left"/>
        <w:rPr>
          <w:rFonts w:hint="eastAsia" w:ascii="宋体" w:hAnsi="宋体" w:eastAsia="宋体" w:cs="宋体"/>
          <w:color w:val="auto"/>
          <w:kern w:val="0"/>
          <w:sz w:val="24"/>
          <w:szCs w:val="24"/>
          <w:highlight w:val="none"/>
        </w:rPr>
      </w:pPr>
    </w:p>
    <w:p>
      <w:pPr>
        <w:wordWrap w:val="0"/>
        <w:spacing w:line="360" w:lineRule="auto"/>
        <w:ind w:firstLine="4080" w:firstLineChars="17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pPr>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p>
      <w:pPr>
        <w:wordWrap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pPr>
        <w:widowControl/>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pPr>
        <w:pStyle w:val="5"/>
        <w:wordWrap w:val="0"/>
        <w:rPr>
          <w:rFonts w:hint="eastAsia" w:cs="宋体"/>
          <w:color w:val="auto"/>
          <w:highlight w:val="none"/>
        </w:rPr>
      </w:pPr>
      <w:r>
        <w:rPr>
          <w:rFonts w:hint="eastAsia"/>
          <w:color w:val="auto"/>
          <w:highlight w:val="none"/>
        </w:rPr>
        <w:t>八、投标人须知前附表规定的其他资料</w:t>
      </w:r>
    </w:p>
    <w:p>
      <w:pPr>
        <w:wordWrap w:val="0"/>
        <w:spacing w:line="360" w:lineRule="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投标人认为有必要提供的其他资料，格式自定。包括但不限于以下资料：</w:t>
      </w:r>
    </w:p>
    <w:p>
      <w:pPr>
        <w:widowControl/>
        <w:jc w:val="left"/>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autoSpaceDE w:val="0"/>
        <w:autoSpaceDN w:val="0"/>
        <w:adjustRightInd w:val="0"/>
        <w:spacing w:line="276" w:lineRule="auto"/>
        <w:ind w:left="284" w:hanging="284"/>
        <w:jc w:val="left"/>
        <w:outlineLvl w:val="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1）本项目拟投入的人员基本情况表</w:t>
      </w:r>
    </w:p>
    <w:tbl>
      <w:tblPr>
        <w:tblStyle w:val="4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93"/>
        <w:gridCol w:w="605"/>
        <w:gridCol w:w="605"/>
        <w:gridCol w:w="962"/>
        <w:gridCol w:w="96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122" w:type="dxa"/>
            <w:vAlign w:val="center"/>
          </w:tcPr>
          <w:p>
            <w:pPr>
              <w:wordWrap w:val="0"/>
              <w:topLinePunct/>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人员安排</w:t>
            </w:r>
          </w:p>
        </w:tc>
        <w:tc>
          <w:tcPr>
            <w:tcW w:w="693" w:type="dxa"/>
            <w:vAlign w:val="center"/>
          </w:tcPr>
          <w:p>
            <w:pPr>
              <w:wordWrap w:val="0"/>
              <w:topLinePunct/>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姓名</w:t>
            </w:r>
          </w:p>
        </w:tc>
        <w:tc>
          <w:tcPr>
            <w:tcW w:w="605" w:type="dxa"/>
            <w:vAlign w:val="center"/>
          </w:tcPr>
          <w:p>
            <w:pPr>
              <w:wordWrap w:val="0"/>
              <w:topLinePunct/>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年龄</w:t>
            </w:r>
          </w:p>
        </w:tc>
        <w:tc>
          <w:tcPr>
            <w:tcW w:w="605" w:type="dxa"/>
            <w:vAlign w:val="center"/>
          </w:tcPr>
          <w:p>
            <w:pPr>
              <w:wordWrap w:val="0"/>
              <w:topLinePunct/>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专业</w:t>
            </w:r>
          </w:p>
        </w:tc>
        <w:tc>
          <w:tcPr>
            <w:tcW w:w="962" w:type="dxa"/>
            <w:vAlign w:val="center"/>
          </w:tcPr>
          <w:p>
            <w:pPr>
              <w:wordWrap w:val="0"/>
              <w:topLinePunct/>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资格条件</w:t>
            </w:r>
          </w:p>
        </w:tc>
        <w:tc>
          <w:tcPr>
            <w:tcW w:w="962" w:type="dxa"/>
            <w:vAlign w:val="center"/>
          </w:tcPr>
          <w:p>
            <w:pPr>
              <w:wordWrap w:val="0"/>
              <w:topLinePunct/>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从业年限</w:t>
            </w:r>
          </w:p>
        </w:tc>
        <w:tc>
          <w:tcPr>
            <w:tcW w:w="2410" w:type="dxa"/>
            <w:vAlign w:val="center"/>
          </w:tcPr>
          <w:p>
            <w:pPr>
              <w:wordWrap w:val="0"/>
              <w:topLinePunct/>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已完成类似的项目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2" w:type="dxa"/>
            <w:vAlign w:val="center"/>
          </w:tcPr>
          <w:p>
            <w:pPr>
              <w:wordWrap w:val="0"/>
              <w:topLinePunct/>
              <w:rPr>
                <w:rFonts w:hint="eastAsia" w:ascii="宋体" w:hAnsi="宋体" w:eastAsia="宋体" w:cs="Times New Roman"/>
                <w:color w:val="auto"/>
                <w:szCs w:val="24"/>
                <w:highlight w:val="none"/>
              </w:rPr>
            </w:pPr>
            <w:r>
              <w:rPr>
                <w:rFonts w:hint="eastAsia" w:ascii="宋体" w:hAnsi="宋体" w:eastAsia="宋体" w:cs="宋体"/>
                <w:b/>
                <w:color w:val="auto"/>
                <w:szCs w:val="24"/>
                <w:highlight w:val="none"/>
              </w:rPr>
              <w:t>项目负责人</w:t>
            </w:r>
          </w:p>
        </w:tc>
        <w:tc>
          <w:tcPr>
            <w:tcW w:w="693" w:type="dxa"/>
            <w:vAlign w:val="center"/>
          </w:tcPr>
          <w:p>
            <w:pPr>
              <w:wordWrap w:val="0"/>
              <w:topLinePunct/>
              <w:rPr>
                <w:rFonts w:hint="eastAsia" w:ascii="宋体" w:hAnsi="宋体" w:eastAsia="宋体" w:cs="Times New Roman"/>
                <w:color w:val="auto"/>
                <w:szCs w:val="24"/>
                <w:highlight w:val="none"/>
              </w:rPr>
            </w:pPr>
          </w:p>
        </w:tc>
        <w:tc>
          <w:tcPr>
            <w:tcW w:w="605" w:type="dxa"/>
          </w:tcPr>
          <w:p>
            <w:pPr>
              <w:wordWrap w:val="0"/>
              <w:topLinePunct/>
              <w:rPr>
                <w:rFonts w:hint="eastAsia" w:ascii="宋体" w:hAnsi="宋体" w:eastAsia="宋体" w:cs="Times New Roman"/>
                <w:color w:val="auto"/>
                <w:szCs w:val="24"/>
                <w:highlight w:val="none"/>
              </w:rPr>
            </w:pPr>
          </w:p>
        </w:tc>
        <w:tc>
          <w:tcPr>
            <w:tcW w:w="605"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2410" w:type="dxa"/>
            <w:vAlign w:val="center"/>
          </w:tcPr>
          <w:p>
            <w:pPr>
              <w:wordWrap w:val="0"/>
              <w:topLinePunct/>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2" w:type="dxa"/>
            <w:vAlign w:val="center"/>
          </w:tcPr>
          <w:p>
            <w:pPr>
              <w:wordWrap w:val="0"/>
              <w:topLinePun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水工专业负责人</w:t>
            </w:r>
          </w:p>
        </w:tc>
        <w:tc>
          <w:tcPr>
            <w:tcW w:w="693" w:type="dxa"/>
            <w:vAlign w:val="center"/>
          </w:tcPr>
          <w:p>
            <w:pPr>
              <w:wordWrap w:val="0"/>
              <w:topLinePunct/>
              <w:rPr>
                <w:rFonts w:hint="eastAsia" w:ascii="宋体" w:hAnsi="宋体" w:eastAsia="宋体" w:cs="Times New Roman"/>
                <w:color w:val="auto"/>
                <w:szCs w:val="24"/>
                <w:highlight w:val="none"/>
              </w:rPr>
            </w:pPr>
          </w:p>
        </w:tc>
        <w:tc>
          <w:tcPr>
            <w:tcW w:w="605" w:type="dxa"/>
          </w:tcPr>
          <w:p>
            <w:pPr>
              <w:wordWrap w:val="0"/>
              <w:topLinePunct/>
              <w:rPr>
                <w:rFonts w:hint="eastAsia" w:ascii="宋体" w:hAnsi="宋体" w:eastAsia="宋体" w:cs="Times New Roman"/>
                <w:color w:val="auto"/>
                <w:szCs w:val="24"/>
                <w:highlight w:val="none"/>
              </w:rPr>
            </w:pPr>
          </w:p>
        </w:tc>
        <w:tc>
          <w:tcPr>
            <w:tcW w:w="605"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2410" w:type="dxa"/>
            <w:vAlign w:val="center"/>
          </w:tcPr>
          <w:p>
            <w:pPr>
              <w:wordWrap w:val="0"/>
              <w:topLinePunct/>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2" w:type="dxa"/>
            <w:vAlign w:val="center"/>
          </w:tcPr>
          <w:p>
            <w:pPr>
              <w:wordWrap w:val="0"/>
              <w:topLinePun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测量专业负责人</w:t>
            </w:r>
          </w:p>
        </w:tc>
        <w:tc>
          <w:tcPr>
            <w:tcW w:w="693" w:type="dxa"/>
            <w:vAlign w:val="center"/>
          </w:tcPr>
          <w:p>
            <w:pPr>
              <w:wordWrap w:val="0"/>
              <w:topLinePunct/>
              <w:rPr>
                <w:rFonts w:hint="eastAsia" w:ascii="宋体" w:hAnsi="宋体" w:eastAsia="宋体" w:cs="Times New Roman"/>
                <w:color w:val="auto"/>
                <w:szCs w:val="24"/>
                <w:highlight w:val="none"/>
              </w:rPr>
            </w:pPr>
          </w:p>
        </w:tc>
        <w:tc>
          <w:tcPr>
            <w:tcW w:w="605" w:type="dxa"/>
          </w:tcPr>
          <w:p>
            <w:pPr>
              <w:wordWrap w:val="0"/>
              <w:topLinePunct/>
              <w:rPr>
                <w:rFonts w:hint="eastAsia" w:ascii="宋体" w:hAnsi="宋体" w:eastAsia="宋体" w:cs="Times New Roman"/>
                <w:color w:val="auto"/>
                <w:szCs w:val="24"/>
                <w:highlight w:val="none"/>
              </w:rPr>
            </w:pPr>
          </w:p>
        </w:tc>
        <w:tc>
          <w:tcPr>
            <w:tcW w:w="605"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2410" w:type="dxa"/>
            <w:vAlign w:val="center"/>
          </w:tcPr>
          <w:p>
            <w:pPr>
              <w:wordWrap w:val="0"/>
              <w:topLinePunct/>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2" w:type="dxa"/>
            <w:vAlign w:val="center"/>
          </w:tcPr>
          <w:p>
            <w:pPr>
              <w:wordWrap w:val="0"/>
              <w:topLinePun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造价专业负责人</w:t>
            </w:r>
          </w:p>
        </w:tc>
        <w:tc>
          <w:tcPr>
            <w:tcW w:w="693" w:type="dxa"/>
            <w:vAlign w:val="center"/>
          </w:tcPr>
          <w:p>
            <w:pPr>
              <w:wordWrap w:val="0"/>
              <w:topLinePunct/>
              <w:rPr>
                <w:rFonts w:hint="eastAsia" w:ascii="宋体" w:hAnsi="宋体" w:eastAsia="宋体" w:cs="Times New Roman"/>
                <w:color w:val="auto"/>
                <w:szCs w:val="24"/>
                <w:highlight w:val="none"/>
              </w:rPr>
            </w:pPr>
          </w:p>
        </w:tc>
        <w:tc>
          <w:tcPr>
            <w:tcW w:w="605" w:type="dxa"/>
          </w:tcPr>
          <w:p>
            <w:pPr>
              <w:wordWrap w:val="0"/>
              <w:topLinePunct/>
              <w:rPr>
                <w:rFonts w:hint="eastAsia" w:ascii="宋体" w:hAnsi="宋体" w:eastAsia="宋体" w:cs="Times New Roman"/>
                <w:color w:val="auto"/>
                <w:szCs w:val="24"/>
                <w:highlight w:val="none"/>
              </w:rPr>
            </w:pPr>
          </w:p>
        </w:tc>
        <w:tc>
          <w:tcPr>
            <w:tcW w:w="605"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2410" w:type="dxa"/>
            <w:vAlign w:val="center"/>
          </w:tcPr>
          <w:p>
            <w:pPr>
              <w:wordWrap w:val="0"/>
              <w:topLinePunct/>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2" w:type="dxa"/>
            <w:vAlign w:val="center"/>
          </w:tcPr>
          <w:p>
            <w:pPr>
              <w:wordWrap w:val="0"/>
              <w:topLinePun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勘察专业负责人</w:t>
            </w:r>
          </w:p>
        </w:tc>
        <w:tc>
          <w:tcPr>
            <w:tcW w:w="693" w:type="dxa"/>
            <w:vAlign w:val="center"/>
          </w:tcPr>
          <w:p>
            <w:pPr>
              <w:wordWrap w:val="0"/>
              <w:topLinePunct/>
              <w:rPr>
                <w:rFonts w:hint="eastAsia" w:ascii="宋体" w:hAnsi="宋体" w:eastAsia="宋体" w:cs="Times New Roman"/>
                <w:color w:val="auto"/>
                <w:szCs w:val="24"/>
                <w:highlight w:val="none"/>
              </w:rPr>
            </w:pPr>
          </w:p>
        </w:tc>
        <w:tc>
          <w:tcPr>
            <w:tcW w:w="605" w:type="dxa"/>
          </w:tcPr>
          <w:p>
            <w:pPr>
              <w:wordWrap w:val="0"/>
              <w:topLinePunct/>
              <w:rPr>
                <w:rFonts w:hint="eastAsia" w:ascii="宋体" w:hAnsi="宋体" w:eastAsia="宋体" w:cs="Times New Roman"/>
                <w:color w:val="auto"/>
                <w:szCs w:val="24"/>
                <w:highlight w:val="none"/>
              </w:rPr>
            </w:pPr>
          </w:p>
        </w:tc>
        <w:tc>
          <w:tcPr>
            <w:tcW w:w="605"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2410" w:type="dxa"/>
            <w:vAlign w:val="center"/>
          </w:tcPr>
          <w:p>
            <w:pPr>
              <w:wordWrap w:val="0"/>
              <w:topLinePunct/>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2" w:type="dxa"/>
            <w:vAlign w:val="center"/>
          </w:tcPr>
          <w:p>
            <w:pPr>
              <w:jc w:val="left"/>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p>
        </w:tc>
        <w:tc>
          <w:tcPr>
            <w:tcW w:w="693" w:type="dxa"/>
            <w:vAlign w:val="center"/>
          </w:tcPr>
          <w:p>
            <w:pPr>
              <w:wordWrap w:val="0"/>
              <w:topLinePunct/>
              <w:rPr>
                <w:rFonts w:hint="eastAsia" w:ascii="宋体" w:hAnsi="宋体" w:eastAsia="宋体" w:cs="Times New Roman"/>
                <w:color w:val="auto"/>
                <w:szCs w:val="24"/>
                <w:highlight w:val="none"/>
              </w:rPr>
            </w:pPr>
          </w:p>
        </w:tc>
        <w:tc>
          <w:tcPr>
            <w:tcW w:w="605" w:type="dxa"/>
          </w:tcPr>
          <w:p>
            <w:pPr>
              <w:wordWrap w:val="0"/>
              <w:topLinePunct/>
              <w:rPr>
                <w:rFonts w:hint="eastAsia" w:ascii="宋体" w:hAnsi="宋体" w:eastAsia="宋体" w:cs="Times New Roman"/>
                <w:color w:val="auto"/>
                <w:szCs w:val="24"/>
                <w:highlight w:val="none"/>
              </w:rPr>
            </w:pPr>
          </w:p>
        </w:tc>
        <w:tc>
          <w:tcPr>
            <w:tcW w:w="605"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962" w:type="dxa"/>
            <w:vAlign w:val="center"/>
          </w:tcPr>
          <w:p>
            <w:pPr>
              <w:wordWrap w:val="0"/>
              <w:topLinePunct/>
              <w:rPr>
                <w:rFonts w:hint="eastAsia" w:ascii="宋体" w:hAnsi="宋体" w:eastAsia="宋体" w:cs="Times New Roman"/>
                <w:color w:val="auto"/>
                <w:szCs w:val="24"/>
                <w:highlight w:val="none"/>
              </w:rPr>
            </w:pPr>
          </w:p>
        </w:tc>
        <w:tc>
          <w:tcPr>
            <w:tcW w:w="2410" w:type="dxa"/>
            <w:vAlign w:val="center"/>
          </w:tcPr>
          <w:p>
            <w:pPr>
              <w:wordWrap w:val="0"/>
              <w:topLinePunct/>
              <w:rPr>
                <w:rFonts w:hint="eastAsia" w:ascii="宋体" w:hAnsi="宋体" w:eastAsia="宋体" w:cs="Times New Roman"/>
                <w:color w:val="auto"/>
                <w:szCs w:val="24"/>
                <w:highlight w:val="none"/>
              </w:rPr>
            </w:pPr>
          </w:p>
        </w:tc>
      </w:tr>
    </w:tbl>
    <w:p>
      <w:pPr>
        <w:wordWrap w:val="0"/>
        <w:topLinePunct/>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注：①投标人应根据招标文件要求和招标项目的实际需要，列出项目负责人及各专业负责人。</w:t>
      </w:r>
    </w:p>
    <w:p>
      <w:pPr>
        <w:wordWrap w:val="0"/>
        <w:topLinePunct/>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②投标人应按本表所列的项目负责人和各专业负责人填写资历表。</w:t>
      </w:r>
    </w:p>
    <w:p>
      <w:pPr>
        <w:wordWrap w:val="0"/>
        <w:topLinePunct/>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③投标人拟投入的人员应为本单位人员</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若为联合体，勘察</w:t>
      </w:r>
      <w:r>
        <w:rPr>
          <w:rFonts w:hint="eastAsia" w:ascii="宋体" w:hAnsi="宋体" w:eastAsia="宋体" w:cs="Times New Roman"/>
          <w:color w:val="auto"/>
          <w:szCs w:val="21"/>
          <w:highlight w:val="none"/>
        </w:rPr>
        <w:t>、测量</w:t>
      </w:r>
      <w:r>
        <w:rPr>
          <w:rFonts w:ascii="宋体" w:hAnsi="宋体" w:eastAsia="宋体" w:cs="Times New Roman"/>
          <w:color w:val="auto"/>
          <w:szCs w:val="21"/>
          <w:highlight w:val="none"/>
        </w:rPr>
        <w:t>专业负责人由联合体共同投标协议中承担</w:t>
      </w:r>
      <w:r>
        <w:rPr>
          <w:rFonts w:hint="eastAsia" w:ascii="宋体" w:hAnsi="宋体" w:eastAsia="宋体" w:cs="Times New Roman"/>
          <w:color w:val="auto"/>
          <w:szCs w:val="21"/>
          <w:highlight w:val="none"/>
        </w:rPr>
        <w:t>勘察工作的联合体成员</w:t>
      </w:r>
      <w:r>
        <w:rPr>
          <w:rFonts w:ascii="宋体" w:hAnsi="宋体" w:eastAsia="宋体" w:cs="Times New Roman"/>
          <w:color w:val="auto"/>
          <w:szCs w:val="21"/>
          <w:highlight w:val="none"/>
        </w:rPr>
        <w:t>提供，</w:t>
      </w:r>
      <w:r>
        <w:rPr>
          <w:rFonts w:hint="eastAsia" w:ascii="宋体" w:hAnsi="宋体" w:eastAsia="宋体" w:cs="Times New Roman"/>
          <w:color w:val="auto"/>
          <w:szCs w:val="21"/>
          <w:highlight w:val="none"/>
        </w:rPr>
        <w:t>项目负责人由主办方提供，</w:t>
      </w:r>
      <w:r>
        <w:rPr>
          <w:rFonts w:ascii="宋体" w:hAnsi="宋体" w:eastAsia="宋体" w:cs="Times New Roman"/>
          <w:color w:val="auto"/>
          <w:szCs w:val="21"/>
          <w:highlight w:val="none"/>
        </w:rPr>
        <w:t>其余人员由</w:t>
      </w:r>
      <w:r>
        <w:rPr>
          <w:rFonts w:hint="eastAsia" w:ascii="宋体" w:hAnsi="宋体" w:eastAsia="宋体" w:cs="Times New Roman"/>
          <w:color w:val="auto"/>
          <w:szCs w:val="21"/>
          <w:highlight w:val="none"/>
        </w:rPr>
        <w:t>承担设计工作的联合体各方</w:t>
      </w:r>
      <w:r>
        <w:rPr>
          <w:rFonts w:ascii="宋体" w:hAnsi="宋体" w:eastAsia="宋体" w:cs="Times New Roman"/>
          <w:color w:val="auto"/>
          <w:szCs w:val="21"/>
          <w:highlight w:val="none"/>
        </w:rPr>
        <w:t>提供</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rPr>
        <w:t>，并提供本表所列人员</w:t>
      </w:r>
      <w:r>
        <w:rPr>
          <w:rFonts w:hint="eastAsia" w:ascii="宋体" w:hAnsi="宋体" w:eastAsia="宋体" w:cs="Times New Roman"/>
          <w:color w:val="auto"/>
          <w:szCs w:val="21"/>
          <w:highlight w:val="none"/>
          <w:lang w:val="zh-CN"/>
        </w:rPr>
        <w:t>参保</w:t>
      </w:r>
      <w:r>
        <w:rPr>
          <w:rFonts w:hint="eastAsia" w:ascii="宋体" w:hAnsi="宋体" w:eastAsia="宋体" w:cs="Times New Roman"/>
          <w:color w:val="auto"/>
          <w:szCs w:val="21"/>
          <w:highlight w:val="none"/>
        </w:rPr>
        <w:t>社保证（含分公司或分支机构社保缴纳记录</w:t>
      </w:r>
      <w:r>
        <w:rPr>
          <w:rFonts w:ascii="宋体" w:hAnsi="宋体" w:eastAsia="宋体" w:cs="Times New Roman"/>
          <w:color w:val="auto"/>
          <w:szCs w:val="21"/>
          <w:highlight w:val="none"/>
        </w:rPr>
        <w:t>)。</w:t>
      </w:r>
    </w:p>
    <w:p>
      <w:pPr>
        <w:spacing w:line="360" w:lineRule="auto"/>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④资格条件含职称、注册资格。</w:t>
      </w:r>
    </w:p>
    <w:p>
      <w:pPr>
        <w:ind w:firstLine="420" w:firstLineChars="200"/>
        <w:rPr>
          <w:rFonts w:hint="eastAsia" w:ascii="宋体" w:hAnsi="宋体" w:eastAsia="宋体" w:cs="Times New Roman"/>
          <w:color w:val="auto"/>
          <w:szCs w:val="24"/>
          <w:highlight w:val="none"/>
        </w:rPr>
      </w:pPr>
    </w:p>
    <w:p>
      <w:pPr>
        <w:widowControl/>
        <w:jc w:val="left"/>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autoSpaceDE w:val="0"/>
        <w:autoSpaceDN w:val="0"/>
        <w:adjustRightInd w:val="0"/>
        <w:spacing w:line="276" w:lineRule="auto"/>
        <w:ind w:left="284" w:hanging="284"/>
        <w:jc w:val="left"/>
        <w:outlineLvl w:val="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2）项目负责资历表</w:t>
      </w:r>
    </w:p>
    <w:tbl>
      <w:tblPr>
        <w:tblStyle w:val="4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1007"/>
        <w:gridCol w:w="1860"/>
        <w:gridCol w:w="759"/>
        <w:gridCol w:w="760"/>
        <w:gridCol w:w="171"/>
        <w:gridCol w:w="1181"/>
        <w:gridCol w:w="93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1007"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姓名</w:t>
            </w:r>
          </w:p>
        </w:tc>
        <w:tc>
          <w:tcPr>
            <w:tcW w:w="1860"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759"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性别</w:t>
            </w:r>
          </w:p>
        </w:tc>
        <w:tc>
          <w:tcPr>
            <w:tcW w:w="2112" w:type="dxa"/>
            <w:gridSpan w:val="3"/>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931"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年龄</w:t>
            </w:r>
          </w:p>
        </w:tc>
        <w:tc>
          <w:tcPr>
            <w:tcW w:w="1780"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007"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职务</w:t>
            </w:r>
          </w:p>
        </w:tc>
        <w:tc>
          <w:tcPr>
            <w:tcW w:w="1860"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759"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职称</w:t>
            </w:r>
          </w:p>
        </w:tc>
        <w:tc>
          <w:tcPr>
            <w:tcW w:w="2112" w:type="dxa"/>
            <w:gridSpan w:val="3"/>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931"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学历</w:t>
            </w:r>
          </w:p>
        </w:tc>
        <w:tc>
          <w:tcPr>
            <w:tcW w:w="1780"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2867"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参加工作时间</w:t>
            </w:r>
          </w:p>
        </w:tc>
        <w:tc>
          <w:tcPr>
            <w:tcW w:w="1690" w:type="dxa"/>
            <w:gridSpan w:val="3"/>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2112"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担任相应职务年限</w:t>
            </w:r>
          </w:p>
        </w:tc>
        <w:tc>
          <w:tcPr>
            <w:tcW w:w="1780"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2867"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hint="eastAsia" w:ascii="宋体" w:hAnsi="宋体" w:eastAsia="宋体" w:cs="Times New Roman"/>
                <w:color w:val="auto"/>
                <w:kern w:val="0"/>
                <w:sz w:val="22"/>
                <w:highlight w:val="none"/>
              </w:rPr>
              <w:t>注册执业</w:t>
            </w:r>
            <w:r>
              <w:rPr>
                <w:rFonts w:ascii="宋体" w:hAnsi="宋体" w:eastAsia="宋体" w:cs="Times New Roman"/>
                <w:color w:val="auto"/>
                <w:kern w:val="0"/>
                <w:sz w:val="22"/>
                <w:highlight w:val="none"/>
              </w:rPr>
              <w:t>资格证书号</w:t>
            </w:r>
          </w:p>
        </w:tc>
        <w:tc>
          <w:tcPr>
            <w:tcW w:w="5582" w:type="dxa"/>
            <w:gridSpan w:val="6"/>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8449" w:type="dxa"/>
            <w:gridSpan w:val="8"/>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hint="eastAsia" w:ascii="宋体" w:hAnsi="宋体" w:eastAsia="宋体" w:cs="Times New Roman"/>
                <w:color w:val="auto"/>
                <w:kern w:val="0"/>
                <w:sz w:val="22"/>
                <w:highlight w:val="none"/>
              </w:rPr>
              <w:t>业绩</w:t>
            </w:r>
            <w:r>
              <w:rPr>
                <w:rFonts w:ascii="宋体" w:hAnsi="宋体" w:eastAsia="宋体" w:cs="Times New Roman"/>
                <w:color w:val="auto"/>
                <w:kern w:val="0"/>
                <w:sz w:val="22"/>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007" w:type="dxa"/>
            <w:vAlign w:val="center"/>
          </w:tcPr>
          <w:p>
            <w:pPr>
              <w:widowControl/>
              <w:spacing w:before="120" w:beforeLines="50" w:after="120" w:afterLines="50"/>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建设</w:t>
            </w:r>
          </w:p>
          <w:p>
            <w:pPr>
              <w:widowControl/>
              <w:spacing w:before="120" w:beforeLines="50" w:after="120" w:afterLines="50"/>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单位</w:t>
            </w:r>
          </w:p>
        </w:tc>
        <w:tc>
          <w:tcPr>
            <w:tcW w:w="1860"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项目名称</w:t>
            </w:r>
          </w:p>
        </w:tc>
        <w:tc>
          <w:tcPr>
            <w:tcW w:w="1519"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建设规模</w:t>
            </w:r>
          </w:p>
        </w:tc>
        <w:tc>
          <w:tcPr>
            <w:tcW w:w="1352"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ascii="宋体" w:hAnsi="宋体" w:eastAsia="宋体" w:cs="Times New Roman"/>
                <w:color w:val="auto"/>
                <w:kern w:val="0"/>
                <w:sz w:val="22"/>
                <w:highlight w:val="none"/>
              </w:rPr>
              <w:t>总投资</w:t>
            </w:r>
          </w:p>
        </w:tc>
        <w:tc>
          <w:tcPr>
            <w:tcW w:w="2711"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r>
              <w:rPr>
                <w:rFonts w:hint="eastAsia" w:ascii="宋体" w:hAnsi="宋体" w:eastAsia="宋体" w:cs="Times New Roman"/>
                <w:color w:val="auto"/>
                <w:kern w:val="0"/>
                <w:sz w:val="22"/>
                <w:highlight w:val="none"/>
              </w:rPr>
              <w:t>所获得奖项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007"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1860"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1519"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1352"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2711"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007"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1860"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1519"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1352"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2711"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 w:hRule="atLeast"/>
          <w:tblCellSpacing w:w="0" w:type="dxa"/>
          <w:jc w:val="center"/>
        </w:trPr>
        <w:tc>
          <w:tcPr>
            <w:tcW w:w="1007"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1860" w:type="dxa"/>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1519"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1352"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c>
          <w:tcPr>
            <w:tcW w:w="2711" w:type="dxa"/>
            <w:gridSpan w:val="2"/>
            <w:vAlign w:val="center"/>
          </w:tcPr>
          <w:p>
            <w:pPr>
              <w:widowControl/>
              <w:spacing w:before="120" w:beforeLines="50" w:after="120" w:afterLines="50" w:line="360" w:lineRule="auto"/>
              <w:jc w:val="center"/>
              <w:rPr>
                <w:rFonts w:hint="eastAsia" w:ascii="宋体" w:hAnsi="宋体" w:eastAsia="宋体" w:cs="Times New Roman"/>
                <w:color w:val="auto"/>
                <w:kern w:val="0"/>
                <w:sz w:val="22"/>
                <w:highlight w:val="none"/>
              </w:rPr>
            </w:pPr>
          </w:p>
        </w:tc>
      </w:tr>
    </w:tbl>
    <w:p>
      <w:pPr>
        <w:wordWrap w:val="0"/>
        <w:topLinePunct/>
        <w:spacing w:line="360"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注:</w:t>
      </w:r>
      <w:r>
        <w:rPr>
          <w:rFonts w:hint="eastAsia" w:ascii="宋体" w:hAnsi="宋体" w:eastAsia="宋体" w:cs="Times New Roman"/>
          <w:color w:val="auto"/>
          <w:szCs w:val="21"/>
          <w:highlight w:val="none"/>
        </w:rPr>
        <w:t>①</w:t>
      </w:r>
      <w:r>
        <w:rPr>
          <w:rFonts w:ascii="宋体" w:hAnsi="宋体" w:eastAsia="宋体" w:cs="Times New Roman"/>
          <w:color w:val="auto"/>
          <w:szCs w:val="21"/>
          <w:highlight w:val="none"/>
        </w:rPr>
        <w:t>在本表后应附有身份证</w:t>
      </w:r>
      <w:r>
        <w:rPr>
          <w:rFonts w:hint="eastAsia" w:ascii="宋体" w:hAnsi="宋体" w:eastAsia="宋体" w:cs="Times New Roman"/>
          <w:color w:val="auto"/>
          <w:szCs w:val="21"/>
          <w:highlight w:val="none"/>
        </w:rPr>
        <w:t>、毕业证、注册执业资格证书（如有）、职称证书和社保证明等证明材料。如为香港专业人士，则提交在广东省住房和城乡建设主管部门备案且备案的业务范围符合本项目对项目负责人要求的证明材料。</w:t>
      </w:r>
    </w:p>
    <w:p>
      <w:pPr>
        <w:wordWrap w:val="0"/>
        <w:spacing w:line="360" w:lineRule="auto"/>
        <w:rPr>
          <w:rFonts w:hint="eastAsia" w:ascii="宋体" w:hAnsi="宋体" w:eastAsia="宋体" w:cs="宋体"/>
          <w:color w:val="auto"/>
          <w:kern w:val="0"/>
          <w:sz w:val="24"/>
          <w:szCs w:val="24"/>
          <w:highlight w:val="none"/>
          <w:u w:val="single"/>
        </w:rPr>
      </w:pPr>
      <w:r>
        <w:rPr>
          <w:rFonts w:hint="eastAsia" w:ascii="宋体" w:hAnsi="宋体" w:eastAsia="宋体" w:cs="Times New Roman"/>
          <w:color w:val="auto"/>
          <w:szCs w:val="21"/>
          <w:highlight w:val="none"/>
        </w:rPr>
        <w:t>②</w:t>
      </w:r>
      <w:r>
        <w:rPr>
          <w:rFonts w:ascii="宋体" w:hAnsi="宋体" w:eastAsia="宋体" w:cs="Times New Roman"/>
          <w:color w:val="auto"/>
          <w:szCs w:val="21"/>
          <w:highlight w:val="none"/>
        </w:rPr>
        <w:t>项目负责人</w:t>
      </w:r>
      <w:r>
        <w:rPr>
          <w:rFonts w:hint="eastAsia" w:ascii="宋体" w:hAnsi="宋体" w:eastAsia="宋体" w:cs="Times New Roman"/>
          <w:color w:val="auto"/>
          <w:szCs w:val="21"/>
          <w:highlight w:val="none"/>
        </w:rPr>
        <w:t>满足《商务文件评分表》评审要求的其他资料（如有）</w:t>
      </w:r>
      <w:r>
        <w:rPr>
          <w:rFonts w:ascii="宋体" w:hAnsi="宋体" w:eastAsia="宋体" w:cs="Times New Roman"/>
          <w:color w:val="auto"/>
          <w:szCs w:val="21"/>
          <w:highlight w:val="none"/>
        </w:rPr>
        <w:t>。</w:t>
      </w:r>
    </w:p>
    <w:p>
      <w:pPr>
        <w:widowControl/>
        <w:jc w:val="left"/>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br w:type="page"/>
      </w:r>
    </w:p>
    <w:p>
      <w:pPr>
        <w:autoSpaceDE w:val="0"/>
        <w:autoSpaceDN w:val="0"/>
        <w:adjustRightInd w:val="0"/>
        <w:spacing w:line="276" w:lineRule="auto"/>
        <w:ind w:left="284" w:hanging="284"/>
        <w:jc w:val="left"/>
        <w:outlineLvl w:val="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3）专业人员资历表</w:t>
      </w:r>
    </w:p>
    <w:tbl>
      <w:tblPr>
        <w:tblStyle w:val="45"/>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57"/>
        <w:gridCol w:w="900"/>
        <w:gridCol w:w="899"/>
        <w:gridCol w:w="1999"/>
        <w:gridCol w:w="160"/>
        <w:gridCol w:w="77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4" w:type="dxa"/>
            <w:vAlign w:val="center"/>
          </w:tcPr>
          <w:p>
            <w:pPr>
              <w:jc w:val="center"/>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姓名</w:t>
            </w:r>
          </w:p>
        </w:tc>
        <w:tc>
          <w:tcPr>
            <w:tcW w:w="2157" w:type="dxa"/>
            <w:gridSpan w:val="2"/>
            <w:vAlign w:val="center"/>
          </w:tcPr>
          <w:p>
            <w:pPr>
              <w:jc w:val="center"/>
              <w:rPr>
                <w:rFonts w:hint="eastAsia" w:ascii="宋体" w:hAnsi="宋体" w:eastAsia="宋体" w:cs="Times New Roman"/>
                <w:color w:val="auto"/>
                <w:szCs w:val="24"/>
                <w:highlight w:val="none"/>
              </w:rPr>
            </w:pPr>
          </w:p>
        </w:tc>
        <w:tc>
          <w:tcPr>
            <w:tcW w:w="899" w:type="dxa"/>
            <w:vAlign w:val="center"/>
          </w:tcPr>
          <w:p>
            <w:pPr>
              <w:jc w:val="center"/>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性别</w:t>
            </w:r>
          </w:p>
        </w:tc>
        <w:tc>
          <w:tcPr>
            <w:tcW w:w="1999" w:type="dxa"/>
            <w:tcBorders>
              <w:right w:val="single" w:color="auto" w:sz="6" w:space="0"/>
            </w:tcBorders>
            <w:vAlign w:val="center"/>
          </w:tcPr>
          <w:p>
            <w:pPr>
              <w:jc w:val="center"/>
              <w:rPr>
                <w:rFonts w:hint="eastAsia" w:ascii="宋体" w:hAnsi="宋体" w:eastAsia="宋体" w:cs="Times New Roman"/>
                <w:color w:val="auto"/>
                <w:szCs w:val="24"/>
                <w:highlight w:val="none"/>
              </w:rPr>
            </w:pPr>
          </w:p>
        </w:tc>
        <w:tc>
          <w:tcPr>
            <w:tcW w:w="931" w:type="dxa"/>
            <w:gridSpan w:val="2"/>
            <w:tcBorders>
              <w:left w:val="single" w:color="auto" w:sz="6" w:space="0"/>
            </w:tcBorders>
            <w:vAlign w:val="center"/>
          </w:tcPr>
          <w:p>
            <w:pPr>
              <w:jc w:val="center"/>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年龄</w:t>
            </w:r>
          </w:p>
        </w:tc>
        <w:tc>
          <w:tcPr>
            <w:tcW w:w="1715" w:type="dxa"/>
            <w:vAlign w:val="center"/>
          </w:tcPr>
          <w:p>
            <w:pPr>
              <w:jc w:val="center"/>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24" w:type="dxa"/>
            <w:vAlign w:val="center"/>
          </w:tcPr>
          <w:p>
            <w:pPr>
              <w:jc w:val="center"/>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职务</w:t>
            </w:r>
          </w:p>
        </w:tc>
        <w:tc>
          <w:tcPr>
            <w:tcW w:w="2157" w:type="dxa"/>
            <w:gridSpan w:val="2"/>
            <w:vAlign w:val="center"/>
          </w:tcPr>
          <w:p>
            <w:pPr>
              <w:jc w:val="center"/>
              <w:rPr>
                <w:rFonts w:hint="eastAsia" w:ascii="宋体" w:hAnsi="宋体" w:eastAsia="宋体" w:cs="Times New Roman"/>
                <w:color w:val="auto"/>
                <w:szCs w:val="24"/>
                <w:highlight w:val="none"/>
              </w:rPr>
            </w:pPr>
          </w:p>
        </w:tc>
        <w:tc>
          <w:tcPr>
            <w:tcW w:w="899" w:type="dxa"/>
            <w:vAlign w:val="center"/>
          </w:tcPr>
          <w:p>
            <w:pPr>
              <w:jc w:val="center"/>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职称</w:t>
            </w:r>
          </w:p>
        </w:tc>
        <w:tc>
          <w:tcPr>
            <w:tcW w:w="1999" w:type="dxa"/>
            <w:tcBorders>
              <w:right w:val="single" w:color="auto" w:sz="6" w:space="0"/>
            </w:tcBorders>
            <w:vAlign w:val="center"/>
          </w:tcPr>
          <w:p>
            <w:pPr>
              <w:jc w:val="center"/>
              <w:rPr>
                <w:rFonts w:hint="eastAsia" w:ascii="宋体" w:hAnsi="宋体" w:eastAsia="宋体" w:cs="Times New Roman"/>
                <w:color w:val="auto"/>
                <w:szCs w:val="24"/>
                <w:highlight w:val="none"/>
              </w:rPr>
            </w:pPr>
          </w:p>
        </w:tc>
        <w:tc>
          <w:tcPr>
            <w:tcW w:w="931" w:type="dxa"/>
            <w:gridSpan w:val="2"/>
            <w:tcBorders>
              <w:left w:val="single" w:color="auto" w:sz="6" w:space="0"/>
            </w:tcBorders>
            <w:vAlign w:val="center"/>
          </w:tcPr>
          <w:p>
            <w:pPr>
              <w:jc w:val="center"/>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学历</w:t>
            </w:r>
          </w:p>
        </w:tc>
        <w:tc>
          <w:tcPr>
            <w:tcW w:w="1715" w:type="dxa"/>
            <w:vAlign w:val="center"/>
          </w:tcPr>
          <w:p>
            <w:pPr>
              <w:jc w:val="center"/>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2981" w:type="dxa"/>
            <w:gridSpan w:val="3"/>
            <w:vAlign w:val="center"/>
          </w:tcPr>
          <w:p>
            <w:pPr>
              <w:jc w:val="center"/>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执业注册格及证书号</w:t>
            </w:r>
          </w:p>
        </w:tc>
        <w:tc>
          <w:tcPr>
            <w:tcW w:w="5544" w:type="dxa"/>
            <w:gridSpan w:val="5"/>
            <w:vAlign w:val="center"/>
          </w:tcPr>
          <w:p>
            <w:pPr>
              <w:jc w:val="center"/>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081" w:type="dxa"/>
            <w:gridSpan w:val="2"/>
            <w:vAlign w:val="center"/>
          </w:tcPr>
          <w:p>
            <w:pPr>
              <w:jc w:val="center"/>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参加工作时间</w:t>
            </w:r>
          </w:p>
        </w:tc>
        <w:tc>
          <w:tcPr>
            <w:tcW w:w="1799" w:type="dxa"/>
            <w:gridSpan w:val="2"/>
            <w:vAlign w:val="center"/>
          </w:tcPr>
          <w:p>
            <w:pPr>
              <w:jc w:val="center"/>
              <w:rPr>
                <w:rFonts w:hint="eastAsia" w:ascii="宋体" w:hAnsi="宋体" w:eastAsia="宋体" w:cs="Times New Roman"/>
                <w:color w:val="auto"/>
                <w:szCs w:val="24"/>
                <w:highlight w:val="none"/>
              </w:rPr>
            </w:pPr>
          </w:p>
        </w:tc>
        <w:tc>
          <w:tcPr>
            <w:tcW w:w="2159" w:type="dxa"/>
            <w:gridSpan w:val="2"/>
            <w:vAlign w:val="center"/>
          </w:tcPr>
          <w:p>
            <w:pPr>
              <w:jc w:val="center"/>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从事项目负责年限</w:t>
            </w:r>
          </w:p>
        </w:tc>
        <w:tc>
          <w:tcPr>
            <w:tcW w:w="2486" w:type="dxa"/>
            <w:gridSpan w:val="2"/>
            <w:vAlign w:val="center"/>
          </w:tcPr>
          <w:p>
            <w:pPr>
              <w:jc w:val="center"/>
              <w:rPr>
                <w:rFonts w:hint="eastAsia" w:ascii="宋体" w:hAnsi="宋体" w:eastAsia="宋体" w:cs="Times New Roman"/>
                <w:color w:val="auto"/>
                <w:szCs w:val="24"/>
                <w:highlight w:val="none"/>
              </w:rPr>
            </w:pPr>
          </w:p>
        </w:tc>
      </w:tr>
    </w:tbl>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①各专业负责人需要填写此表，其他人员不需要填写。</w:t>
      </w:r>
    </w:p>
    <w:p>
      <w:pPr>
        <w:wordWrap w:val="0"/>
        <w:topLinePunct/>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w:t>
      </w:r>
      <w:r>
        <w:rPr>
          <w:rFonts w:ascii="宋体" w:hAnsi="宋体" w:eastAsia="宋体" w:cs="Times New Roman"/>
          <w:color w:val="auto"/>
          <w:szCs w:val="21"/>
          <w:highlight w:val="none"/>
        </w:rPr>
        <w:t>在本表后应附有身份证</w:t>
      </w:r>
      <w:r>
        <w:rPr>
          <w:rFonts w:hint="eastAsia" w:ascii="宋体" w:hAnsi="宋体" w:eastAsia="宋体" w:cs="Times New Roman"/>
          <w:color w:val="auto"/>
          <w:szCs w:val="21"/>
          <w:highlight w:val="none"/>
        </w:rPr>
        <w:t>、毕业证（如有）、注册执业资格证书（如有）、</w:t>
      </w:r>
      <w:r>
        <w:rPr>
          <w:rFonts w:ascii="宋体" w:hAnsi="宋体" w:eastAsia="宋体" w:cs="Times New Roman"/>
          <w:color w:val="auto"/>
          <w:szCs w:val="21"/>
          <w:highlight w:val="none"/>
        </w:rPr>
        <w:t>职称证</w:t>
      </w:r>
      <w:r>
        <w:rPr>
          <w:rFonts w:hint="eastAsia" w:ascii="宋体" w:hAnsi="宋体" w:eastAsia="宋体" w:cs="Times New Roman"/>
          <w:color w:val="auto"/>
          <w:szCs w:val="21"/>
          <w:highlight w:val="none"/>
        </w:rPr>
        <w:t>书（如有）和社证明等证明材料。</w:t>
      </w:r>
    </w:p>
    <w:p>
      <w:pPr>
        <w:wordWrap w:val="0"/>
        <w:spacing w:line="360" w:lineRule="auto"/>
        <w:rPr>
          <w:rFonts w:hint="eastAsia" w:ascii="宋体" w:hAnsi="宋体" w:eastAsia="宋体" w:cs="宋体"/>
          <w:color w:val="auto"/>
          <w:kern w:val="0"/>
          <w:sz w:val="24"/>
          <w:szCs w:val="24"/>
          <w:highlight w:val="none"/>
        </w:rPr>
      </w:pPr>
      <w:r>
        <w:rPr>
          <w:rFonts w:hint="eastAsia" w:ascii="宋体" w:hAnsi="宋体" w:eastAsia="宋体" w:cs="Times New Roman"/>
          <w:color w:val="auto"/>
          <w:szCs w:val="21"/>
          <w:highlight w:val="none"/>
        </w:rPr>
        <w:t>③</w:t>
      </w:r>
      <w:r>
        <w:rPr>
          <w:rFonts w:ascii="宋体" w:hAnsi="宋体" w:eastAsia="宋体" w:cs="Times New Roman"/>
          <w:color w:val="auto"/>
          <w:szCs w:val="21"/>
          <w:highlight w:val="none"/>
        </w:rPr>
        <w:t>各</w:t>
      </w:r>
      <w:r>
        <w:rPr>
          <w:rFonts w:hint="eastAsia" w:ascii="宋体" w:hAnsi="宋体" w:eastAsia="宋体" w:cs="Times New Roman"/>
          <w:color w:val="auto"/>
          <w:szCs w:val="21"/>
          <w:highlight w:val="none"/>
        </w:rPr>
        <w:t>专业负责人满足《商务文件综评分表》评审要求的其他资料（如有）。</w:t>
      </w:r>
    </w:p>
    <w:p>
      <w:pPr>
        <w:widowControl/>
        <w:jc w:val="left"/>
        <w:rPr>
          <w:rFonts w:hint="eastAsia" w:ascii="宋体" w:hAnsi="宋体" w:eastAsia="宋体" w:cs="Times New Roman"/>
          <w:b/>
          <w:color w:val="auto"/>
          <w:kern w:val="0"/>
          <w:sz w:val="24"/>
          <w:szCs w:val="24"/>
          <w:highlight w:val="none"/>
          <w:lang w:val="zh-CN"/>
        </w:rPr>
      </w:pPr>
      <w:r>
        <w:rPr>
          <w:rFonts w:ascii="宋体" w:hAnsi="宋体" w:eastAsia="宋体"/>
          <w:color w:val="auto"/>
          <w:highlight w:val="none"/>
        </w:rPr>
        <w:br w:type="page"/>
      </w:r>
    </w:p>
    <w:p>
      <w:pPr>
        <w:autoSpaceDE w:val="0"/>
        <w:autoSpaceDN w:val="0"/>
        <w:adjustRightInd w:val="0"/>
        <w:spacing w:line="276" w:lineRule="auto"/>
        <w:ind w:left="284" w:hanging="284"/>
        <w:jc w:val="left"/>
        <w:outlineLvl w:val="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4）投标人已完成项目情况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1429"/>
        <w:gridCol w:w="1427"/>
        <w:gridCol w:w="783"/>
        <w:gridCol w:w="76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28" w:type="dxa"/>
            <w:vMerge w:val="restart"/>
            <w:vAlign w:val="center"/>
          </w:tcPr>
          <w:p>
            <w:pPr>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合同签订时间</w:t>
            </w:r>
          </w:p>
        </w:tc>
        <w:tc>
          <w:tcPr>
            <w:tcW w:w="1429" w:type="dxa"/>
            <w:vMerge w:val="restart"/>
            <w:vAlign w:val="center"/>
          </w:tcPr>
          <w:p>
            <w:pPr>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项目概况</w:t>
            </w:r>
          </w:p>
        </w:tc>
        <w:tc>
          <w:tcPr>
            <w:tcW w:w="1429" w:type="dxa"/>
            <w:vMerge w:val="restart"/>
            <w:vAlign w:val="center"/>
          </w:tcPr>
          <w:p>
            <w:pPr>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业主单位</w:t>
            </w:r>
          </w:p>
        </w:tc>
        <w:tc>
          <w:tcPr>
            <w:tcW w:w="1427" w:type="dxa"/>
            <w:vMerge w:val="restart"/>
            <w:vAlign w:val="center"/>
          </w:tcPr>
          <w:p>
            <w:pPr>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完成情况</w:t>
            </w:r>
          </w:p>
        </w:tc>
        <w:tc>
          <w:tcPr>
            <w:tcW w:w="1552" w:type="dxa"/>
            <w:gridSpan w:val="2"/>
            <w:vAlign w:val="center"/>
          </w:tcPr>
          <w:p>
            <w:pPr>
              <w:ind w:left="210" w:leftChars="1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业绩类型</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（请勾选）</w:t>
            </w:r>
          </w:p>
        </w:tc>
        <w:tc>
          <w:tcPr>
            <w:tcW w:w="1260" w:type="dxa"/>
            <w:vMerge w:val="restart"/>
            <w:vAlign w:val="center"/>
          </w:tcPr>
          <w:p>
            <w:pPr>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28" w:type="dxa"/>
            <w:vMerge w:val="continue"/>
            <w:vAlign w:val="center"/>
          </w:tcPr>
          <w:p>
            <w:pPr>
              <w:jc w:val="center"/>
              <w:rPr>
                <w:rFonts w:hint="eastAsia" w:ascii="宋体" w:hAnsi="宋体" w:eastAsia="宋体" w:cs="Times New Roman"/>
                <w:color w:val="auto"/>
                <w:szCs w:val="24"/>
                <w:highlight w:val="none"/>
              </w:rPr>
            </w:pPr>
          </w:p>
        </w:tc>
        <w:tc>
          <w:tcPr>
            <w:tcW w:w="1429" w:type="dxa"/>
            <w:vMerge w:val="continue"/>
            <w:vAlign w:val="center"/>
          </w:tcPr>
          <w:p>
            <w:pPr>
              <w:jc w:val="center"/>
              <w:rPr>
                <w:rFonts w:hint="eastAsia" w:ascii="宋体" w:hAnsi="宋体" w:eastAsia="宋体" w:cs="Times New Roman"/>
                <w:color w:val="auto"/>
                <w:szCs w:val="24"/>
                <w:highlight w:val="none"/>
              </w:rPr>
            </w:pPr>
          </w:p>
        </w:tc>
        <w:tc>
          <w:tcPr>
            <w:tcW w:w="1429" w:type="dxa"/>
            <w:vMerge w:val="continue"/>
            <w:vAlign w:val="center"/>
          </w:tcPr>
          <w:p>
            <w:pPr>
              <w:jc w:val="center"/>
              <w:rPr>
                <w:rFonts w:hint="eastAsia" w:ascii="宋体" w:hAnsi="宋体" w:eastAsia="宋体" w:cs="Times New Roman"/>
                <w:color w:val="auto"/>
                <w:szCs w:val="24"/>
                <w:highlight w:val="none"/>
              </w:rPr>
            </w:pPr>
          </w:p>
        </w:tc>
        <w:tc>
          <w:tcPr>
            <w:tcW w:w="1427" w:type="dxa"/>
            <w:vMerge w:val="continue"/>
            <w:vAlign w:val="center"/>
          </w:tcPr>
          <w:p>
            <w:pPr>
              <w:jc w:val="center"/>
              <w:rPr>
                <w:rFonts w:hint="eastAsia" w:ascii="宋体" w:hAnsi="宋体" w:eastAsia="宋体" w:cs="Times New Roman"/>
                <w:color w:val="auto"/>
                <w:szCs w:val="24"/>
                <w:highlight w:val="none"/>
              </w:rPr>
            </w:pPr>
          </w:p>
        </w:tc>
        <w:tc>
          <w:tcPr>
            <w:tcW w:w="783" w:type="dxa"/>
            <w:vAlign w:val="center"/>
          </w:tcPr>
          <w:p>
            <w:pPr>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勘察</w:t>
            </w:r>
          </w:p>
        </w:tc>
        <w:tc>
          <w:tcPr>
            <w:tcW w:w="769" w:type="dxa"/>
            <w:vAlign w:val="center"/>
          </w:tcPr>
          <w:p>
            <w:pP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设计</w:t>
            </w:r>
          </w:p>
        </w:tc>
        <w:tc>
          <w:tcPr>
            <w:tcW w:w="1260" w:type="dxa"/>
            <w:vMerge w:val="continue"/>
            <w:vAlign w:val="center"/>
          </w:tcPr>
          <w:p>
            <w:pPr>
              <w:jc w:val="center"/>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8" w:type="dxa"/>
            <w:vAlign w:val="center"/>
          </w:tcPr>
          <w:p>
            <w:pPr>
              <w:jc w:val="center"/>
              <w:rPr>
                <w:rFonts w:hint="eastAsia" w:ascii="宋体" w:hAnsi="宋体" w:eastAsia="宋体" w:cs="Times New Roman"/>
                <w:color w:val="auto"/>
                <w:szCs w:val="24"/>
                <w:highlight w:val="none"/>
              </w:rPr>
            </w:pPr>
          </w:p>
        </w:tc>
        <w:tc>
          <w:tcPr>
            <w:tcW w:w="1429" w:type="dxa"/>
            <w:vAlign w:val="center"/>
          </w:tcPr>
          <w:p>
            <w:pPr>
              <w:jc w:val="center"/>
              <w:rPr>
                <w:rFonts w:hint="eastAsia" w:ascii="宋体" w:hAnsi="宋体" w:eastAsia="宋体" w:cs="Times New Roman"/>
                <w:color w:val="auto"/>
                <w:szCs w:val="24"/>
                <w:highlight w:val="none"/>
              </w:rPr>
            </w:pPr>
          </w:p>
        </w:tc>
        <w:tc>
          <w:tcPr>
            <w:tcW w:w="1429" w:type="dxa"/>
            <w:vAlign w:val="center"/>
          </w:tcPr>
          <w:p>
            <w:pPr>
              <w:jc w:val="center"/>
              <w:rPr>
                <w:rFonts w:hint="eastAsia" w:ascii="宋体" w:hAnsi="宋体" w:eastAsia="宋体" w:cs="Times New Roman"/>
                <w:color w:val="auto"/>
                <w:szCs w:val="24"/>
                <w:highlight w:val="none"/>
              </w:rPr>
            </w:pPr>
          </w:p>
        </w:tc>
        <w:tc>
          <w:tcPr>
            <w:tcW w:w="1427" w:type="dxa"/>
            <w:vAlign w:val="center"/>
          </w:tcPr>
          <w:p>
            <w:pPr>
              <w:jc w:val="center"/>
              <w:rPr>
                <w:rFonts w:hint="eastAsia" w:ascii="宋体" w:hAnsi="宋体" w:eastAsia="宋体" w:cs="Times New Roman"/>
                <w:color w:val="auto"/>
                <w:szCs w:val="24"/>
                <w:highlight w:val="none"/>
              </w:rPr>
            </w:pPr>
          </w:p>
        </w:tc>
        <w:tc>
          <w:tcPr>
            <w:tcW w:w="783" w:type="dxa"/>
            <w:vAlign w:val="center"/>
          </w:tcPr>
          <w:p>
            <w:pPr>
              <w:jc w:val="center"/>
              <w:rPr>
                <w:rFonts w:hint="eastAsia" w:ascii="宋体" w:hAnsi="宋体" w:eastAsia="宋体" w:cs="Times New Roman"/>
                <w:color w:val="auto"/>
                <w:szCs w:val="24"/>
                <w:highlight w:val="none"/>
              </w:rPr>
            </w:pPr>
          </w:p>
        </w:tc>
        <w:tc>
          <w:tcPr>
            <w:tcW w:w="769" w:type="dxa"/>
            <w:vAlign w:val="center"/>
          </w:tcPr>
          <w:p>
            <w:pPr>
              <w:jc w:val="center"/>
              <w:rPr>
                <w:rFonts w:hint="eastAsia" w:ascii="宋体" w:hAnsi="宋体" w:eastAsia="宋体" w:cs="Times New Roman"/>
                <w:color w:val="auto"/>
                <w:szCs w:val="24"/>
                <w:highlight w:val="none"/>
              </w:rPr>
            </w:pPr>
          </w:p>
        </w:tc>
        <w:tc>
          <w:tcPr>
            <w:tcW w:w="1260" w:type="dxa"/>
            <w:vAlign w:val="center"/>
          </w:tcPr>
          <w:p>
            <w:pPr>
              <w:jc w:val="center"/>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428" w:type="dxa"/>
            <w:vAlign w:val="center"/>
          </w:tcPr>
          <w:p>
            <w:pPr>
              <w:jc w:val="center"/>
              <w:rPr>
                <w:rFonts w:hint="eastAsia" w:ascii="宋体" w:hAnsi="宋体" w:eastAsia="宋体" w:cs="Times New Roman"/>
                <w:color w:val="auto"/>
                <w:szCs w:val="24"/>
                <w:highlight w:val="none"/>
              </w:rPr>
            </w:pPr>
          </w:p>
        </w:tc>
        <w:tc>
          <w:tcPr>
            <w:tcW w:w="1429" w:type="dxa"/>
            <w:vAlign w:val="center"/>
          </w:tcPr>
          <w:p>
            <w:pPr>
              <w:jc w:val="center"/>
              <w:rPr>
                <w:rFonts w:hint="eastAsia" w:ascii="宋体" w:hAnsi="宋体" w:eastAsia="宋体" w:cs="Times New Roman"/>
                <w:color w:val="auto"/>
                <w:szCs w:val="24"/>
                <w:highlight w:val="none"/>
              </w:rPr>
            </w:pPr>
          </w:p>
        </w:tc>
        <w:tc>
          <w:tcPr>
            <w:tcW w:w="1429" w:type="dxa"/>
            <w:vAlign w:val="center"/>
          </w:tcPr>
          <w:p>
            <w:pPr>
              <w:jc w:val="center"/>
              <w:rPr>
                <w:rFonts w:hint="eastAsia" w:ascii="宋体" w:hAnsi="宋体" w:eastAsia="宋体" w:cs="Times New Roman"/>
                <w:color w:val="auto"/>
                <w:szCs w:val="24"/>
                <w:highlight w:val="none"/>
              </w:rPr>
            </w:pPr>
          </w:p>
        </w:tc>
        <w:tc>
          <w:tcPr>
            <w:tcW w:w="1427" w:type="dxa"/>
            <w:vAlign w:val="center"/>
          </w:tcPr>
          <w:p>
            <w:pPr>
              <w:jc w:val="center"/>
              <w:rPr>
                <w:rFonts w:hint="eastAsia" w:ascii="宋体" w:hAnsi="宋体" w:eastAsia="宋体" w:cs="Times New Roman"/>
                <w:color w:val="auto"/>
                <w:szCs w:val="24"/>
                <w:highlight w:val="none"/>
              </w:rPr>
            </w:pPr>
          </w:p>
        </w:tc>
        <w:tc>
          <w:tcPr>
            <w:tcW w:w="783" w:type="dxa"/>
            <w:vAlign w:val="center"/>
          </w:tcPr>
          <w:p>
            <w:pPr>
              <w:jc w:val="center"/>
              <w:rPr>
                <w:rFonts w:hint="eastAsia" w:ascii="宋体" w:hAnsi="宋体" w:eastAsia="宋体" w:cs="Times New Roman"/>
                <w:color w:val="auto"/>
                <w:szCs w:val="24"/>
                <w:highlight w:val="none"/>
              </w:rPr>
            </w:pPr>
          </w:p>
        </w:tc>
        <w:tc>
          <w:tcPr>
            <w:tcW w:w="769" w:type="dxa"/>
            <w:vAlign w:val="center"/>
          </w:tcPr>
          <w:p>
            <w:pPr>
              <w:jc w:val="center"/>
              <w:rPr>
                <w:rFonts w:hint="eastAsia" w:ascii="宋体" w:hAnsi="宋体" w:eastAsia="宋体" w:cs="Times New Roman"/>
                <w:color w:val="auto"/>
                <w:szCs w:val="24"/>
                <w:highlight w:val="none"/>
              </w:rPr>
            </w:pPr>
          </w:p>
        </w:tc>
        <w:tc>
          <w:tcPr>
            <w:tcW w:w="1260" w:type="dxa"/>
            <w:vAlign w:val="center"/>
          </w:tcPr>
          <w:p>
            <w:pPr>
              <w:jc w:val="center"/>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28" w:type="dxa"/>
            <w:vAlign w:val="center"/>
          </w:tcPr>
          <w:p>
            <w:pPr>
              <w:jc w:val="center"/>
              <w:rPr>
                <w:rFonts w:hint="eastAsia" w:ascii="宋体" w:hAnsi="宋体" w:eastAsia="宋体" w:cs="Times New Roman"/>
                <w:color w:val="auto"/>
                <w:szCs w:val="24"/>
                <w:highlight w:val="none"/>
              </w:rPr>
            </w:pPr>
          </w:p>
        </w:tc>
        <w:tc>
          <w:tcPr>
            <w:tcW w:w="1429" w:type="dxa"/>
            <w:vAlign w:val="center"/>
          </w:tcPr>
          <w:p>
            <w:pPr>
              <w:jc w:val="center"/>
              <w:rPr>
                <w:rFonts w:hint="eastAsia" w:ascii="宋体" w:hAnsi="宋体" w:eastAsia="宋体" w:cs="Times New Roman"/>
                <w:color w:val="auto"/>
                <w:szCs w:val="24"/>
                <w:highlight w:val="none"/>
              </w:rPr>
            </w:pPr>
          </w:p>
        </w:tc>
        <w:tc>
          <w:tcPr>
            <w:tcW w:w="1429" w:type="dxa"/>
            <w:vAlign w:val="center"/>
          </w:tcPr>
          <w:p>
            <w:pPr>
              <w:jc w:val="center"/>
              <w:rPr>
                <w:rFonts w:hint="eastAsia" w:ascii="宋体" w:hAnsi="宋体" w:eastAsia="宋体" w:cs="Times New Roman"/>
                <w:color w:val="auto"/>
                <w:szCs w:val="24"/>
                <w:highlight w:val="none"/>
              </w:rPr>
            </w:pPr>
          </w:p>
        </w:tc>
        <w:tc>
          <w:tcPr>
            <w:tcW w:w="1427" w:type="dxa"/>
            <w:vAlign w:val="center"/>
          </w:tcPr>
          <w:p>
            <w:pPr>
              <w:jc w:val="center"/>
              <w:rPr>
                <w:rFonts w:hint="eastAsia" w:ascii="宋体" w:hAnsi="宋体" w:eastAsia="宋体" w:cs="Times New Roman"/>
                <w:color w:val="auto"/>
                <w:szCs w:val="24"/>
                <w:highlight w:val="none"/>
              </w:rPr>
            </w:pPr>
          </w:p>
        </w:tc>
        <w:tc>
          <w:tcPr>
            <w:tcW w:w="783" w:type="dxa"/>
            <w:vAlign w:val="center"/>
          </w:tcPr>
          <w:p>
            <w:pPr>
              <w:jc w:val="center"/>
              <w:rPr>
                <w:rFonts w:hint="eastAsia" w:ascii="宋体" w:hAnsi="宋体" w:eastAsia="宋体" w:cs="Times New Roman"/>
                <w:color w:val="auto"/>
                <w:szCs w:val="24"/>
                <w:highlight w:val="none"/>
              </w:rPr>
            </w:pPr>
          </w:p>
        </w:tc>
        <w:tc>
          <w:tcPr>
            <w:tcW w:w="769" w:type="dxa"/>
            <w:vAlign w:val="center"/>
          </w:tcPr>
          <w:p>
            <w:pPr>
              <w:jc w:val="center"/>
              <w:rPr>
                <w:rFonts w:hint="eastAsia" w:ascii="宋体" w:hAnsi="宋体" w:eastAsia="宋体" w:cs="Times New Roman"/>
                <w:color w:val="auto"/>
                <w:szCs w:val="24"/>
                <w:highlight w:val="none"/>
              </w:rPr>
            </w:pPr>
          </w:p>
        </w:tc>
        <w:tc>
          <w:tcPr>
            <w:tcW w:w="1260" w:type="dxa"/>
            <w:vAlign w:val="center"/>
          </w:tcPr>
          <w:p>
            <w:pPr>
              <w:jc w:val="center"/>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428" w:type="dxa"/>
            <w:vAlign w:val="center"/>
          </w:tcPr>
          <w:p>
            <w:pPr>
              <w:jc w:val="center"/>
              <w:rPr>
                <w:rFonts w:hint="eastAsia" w:ascii="宋体" w:hAnsi="宋体" w:eastAsia="宋体" w:cs="Times New Roman"/>
                <w:color w:val="auto"/>
                <w:szCs w:val="24"/>
                <w:highlight w:val="none"/>
              </w:rPr>
            </w:pPr>
          </w:p>
        </w:tc>
        <w:tc>
          <w:tcPr>
            <w:tcW w:w="1429" w:type="dxa"/>
            <w:vAlign w:val="center"/>
          </w:tcPr>
          <w:p>
            <w:pPr>
              <w:jc w:val="center"/>
              <w:rPr>
                <w:rFonts w:hint="eastAsia" w:ascii="宋体" w:hAnsi="宋体" w:eastAsia="宋体" w:cs="Times New Roman"/>
                <w:color w:val="auto"/>
                <w:szCs w:val="24"/>
                <w:highlight w:val="none"/>
              </w:rPr>
            </w:pPr>
          </w:p>
        </w:tc>
        <w:tc>
          <w:tcPr>
            <w:tcW w:w="1429" w:type="dxa"/>
            <w:vAlign w:val="center"/>
          </w:tcPr>
          <w:p>
            <w:pPr>
              <w:jc w:val="center"/>
              <w:rPr>
                <w:rFonts w:hint="eastAsia" w:ascii="宋体" w:hAnsi="宋体" w:eastAsia="宋体" w:cs="Times New Roman"/>
                <w:color w:val="auto"/>
                <w:szCs w:val="24"/>
                <w:highlight w:val="none"/>
              </w:rPr>
            </w:pPr>
          </w:p>
        </w:tc>
        <w:tc>
          <w:tcPr>
            <w:tcW w:w="1427" w:type="dxa"/>
            <w:vAlign w:val="center"/>
          </w:tcPr>
          <w:p>
            <w:pPr>
              <w:jc w:val="center"/>
              <w:rPr>
                <w:rFonts w:hint="eastAsia" w:ascii="宋体" w:hAnsi="宋体" w:eastAsia="宋体" w:cs="Times New Roman"/>
                <w:color w:val="auto"/>
                <w:szCs w:val="24"/>
                <w:highlight w:val="none"/>
              </w:rPr>
            </w:pPr>
          </w:p>
        </w:tc>
        <w:tc>
          <w:tcPr>
            <w:tcW w:w="783" w:type="dxa"/>
            <w:vAlign w:val="center"/>
          </w:tcPr>
          <w:p>
            <w:pPr>
              <w:jc w:val="center"/>
              <w:rPr>
                <w:rFonts w:hint="eastAsia" w:ascii="宋体" w:hAnsi="宋体" w:eastAsia="宋体" w:cs="Times New Roman"/>
                <w:color w:val="auto"/>
                <w:szCs w:val="24"/>
                <w:highlight w:val="none"/>
              </w:rPr>
            </w:pPr>
          </w:p>
        </w:tc>
        <w:tc>
          <w:tcPr>
            <w:tcW w:w="769" w:type="dxa"/>
            <w:vAlign w:val="center"/>
          </w:tcPr>
          <w:p>
            <w:pPr>
              <w:jc w:val="center"/>
              <w:rPr>
                <w:rFonts w:hint="eastAsia" w:ascii="宋体" w:hAnsi="宋体" w:eastAsia="宋体" w:cs="Times New Roman"/>
                <w:color w:val="auto"/>
                <w:szCs w:val="24"/>
                <w:highlight w:val="none"/>
              </w:rPr>
            </w:pPr>
          </w:p>
        </w:tc>
        <w:tc>
          <w:tcPr>
            <w:tcW w:w="1260" w:type="dxa"/>
            <w:vAlign w:val="center"/>
          </w:tcPr>
          <w:p>
            <w:pPr>
              <w:jc w:val="center"/>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428" w:type="dxa"/>
            <w:vAlign w:val="center"/>
          </w:tcPr>
          <w:p>
            <w:pPr>
              <w:jc w:val="center"/>
              <w:rPr>
                <w:rFonts w:hint="eastAsia" w:ascii="宋体" w:hAnsi="宋体" w:eastAsia="宋体" w:cs="Times New Roman"/>
                <w:color w:val="auto"/>
                <w:szCs w:val="24"/>
                <w:highlight w:val="none"/>
              </w:rPr>
            </w:pPr>
          </w:p>
        </w:tc>
        <w:tc>
          <w:tcPr>
            <w:tcW w:w="1429" w:type="dxa"/>
            <w:vAlign w:val="center"/>
          </w:tcPr>
          <w:p>
            <w:pPr>
              <w:jc w:val="center"/>
              <w:rPr>
                <w:rFonts w:hint="eastAsia" w:ascii="宋体" w:hAnsi="宋体" w:eastAsia="宋体" w:cs="Times New Roman"/>
                <w:color w:val="auto"/>
                <w:szCs w:val="24"/>
                <w:highlight w:val="none"/>
              </w:rPr>
            </w:pPr>
          </w:p>
        </w:tc>
        <w:tc>
          <w:tcPr>
            <w:tcW w:w="1429" w:type="dxa"/>
            <w:vAlign w:val="center"/>
          </w:tcPr>
          <w:p>
            <w:pPr>
              <w:jc w:val="center"/>
              <w:rPr>
                <w:rFonts w:hint="eastAsia" w:ascii="宋体" w:hAnsi="宋体" w:eastAsia="宋体" w:cs="Times New Roman"/>
                <w:color w:val="auto"/>
                <w:szCs w:val="24"/>
                <w:highlight w:val="none"/>
              </w:rPr>
            </w:pPr>
          </w:p>
        </w:tc>
        <w:tc>
          <w:tcPr>
            <w:tcW w:w="1427" w:type="dxa"/>
            <w:vAlign w:val="center"/>
          </w:tcPr>
          <w:p>
            <w:pPr>
              <w:jc w:val="center"/>
              <w:rPr>
                <w:rFonts w:hint="eastAsia" w:ascii="宋体" w:hAnsi="宋体" w:eastAsia="宋体" w:cs="Times New Roman"/>
                <w:color w:val="auto"/>
                <w:szCs w:val="24"/>
                <w:highlight w:val="none"/>
              </w:rPr>
            </w:pPr>
          </w:p>
        </w:tc>
        <w:tc>
          <w:tcPr>
            <w:tcW w:w="783" w:type="dxa"/>
            <w:vAlign w:val="center"/>
          </w:tcPr>
          <w:p>
            <w:pPr>
              <w:jc w:val="center"/>
              <w:rPr>
                <w:rFonts w:hint="eastAsia" w:ascii="宋体" w:hAnsi="宋体" w:eastAsia="宋体" w:cs="Times New Roman"/>
                <w:color w:val="auto"/>
                <w:szCs w:val="24"/>
                <w:highlight w:val="none"/>
              </w:rPr>
            </w:pPr>
          </w:p>
        </w:tc>
        <w:tc>
          <w:tcPr>
            <w:tcW w:w="769" w:type="dxa"/>
            <w:vAlign w:val="center"/>
          </w:tcPr>
          <w:p>
            <w:pPr>
              <w:jc w:val="center"/>
              <w:rPr>
                <w:rFonts w:hint="eastAsia" w:ascii="宋体" w:hAnsi="宋体" w:eastAsia="宋体" w:cs="Times New Roman"/>
                <w:color w:val="auto"/>
                <w:szCs w:val="24"/>
                <w:highlight w:val="none"/>
              </w:rPr>
            </w:pPr>
          </w:p>
        </w:tc>
        <w:tc>
          <w:tcPr>
            <w:tcW w:w="1260" w:type="dxa"/>
            <w:vAlign w:val="center"/>
          </w:tcPr>
          <w:p>
            <w:pPr>
              <w:jc w:val="center"/>
              <w:rPr>
                <w:rFonts w:hint="eastAsia" w:ascii="宋体" w:hAnsi="宋体"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28" w:type="dxa"/>
          </w:tcPr>
          <w:p>
            <w:pPr>
              <w:rPr>
                <w:rFonts w:hint="eastAsia" w:ascii="宋体" w:hAnsi="宋体" w:eastAsia="宋体" w:cs="Times New Roman"/>
                <w:color w:val="auto"/>
                <w:szCs w:val="24"/>
                <w:highlight w:val="none"/>
              </w:rPr>
            </w:pPr>
          </w:p>
        </w:tc>
        <w:tc>
          <w:tcPr>
            <w:tcW w:w="1429" w:type="dxa"/>
          </w:tcPr>
          <w:p>
            <w:pPr>
              <w:rPr>
                <w:rFonts w:hint="eastAsia" w:ascii="宋体" w:hAnsi="宋体" w:eastAsia="宋体" w:cs="Times New Roman"/>
                <w:color w:val="auto"/>
                <w:szCs w:val="24"/>
                <w:highlight w:val="none"/>
              </w:rPr>
            </w:pPr>
          </w:p>
        </w:tc>
        <w:tc>
          <w:tcPr>
            <w:tcW w:w="1429" w:type="dxa"/>
          </w:tcPr>
          <w:p>
            <w:pPr>
              <w:rPr>
                <w:rFonts w:hint="eastAsia" w:ascii="宋体" w:hAnsi="宋体" w:eastAsia="宋体" w:cs="Times New Roman"/>
                <w:color w:val="auto"/>
                <w:szCs w:val="24"/>
                <w:highlight w:val="none"/>
              </w:rPr>
            </w:pPr>
          </w:p>
        </w:tc>
        <w:tc>
          <w:tcPr>
            <w:tcW w:w="1427" w:type="dxa"/>
          </w:tcPr>
          <w:p>
            <w:pPr>
              <w:rPr>
                <w:rFonts w:hint="eastAsia" w:ascii="宋体" w:hAnsi="宋体" w:eastAsia="宋体" w:cs="Times New Roman"/>
                <w:color w:val="auto"/>
                <w:szCs w:val="24"/>
                <w:highlight w:val="none"/>
              </w:rPr>
            </w:pPr>
          </w:p>
        </w:tc>
        <w:tc>
          <w:tcPr>
            <w:tcW w:w="783" w:type="dxa"/>
          </w:tcPr>
          <w:p>
            <w:pPr>
              <w:rPr>
                <w:rFonts w:hint="eastAsia" w:ascii="宋体" w:hAnsi="宋体" w:eastAsia="宋体" w:cs="Times New Roman"/>
                <w:color w:val="auto"/>
                <w:szCs w:val="24"/>
                <w:highlight w:val="none"/>
              </w:rPr>
            </w:pPr>
          </w:p>
        </w:tc>
        <w:tc>
          <w:tcPr>
            <w:tcW w:w="769" w:type="dxa"/>
          </w:tcPr>
          <w:p>
            <w:pPr>
              <w:rPr>
                <w:rFonts w:hint="eastAsia" w:ascii="宋体" w:hAnsi="宋体" w:eastAsia="宋体" w:cs="Times New Roman"/>
                <w:color w:val="auto"/>
                <w:szCs w:val="24"/>
                <w:highlight w:val="none"/>
              </w:rPr>
            </w:pPr>
          </w:p>
        </w:tc>
        <w:tc>
          <w:tcPr>
            <w:tcW w:w="1260" w:type="dxa"/>
          </w:tcPr>
          <w:p>
            <w:pPr>
              <w:rPr>
                <w:rFonts w:hint="eastAsia" w:ascii="宋体" w:hAnsi="宋体" w:eastAsia="宋体" w:cs="Times New Roman"/>
                <w:color w:val="auto"/>
                <w:szCs w:val="24"/>
                <w:highlight w:val="none"/>
              </w:rPr>
            </w:pPr>
          </w:p>
        </w:tc>
      </w:tr>
    </w:tbl>
    <w:p>
      <w:pPr>
        <w:spacing w:line="276" w:lineRule="auto"/>
        <w:rPr>
          <w:rFonts w:hint="eastAsia" w:ascii="宋体" w:hAnsi="宋体" w:eastAsia="宋体"/>
          <w:dstrike/>
          <w:color w:val="auto"/>
          <w:highlight w:val="none"/>
        </w:rPr>
      </w:pPr>
      <w:r>
        <w:rPr>
          <w:rFonts w:hint="eastAsia" w:ascii="宋体" w:hAnsi="宋体" w:eastAsia="宋体"/>
          <w:color w:val="auto"/>
          <w:highlight w:val="none"/>
        </w:rPr>
        <w:t>注：①投标人应将已完成的</w:t>
      </w:r>
      <w:r>
        <w:rPr>
          <w:rFonts w:hint="eastAsia" w:ascii="宋体" w:hAnsi="宋体" w:eastAsia="宋体"/>
          <w:color w:val="auto"/>
          <w:szCs w:val="21"/>
          <w:highlight w:val="none"/>
        </w:rPr>
        <w:t>满足《商务文件评分表》评审要求的</w:t>
      </w:r>
      <w:r>
        <w:rPr>
          <w:rFonts w:hint="eastAsia" w:ascii="宋体" w:hAnsi="宋体" w:eastAsia="宋体"/>
          <w:color w:val="auto"/>
          <w:highlight w:val="none"/>
        </w:rPr>
        <w:t>类似勘察或设计项目情况填入本表中，以合同签时间为准。</w:t>
      </w:r>
    </w:p>
    <w:p>
      <w:pPr>
        <w:spacing w:line="276" w:lineRule="auto"/>
        <w:rPr>
          <w:rFonts w:hint="eastAsia" w:ascii="宋体" w:hAnsi="宋体" w:eastAsia="宋体"/>
          <w:color w:val="auto"/>
          <w:highlight w:val="none"/>
        </w:rPr>
      </w:pPr>
      <w:r>
        <w:rPr>
          <w:rFonts w:hint="eastAsia" w:ascii="宋体" w:hAnsi="宋体" w:eastAsia="宋体"/>
          <w:color w:val="auto"/>
          <w:highlight w:val="none"/>
        </w:rPr>
        <w:t>②项目概况包括：项目名称、项目等级、规模、建安费或总投资。</w:t>
      </w:r>
    </w:p>
    <w:p>
      <w:pPr>
        <w:spacing w:line="276" w:lineRule="auto"/>
        <w:rPr>
          <w:rFonts w:hint="eastAsia" w:ascii="宋体" w:hAnsi="宋体" w:eastAsia="宋体"/>
          <w:color w:val="auto"/>
          <w:highlight w:val="none"/>
        </w:rPr>
      </w:pPr>
      <w:r>
        <w:rPr>
          <w:rFonts w:hint="eastAsia" w:ascii="宋体" w:hAnsi="宋体" w:eastAsia="宋体"/>
          <w:color w:val="auto"/>
          <w:highlight w:val="none"/>
        </w:rPr>
        <w:t>③完成情况：已完成初步设计或施工图设计或已竣工。</w:t>
      </w:r>
    </w:p>
    <w:p>
      <w:pPr>
        <w:spacing w:line="276" w:lineRule="auto"/>
        <w:rPr>
          <w:rFonts w:hint="eastAsia" w:ascii="宋体" w:hAnsi="宋体" w:eastAsia="宋体"/>
          <w:color w:val="auto"/>
          <w:highlight w:val="none"/>
        </w:rPr>
      </w:pPr>
      <w:r>
        <w:rPr>
          <w:rFonts w:hint="eastAsia" w:ascii="宋体" w:hAnsi="宋体" w:eastAsia="宋体"/>
          <w:color w:val="auto"/>
          <w:highlight w:val="none"/>
        </w:rPr>
        <w:t>④投标人应随本表所填项目同时按评分要求提供相关证明材料。合同文本应含：项目名称，甲、乙方单位名称，勘察设计工作内容、工作时间，甲、乙方单位签约人签名及单位公章等内容。</w:t>
      </w:r>
    </w:p>
    <w:p>
      <w:pPr>
        <w:spacing w:line="276" w:lineRule="auto"/>
        <w:rPr>
          <w:rFonts w:hint="eastAsia" w:ascii="宋体" w:hAnsi="宋体" w:eastAsia="宋体"/>
          <w:color w:val="auto"/>
          <w:highlight w:val="none"/>
        </w:rPr>
      </w:pPr>
      <w:r>
        <w:rPr>
          <w:rFonts w:hint="eastAsia" w:ascii="宋体" w:hAnsi="宋体" w:eastAsia="宋体"/>
          <w:color w:val="auto"/>
          <w:highlight w:val="none"/>
        </w:rPr>
        <w:t>⑤投标人所提供的证明材料，应如实反映出各勘察设计项目的建设规模等相关数据。</w:t>
      </w:r>
    </w:p>
    <w:p>
      <w:pPr>
        <w:spacing w:line="276" w:lineRule="auto"/>
        <w:rPr>
          <w:rFonts w:hint="eastAsia" w:ascii="宋体" w:hAnsi="宋体" w:eastAsia="宋体"/>
          <w:color w:val="auto"/>
          <w:highlight w:val="none"/>
        </w:rPr>
      </w:pPr>
      <w:r>
        <w:rPr>
          <w:rFonts w:hint="eastAsia" w:ascii="宋体" w:hAnsi="宋体" w:eastAsia="宋体"/>
          <w:color w:val="auto"/>
          <w:highlight w:val="none"/>
        </w:rPr>
        <w:t>⑥对应《商务文件评分表》评审要求，请在备注中选择填写“企业类似业绩或奖项”或“项目负责人业绩或奖项”或“专业负责人业绩或奖项”；</w:t>
      </w:r>
      <w:r>
        <w:rPr>
          <w:rFonts w:ascii="宋体" w:hAnsi="宋体" w:eastAsia="宋体"/>
          <w:color w:val="auto"/>
          <w:highlight w:val="none"/>
        </w:rPr>
        <w:t>同</w:t>
      </w:r>
      <w:r>
        <w:rPr>
          <w:rFonts w:hint="eastAsia" w:ascii="宋体" w:hAnsi="宋体" w:eastAsia="宋体"/>
          <w:color w:val="auto"/>
          <w:highlight w:val="none"/>
        </w:rPr>
        <w:t>时满足前述多</w:t>
      </w:r>
      <w:r>
        <w:rPr>
          <w:rFonts w:ascii="宋体" w:hAnsi="宋体" w:eastAsia="宋体"/>
          <w:color w:val="auto"/>
          <w:highlight w:val="none"/>
        </w:rPr>
        <w:t>项评审要求，可在</w:t>
      </w:r>
      <w:r>
        <w:rPr>
          <w:rFonts w:hint="eastAsia" w:ascii="宋体" w:hAnsi="宋体" w:eastAsia="宋体"/>
          <w:color w:val="auto"/>
          <w:highlight w:val="none"/>
        </w:rPr>
        <w:t>备注中同时填写前述多个选项</w:t>
      </w:r>
      <w:r>
        <w:rPr>
          <w:rFonts w:ascii="宋体" w:hAnsi="宋体" w:eastAsia="宋体"/>
          <w:color w:val="auto"/>
          <w:highlight w:val="none"/>
        </w:rPr>
        <w:t>。</w:t>
      </w:r>
    </w:p>
    <w:p>
      <w:pPr>
        <w:widowControl/>
        <w:jc w:val="left"/>
        <w:rPr>
          <w:rFonts w:hint="eastAsia" w:ascii="宋体" w:hAnsi="宋体" w:eastAsia="宋体" w:cs="Times New Roman"/>
          <w:b/>
          <w:color w:val="auto"/>
          <w:kern w:val="0"/>
          <w:sz w:val="24"/>
          <w:szCs w:val="24"/>
          <w:highlight w:val="none"/>
          <w:lang w:val="zh-CN"/>
        </w:rPr>
      </w:pPr>
      <w:r>
        <w:rPr>
          <w:rFonts w:ascii="宋体" w:hAnsi="宋体" w:eastAsia="宋体"/>
          <w:color w:val="auto"/>
          <w:highlight w:val="none"/>
        </w:rPr>
        <w:br w:type="page"/>
      </w:r>
    </w:p>
    <w:p>
      <w:pPr>
        <w:autoSpaceDE w:val="0"/>
        <w:autoSpaceDN w:val="0"/>
        <w:adjustRightInd w:val="0"/>
        <w:spacing w:line="276" w:lineRule="auto"/>
        <w:ind w:left="284" w:hanging="284"/>
        <w:jc w:val="left"/>
        <w:outlineLvl w:val="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5</w:t>
      </w:r>
      <w:r>
        <w:rPr>
          <w:rFonts w:hint="eastAsia" w:ascii="宋体" w:hAnsi="宋体" w:eastAsia="宋体" w:cs="Times New Roman"/>
          <w:b/>
          <w:color w:val="auto"/>
          <w:szCs w:val="21"/>
          <w:highlight w:val="none"/>
        </w:rPr>
        <w:t>）中小企业声明函（如有）</w:t>
      </w:r>
    </w:p>
    <w:p>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中小企业声明函（如有）</w:t>
      </w:r>
    </w:p>
    <w:p>
      <w:pPr>
        <w:spacing w:line="360" w:lineRule="auto"/>
        <w:ind w:firstLine="48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（投标人）    </w:t>
      </w:r>
      <w:r>
        <w:rPr>
          <w:rFonts w:hint="eastAsia" w:ascii="宋体" w:hAnsi="宋体" w:eastAsia="宋体" w:cs="宋体"/>
          <w:color w:val="auto"/>
          <w:sz w:val="24"/>
          <w:szCs w:val="24"/>
          <w:highlight w:val="none"/>
        </w:rPr>
        <w:t>郑重声明，根据《关于印发中小企业划型标准规定的通知》（工信部联企业〔</w:t>
      </w:r>
      <w:r>
        <w:rPr>
          <w:rFonts w:ascii="宋体" w:hAnsi="宋体" w:eastAsia="宋体" w:cs="宋体"/>
          <w:color w:val="auto"/>
          <w:sz w:val="24"/>
          <w:szCs w:val="24"/>
          <w:highlight w:val="none"/>
        </w:rPr>
        <w:t>2011〕300号）的规定，</w:t>
      </w:r>
      <w:r>
        <w:rPr>
          <w:rFonts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为符合政策要求的中小企业。</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具体情况如下：</w:t>
      </w:r>
    </w:p>
    <w:p>
      <w:pPr>
        <w:numPr>
          <w:ilvl w:val="0"/>
          <w:numId w:val="3"/>
        </w:num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中小企业划型标准规定的</w:t>
      </w:r>
      <w:r>
        <w:rPr>
          <w:rFonts w:hint="eastAsia" w:ascii="宋体" w:hAnsi="宋体" w:eastAsia="宋体" w:cs="宋体"/>
          <w:b/>
          <w:bCs/>
          <w:color w:val="auto"/>
          <w:sz w:val="24"/>
          <w:szCs w:val="24"/>
          <w:highlight w:val="none"/>
          <w:u w:val="single"/>
        </w:rPr>
        <w:t>其他未列明</w:t>
      </w:r>
      <w:r>
        <w:rPr>
          <w:rFonts w:hint="eastAsia" w:ascii="宋体" w:hAnsi="宋体" w:eastAsia="宋体" w:cs="宋体"/>
          <w:color w:val="auto"/>
          <w:sz w:val="24"/>
          <w:szCs w:val="24"/>
          <w:highlight w:val="none"/>
        </w:rPr>
        <w:t>行业；承接企业为</w:t>
      </w:r>
      <w:r>
        <w:rPr>
          <w:rFonts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ascii="宋体" w:hAnsi="宋体" w:eastAsia="宋体" w:cs="宋体"/>
          <w:color w:val="auto"/>
          <w:sz w:val="24"/>
          <w:szCs w:val="24"/>
          <w:highlight w:val="none"/>
        </w:rPr>
        <w:t>____________人</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（小型企业、微型企业）</w:t>
      </w:r>
      <w:r>
        <w:rPr>
          <w:rFonts w:hint="eastAsia" w:ascii="宋体" w:hAnsi="宋体" w:eastAsia="宋体" w:cs="宋体"/>
          <w:color w:val="auto"/>
          <w:sz w:val="24"/>
          <w:szCs w:val="24"/>
          <w:highlight w:val="none"/>
        </w:rPr>
        <w:t>；在本项目中拟承担</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工作，在本项目的合同份额占合同总金额</w:t>
      </w:r>
      <w:r>
        <w:rPr>
          <w:rFonts w:ascii="宋体" w:hAnsi="宋体" w:eastAsia="宋体" w:cs="宋体"/>
          <w:b/>
          <w:bCs/>
          <w:color w:val="auto"/>
          <w:sz w:val="24"/>
          <w:szCs w:val="24"/>
          <w:highlight w:val="none"/>
          <w:u w:val="single"/>
        </w:rPr>
        <w:t xml:space="preserve">    </w:t>
      </w:r>
      <w:r>
        <w:rPr>
          <w:rFonts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p>
    <w:p>
      <w:pPr>
        <w:numPr>
          <w:ilvl w:val="0"/>
          <w:numId w:val="3"/>
        </w:num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中小企业划型标准规定的</w:t>
      </w:r>
      <w:r>
        <w:rPr>
          <w:rFonts w:hint="eastAsia" w:ascii="宋体" w:hAnsi="宋体" w:eastAsia="宋体" w:cs="宋体"/>
          <w:b/>
          <w:bCs/>
          <w:color w:val="auto"/>
          <w:sz w:val="24"/>
          <w:szCs w:val="24"/>
          <w:highlight w:val="none"/>
          <w:u w:val="single"/>
        </w:rPr>
        <w:t>其他未列明</w:t>
      </w:r>
      <w:r>
        <w:rPr>
          <w:rFonts w:hint="eastAsia" w:ascii="宋体" w:hAnsi="宋体" w:eastAsia="宋体" w:cs="宋体"/>
          <w:color w:val="auto"/>
          <w:sz w:val="24"/>
          <w:szCs w:val="24"/>
          <w:highlight w:val="none"/>
        </w:rPr>
        <w:t>行业；承接企业为</w:t>
      </w:r>
      <w:r>
        <w:rPr>
          <w:rFonts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ascii="宋体" w:hAnsi="宋体" w:eastAsia="宋体" w:cs="宋体"/>
          <w:color w:val="auto"/>
          <w:sz w:val="24"/>
          <w:szCs w:val="24"/>
          <w:highlight w:val="none"/>
        </w:rPr>
        <w:t>___________ 人</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（小型企业、微型企业）</w:t>
      </w:r>
      <w:r>
        <w:rPr>
          <w:rFonts w:hint="eastAsia" w:ascii="宋体" w:hAnsi="宋体" w:eastAsia="宋体" w:cs="宋体"/>
          <w:color w:val="auto"/>
          <w:sz w:val="24"/>
          <w:szCs w:val="24"/>
          <w:highlight w:val="none"/>
        </w:rPr>
        <w:t>；在本项目中拟承担</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工作，在本项目的合同份额占合同总金额</w:t>
      </w:r>
      <w:r>
        <w:rPr>
          <w:rFonts w:ascii="宋体" w:hAnsi="宋体" w:eastAsia="宋体" w:cs="宋体"/>
          <w:b/>
          <w:bCs/>
          <w:color w:val="auto"/>
          <w:sz w:val="24"/>
          <w:szCs w:val="24"/>
          <w:highlight w:val="none"/>
          <w:u w:val="single"/>
        </w:rPr>
        <w:t xml:space="preserve">    </w:t>
      </w:r>
      <w:r>
        <w:rPr>
          <w:rFonts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p>
    <w:p>
      <w:pPr>
        <w:spacing w:line="360" w:lineRule="auto"/>
        <w:ind w:firstLine="48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360" w:lineRule="auto"/>
        <w:jc w:val="right"/>
        <w:rPr>
          <w:rFonts w:hint="eastAsia" w:ascii="宋体" w:hAnsi="宋体" w:eastAsia="宋体" w:cs="宋体"/>
          <w:color w:val="auto"/>
          <w:sz w:val="24"/>
          <w:szCs w:val="24"/>
          <w:highlight w:val="none"/>
        </w:rPr>
      </w:pPr>
    </w:p>
    <w:p>
      <w:pPr>
        <w:spacing w:line="360" w:lineRule="auto"/>
        <w:jc w:val="right"/>
        <w:rPr>
          <w:rFonts w:hint="eastAsia" w:ascii="宋体" w:hAnsi="宋体" w:eastAsia="宋体" w:cs="宋体"/>
          <w:color w:val="auto"/>
          <w:sz w:val="24"/>
          <w:szCs w:val="24"/>
          <w:highlight w:val="none"/>
        </w:rPr>
      </w:pPr>
      <w:bookmarkStart w:id="251" w:name="_Hlk195907452"/>
      <w:r>
        <w:rPr>
          <w:rFonts w:hint="eastAsia" w:ascii="宋体" w:hAnsi="宋体" w:eastAsia="宋体" w:cs="宋体"/>
          <w:color w:val="auto"/>
          <w:sz w:val="24"/>
          <w:szCs w:val="24"/>
          <w:highlight w:val="none"/>
        </w:rPr>
        <w:t>投标人</w:t>
      </w:r>
      <w:bookmarkEnd w:id="251"/>
      <w:r>
        <w:rPr>
          <w:rFonts w:hint="eastAsia" w:ascii="宋体" w:hAnsi="宋体" w:eastAsia="宋体" w:cs="宋体"/>
          <w:color w:val="auto"/>
          <w:sz w:val="24"/>
          <w:szCs w:val="24"/>
          <w:highlight w:val="none"/>
        </w:rPr>
        <w:t>（盖章）：</w:t>
      </w:r>
    </w:p>
    <w:p>
      <w:pPr>
        <w:spacing w:line="360" w:lineRule="auto"/>
        <w:jc w:val="right"/>
        <w:rPr>
          <w:rFonts w:hint="eastAsia" w:ascii="宋体" w:hAnsi="宋体" w:eastAsia="宋体" w:cs="Times New Roman"/>
          <w:color w:val="auto"/>
          <w:sz w:val="24"/>
          <w:szCs w:val="24"/>
          <w:highlight w:val="none"/>
        </w:rPr>
      </w:pPr>
      <w:r>
        <w:rPr>
          <w:rFonts w:ascii="宋体" w:hAnsi="宋体" w:eastAsia="宋体" w:cs="宋体"/>
          <w:color w:val="auto"/>
          <w:sz w:val="24"/>
          <w:szCs w:val="24"/>
          <w:highlight w:val="none"/>
        </w:rPr>
        <w:t xml:space="preserve">             日期：</w:t>
      </w:r>
    </w:p>
    <w:p>
      <w:pPr>
        <w:wordWrap w:val="0"/>
        <w:topLinePunct/>
        <w:spacing w:line="276" w:lineRule="auto"/>
        <w:jc w:val="left"/>
        <w:rPr>
          <w:rFonts w:hint="eastAsia" w:ascii="宋体" w:hAnsi="宋体" w:eastAsia="宋体" w:cs="Times New Roman"/>
          <w:color w:val="auto"/>
          <w:szCs w:val="21"/>
          <w:highlight w:val="none"/>
        </w:rPr>
      </w:pPr>
    </w:p>
    <w:p>
      <w:pPr>
        <w:wordWrap w:val="0"/>
        <w:topLinePunct/>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wordWrap w:val="0"/>
        <w:topLinePunct/>
        <w:spacing w:line="276"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1、营业收入、资产总额填报上一年度数据，无上一年度数据的新成立企业可不填报。</w:t>
      </w:r>
    </w:p>
    <w:p>
      <w:pPr>
        <w:wordWrap w:val="0"/>
        <w:topLinePunct/>
        <w:spacing w:line="276" w:lineRule="auto"/>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投标人可参考《广东省财政厅关于进一步规范政府采购活动中落实促进中小企业发展政策的通知（粤财采购〔2024〕11 号）》</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http://czt.gd.gov.cn/zfcg/content/post_4497011.html）、《广州市政府采购中心关于规范填写《中小企业声明函》的温馨提示》（集团公告- 详情页https://www.gzggzy.cn/jtgg/1001279.jhtml）填写，《中小企业声明函》由参加招投标活动的</w:t>
      </w:r>
      <w:r>
        <w:rPr>
          <w:rFonts w:hint="eastAsia" w:ascii="宋体" w:hAnsi="宋体" w:eastAsia="宋体" w:cs="Times New Roman"/>
          <w:b/>
          <w:bCs/>
          <w:color w:val="auto"/>
          <w:szCs w:val="21"/>
          <w:highlight w:val="none"/>
        </w:rPr>
        <w:t>投标人</w:t>
      </w:r>
      <w:r>
        <w:rPr>
          <w:rFonts w:ascii="宋体" w:hAnsi="宋体" w:eastAsia="宋体" w:cs="Times New Roman"/>
          <w:color w:val="auto"/>
          <w:szCs w:val="21"/>
          <w:highlight w:val="none"/>
        </w:rPr>
        <w:t>出具。</w:t>
      </w:r>
      <w:r>
        <w:rPr>
          <w:rFonts w:hint="eastAsia" w:ascii="宋体" w:hAnsi="宋体" w:eastAsia="宋体" w:cs="Times New Roman"/>
          <w:b/>
          <w:bCs/>
          <w:color w:val="auto"/>
          <w:szCs w:val="21"/>
          <w:highlight w:val="none"/>
        </w:rPr>
        <w:t>以联合体形式参加投标活动的，《中小企业声明函》中需填写联合体中的小微企业相关信息。</w:t>
      </w:r>
    </w:p>
    <w:p>
      <w:pPr>
        <w:wordWrap w:val="0"/>
        <w:topLinePunct/>
        <w:spacing w:line="276" w:lineRule="auto"/>
        <w:jc w:val="left"/>
        <w:rPr>
          <w:rFonts w:hint="eastAsia" w:ascii="宋体" w:hAnsi="宋体" w:eastAsia="宋体"/>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投标人应当自行核实是否属于小微企业，并认真填写中小企业声明函，若有虚假将追究其责任。</w:t>
      </w:r>
    </w:p>
    <w:p>
      <w:pPr>
        <w:wordWrap w:val="0"/>
        <w:topLinePunct/>
        <w:spacing w:line="276" w:lineRule="auto"/>
        <w:jc w:val="left"/>
        <w:rPr>
          <w:rFonts w:hint="eastAsia" w:ascii="宋体" w:hAnsi="宋体" w:eastAsia="宋体"/>
          <w:color w:val="auto"/>
          <w:highlight w:val="none"/>
        </w:rPr>
      </w:pPr>
      <w:r>
        <w:rPr>
          <w:rFonts w:ascii="宋体" w:hAnsi="宋体" w:eastAsia="宋体" w:cs="Times New Roman"/>
          <w:color w:val="auto"/>
          <w:szCs w:val="21"/>
          <w:highlight w:val="none"/>
        </w:rPr>
        <w:t>4、《中小企业声明函》，只作为报价评审优惠依据，不作为否决投标条款。</w:t>
      </w:r>
    </w:p>
    <w:p>
      <w:pPr>
        <w:widowControl/>
        <w:jc w:val="left"/>
        <w:rPr>
          <w:rFonts w:hint="eastAsia" w:ascii="宋体" w:hAnsi="宋体" w:eastAsia="宋体" w:cs="Times New Roman"/>
          <w:b/>
          <w:color w:val="auto"/>
          <w:kern w:val="0"/>
          <w:sz w:val="24"/>
          <w:szCs w:val="24"/>
          <w:highlight w:val="none"/>
          <w:lang w:val="zh-CN"/>
        </w:rPr>
      </w:pPr>
      <w:r>
        <w:rPr>
          <w:rFonts w:ascii="宋体" w:hAnsi="宋体" w:eastAsia="宋体"/>
          <w:color w:val="auto"/>
          <w:highlight w:val="none"/>
        </w:rPr>
        <w:br w:type="page"/>
      </w:r>
    </w:p>
    <w:p>
      <w:pPr>
        <w:autoSpaceDE w:val="0"/>
        <w:autoSpaceDN w:val="0"/>
        <w:adjustRightInd w:val="0"/>
        <w:spacing w:line="276" w:lineRule="auto"/>
        <w:ind w:left="284" w:hanging="284"/>
        <w:jc w:val="left"/>
        <w:outlineLvl w:val="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6</w:t>
      </w:r>
      <w:r>
        <w:rPr>
          <w:rFonts w:hint="eastAsia" w:ascii="宋体" w:hAnsi="宋体" w:eastAsia="宋体" w:cs="Times New Roman"/>
          <w:b/>
          <w:color w:val="auto"/>
          <w:szCs w:val="21"/>
          <w:highlight w:val="none"/>
        </w:rPr>
        <w:t>）分包意向协议书（如有）</w:t>
      </w:r>
    </w:p>
    <w:p>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分包意向协议书（如有）</w:t>
      </w:r>
    </w:p>
    <w:p>
      <w:pPr>
        <w:autoSpaceDE w:val="0"/>
        <w:autoSpaceDN w:val="0"/>
        <w:spacing w:line="276" w:lineRule="auto"/>
        <w:jc w:val="left"/>
        <w:rPr>
          <w:rFonts w:hint="eastAsia" w:ascii="宋体" w:hAnsi="宋体" w:eastAsia="宋体" w:cs="Times New Roman"/>
          <w:color w:val="auto"/>
          <w:kern w:val="0"/>
          <w:szCs w:val="21"/>
          <w:highlight w:val="none"/>
          <w:u w:val="single"/>
        </w:rPr>
      </w:pPr>
      <w:r>
        <w:rPr>
          <w:rFonts w:hint="eastAsia" w:ascii="宋体" w:hAnsi="宋体" w:eastAsia="宋体" w:cs="Times New Roman"/>
          <w:color w:val="auto"/>
          <w:kern w:val="10"/>
          <w:szCs w:val="21"/>
          <w:highlight w:val="none"/>
        </w:rPr>
        <w:t>立约方：</w:t>
      </w:r>
      <w:r>
        <w:rPr>
          <w:rFonts w:hint="eastAsia" w:ascii="宋体" w:hAnsi="宋体" w:eastAsia="宋体" w:cs="Times New Roman"/>
          <w:color w:val="auto"/>
          <w:kern w:val="0"/>
          <w:szCs w:val="21"/>
          <w:highlight w:val="none"/>
          <w:u w:val="single"/>
        </w:rPr>
        <w:t>（甲公司全称）</w:t>
      </w:r>
    </w:p>
    <w:p>
      <w:pPr>
        <w:autoSpaceDE w:val="0"/>
        <w:autoSpaceDN w:val="0"/>
        <w:spacing w:line="276" w:lineRule="auto"/>
        <w:ind w:firstLine="840" w:firstLineChars="400"/>
        <w:jc w:val="left"/>
        <w:rPr>
          <w:rFonts w:hint="eastAsia"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u w:val="single"/>
        </w:rPr>
        <w:t>（乙公司全称）</w:t>
      </w:r>
    </w:p>
    <w:p>
      <w:pPr>
        <w:autoSpaceDE w:val="0"/>
        <w:autoSpaceDN w:val="0"/>
        <w:spacing w:line="276" w:lineRule="auto"/>
        <w:ind w:firstLine="840" w:firstLineChars="400"/>
        <w:jc w:val="left"/>
        <w:rPr>
          <w:rFonts w:hint="eastAsia" w:ascii="宋体" w:hAnsi="宋体" w:eastAsia="宋体" w:cs="Times New Roman"/>
          <w:color w:val="auto"/>
          <w:kern w:val="0"/>
          <w:szCs w:val="21"/>
          <w:highlight w:val="none"/>
          <w:u w:val="single"/>
        </w:rPr>
      </w:pPr>
      <w:r>
        <w:rPr>
          <w:rFonts w:hint="eastAsia" w:ascii="宋体" w:hAnsi="宋体" w:eastAsia="宋体" w:cs="Times New Roman"/>
          <w:color w:val="auto"/>
          <w:kern w:val="0"/>
          <w:szCs w:val="21"/>
          <w:highlight w:val="none"/>
          <w:u w:val="single"/>
        </w:rPr>
        <w:t>（……公司全称）</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u w:val="single"/>
        </w:rPr>
        <w:t>（甲公司全称）</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u w:val="single"/>
        </w:rPr>
        <w:t>（乙公司全称）</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u w:val="single"/>
        </w:rPr>
        <w:t>（……公司全称）</w:t>
      </w:r>
      <w:r>
        <w:rPr>
          <w:rFonts w:hint="eastAsia" w:ascii="宋体" w:hAnsi="宋体" w:eastAsia="宋体" w:cs="Times New Roman"/>
          <w:color w:val="auto"/>
          <w:kern w:val="0"/>
          <w:szCs w:val="21"/>
          <w:highlight w:val="none"/>
        </w:rPr>
        <w:t>自愿达成分包意向，参加</w:t>
      </w:r>
      <w:r>
        <w:rPr>
          <w:rFonts w:hint="eastAsia" w:ascii="宋体" w:hAnsi="宋体" w:eastAsia="宋体" w:cs="Times New Roman"/>
          <w:color w:val="auto"/>
          <w:kern w:val="0"/>
          <w:szCs w:val="21"/>
          <w:highlight w:val="none"/>
          <w:u w:val="single"/>
        </w:rPr>
        <w:t>（项目名称）</w:t>
      </w:r>
      <w:r>
        <w:rPr>
          <w:rFonts w:hint="eastAsia" w:ascii="宋体" w:hAnsi="宋体" w:eastAsia="宋体" w:cs="Times New Roman"/>
          <w:color w:val="auto"/>
          <w:kern w:val="0"/>
          <w:szCs w:val="21"/>
          <w:highlight w:val="none"/>
        </w:rPr>
        <w:t>的投标活动。经各方充分协商一致，就</w:t>
      </w:r>
      <w:r>
        <w:rPr>
          <w:rFonts w:hint="eastAsia" w:ascii="宋体" w:hAnsi="宋体" w:eastAsia="宋体" w:cs="Times New Roman"/>
          <w:color w:val="auto"/>
          <w:kern w:val="10"/>
          <w:szCs w:val="21"/>
          <w:highlight w:val="none"/>
        </w:rPr>
        <w:t>项目的</w:t>
      </w:r>
      <w:r>
        <w:rPr>
          <w:rFonts w:hint="eastAsia" w:ascii="宋体" w:hAnsi="宋体" w:eastAsia="宋体" w:cs="Times New Roman"/>
          <w:color w:val="auto"/>
          <w:kern w:val="0"/>
          <w:szCs w:val="21"/>
          <w:highlight w:val="none"/>
        </w:rPr>
        <w:t>投标</w:t>
      </w:r>
      <w:r>
        <w:rPr>
          <w:rFonts w:hint="eastAsia" w:ascii="宋体" w:hAnsi="宋体" w:eastAsia="宋体" w:cs="Times New Roman"/>
          <w:color w:val="auto"/>
          <w:kern w:val="10"/>
          <w:szCs w:val="21"/>
          <w:highlight w:val="none"/>
        </w:rPr>
        <w:t>和合同实施阶段的有关事务协商一致</w:t>
      </w:r>
      <w:r>
        <w:rPr>
          <w:rFonts w:hint="eastAsia" w:ascii="宋体" w:hAnsi="宋体" w:eastAsia="宋体" w:cs="Times New Roman"/>
          <w:color w:val="auto"/>
          <w:kern w:val="0"/>
          <w:szCs w:val="21"/>
          <w:highlight w:val="none"/>
        </w:rPr>
        <w:t>订立意向如下：</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一、分包意向各方关系</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u w:val="single"/>
        </w:rPr>
        <w:t>（甲公司全称）为投标人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u w:val="single"/>
        </w:rPr>
        <w:t>（乙公司全称）</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u w:val="single"/>
        </w:rPr>
        <w:t>（……公司全称）</w:t>
      </w:r>
      <w:r>
        <w:rPr>
          <w:rFonts w:hint="eastAsia" w:ascii="宋体" w:hAnsi="宋体" w:eastAsia="宋体" w:cs="Times New Roman"/>
          <w:color w:val="auto"/>
          <w:kern w:val="0"/>
          <w:szCs w:val="21"/>
          <w:highlight w:val="none"/>
        </w:rPr>
        <w:t>为分包意向单位，</w:t>
      </w:r>
      <w:r>
        <w:rPr>
          <w:rFonts w:hint="eastAsia" w:ascii="宋体" w:hAnsi="宋体" w:eastAsia="宋体" w:cs="Times New Roman"/>
          <w:color w:val="auto"/>
          <w:kern w:val="0"/>
          <w:szCs w:val="21"/>
          <w:highlight w:val="none"/>
          <w:u w:val="single"/>
        </w:rPr>
        <w:t>（甲公司全称）</w:t>
      </w:r>
      <w:r>
        <w:rPr>
          <w:rFonts w:hint="eastAsia" w:ascii="宋体" w:hAnsi="宋体" w:eastAsia="宋体" w:cs="Times New Roman"/>
          <w:color w:val="auto"/>
          <w:kern w:val="0"/>
          <w:szCs w:val="21"/>
          <w:highlight w:val="none"/>
        </w:rPr>
        <w:t>以投标人的身份参加本项目的投标。若中标，</w:t>
      </w:r>
      <w:r>
        <w:rPr>
          <w:rFonts w:hint="eastAsia" w:ascii="宋体" w:hAnsi="宋体" w:eastAsia="宋体" w:cs="Times New Roman"/>
          <w:color w:val="auto"/>
          <w:kern w:val="0"/>
          <w:szCs w:val="21"/>
          <w:highlight w:val="none"/>
          <w:u w:val="single"/>
        </w:rPr>
        <w:t>（甲公司全称）与招标人</w:t>
      </w:r>
      <w:r>
        <w:rPr>
          <w:rFonts w:hint="eastAsia" w:ascii="宋体" w:hAnsi="宋体" w:eastAsia="宋体" w:cs="Times New Roman"/>
          <w:color w:val="auto"/>
          <w:kern w:val="0"/>
          <w:szCs w:val="21"/>
          <w:highlight w:val="none"/>
        </w:rPr>
        <w:t>签订勘察设计合同。承接分包意向的各单位与</w:t>
      </w:r>
      <w:r>
        <w:rPr>
          <w:rFonts w:hint="eastAsia" w:ascii="宋体" w:hAnsi="宋体" w:eastAsia="宋体" w:cs="Times New Roman"/>
          <w:color w:val="auto"/>
          <w:kern w:val="0"/>
          <w:szCs w:val="21"/>
          <w:highlight w:val="none"/>
          <w:u w:val="single"/>
        </w:rPr>
        <w:t>（甲公司全称）</w:t>
      </w:r>
      <w:r>
        <w:rPr>
          <w:rFonts w:hint="eastAsia" w:ascii="宋体" w:hAnsi="宋体" w:eastAsia="宋体" w:cs="Times New Roman"/>
          <w:color w:val="auto"/>
          <w:kern w:val="0"/>
          <w:szCs w:val="21"/>
          <w:highlight w:val="none"/>
        </w:rPr>
        <w:t>签订分包合同。</w:t>
      </w:r>
      <w:r>
        <w:rPr>
          <w:rFonts w:hint="eastAsia" w:ascii="宋体" w:hAnsi="宋体" w:eastAsia="宋体" w:cs="Times New Roman"/>
          <w:color w:val="auto"/>
          <w:kern w:val="0"/>
          <w:szCs w:val="21"/>
          <w:highlight w:val="none"/>
          <w:u w:val="single"/>
        </w:rPr>
        <w:t>（甲公司全称）</w:t>
      </w:r>
      <w:r>
        <w:rPr>
          <w:rFonts w:hint="eastAsia" w:ascii="宋体" w:hAnsi="宋体" w:eastAsia="宋体" w:cs="Times New Roman"/>
          <w:color w:val="auto"/>
          <w:kern w:val="0"/>
          <w:szCs w:val="21"/>
          <w:highlight w:val="none"/>
        </w:rPr>
        <w:t>就招标项目和分包项目向招标人负责，分包单位就分包项目承担责任。</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二、有关事项约定如下：</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1.如中标，分包单位分别与</w:t>
      </w:r>
      <w:r>
        <w:rPr>
          <w:rFonts w:hint="eastAsia" w:ascii="宋体" w:hAnsi="宋体" w:eastAsia="宋体" w:cs="Times New Roman"/>
          <w:color w:val="auto"/>
          <w:kern w:val="0"/>
          <w:szCs w:val="21"/>
          <w:highlight w:val="none"/>
          <w:u w:val="single"/>
        </w:rPr>
        <w:t>（甲公司全称）</w:t>
      </w:r>
      <w:r>
        <w:rPr>
          <w:rFonts w:hint="eastAsia" w:ascii="宋体" w:hAnsi="宋体" w:eastAsia="宋体" w:cs="Times New Roman"/>
          <w:color w:val="auto"/>
          <w:kern w:val="0"/>
          <w:szCs w:val="21"/>
          <w:highlight w:val="none"/>
        </w:rPr>
        <w:t>签订合同书，并就中标项目分包部分承担法律责任；</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2.分包意向单位1</w:t>
      </w:r>
      <w:r>
        <w:rPr>
          <w:rFonts w:ascii="宋体" w:hAnsi="宋体" w:eastAsia="宋体" w:cs="Times New Roman"/>
          <w:color w:val="auto"/>
          <w:kern w:val="0"/>
          <w:szCs w:val="21"/>
          <w:highlight w:val="none"/>
          <w:u w:val="single"/>
        </w:rPr>
        <w:t xml:space="preserve"> （乙公司全称） </w:t>
      </w:r>
      <w:r>
        <w:rPr>
          <w:rFonts w:hint="eastAsia" w:ascii="宋体" w:hAnsi="宋体" w:eastAsia="宋体" w:cs="Times New Roman"/>
          <w:color w:val="auto"/>
          <w:kern w:val="0"/>
          <w:szCs w:val="21"/>
          <w:highlight w:val="none"/>
        </w:rPr>
        <w:t>为</w:t>
      </w:r>
      <w:r>
        <w:rPr>
          <w:rFonts w:hint="eastAsia" w:ascii="宋体" w:hAnsi="宋体" w:eastAsia="宋体" w:cs="Times New Roman"/>
          <w:color w:val="auto"/>
          <w:kern w:val="0"/>
          <w:szCs w:val="21"/>
          <w:highlight w:val="none"/>
          <w:u w:val="single"/>
        </w:rPr>
        <w:t>（请填写：小型、微型）</w:t>
      </w:r>
      <w:r>
        <w:rPr>
          <w:rFonts w:hint="eastAsia" w:ascii="宋体" w:hAnsi="宋体" w:eastAsia="宋体" w:cs="Times New Roman"/>
          <w:color w:val="auto"/>
          <w:kern w:val="0"/>
          <w:szCs w:val="21"/>
          <w:highlight w:val="none"/>
        </w:rPr>
        <w:t>企业，将承担适宜分包部分</w:t>
      </w:r>
      <w:r>
        <w:rPr>
          <w:rFonts w:ascii="宋体" w:hAnsi="宋体" w:eastAsia="宋体" w:cs="Times New Roman"/>
          <w:color w:val="auto"/>
          <w:kern w:val="0"/>
          <w:szCs w:val="21"/>
          <w:highlight w:val="none"/>
          <w:u w:val="single"/>
        </w:rPr>
        <w:t xml:space="preserve"> （具体分包内容）</w:t>
      </w:r>
      <w:r>
        <w:rPr>
          <w:rFonts w:hint="eastAsia" w:ascii="宋体" w:hAnsi="宋体" w:eastAsia="宋体" w:cs="Times New Roman"/>
          <w:color w:val="auto"/>
          <w:kern w:val="0"/>
          <w:szCs w:val="21"/>
          <w:highlight w:val="none"/>
        </w:rPr>
        <w:t>占合同总金额</w:t>
      </w:r>
      <w:r>
        <w:rPr>
          <w:rFonts w:ascii="宋体" w:hAnsi="宋体" w:eastAsia="宋体" w:cs="Times New Roman"/>
          <w:b/>
          <w:bCs/>
          <w:color w:val="auto"/>
          <w:kern w:val="0"/>
          <w:szCs w:val="21"/>
          <w:highlight w:val="none"/>
          <w:u w:val="single"/>
        </w:rPr>
        <w:t xml:space="preserve">     </w:t>
      </w:r>
      <w:r>
        <w:rPr>
          <w:rFonts w:ascii="宋体" w:hAnsi="宋体" w:eastAsia="宋体" w:cs="Times New Roman"/>
          <w:b/>
          <w:bCs/>
          <w:color w:val="auto"/>
          <w:kern w:val="0"/>
          <w:szCs w:val="21"/>
          <w:highlight w:val="none"/>
        </w:rPr>
        <w:t>%</w:t>
      </w:r>
      <w:r>
        <w:rPr>
          <w:rFonts w:hint="eastAsia" w:ascii="宋体" w:hAnsi="宋体" w:eastAsia="宋体" w:cs="Times New Roman"/>
          <w:color w:val="auto"/>
          <w:kern w:val="0"/>
          <w:szCs w:val="21"/>
          <w:highlight w:val="none"/>
        </w:rPr>
        <w:t>的工作内容。</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3.分包意向单位2</w:t>
      </w:r>
      <w:r>
        <w:rPr>
          <w:rFonts w:ascii="宋体" w:hAnsi="宋体" w:eastAsia="宋体" w:cs="Times New Roman"/>
          <w:color w:val="auto"/>
          <w:kern w:val="0"/>
          <w:szCs w:val="21"/>
          <w:highlight w:val="none"/>
          <w:u w:val="single"/>
        </w:rPr>
        <w:t xml:space="preserve"> （……公司全称）</w:t>
      </w:r>
      <w:r>
        <w:rPr>
          <w:rFonts w:hint="eastAsia" w:ascii="宋体" w:hAnsi="宋体" w:eastAsia="宋体" w:cs="Times New Roman"/>
          <w:color w:val="auto"/>
          <w:kern w:val="0"/>
          <w:szCs w:val="21"/>
          <w:highlight w:val="none"/>
        </w:rPr>
        <w:t>为</w:t>
      </w:r>
      <w:r>
        <w:rPr>
          <w:rFonts w:hint="eastAsia" w:ascii="宋体" w:hAnsi="宋体" w:eastAsia="宋体" w:cs="Times New Roman"/>
          <w:color w:val="auto"/>
          <w:kern w:val="0"/>
          <w:szCs w:val="21"/>
          <w:highlight w:val="none"/>
          <w:u w:val="single"/>
        </w:rPr>
        <w:t>（请填写：小型、微型）</w:t>
      </w:r>
      <w:r>
        <w:rPr>
          <w:rFonts w:hint="eastAsia" w:ascii="宋体" w:hAnsi="宋体" w:eastAsia="宋体" w:cs="Times New Roman"/>
          <w:color w:val="auto"/>
          <w:kern w:val="0"/>
          <w:szCs w:val="21"/>
          <w:highlight w:val="none"/>
        </w:rPr>
        <w:t>企业，将承担适宜分包部分</w:t>
      </w:r>
      <w:r>
        <w:rPr>
          <w:rFonts w:hint="eastAsia" w:ascii="宋体" w:hAnsi="宋体" w:eastAsia="宋体" w:cs="Times New Roman"/>
          <w:color w:val="auto"/>
          <w:kern w:val="0"/>
          <w:szCs w:val="21"/>
          <w:highlight w:val="none"/>
          <w:u w:val="single"/>
        </w:rPr>
        <w:t>（具体分包内容）占</w:t>
      </w:r>
      <w:r>
        <w:rPr>
          <w:rFonts w:hint="eastAsia" w:ascii="宋体" w:hAnsi="宋体" w:eastAsia="宋体" w:cs="Times New Roman"/>
          <w:color w:val="auto"/>
          <w:kern w:val="0"/>
          <w:szCs w:val="21"/>
          <w:highlight w:val="none"/>
        </w:rPr>
        <w:t>合同总金额</w:t>
      </w:r>
      <w:r>
        <w:rPr>
          <w:rFonts w:ascii="宋体" w:hAnsi="宋体" w:eastAsia="宋体" w:cs="Times New Roman"/>
          <w:b/>
          <w:bCs/>
          <w:color w:val="auto"/>
          <w:kern w:val="0"/>
          <w:szCs w:val="21"/>
          <w:highlight w:val="none"/>
          <w:u w:val="single"/>
        </w:rPr>
        <w:t xml:space="preserve">      </w:t>
      </w:r>
      <w:r>
        <w:rPr>
          <w:rFonts w:ascii="宋体" w:hAnsi="宋体" w:eastAsia="宋体" w:cs="Times New Roman"/>
          <w:b/>
          <w:bCs/>
          <w:color w:val="auto"/>
          <w:kern w:val="0"/>
          <w:szCs w:val="21"/>
          <w:highlight w:val="none"/>
        </w:rPr>
        <w:t>%</w:t>
      </w:r>
      <w:r>
        <w:rPr>
          <w:rFonts w:hint="eastAsia" w:ascii="宋体" w:hAnsi="宋体" w:eastAsia="宋体" w:cs="Times New Roman"/>
          <w:color w:val="auto"/>
          <w:kern w:val="0"/>
          <w:szCs w:val="21"/>
          <w:highlight w:val="none"/>
        </w:rPr>
        <w:t>的工作内容。</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三、接受分包的企业与投标人之间的关系：</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1.分包意向单位1</w:t>
      </w:r>
      <w:r>
        <w:rPr>
          <w:rFonts w:ascii="宋体" w:hAnsi="宋体" w:eastAsia="宋体" w:cs="Times New Roman"/>
          <w:color w:val="auto"/>
          <w:kern w:val="0"/>
          <w:szCs w:val="21"/>
          <w:highlight w:val="none"/>
          <w:u w:val="single"/>
        </w:rPr>
        <w:t xml:space="preserve"> （公司全称）</w:t>
      </w:r>
      <w:r>
        <w:rPr>
          <w:rFonts w:hint="eastAsia" w:ascii="宋体" w:hAnsi="宋体" w:eastAsia="宋体" w:cs="Times New Roman"/>
          <w:color w:val="auto"/>
          <w:kern w:val="0"/>
          <w:szCs w:val="21"/>
          <w:highlight w:val="none"/>
        </w:rPr>
        <w:t>与投标人之间</w:t>
      </w:r>
      <w:r>
        <w:rPr>
          <w:rFonts w:hint="eastAsia" w:ascii="宋体" w:hAnsi="宋体" w:eastAsia="宋体" w:cs="Times New Roman"/>
          <w:color w:val="auto"/>
          <w:kern w:val="0"/>
          <w:szCs w:val="21"/>
          <w:highlight w:val="none"/>
          <w:u w:val="single"/>
        </w:rPr>
        <w:t>（请填写：是否存在）</w:t>
      </w:r>
      <w:r>
        <w:rPr>
          <w:rFonts w:hint="eastAsia" w:ascii="宋体" w:hAnsi="宋体" w:eastAsia="宋体" w:cs="Times New Roman"/>
          <w:color w:val="auto"/>
          <w:kern w:val="0"/>
          <w:szCs w:val="21"/>
          <w:highlight w:val="none"/>
        </w:rPr>
        <w:t>直接控股、管理关系的情形。</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2.分包意向单位2</w:t>
      </w:r>
      <w:r>
        <w:rPr>
          <w:rFonts w:ascii="宋体" w:hAnsi="宋体" w:eastAsia="宋体" w:cs="Times New Roman"/>
          <w:color w:val="auto"/>
          <w:kern w:val="0"/>
          <w:szCs w:val="21"/>
          <w:highlight w:val="none"/>
          <w:u w:val="single"/>
        </w:rPr>
        <w:t xml:space="preserve"> （公司全称）</w:t>
      </w:r>
      <w:r>
        <w:rPr>
          <w:rFonts w:hint="eastAsia" w:ascii="宋体" w:hAnsi="宋体" w:eastAsia="宋体" w:cs="Times New Roman"/>
          <w:color w:val="auto"/>
          <w:kern w:val="0"/>
          <w:szCs w:val="21"/>
          <w:highlight w:val="none"/>
        </w:rPr>
        <w:t>与投标人之间</w:t>
      </w:r>
      <w:r>
        <w:rPr>
          <w:rFonts w:hint="eastAsia" w:ascii="宋体" w:hAnsi="宋体" w:eastAsia="宋体" w:cs="Times New Roman"/>
          <w:color w:val="auto"/>
          <w:kern w:val="0"/>
          <w:szCs w:val="21"/>
          <w:highlight w:val="none"/>
          <w:u w:val="single"/>
        </w:rPr>
        <w:t>（请填写：是否存在）</w:t>
      </w:r>
      <w:r>
        <w:rPr>
          <w:rFonts w:hint="eastAsia" w:ascii="宋体" w:hAnsi="宋体" w:eastAsia="宋体" w:cs="Times New Roman"/>
          <w:color w:val="auto"/>
          <w:kern w:val="0"/>
          <w:szCs w:val="21"/>
          <w:highlight w:val="none"/>
        </w:rPr>
        <w:t>直接控股、管理关系的情形。</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四、如因违约过失责任而导致招标人经济损失或被索赔时，</w:t>
      </w:r>
      <w:r>
        <w:rPr>
          <w:rFonts w:hint="eastAsia" w:ascii="宋体" w:hAnsi="宋体" w:eastAsia="宋体" w:cs="Times New Roman"/>
          <w:color w:val="auto"/>
          <w:kern w:val="0"/>
          <w:szCs w:val="21"/>
          <w:highlight w:val="none"/>
          <w:u w:val="single"/>
        </w:rPr>
        <w:t>（甲公司全称）</w:t>
      </w:r>
      <w:r>
        <w:rPr>
          <w:rFonts w:hint="eastAsia" w:ascii="宋体" w:hAnsi="宋体" w:eastAsia="宋体" w:cs="Times New Roman"/>
          <w:color w:val="auto"/>
          <w:kern w:val="0"/>
          <w:szCs w:val="21"/>
          <w:highlight w:val="none"/>
        </w:rPr>
        <w:t>同意无条件优先清偿招标人的一切债务和经济赔偿。</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五、如中标，分包意向单位不得以任何理由提出终止本意向协议。</w:t>
      </w:r>
    </w:p>
    <w:p>
      <w:pPr>
        <w:autoSpaceDE w:val="0"/>
        <w:autoSpaceDN w:val="0"/>
        <w:spacing w:line="276"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六、如中标，分包意向单位确定后，不得擅自变更。</w:t>
      </w:r>
    </w:p>
    <w:p>
      <w:pPr>
        <w:autoSpaceDE w:val="0"/>
        <w:autoSpaceDN w:val="0"/>
        <w:spacing w:line="276" w:lineRule="auto"/>
        <w:ind w:left="23" w:leftChars="11"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七、本意向书在自签署之日起生效，有效期内有效，如获中标资格，有效期延续至合同履行完毕之日。</w:t>
      </w:r>
    </w:p>
    <w:p>
      <w:pPr>
        <w:widowControl/>
        <w:autoSpaceDE w:val="0"/>
        <w:autoSpaceDN w:val="0"/>
        <w:spacing w:line="276" w:lineRule="auto"/>
        <w:jc w:val="left"/>
        <w:rPr>
          <w:rFonts w:hint="eastAsia" w:ascii="宋体" w:hAnsi="宋体" w:eastAsia="宋体" w:cs="Times New Roman"/>
          <w:color w:val="auto"/>
          <w:kern w:val="0"/>
          <w:szCs w:val="21"/>
          <w:highlight w:val="none"/>
        </w:rPr>
      </w:pPr>
    </w:p>
    <w:p>
      <w:pPr>
        <w:widowControl/>
        <w:autoSpaceDE w:val="0"/>
        <w:autoSpaceDN w:val="0"/>
        <w:spacing w:line="276"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甲公司全称：（盖章）</w:t>
      </w:r>
      <w:r>
        <w:rPr>
          <w:rFonts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ab/>
      </w:r>
    </w:p>
    <w:p>
      <w:pPr>
        <w:widowControl/>
        <w:autoSpaceDE w:val="0"/>
        <w:autoSpaceDN w:val="0"/>
        <w:spacing w:line="276"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法定代表人（签字或盖章）</w:t>
      </w:r>
    </w:p>
    <w:p>
      <w:pPr>
        <w:widowControl/>
        <w:autoSpaceDE w:val="0"/>
        <w:autoSpaceDN w:val="0"/>
        <w:spacing w:line="276" w:lineRule="auto"/>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  年  月  日</w:t>
      </w:r>
      <w:r>
        <w:rPr>
          <w:rFonts w:ascii="宋体" w:hAnsi="宋体" w:eastAsia="宋体" w:cs="Times New Roman"/>
          <w:color w:val="auto"/>
          <w:kern w:val="0"/>
          <w:szCs w:val="21"/>
          <w:highlight w:val="none"/>
        </w:rPr>
        <w:tab/>
      </w:r>
    </w:p>
    <w:p>
      <w:pPr>
        <w:widowControl/>
        <w:autoSpaceDE w:val="0"/>
        <w:autoSpaceDN w:val="0"/>
        <w:spacing w:line="276" w:lineRule="auto"/>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 </w:t>
      </w:r>
    </w:p>
    <w:p>
      <w:pPr>
        <w:widowControl/>
        <w:autoSpaceDE w:val="0"/>
        <w:autoSpaceDN w:val="0"/>
        <w:spacing w:line="276"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乙公司全称：（盖章）</w:t>
      </w:r>
      <w:r>
        <w:rPr>
          <w:rFonts w:ascii="宋体" w:hAnsi="宋体" w:eastAsia="宋体" w:cs="Times New Roman"/>
          <w:color w:val="auto"/>
          <w:kern w:val="0"/>
          <w:szCs w:val="21"/>
          <w:highlight w:val="none"/>
        </w:rPr>
        <w:tab/>
      </w:r>
    </w:p>
    <w:p>
      <w:pPr>
        <w:autoSpaceDE w:val="0"/>
        <w:autoSpaceDN w:val="0"/>
        <w:spacing w:line="276" w:lineRule="auto"/>
        <w:ind w:left="617" w:hanging="617" w:hangingChars="294"/>
        <w:jc w:val="left"/>
        <w:rPr>
          <w:rFonts w:hint="eastAsia"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法定代表人（签字或盖章）</w:t>
      </w:r>
      <w:r>
        <w:rPr>
          <w:rFonts w:ascii="宋体" w:hAnsi="宋体" w:eastAsia="宋体" w:cs="Times New Roman"/>
          <w:color w:val="auto"/>
          <w:kern w:val="0"/>
          <w:szCs w:val="21"/>
          <w:highlight w:val="none"/>
        </w:rPr>
        <w:tab/>
      </w:r>
    </w:p>
    <w:p>
      <w:pPr>
        <w:widowControl/>
        <w:autoSpaceDE w:val="0"/>
        <w:autoSpaceDN w:val="0"/>
        <w:spacing w:line="276" w:lineRule="auto"/>
        <w:ind w:firstLine="405"/>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年</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月</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ab/>
      </w:r>
    </w:p>
    <w:p>
      <w:pPr>
        <w:widowControl/>
        <w:autoSpaceDE w:val="0"/>
        <w:autoSpaceDN w:val="0"/>
        <w:spacing w:line="276" w:lineRule="auto"/>
        <w:jc w:val="left"/>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 </w:t>
      </w:r>
    </w:p>
    <w:p>
      <w:pPr>
        <w:widowControl/>
        <w:autoSpaceDE w:val="0"/>
        <w:autoSpaceDN w:val="0"/>
        <w:spacing w:line="276"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……公司全称（盖章）</w:t>
      </w:r>
    </w:p>
    <w:p>
      <w:pPr>
        <w:autoSpaceDE w:val="0"/>
        <w:autoSpaceDN w:val="0"/>
        <w:spacing w:line="276" w:lineRule="auto"/>
        <w:ind w:left="617" w:hanging="617" w:hangingChars="294"/>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法定代表人：（签字或盖章）</w:t>
      </w:r>
    </w:p>
    <w:p>
      <w:pPr>
        <w:autoSpaceDE w:val="0"/>
        <w:autoSpaceDN w:val="0"/>
        <w:spacing w:line="276" w:lineRule="auto"/>
        <w:ind w:left="617" w:hanging="617" w:hangingChars="294"/>
        <w:jc w:val="left"/>
        <w:rPr>
          <w:rFonts w:hint="eastAsia" w:ascii="宋体" w:hAnsi="宋体" w:eastAsia="宋体" w:cs="Times New Roman"/>
          <w:b/>
          <w:color w:val="auto"/>
          <w:kern w:val="0"/>
          <w:szCs w:val="21"/>
          <w:highlight w:val="none"/>
        </w:rPr>
      </w:pPr>
      <w:r>
        <w:rPr>
          <w:rFonts w:ascii="宋体" w:hAnsi="宋体" w:eastAsia="宋体" w:cs="Times New Roman"/>
          <w:color w:val="auto"/>
          <w:kern w:val="0"/>
          <w:szCs w:val="21"/>
          <w:highlight w:val="none"/>
        </w:rPr>
        <w:t xml:space="preserve">  年  月  日</w:t>
      </w:r>
    </w:p>
    <w:p>
      <w:pPr>
        <w:autoSpaceDE w:val="0"/>
        <w:autoSpaceDN w:val="0"/>
        <w:spacing w:line="276" w:lineRule="auto"/>
        <w:ind w:left="620" w:hanging="620" w:hangingChars="294"/>
        <w:jc w:val="left"/>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 xml:space="preserve"> </w:t>
      </w:r>
    </w:p>
    <w:p>
      <w:pPr>
        <w:autoSpaceDE w:val="0"/>
        <w:autoSpaceDN w:val="0"/>
        <w:spacing w:line="276" w:lineRule="auto"/>
        <w:ind w:left="620" w:hanging="620" w:hangingChars="294"/>
        <w:jc w:val="left"/>
        <w:rPr>
          <w:rFonts w:hint="eastAsia" w:ascii="宋体" w:hAnsi="宋体" w:eastAsia="宋体" w:cs="Times New Roman"/>
          <w:b/>
          <w:color w:val="auto"/>
          <w:kern w:val="0"/>
          <w:szCs w:val="21"/>
          <w:highlight w:val="none"/>
          <w:u w:val="single"/>
        </w:rPr>
      </w:pPr>
      <w:r>
        <w:rPr>
          <w:rFonts w:hint="eastAsia" w:ascii="宋体" w:hAnsi="宋体" w:eastAsia="宋体" w:cs="Times New Roman"/>
          <w:b/>
          <w:color w:val="auto"/>
          <w:kern w:val="0"/>
          <w:szCs w:val="21"/>
          <w:highlight w:val="none"/>
          <w:u w:val="single"/>
        </w:rPr>
        <w:t>注：</w:t>
      </w:r>
      <w:r>
        <w:rPr>
          <w:rFonts w:ascii="宋体" w:hAnsi="宋体" w:eastAsia="宋体" w:cs="Times New Roman"/>
          <w:b/>
          <w:color w:val="auto"/>
          <w:kern w:val="0"/>
          <w:szCs w:val="21"/>
          <w:highlight w:val="none"/>
          <w:u w:val="single"/>
        </w:rPr>
        <w:t>1．各方成员应在本意向书上共同盖章确认。</w:t>
      </w:r>
    </w:p>
    <w:p>
      <w:pPr>
        <w:ind w:firstLine="422" w:firstLineChars="200"/>
        <w:rPr>
          <w:rFonts w:hint="eastAsia" w:ascii="宋体" w:hAnsi="宋体" w:eastAsia="宋体" w:cs="Times New Roman"/>
          <w:color w:val="auto"/>
          <w:szCs w:val="24"/>
          <w:highlight w:val="none"/>
        </w:rPr>
      </w:pPr>
      <w:r>
        <w:rPr>
          <w:rFonts w:ascii="宋体" w:hAnsi="宋体" w:eastAsia="宋体" w:cs="Times New Roman"/>
          <w:b/>
          <w:color w:val="auto"/>
          <w:kern w:val="0"/>
          <w:szCs w:val="21"/>
          <w:highlight w:val="none"/>
          <w:u w:val="single"/>
        </w:rPr>
        <w:t>2．本意向书内容将作为签订合同的附件之一。</w:t>
      </w:r>
    </w:p>
    <w:p>
      <w:pPr>
        <w:wordWrap w:val="0"/>
        <w:spacing w:line="360" w:lineRule="auto"/>
        <w:rPr>
          <w:rFonts w:hint="eastAsia" w:ascii="宋体" w:hAnsi="宋体" w:eastAsia="宋体" w:cs="宋体"/>
          <w:color w:val="auto"/>
          <w:kern w:val="0"/>
          <w:sz w:val="24"/>
          <w:szCs w:val="24"/>
          <w:highlight w:val="none"/>
          <w:u w:val="single"/>
        </w:rPr>
      </w:pPr>
    </w:p>
    <w:p>
      <w:pPr>
        <w:pStyle w:val="5"/>
        <w:wordWrap w:val="0"/>
        <w:rPr>
          <w:rFonts w:hint="eastAsia" w:cs="宋体"/>
          <w:color w:val="auto"/>
          <w:highlight w:val="none"/>
        </w:rPr>
      </w:pPr>
      <w:r>
        <w:rPr>
          <w:color w:val="auto"/>
          <w:highlight w:val="none"/>
        </w:rPr>
        <w:br w:type="page"/>
      </w:r>
    </w:p>
    <w:p>
      <w:pPr>
        <w:pStyle w:val="4"/>
        <w:wordWrap w:val="0"/>
        <w:rPr>
          <w:rFonts w:hint="eastAsia"/>
          <w:color w:val="auto"/>
          <w:highlight w:val="none"/>
        </w:rPr>
      </w:pPr>
      <w:r>
        <w:rPr>
          <w:color w:val="auto"/>
          <w:highlight w:val="none"/>
        </w:rPr>
        <w:t>2. 勘察设计方案</w:t>
      </w:r>
      <w:r>
        <w:rPr>
          <w:rFonts w:hint="eastAsia"/>
          <w:color w:val="auto"/>
          <w:highlight w:val="none"/>
        </w:rPr>
        <w:t>编制</w:t>
      </w:r>
    </w:p>
    <w:p>
      <w:pPr>
        <w:wordWrap w:val="0"/>
        <w:spacing w:line="360" w:lineRule="auto"/>
        <w:ind w:firstLine="482" w:firstLineChars="200"/>
        <w:rPr>
          <w:rFonts w:hint="eastAsia" w:ascii="宋体" w:hAnsi="宋体" w:eastAsia="宋体" w:cs="宋体"/>
          <w:b/>
          <w:color w:val="auto"/>
          <w:sz w:val="24"/>
          <w:szCs w:val="24"/>
          <w:highlight w:val="none"/>
        </w:rPr>
      </w:pPr>
      <w:r>
        <w:rPr>
          <w:rFonts w:ascii="宋体" w:hAnsi="宋体" w:eastAsia="宋体" w:cs="宋体"/>
          <w:b/>
          <w:color w:val="auto"/>
          <w:sz w:val="24"/>
          <w:szCs w:val="24"/>
          <w:highlight w:val="none"/>
        </w:rPr>
        <w:t>2.1技术文件暗标，由下列资料组成：（电子文档上传不超500M</w:t>
      </w:r>
      <w:r>
        <w:rPr>
          <w:rFonts w:hint="eastAsia" w:ascii="宋体" w:hAnsi="宋体" w:eastAsia="宋体" w:cs="宋体"/>
          <w:b/>
          <w:color w:val="auto"/>
          <w:sz w:val="24"/>
          <w:szCs w:val="24"/>
          <w:highlight w:val="none"/>
        </w:rPr>
        <w:t>，总页码不超过</w:t>
      </w:r>
      <w:r>
        <w:rPr>
          <w:rFonts w:ascii="宋体" w:hAnsi="宋体" w:eastAsia="宋体" w:cs="宋体"/>
          <w:b/>
          <w:color w:val="auto"/>
          <w:sz w:val="24"/>
          <w:szCs w:val="24"/>
          <w:highlight w:val="none"/>
        </w:rPr>
        <w:t>300页</w:t>
      </w:r>
      <w:r>
        <w:rPr>
          <w:rFonts w:hint="eastAsia" w:ascii="宋体" w:hAnsi="宋体" w:eastAsia="宋体" w:cs="宋体"/>
          <w:b/>
          <w:color w:val="auto"/>
          <w:sz w:val="24"/>
          <w:szCs w:val="24"/>
          <w:highlight w:val="none"/>
        </w:rPr>
        <w:t>）</w:t>
      </w:r>
    </w:p>
    <w:p>
      <w:pPr>
        <w:wordWrap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ascii="宋体" w:hAnsi="宋体" w:eastAsia="宋体" w:cs="宋体"/>
          <w:b/>
          <w:color w:val="auto"/>
          <w:sz w:val="24"/>
          <w:szCs w:val="24"/>
          <w:highlight w:val="none"/>
        </w:rPr>
        <w:t>1）设计方案文本文件：</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(a) 首页：写明项目名称、编制年月</w:t>
      </w:r>
      <w:r>
        <w:rPr>
          <w:rFonts w:hint="eastAsia" w:ascii="宋体" w:hAnsi="宋体" w:eastAsia="宋体" w:cs="宋体"/>
          <w:color w:val="auto"/>
          <w:sz w:val="24"/>
          <w:szCs w:val="24"/>
          <w:highlight w:val="none"/>
        </w:rPr>
        <w:t>。</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(b) 目录。</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(c) 设计说明书（含本项目的难点、建议和工程创新）。</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(d) </w:t>
      </w:r>
      <w:r>
        <w:rPr>
          <w:rFonts w:hint="eastAsia" w:ascii="宋体" w:hAnsi="宋体" w:eastAsia="宋体" w:cs="宋体"/>
          <w:color w:val="auto"/>
          <w:sz w:val="24"/>
          <w:szCs w:val="24"/>
          <w:highlight w:val="none"/>
        </w:rPr>
        <w:t>设计图纸。</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(e) 《工期计划表》（方案修改、初步设计、施工图设计的总工时和工期）。</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(f) 投标人认为有必要提供的其他资料。</w:t>
      </w:r>
    </w:p>
    <w:p>
      <w:pPr>
        <w:wordWrap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勘察方案文本文件</w:t>
      </w:r>
      <w:r>
        <w:rPr>
          <w:rFonts w:hint="eastAsia" w:ascii="宋体" w:hAnsi="宋体" w:eastAsia="宋体" w:cs="宋体"/>
          <w:b/>
          <w:color w:val="auto"/>
          <w:sz w:val="24"/>
          <w:szCs w:val="24"/>
          <w:highlight w:val="none"/>
        </w:rPr>
        <w:t>：</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(a) 针对项目场地及工程性质采用的勘察方案及建议，本次勘察的重点、难点及建议。</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(b) 勘察工作流程和相应工期进度计划。</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(c) 勘察报告综合评价深度，勘察成果文件内容目录。</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(d) 投标人掌握的勘察工作有关的法律法规、标准、规范一览表。</w:t>
      </w:r>
    </w:p>
    <w:p>
      <w:pPr>
        <w:wordWrap w:val="0"/>
        <w:spacing w:line="360" w:lineRule="auto"/>
        <w:ind w:firstLine="480" w:firstLineChars="2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(e) 需要建设单位配合的事项。</w:t>
      </w:r>
    </w:p>
    <w:p>
      <w:pPr>
        <w:wordWrap w:val="0"/>
        <w:spacing w:line="360" w:lineRule="auto"/>
        <w:ind w:firstLine="482" w:firstLineChars="200"/>
        <w:rPr>
          <w:rFonts w:hint="eastAsia" w:ascii="宋体" w:hAnsi="宋体" w:eastAsia="宋体" w:cs="宋体"/>
          <w:b/>
          <w:color w:val="auto"/>
          <w:sz w:val="24"/>
          <w:szCs w:val="24"/>
          <w:highlight w:val="none"/>
        </w:rPr>
      </w:pPr>
      <w:r>
        <w:rPr>
          <w:rFonts w:ascii="宋体" w:hAnsi="宋体" w:eastAsia="宋体" w:cs="宋体"/>
          <w:b/>
          <w:color w:val="auto"/>
          <w:sz w:val="24"/>
          <w:szCs w:val="24"/>
          <w:highlight w:val="none"/>
        </w:rPr>
        <w:t xml:space="preserve">2.2 </w:t>
      </w:r>
      <w:r>
        <w:rPr>
          <w:rFonts w:hint="eastAsia" w:ascii="宋体" w:hAnsi="宋体" w:eastAsia="宋体" w:cs="宋体"/>
          <w:b/>
          <w:color w:val="auto"/>
          <w:sz w:val="24"/>
          <w:szCs w:val="24"/>
          <w:highlight w:val="none"/>
        </w:rPr>
        <w:t>保密要求</w:t>
      </w:r>
    </w:p>
    <w:p>
      <w:pPr>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w:t>
      </w:r>
      <w:r>
        <w:rPr>
          <w:rFonts w:hint="eastAsia" w:ascii="宋体" w:hAnsi="宋体" w:eastAsia="宋体" w:cs="宋体"/>
          <w:b/>
          <w:color w:val="auto"/>
          <w:sz w:val="24"/>
          <w:szCs w:val="24"/>
          <w:highlight w:val="none"/>
        </w:rPr>
        <w:t>不得显示投标报价信息</w:t>
      </w:r>
      <w:r>
        <w:rPr>
          <w:rFonts w:hint="eastAsia" w:ascii="宋体" w:hAnsi="宋体" w:eastAsia="宋体" w:cs="宋体"/>
          <w:color w:val="auto"/>
          <w:sz w:val="24"/>
          <w:szCs w:val="24"/>
          <w:highlight w:val="none"/>
        </w:rPr>
        <w:t>。</w:t>
      </w:r>
    </w:p>
    <w:p>
      <w:pPr>
        <w:widowControl/>
        <w:jc w:val="left"/>
        <w:rPr>
          <w:rFonts w:hint="eastAsia" w:ascii="宋体" w:hAnsi="宋体" w:eastAsia="宋体"/>
          <w:color w:val="auto"/>
          <w:highlight w:val="none"/>
        </w:rPr>
      </w:pPr>
      <w:r>
        <w:rPr>
          <w:rFonts w:ascii="宋体" w:hAnsi="宋体" w:eastAsia="宋体"/>
          <w:color w:val="auto"/>
          <w:highlight w:val="none"/>
        </w:rPr>
        <w:br w:type="page"/>
      </w:r>
    </w:p>
    <w:p>
      <w:pPr>
        <w:pStyle w:val="2"/>
        <w:rPr>
          <w:rFonts w:hint="eastAsia" w:ascii="宋体" w:hAnsi="宋体"/>
          <w:color w:val="auto"/>
          <w:highlight w:val="none"/>
        </w:rPr>
      </w:pPr>
      <w:r>
        <w:rPr>
          <w:rFonts w:hint="eastAsia" w:ascii="宋体" w:hAnsi="宋体"/>
          <w:color w:val="auto"/>
          <w:highlight w:val="none"/>
        </w:rPr>
        <w:t>第七章</w:t>
      </w:r>
      <w:r>
        <w:rPr>
          <w:rFonts w:ascii="宋体" w:hAnsi="宋体"/>
          <w:color w:val="auto"/>
          <w:highlight w:val="none"/>
        </w:rPr>
        <w:t xml:space="preserve">  </w:t>
      </w:r>
      <w:r>
        <w:rPr>
          <w:rFonts w:hint="eastAsia" w:ascii="宋体" w:hAnsi="宋体"/>
          <w:color w:val="auto"/>
          <w:highlight w:val="none"/>
        </w:rPr>
        <w:t>否决性条款汇总</w:t>
      </w:r>
    </w:p>
    <w:p>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pPr>
        <w:spacing w:line="360" w:lineRule="auto"/>
        <w:ind w:firstLine="569" w:firstLineChars="236"/>
        <w:rPr>
          <w:rFonts w:hint="eastAsia"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1.未成功递交投标文件的；</w:t>
      </w:r>
    </w:p>
    <w:p>
      <w:pPr>
        <w:spacing w:line="360" w:lineRule="auto"/>
        <w:ind w:firstLine="569" w:firstLineChars="236"/>
        <w:rPr>
          <w:rFonts w:hint="eastAsia"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2.因投标人原因造成投标文件未解密的；</w:t>
      </w:r>
    </w:p>
    <w:p>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二、作无效投标的情形</w:t>
      </w:r>
    </w:p>
    <w:p>
      <w:pPr>
        <w:spacing w:line="360" w:lineRule="auto"/>
        <w:ind w:firstLine="569" w:firstLineChars="236"/>
        <w:rPr>
          <w:rFonts w:hint="eastAsia"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1.投标文件不符合招标文件评标办法中形式评审标准、资格评审标准、响应性评审标准、技术评审标准（若有）的要求。</w:t>
      </w:r>
    </w:p>
    <w:p>
      <w:pPr>
        <w:rPr>
          <w:rFonts w:hint="eastAsia" w:ascii="宋体" w:hAnsi="宋体" w:eastAsia="宋体"/>
          <w:color w:val="auto"/>
          <w:highlight w:val="none"/>
          <w:lang w:val="zh-CN"/>
        </w:rPr>
      </w:pPr>
    </w:p>
    <w:sectPr>
      <w:footerReference r:id="rId6" w:type="default"/>
      <w:footerReference r:id="rId7" w:type="even"/>
      <w:pgSz w:w="11905" w:h="16838"/>
      <w:pgMar w:top="1474" w:right="1701" w:bottom="147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A0000287" w:usb1="28CF3C52" w:usb2="00000016" w:usb3="00000000" w:csb0="0004001F"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210166"/>
    </w:sdtPr>
    <w:sdtContent>
      <w:p>
        <w:pPr>
          <w:pStyle w:val="30"/>
          <w:jc w:val="center"/>
          <w:rPr>
            <w:rFonts w:hint="eastAsia"/>
          </w:rPr>
        </w:pPr>
        <w:r>
          <w:fldChar w:fldCharType="begin"/>
        </w:r>
        <w:r>
          <w:instrText xml:space="preserve">PAGE   \* MERGEFORMAT</w:instrText>
        </w:r>
        <w:r>
          <w:fldChar w:fldCharType="separate"/>
        </w:r>
        <w:r>
          <w:rPr>
            <w:lang w:val="zh-CN"/>
          </w:rPr>
          <w:t>1</w:t>
        </w:r>
        <w:r>
          <w:rPr>
            <w:lang w:val="zh-CN"/>
          </w:rPr>
          <w:fldChar w:fldCharType="end"/>
        </w:r>
      </w:p>
    </w:sdtContent>
  </w:sdt>
  <w:p>
    <w:pPr>
      <w:pStyle w:val="3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w:fldChar w:fldCharType="begin"/>
    </w:r>
    <w:r>
      <w:instrText xml:space="preserve"> PAGE   \* MERGEFORMAT </w:instrText>
    </w:r>
    <w:r>
      <w:fldChar w:fldCharType="separate"/>
    </w:r>
    <w:r>
      <w:rPr>
        <w:lang w:val="zh-CN"/>
      </w:rPr>
      <w:t>53</w:t>
    </w:r>
    <w:r>
      <w:rPr>
        <w:lang w:val="zh-CN"/>
      </w:rPr>
      <w:fldChar w:fldCharType="end"/>
    </w:r>
  </w:p>
  <w:p>
    <w:pPr>
      <w:pStyle w:val="3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separate"/>
    </w:r>
    <w:r>
      <w:rPr>
        <w:rStyle w:val="49"/>
      </w:rPr>
      <w:t>27</w:t>
    </w:r>
    <w:r>
      <w:fldChar w:fldCharType="end"/>
    </w:r>
  </w:p>
  <w:p>
    <w:pPr>
      <w:pStyle w:val="3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745838"/>
    </w:sdtPr>
    <w:sdtContent>
      <w:p>
        <w:pPr>
          <w:pStyle w:val="30"/>
          <w:jc w:val="center"/>
          <w:rPr>
            <w:rFonts w:hint="eastAsia"/>
          </w:rPr>
        </w:pPr>
        <w:r>
          <w:fldChar w:fldCharType="begin"/>
        </w:r>
        <w:r>
          <w:instrText xml:space="preserve">PAGE   \* MERGEFORMAT</w:instrText>
        </w:r>
        <w:r>
          <w:fldChar w:fldCharType="separate"/>
        </w:r>
        <w:r>
          <w:rPr>
            <w:lang w:val="zh-CN"/>
          </w:rPr>
          <w:t>85</w:t>
        </w:r>
        <w:r>
          <w:rPr>
            <w:lang w:val="zh-CN"/>
          </w:rPr>
          <w:fldChar w:fldCharType="end"/>
        </w:r>
      </w:p>
    </w:sdtContent>
  </w:sdt>
  <w:p>
    <w:pPr>
      <w:pStyle w:val="3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Fonts w:hint="eastAsia"/>
      </w:rPr>
    </w:pPr>
    <w:r>
      <w:fldChar w:fldCharType="begin"/>
    </w:r>
    <w:r>
      <w:rPr>
        <w:rStyle w:val="49"/>
      </w:rPr>
      <w:instrText xml:space="preserve">PAGE  </w:instrText>
    </w:r>
    <w:r>
      <w:fldChar w:fldCharType="end"/>
    </w:r>
  </w:p>
  <w:p>
    <w:pPr>
      <w:pStyle w:val="3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FF54CC"/>
    <w:multiLevelType w:val="singleLevel"/>
    <w:tmpl w:val="CEFF54CC"/>
    <w:lvl w:ilvl="0" w:tentative="0">
      <w:start w:val="1"/>
      <w:numFmt w:val="decimal"/>
      <w:lvlText w:val="(%1)"/>
      <w:lvlJc w:val="left"/>
      <w:pPr>
        <w:ind w:left="425" w:hanging="425"/>
      </w:pPr>
      <w:rPr>
        <w:rFonts w:hint="default"/>
      </w:rPr>
    </w:lvl>
  </w:abstractNum>
  <w:abstractNum w:abstractNumId="1">
    <w:nsid w:val="3035DD9E"/>
    <w:multiLevelType w:val="singleLevel"/>
    <w:tmpl w:val="3035DD9E"/>
    <w:lvl w:ilvl="0" w:tentative="0">
      <w:start w:val="1"/>
      <w:numFmt w:val="decimal"/>
      <w:lvlText w:val="%1."/>
      <w:lvlJc w:val="left"/>
      <w:pPr>
        <w:tabs>
          <w:tab w:val="left" w:pos="312"/>
        </w:tabs>
      </w:pPr>
    </w:lvl>
  </w:abstractNum>
  <w:abstractNum w:abstractNumId="2">
    <w:nsid w:val="504F93D0"/>
    <w:multiLevelType w:val="singleLevel"/>
    <w:tmpl w:val="504F93D0"/>
    <w:lvl w:ilvl="0" w:tentative="0">
      <w:start w:val="1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17"/>
    <w:rsid w:val="00002CE7"/>
    <w:rsid w:val="000035BB"/>
    <w:rsid w:val="000051B5"/>
    <w:rsid w:val="00011ECD"/>
    <w:rsid w:val="00016111"/>
    <w:rsid w:val="000179C6"/>
    <w:rsid w:val="000203C9"/>
    <w:rsid w:val="00033F07"/>
    <w:rsid w:val="0003603D"/>
    <w:rsid w:val="0003797C"/>
    <w:rsid w:val="000379C2"/>
    <w:rsid w:val="0006326D"/>
    <w:rsid w:val="00063C52"/>
    <w:rsid w:val="00065001"/>
    <w:rsid w:val="000650A3"/>
    <w:rsid w:val="000652F8"/>
    <w:rsid w:val="00065327"/>
    <w:rsid w:val="00065928"/>
    <w:rsid w:val="00066AA4"/>
    <w:rsid w:val="000723FD"/>
    <w:rsid w:val="00074DE7"/>
    <w:rsid w:val="0008140B"/>
    <w:rsid w:val="00082BC2"/>
    <w:rsid w:val="00084A14"/>
    <w:rsid w:val="00087972"/>
    <w:rsid w:val="00090604"/>
    <w:rsid w:val="00093CE0"/>
    <w:rsid w:val="0009472D"/>
    <w:rsid w:val="00097D80"/>
    <w:rsid w:val="000A0797"/>
    <w:rsid w:val="000A608C"/>
    <w:rsid w:val="000B2F5D"/>
    <w:rsid w:val="000B3F7A"/>
    <w:rsid w:val="000B4926"/>
    <w:rsid w:val="000C0D78"/>
    <w:rsid w:val="000C42BB"/>
    <w:rsid w:val="000D1119"/>
    <w:rsid w:val="000D3491"/>
    <w:rsid w:val="000D5E89"/>
    <w:rsid w:val="000E34B2"/>
    <w:rsid w:val="000E3E93"/>
    <w:rsid w:val="000E3F61"/>
    <w:rsid w:val="000E4830"/>
    <w:rsid w:val="000F777B"/>
    <w:rsid w:val="00103729"/>
    <w:rsid w:val="00110E1A"/>
    <w:rsid w:val="00111695"/>
    <w:rsid w:val="001133F7"/>
    <w:rsid w:val="00117D81"/>
    <w:rsid w:val="001210D7"/>
    <w:rsid w:val="001218D8"/>
    <w:rsid w:val="00125CC6"/>
    <w:rsid w:val="00125E64"/>
    <w:rsid w:val="00127096"/>
    <w:rsid w:val="00136B91"/>
    <w:rsid w:val="00136C66"/>
    <w:rsid w:val="00140F21"/>
    <w:rsid w:val="00144AF1"/>
    <w:rsid w:val="00144E98"/>
    <w:rsid w:val="00150776"/>
    <w:rsid w:val="0015125E"/>
    <w:rsid w:val="00151A27"/>
    <w:rsid w:val="001538C2"/>
    <w:rsid w:val="00153B21"/>
    <w:rsid w:val="00165682"/>
    <w:rsid w:val="0016742C"/>
    <w:rsid w:val="001701DE"/>
    <w:rsid w:val="00173865"/>
    <w:rsid w:val="00173CF7"/>
    <w:rsid w:val="00174D2E"/>
    <w:rsid w:val="00180D4E"/>
    <w:rsid w:val="00180FEF"/>
    <w:rsid w:val="00181DEC"/>
    <w:rsid w:val="001835EF"/>
    <w:rsid w:val="0018487A"/>
    <w:rsid w:val="001870AD"/>
    <w:rsid w:val="00192AF9"/>
    <w:rsid w:val="00194AD4"/>
    <w:rsid w:val="001950BF"/>
    <w:rsid w:val="0019544D"/>
    <w:rsid w:val="001A0D43"/>
    <w:rsid w:val="001A553B"/>
    <w:rsid w:val="001A5D80"/>
    <w:rsid w:val="001B0481"/>
    <w:rsid w:val="001B068D"/>
    <w:rsid w:val="001B2876"/>
    <w:rsid w:val="001B36C1"/>
    <w:rsid w:val="001B6471"/>
    <w:rsid w:val="001C1B0D"/>
    <w:rsid w:val="001C20F8"/>
    <w:rsid w:val="001C245A"/>
    <w:rsid w:val="001C2CA6"/>
    <w:rsid w:val="001D10EC"/>
    <w:rsid w:val="001E0717"/>
    <w:rsid w:val="001E1AF2"/>
    <w:rsid w:val="001E5754"/>
    <w:rsid w:val="001E5C63"/>
    <w:rsid w:val="001E5FCA"/>
    <w:rsid w:val="001F6132"/>
    <w:rsid w:val="00202FBA"/>
    <w:rsid w:val="00204DAD"/>
    <w:rsid w:val="00207EF4"/>
    <w:rsid w:val="002100DF"/>
    <w:rsid w:val="00214149"/>
    <w:rsid w:val="002155F9"/>
    <w:rsid w:val="002202C1"/>
    <w:rsid w:val="00220D36"/>
    <w:rsid w:val="00220ED3"/>
    <w:rsid w:val="00221494"/>
    <w:rsid w:val="00222217"/>
    <w:rsid w:val="00224046"/>
    <w:rsid w:val="00232C1B"/>
    <w:rsid w:val="00235A36"/>
    <w:rsid w:val="00237017"/>
    <w:rsid w:val="00240083"/>
    <w:rsid w:val="00244564"/>
    <w:rsid w:val="002507A7"/>
    <w:rsid w:val="00257F71"/>
    <w:rsid w:val="002605C9"/>
    <w:rsid w:val="002610AA"/>
    <w:rsid w:val="00262420"/>
    <w:rsid w:val="00263AEA"/>
    <w:rsid w:val="002641D5"/>
    <w:rsid w:val="00266662"/>
    <w:rsid w:val="00267406"/>
    <w:rsid w:val="00271BCB"/>
    <w:rsid w:val="002726C1"/>
    <w:rsid w:val="002747D0"/>
    <w:rsid w:val="002815BA"/>
    <w:rsid w:val="00282086"/>
    <w:rsid w:val="0028421B"/>
    <w:rsid w:val="00287120"/>
    <w:rsid w:val="002A0127"/>
    <w:rsid w:val="002B2FBE"/>
    <w:rsid w:val="002B646C"/>
    <w:rsid w:val="002C555B"/>
    <w:rsid w:val="002C5FE0"/>
    <w:rsid w:val="002C7563"/>
    <w:rsid w:val="002D073C"/>
    <w:rsid w:val="002D0D0E"/>
    <w:rsid w:val="002D3E39"/>
    <w:rsid w:val="002E0D21"/>
    <w:rsid w:val="002E159C"/>
    <w:rsid w:val="002E5E11"/>
    <w:rsid w:val="002F1C20"/>
    <w:rsid w:val="002F270A"/>
    <w:rsid w:val="002F34C1"/>
    <w:rsid w:val="003033F2"/>
    <w:rsid w:val="00306782"/>
    <w:rsid w:val="0031039E"/>
    <w:rsid w:val="003141EC"/>
    <w:rsid w:val="00317808"/>
    <w:rsid w:val="003217D3"/>
    <w:rsid w:val="00322D37"/>
    <w:rsid w:val="0032476A"/>
    <w:rsid w:val="0032790E"/>
    <w:rsid w:val="00327F63"/>
    <w:rsid w:val="00331AE1"/>
    <w:rsid w:val="00341FCF"/>
    <w:rsid w:val="00346AE2"/>
    <w:rsid w:val="003476D9"/>
    <w:rsid w:val="00350FF2"/>
    <w:rsid w:val="003578AF"/>
    <w:rsid w:val="00357EEF"/>
    <w:rsid w:val="00361C11"/>
    <w:rsid w:val="00362F4F"/>
    <w:rsid w:val="00363A04"/>
    <w:rsid w:val="00365121"/>
    <w:rsid w:val="00372A70"/>
    <w:rsid w:val="0037316F"/>
    <w:rsid w:val="003739FC"/>
    <w:rsid w:val="0037482B"/>
    <w:rsid w:val="00375995"/>
    <w:rsid w:val="00375D70"/>
    <w:rsid w:val="00377872"/>
    <w:rsid w:val="00380B83"/>
    <w:rsid w:val="003838BC"/>
    <w:rsid w:val="00384564"/>
    <w:rsid w:val="00386085"/>
    <w:rsid w:val="003906DC"/>
    <w:rsid w:val="00393CDC"/>
    <w:rsid w:val="003A03A3"/>
    <w:rsid w:val="003A26A1"/>
    <w:rsid w:val="003B0260"/>
    <w:rsid w:val="003B6D0C"/>
    <w:rsid w:val="003C4399"/>
    <w:rsid w:val="003C543B"/>
    <w:rsid w:val="003D1752"/>
    <w:rsid w:val="003D33BC"/>
    <w:rsid w:val="003D3D50"/>
    <w:rsid w:val="003D569C"/>
    <w:rsid w:val="003E33E7"/>
    <w:rsid w:val="003E6EED"/>
    <w:rsid w:val="003F3DDC"/>
    <w:rsid w:val="003F702A"/>
    <w:rsid w:val="004026ED"/>
    <w:rsid w:val="00403C52"/>
    <w:rsid w:val="00406F88"/>
    <w:rsid w:val="00416A5A"/>
    <w:rsid w:val="00417855"/>
    <w:rsid w:val="004205D3"/>
    <w:rsid w:val="00420F62"/>
    <w:rsid w:val="00421F68"/>
    <w:rsid w:val="0042261D"/>
    <w:rsid w:val="004240CF"/>
    <w:rsid w:val="00424BB1"/>
    <w:rsid w:val="00425E94"/>
    <w:rsid w:val="00430F9E"/>
    <w:rsid w:val="0043119C"/>
    <w:rsid w:val="004339A3"/>
    <w:rsid w:val="00441152"/>
    <w:rsid w:val="00445A55"/>
    <w:rsid w:val="004549E3"/>
    <w:rsid w:val="00454B53"/>
    <w:rsid w:val="00455227"/>
    <w:rsid w:val="00455814"/>
    <w:rsid w:val="004661D0"/>
    <w:rsid w:val="004676A6"/>
    <w:rsid w:val="0047121E"/>
    <w:rsid w:val="004741C6"/>
    <w:rsid w:val="004765E6"/>
    <w:rsid w:val="0048190E"/>
    <w:rsid w:val="00493260"/>
    <w:rsid w:val="004A2D6A"/>
    <w:rsid w:val="004A40C2"/>
    <w:rsid w:val="004A428F"/>
    <w:rsid w:val="004A45B4"/>
    <w:rsid w:val="004A46CB"/>
    <w:rsid w:val="004A7E77"/>
    <w:rsid w:val="004B0A4B"/>
    <w:rsid w:val="004B26E2"/>
    <w:rsid w:val="004B3655"/>
    <w:rsid w:val="004B42CE"/>
    <w:rsid w:val="004B4FAE"/>
    <w:rsid w:val="004C3DF6"/>
    <w:rsid w:val="004D1DA4"/>
    <w:rsid w:val="004D3BC4"/>
    <w:rsid w:val="004D6712"/>
    <w:rsid w:val="004E167F"/>
    <w:rsid w:val="004E3382"/>
    <w:rsid w:val="004E4967"/>
    <w:rsid w:val="004F4A0C"/>
    <w:rsid w:val="004F5E90"/>
    <w:rsid w:val="004F6AB2"/>
    <w:rsid w:val="00504900"/>
    <w:rsid w:val="00507249"/>
    <w:rsid w:val="00510996"/>
    <w:rsid w:val="005137AC"/>
    <w:rsid w:val="005141D3"/>
    <w:rsid w:val="00516CBC"/>
    <w:rsid w:val="00520F67"/>
    <w:rsid w:val="00530AC2"/>
    <w:rsid w:val="005310CF"/>
    <w:rsid w:val="00532A0A"/>
    <w:rsid w:val="0054076C"/>
    <w:rsid w:val="00544656"/>
    <w:rsid w:val="005469B7"/>
    <w:rsid w:val="00547C26"/>
    <w:rsid w:val="00547D15"/>
    <w:rsid w:val="00552933"/>
    <w:rsid w:val="00557AD7"/>
    <w:rsid w:val="005600C0"/>
    <w:rsid w:val="0056011C"/>
    <w:rsid w:val="0056403A"/>
    <w:rsid w:val="00572977"/>
    <w:rsid w:val="005808D3"/>
    <w:rsid w:val="005817EE"/>
    <w:rsid w:val="005846B0"/>
    <w:rsid w:val="00587C9A"/>
    <w:rsid w:val="00590D2E"/>
    <w:rsid w:val="005913A1"/>
    <w:rsid w:val="00595D60"/>
    <w:rsid w:val="00596185"/>
    <w:rsid w:val="005969A5"/>
    <w:rsid w:val="00597D19"/>
    <w:rsid w:val="005A0E18"/>
    <w:rsid w:val="005A1186"/>
    <w:rsid w:val="005A3666"/>
    <w:rsid w:val="005B0A4E"/>
    <w:rsid w:val="005B3F2B"/>
    <w:rsid w:val="005B48EF"/>
    <w:rsid w:val="005C104C"/>
    <w:rsid w:val="005C1B57"/>
    <w:rsid w:val="005D3FA6"/>
    <w:rsid w:val="005D439E"/>
    <w:rsid w:val="005D5FB7"/>
    <w:rsid w:val="005E0B4F"/>
    <w:rsid w:val="005E50CE"/>
    <w:rsid w:val="005E58CF"/>
    <w:rsid w:val="005E63EC"/>
    <w:rsid w:val="005F247C"/>
    <w:rsid w:val="005F4280"/>
    <w:rsid w:val="00601528"/>
    <w:rsid w:val="00604BBF"/>
    <w:rsid w:val="006071A5"/>
    <w:rsid w:val="0061085A"/>
    <w:rsid w:val="0061390B"/>
    <w:rsid w:val="00614A0E"/>
    <w:rsid w:val="00615760"/>
    <w:rsid w:val="00617F31"/>
    <w:rsid w:val="0062205C"/>
    <w:rsid w:val="00625083"/>
    <w:rsid w:val="006255D7"/>
    <w:rsid w:val="00634E70"/>
    <w:rsid w:val="00643F88"/>
    <w:rsid w:val="00644B8B"/>
    <w:rsid w:val="00644CDC"/>
    <w:rsid w:val="006626A3"/>
    <w:rsid w:val="0066357F"/>
    <w:rsid w:val="00663D15"/>
    <w:rsid w:val="00673547"/>
    <w:rsid w:val="00673877"/>
    <w:rsid w:val="00674A2A"/>
    <w:rsid w:val="00682A9F"/>
    <w:rsid w:val="00684BA3"/>
    <w:rsid w:val="006864E5"/>
    <w:rsid w:val="006870A2"/>
    <w:rsid w:val="0068713D"/>
    <w:rsid w:val="0069150E"/>
    <w:rsid w:val="00694C28"/>
    <w:rsid w:val="006A0291"/>
    <w:rsid w:val="006A0935"/>
    <w:rsid w:val="006A1228"/>
    <w:rsid w:val="006B571B"/>
    <w:rsid w:val="006C00FC"/>
    <w:rsid w:val="006C39F6"/>
    <w:rsid w:val="006C4287"/>
    <w:rsid w:val="006C58B2"/>
    <w:rsid w:val="006C5CF8"/>
    <w:rsid w:val="006C5D28"/>
    <w:rsid w:val="006C6660"/>
    <w:rsid w:val="006C6AF0"/>
    <w:rsid w:val="006D0A15"/>
    <w:rsid w:val="006D25EC"/>
    <w:rsid w:val="006D27BE"/>
    <w:rsid w:val="006D6891"/>
    <w:rsid w:val="006E2807"/>
    <w:rsid w:val="006E3296"/>
    <w:rsid w:val="006E4AC7"/>
    <w:rsid w:val="006E5E8C"/>
    <w:rsid w:val="006E749F"/>
    <w:rsid w:val="006E7CC4"/>
    <w:rsid w:val="007005C1"/>
    <w:rsid w:val="0070370D"/>
    <w:rsid w:val="007065FB"/>
    <w:rsid w:val="00716D38"/>
    <w:rsid w:val="0072138A"/>
    <w:rsid w:val="00741DB3"/>
    <w:rsid w:val="00742BE4"/>
    <w:rsid w:val="00746064"/>
    <w:rsid w:val="007463AD"/>
    <w:rsid w:val="00760627"/>
    <w:rsid w:val="0076314A"/>
    <w:rsid w:val="00770D94"/>
    <w:rsid w:val="007754B1"/>
    <w:rsid w:val="0078062C"/>
    <w:rsid w:val="00787542"/>
    <w:rsid w:val="00790762"/>
    <w:rsid w:val="007911A5"/>
    <w:rsid w:val="00793430"/>
    <w:rsid w:val="0079675A"/>
    <w:rsid w:val="007A562A"/>
    <w:rsid w:val="007A606A"/>
    <w:rsid w:val="007A6CB9"/>
    <w:rsid w:val="007A72B1"/>
    <w:rsid w:val="007B22AF"/>
    <w:rsid w:val="007B32F7"/>
    <w:rsid w:val="007B65D8"/>
    <w:rsid w:val="007B77EB"/>
    <w:rsid w:val="007C0EE9"/>
    <w:rsid w:val="007C2EFE"/>
    <w:rsid w:val="007C3A39"/>
    <w:rsid w:val="007C7DF1"/>
    <w:rsid w:val="007D399A"/>
    <w:rsid w:val="007D4A79"/>
    <w:rsid w:val="007E25A7"/>
    <w:rsid w:val="007E308A"/>
    <w:rsid w:val="007E59E7"/>
    <w:rsid w:val="007E6047"/>
    <w:rsid w:val="007E7B1B"/>
    <w:rsid w:val="007F2D90"/>
    <w:rsid w:val="0080016D"/>
    <w:rsid w:val="00801135"/>
    <w:rsid w:val="00801D59"/>
    <w:rsid w:val="00805623"/>
    <w:rsid w:val="00805D7F"/>
    <w:rsid w:val="00807A91"/>
    <w:rsid w:val="008102E0"/>
    <w:rsid w:val="00810609"/>
    <w:rsid w:val="00811613"/>
    <w:rsid w:val="008219DE"/>
    <w:rsid w:val="008248F5"/>
    <w:rsid w:val="0082762F"/>
    <w:rsid w:val="0083180E"/>
    <w:rsid w:val="00831A33"/>
    <w:rsid w:val="00831B1A"/>
    <w:rsid w:val="0083550A"/>
    <w:rsid w:val="00837D56"/>
    <w:rsid w:val="008427A8"/>
    <w:rsid w:val="00852281"/>
    <w:rsid w:val="0085485D"/>
    <w:rsid w:val="00867850"/>
    <w:rsid w:val="0088305A"/>
    <w:rsid w:val="0088643C"/>
    <w:rsid w:val="00891FE4"/>
    <w:rsid w:val="0089396F"/>
    <w:rsid w:val="008A5302"/>
    <w:rsid w:val="008B11AD"/>
    <w:rsid w:val="008B340E"/>
    <w:rsid w:val="008B4A25"/>
    <w:rsid w:val="008B4C9B"/>
    <w:rsid w:val="008C505F"/>
    <w:rsid w:val="008C7BCD"/>
    <w:rsid w:val="008D0C3D"/>
    <w:rsid w:val="008D3190"/>
    <w:rsid w:val="008E34B6"/>
    <w:rsid w:val="008E37CF"/>
    <w:rsid w:val="008E3EF8"/>
    <w:rsid w:val="008F0132"/>
    <w:rsid w:val="008F2A43"/>
    <w:rsid w:val="008F40AC"/>
    <w:rsid w:val="008F447B"/>
    <w:rsid w:val="008F4F59"/>
    <w:rsid w:val="008F5BC7"/>
    <w:rsid w:val="008F62CE"/>
    <w:rsid w:val="0090104B"/>
    <w:rsid w:val="009018AB"/>
    <w:rsid w:val="00902A11"/>
    <w:rsid w:val="00903DA3"/>
    <w:rsid w:val="0090411F"/>
    <w:rsid w:val="00905DBE"/>
    <w:rsid w:val="00911A5A"/>
    <w:rsid w:val="009139E3"/>
    <w:rsid w:val="00922DD8"/>
    <w:rsid w:val="0093248A"/>
    <w:rsid w:val="00935B9E"/>
    <w:rsid w:val="0093653E"/>
    <w:rsid w:val="00941241"/>
    <w:rsid w:val="0094680B"/>
    <w:rsid w:val="0094735A"/>
    <w:rsid w:val="00947739"/>
    <w:rsid w:val="00951015"/>
    <w:rsid w:val="00957F45"/>
    <w:rsid w:val="00961919"/>
    <w:rsid w:val="00961C69"/>
    <w:rsid w:val="00962C1F"/>
    <w:rsid w:val="009635CD"/>
    <w:rsid w:val="009651A1"/>
    <w:rsid w:val="00970904"/>
    <w:rsid w:val="00972342"/>
    <w:rsid w:val="00973485"/>
    <w:rsid w:val="00973C00"/>
    <w:rsid w:val="00977B04"/>
    <w:rsid w:val="00977F43"/>
    <w:rsid w:val="009814E0"/>
    <w:rsid w:val="00983169"/>
    <w:rsid w:val="00983AB4"/>
    <w:rsid w:val="009856BB"/>
    <w:rsid w:val="00985B09"/>
    <w:rsid w:val="00985D8E"/>
    <w:rsid w:val="009979FD"/>
    <w:rsid w:val="009A1E17"/>
    <w:rsid w:val="009A7A48"/>
    <w:rsid w:val="009B4285"/>
    <w:rsid w:val="009B5946"/>
    <w:rsid w:val="009B64F5"/>
    <w:rsid w:val="009C0B80"/>
    <w:rsid w:val="009C2945"/>
    <w:rsid w:val="009C30E8"/>
    <w:rsid w:val="009C38D6"/>
    <w:rsid w:val="009C40B7"/>
    <w:rsid w:val="009C4DA2"/>
    <w:rsid w:val="009C5AC5"/>
    <w:rsid w:val="009D2D2F"/>
    <w:rsid w:val="009D3741"/>
    <w:rsid w:val="009E25C2"/>
    <w:rsid w:val="009E3490"/>
    <w:rsid w:val="009E3494"/>
    <w:rsid w:val="009E3DE5"/>
    <w:rsid w:val="009F191C"/>
    <w:rsid w:val="009F2918"/>
    <w:rsid w:val="009F6D40"/>
    <w:rsid w:val="009F7F4B"/>
    <w:rsid w:val="00A0146D"/>
    <w:rsid w:val="00A03FDB"/>
    <w:rsid w:val="00A04F09"/>
    <w:rsid w:val="00A0753F"/>
    <w:rsid w:val="00A105A5"/>
    <w:rsid w:val="00A13532"/>
    <w:rsid w:val="00A137DD"/>
    <w:rsid w:val="00A17C0C"/>
    <w:rsid w:val="00A208C5"/>
    <w:rsid w:val="00A2313A"/>
    <w:rsid w:val="00A26EBD"/>
    <w:rsid w:val="00A3621E"/>
    <w:rsid w:val="00A45D31"/>
    <w:rsid w:val="00A461F0"/>
    <w:rsid w:val="00A553D0"/>
    <w:rsid w:val="00A60D5C"/>
    <w:rsid w:val="00A63E1B"/>
    <w:rsid w:val="00A6521E"/>
    <w:rsid w:val="00A66579"/>
    <w:rsid w:val="00A66615"/>
    <w:rsid w:val="00A66FDB"/>
    <w:rsid w:val="00A67FAA"/>
    <w:rsid w:val="00A7281E"/>
    <w:rsid w:val="00A73C47"/>
    <w:rsid w:val="00A752F6"/>
    <w:rsid w:val="00A75984"/>
    <w:rsid w:val="00A76A0A"/>
    <w:rsid w:val="00A81AC4"/>
    <w:rsid w:val="00A92ABC"/>
    <w:rsid w:val="00A947D3"/>
    <w:rsid w:val="00A95133"/>
    <w:rsid w:val="00A956B2"/>
    <w:rsid w:val="00A964FE"/>
    <w:rsid w:val="00A9669C"/>
    <w:rsid w:val="00A97CF9"/>
    <w:rsid w:val="00AA1E93"/>
    <w:rsid w:val="00AA254C"/>
    <w:rsid w:val="00AA6ECB"/>
    <w:rsid w:val="00AA72C4"/>
    <w:rsid w:val="00AB0824"/>
    <w:rsid w:val="00AB4D88"/>
    <w:rsid w:val="00AB4E0C"/>
    <w:rsid w:val="00AB7DB3"/>
    <w:rsid w:val="00AB7FBF"/>
    <w:rsid w:val="00AD67A9"/>
    <w:rsid w:val="00AE238F"/>
    <w:rsid w:val="00AE57CA"/>
    <w:rsid w:val="00AF171F"/>
    <w:rsid w:val="00AF1BFF"/>
    <w:rsid w:val="00AF289A"/>
    <w:rsid w:val="00AF4F14"/>
    <w:rsid w:val="00B01900"/>
    <w:rsid w:val="00B141EE"/>
    <w:rsid w:val="00B2042F"/>
    <w:rsid w:val="00B226B8"/>
    <w:rsid w:val="00B23E10"/>
    <w:rsid w:val="00B326F9"/>
    <w:rsid w:val="00B41C87"/>
    <w:rsid w:val="00B44BF3"/>
    <w:rsid w:val="00B46DA9"/>
    <w:rsid w:val="00B5704F"/>
    <w:rsid w:val="00B63632"/>
    <w:rsid w:val="00B63CC0"/>
    <w:rsid w:val="00B7177D"/>
    <w:rsid w:val="00B72A5C"/>
    <w:rsid w:val="00B82D9C"/>
    <w:rsid w:val="00B8387F"/>
    <w:rsid w:val="00B8464D"/>
    <w:rsid w:val="00B86BEF"/>
    <w:rsid w:val="00B86D6A"/>
    <w:rsid w:val="00B908DB"/>
    <w:rsid w:val="00B95C84"/>
    <w:rsid w:val="00B96310"/>
    <w:rsid w:val="00B96ECD"/>
    <w:rsid w:val="00BA21DC"/>
    <w:rsid w:val="00BA2A31"/>
    <w:rsid w:val="00BA2BBE"/>
    <w:rsid w:val="00BA35C2"/>
    <w:rsid w:val="00BB0DEF"/>
    <w:rsid w:val="00BB1DBA"/>
    <w:rsid w:val="00BB5BC9"/>
    <w:rsid w:val="00BB6174"/>
    <w:rsid w:val="00BC2ECB"/>
    <w:rsid w:val="00BC7088"/>
    <w:rsid w:val="00BD2F70"/>
    <w:rsid w:val="00BD3179"/>
    <w:rsid w:val="00BE1068"/>
    <w:rsid w:val="00BE5121"/>
    <w:rsid w:val="00BF0499"/>
    <w:rsid w:val="00BF2DCD"/>
    <w:rsid w:val="00BF477D"/>
    <w:rsid w:val="00BF4963"/>
    <w:rsid w:val="00BF5F72"/>
    <w:rsid w:val="00BF62B1"/>
    <w:rsid w:val="00C01124"/>
    <w:rsid w:val="00C078A6"/>
    <w:rsid w:val="00C138E5"/>
    <w:rsid w:val="00C15C17"/>
    <w:rsid w:val="00C15E54"/>
    <w:rsid w:val="00C1700E"/>
    <w:rsid w:val="00C20EBB"/>
    <w:rsid w:val="00C233DF"/>
    <w:rsid w:val="00C27142"/>
    <w:rsid w:val="00C308B1"/>
    <w:rsid w:val="00C310FD"/>
    <w:rsid w:val="00C34EDA"/>
    <w:rsid w:val="00C43637"/>
    <w:rsid w:val="00C53266"/>
    <w:rsid w:val="00C53534"/>
    <w:rsid w:val="00C622CD"/>
    <w:rsid w:val="00C623A3"/>
    <w:rsid w:val="00C6645D"/>
    <w:rsid w:val="00C7352B"/>
    <w:rsid w:val="00C73B12"/>
    <w:rsid w:val="00C74887"/>
    <w:rsid w:val="00C77D8A"/>
    <w:rsid w:val="00C82445"/>
    <w:rsid w:val="00C82E4F"/>
    <w:rsid w:val="00C84F8B"/>
    <w:rsid w:val="00C909B9"/>
    <w:rsid w:val="00C9104A"/>
    <w:rsid w:val="00C9118C"/>
    <w:rsid w:val="00CA3EBA"/>
    <w:rsid w:val="00CA5AC4"/>
    <w:rsid w:val="00CA6D9A"/>
    <w:rsid w:val="00CB0986"/>
    <w:rsid w:val="00CB1724"/>
    <w:rsid w:val="00CB1B6A"/>
    <w:rsid w:val="00CB3E72"/>
    <w:rsid w:val="00CB7485"/>
    <w:rsid w:val="00CC1634"/>
    <w:rsid w:val="00CC290C"/>
    <w:rsid w:val="00CD2B71"/>
    <w:rsid w:val="00CD3FF4"/>
    <w:rsid w:val="00CD4A7E"/>
    <w:rsid w:val="00CE303F"/>
    <w:rsid w:val="00CF443F"/>
    <w:rsid w:val="00CF76B9"/>
    <w:rsid w:val="00D00FFE"/>
    <w:rsid w:val="00D07AF2"/>
    <w:rsid w:val="00D111FE"/>
    <w:rsid w:val="00D13D82"/>
    <w:rsid w:val="00D1752F"/>
    <w:rsid w:val="00D222D7"/>
    <w:rsid w:val="00D27AED"/>
    <w:rsid w:val="00D30D99"/>
    <w:rsid w:val="00D32818"/>
    <w:rsid w:val="00D4229E"/>
    <w:rsid w:val="00D4296C"/>
    <w:rsid w:val="00D5047D"/>
    <w:rsid w:val="00D56142"/>
    <w:rsid w:val="00D6761F"/>
    <w:rsid w:val="00D731B9"/>
    <w:rsid w:val="00D77217"/>
    <w:rsid w:val="00D77D70"/>
    <w:rsid w:val="00D802D2"/>
    <w:rsid w:val="00D82277"/>
    <w:rsid w:val="00D823DB"/>
    <w:rsid w:val="00D8355E"/>
    <w:rsid w:val="00D8447D"/>
    <w:rsid w:val="00D87D6C"/>
    <w:rsid w:val="00D903E6"/>
    <w:rsid w:val="00D906A9"/>
    <w:rsid w:val="00D933B5"/>
    <w:rsid w:val="00D97060"/>
    <w:rsid w:val="00DA0AC1"/>
    <w:rsid w:val="00DA58B5"/>
    <w:rsid w:val="00DA63F9"/>
    <w:rsid w:val="00DB118E"/>
    <w:rsid w:val="00DB3E98"/>
    <w:rsid w:val="00DB4051"/>
    <w:rsid w:val="00DB49A9"/>
    <w:rsid w:val="00DC0C7D"/>
    <w:rsid w:val="00DC15E9"/>
    <w:rsid w:val="00DC52D0"/>
    <w:rsid w:val="00DC5357"/>
    <w:rsid w:val="00DC56FB"/>
    <w:rsid w:val="00DC6556"/>
    <w:rsid w:val="00DD074D"/>
    <w:rsid w:val="00DD0F1E"/>
    <w:rsid w:val="00DE0151"/>
    <w:rsid w:val="00DE4712"/>
    <w:rsid w:val="00DE6C93"/>
    <w:rsid w:val="00DF0F3A"/>
    <w:rsid w:val="00DF1D4A"/>
    <w:rsid w:val="00DF249B"/>
    <w:rsid w:val="00DF58CC"/>
    <w:rsid w:val="00E02C60"/>
    <w:rsid w:val="00E12648"/>
    <w:rsid w:val="00E16421"/>
    <w:rsid w:val="00E2119D"/>
    <w:rsid w:val="00E31A3D"/>
    <w:rsid w:val="00E3754A"/>
    <w:rsid w:val="00E40FBB"/>
    <w:rsid w:val="00E41BA1"/>
    <w:rsid w:val="00E440A1"/>
    <w:rsid w:val="00E56EEB"/>
    <w:rsid w:val="00E57D90"/>
    <w:rsid w:val="00E64684"/>
    <w:rsid w:val="00E64D9C"/>
    <w:rsid w:val="00E70AFC"/>
    <w:rsid w:val="00E75616"/>
    <w:rsid w:val="00E76465"/>
    <w:rsid w:val="00E83EF5"/>
    <w:rsid w:val="00E92B15"/>
    <w:rsid w:val="00E94537"/>
    <w:rsid w:val="00E94F2F"/>
    <w:rsid w:val="00E95C60"/>
    <w:rsid w:val="00EA2124"/>
    <w:rsid w:val="00EA2F56"/>
    <w:rsid w:val="00EA4479"/>
    <w:rsid w:val="00EA5A13"/>
    <w:rsid w:val="00EA6AE2"/>
    <w:rsid w:val="00EB14AC"/>
    <w:rsid w:val="00EB3D69"/>
    <w:rsid w:val="00EB6E0C"/>
    <w:rsid w:val="00EB7358"/>
    <w:rsid w:val="00EC4B35"/>
    <w:rsid w:val="00EC58A7"/>
    <w:rsid w:val="00ED28E5"/>
    <w:rsid w:val="00ED55EC"/>
    <w:rsid w:val="00ED5AB4"/>
    <w:rsid w:val="00ED7EEA"/>
    <w:rsid w:val="00EE19D5"/>
    <w:rsid w:val="00EE22C4"/>
    <w:rsid w:val="00EE4923"/>
    <w:rsid w:val="00EE781A"/>
    <w:rsid w:val="00EF2A11"/>
    <w:rsid w:val="00EF4C70"/>
    <w:rsid w:val="00F067AF"/>
    <w:rsid w:val="00F124D0"/>
    <w:rsid w:val="00F15622"/>
    <w:rsid w:val="00F20170"/>
    <w:rsid w:val="00F22757"/>
    <w:rsid w:val="00F241AB"/>
    <w:rsid w:val="00F2695F"/>
    <w:rsid w:val="00F27633"/>
    <w:rsid w:val="00F3399D"/>
    <w:rsid w:val="00F40178"/>
    <w:rsid w:val="00F426C1"/>
    <w:rsid w:val="00F438D1"/>
    <w:rsid w:val="00F459B7"/>
    <w:rsid w:val="00F464ED"/>
    <w:rsid w:val="00F5006D"/>
    <w:rsid w:val="00F50F18"/>
    <w:rsid w:val="00F52892"/>
    <w:rsid w:val="00F52BEB"/>
    <w:rsid w:val="00F53B8D"/>
    <w:rsid w:val="00F56E99"/>
    <w:rsid w:val="00F6097F"/>
    <w:rsid w:val="00F6138F"/>
    <w:rsid w:val="00F616E7"/>
    <w:rsid w:val="00F630D0"/>
    <w:rsid w:val="00F65C01"/>
    <w:rsid w:val="00F670D8"/>
    <w:rsid w:val="00F72222"/>
    <w:rsid w:val="00F72252"/>
    <w:rsid w:val="00F7313A"/>
    <w:rsid w:val="00F750FF"/>
    <w:rsid w:val="00F76B60"/>
    <w:rsid w:val="00F76BDB"/>
    <w:rsid w:val="00F77F66"/>
    <w:rsid w:val="00F828EF"/>
    <w:rsid w:val="00F82E93"/>
    <w:rsid w:val="00F8369D"/>
    <w:rsid w:val="00F83FC0"/>
    <w:rsid w:val="00F86026"/>
    <w:rsid w:val="00F924C0"/>
    <w:rsid w:val="00FA401F"/>
    <w:rsid w:val="00FA6602"/>
    <w:rsid w:val="00FB1615"/>
    <w:rsid w:val="00FB499B"/>
    <w:rsid w:val="00FB57C5"/>
    <w:rsid w:val="00FB5F7F"/>
    <w:rsid w:val="00FB78FA"/>
    <w:rsid w:val="00FC1B4E"/>
    <w:rsid w:val="00FC251E"/>
    <w:rsid w:val="00FC546C"/>
    <w:rsid w:val="00FD0F1B"/>
    <w:rsid w:val="00FD6C16"/>
    <w:rsid w:val="00FD72CC"/>
    <w:rsid w:val="00FE0890"/>
    <w:rsid w:val="00FE3615"/>
    <w:rsid w:val="00FE4FAE"/>
    <w:rsid w:val="00FE5684"/>
    <w:rsid w:val="00FE633C"/>
    <w:rsid w:val="00FE7B26"/>
    <w:rsid w:val="00FF34C4"/>
    <w:rsid w:val="00FF54C4"/>
    <w:rsid w:val="00FF62F3"/>
    <w:rsid w:val="00FF7286"/>
    <w:rsid w:val="0546232C"/>
    <w:rsid w:val="1B466BE9"/>
    <w:rsid w:val="21741DBB"/>
    <w:rsid w:val="32FE1AA5"/>
    <w:rsid w:val="38E8251A"/>
    <w:rsid w:val="5D326D61"/>
    <w:rsid w:val="649F1250"/>
    <w:rsid w:val="74440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wordWrap w:val="0"/>
      <w:spacing w:line="360" w:lineRule="auto"/>
      <w:jc w:val="center"/>
      <w:outlineLvl w:val="0"/>
    </w:pPr>
    <w:rPr>
      <w:rFonts w:ascii="Times New Roman" w:hAnsi="Times New Roman" w:eastAsia="宋体" w:cs="Times New Roman"/>
      <w:b/>
      <w:bCs/>
      <w:kern w:val="44"/>
      <w:sz w:val="32"/>
      <w:szCs w:val="32"/>
      <w:lang w:val="zh-CN"/>
    </w:rPr>
  </w:style>
  <w:style w:type="paragraph" w:styleId="3">
    <w:name w:val="heading 2"/>
    <w:basedOn w:val="1"/>
    <w:next w:val="1"/>
    <w:link w:val="60"/>
    <w:qFormat/>
    <w:uiPriority w:val="0"/>
    <w:pPr>
      <w:keepNext/>
      <w:keepLines/>
      <w:spacing w:line="360" w:lineRule="auto"/>
      <w:jc w:val="center"/>
      <w:outlineLvl w:val="1"/>
    </w:pPr>
    <w:rPr>
      <w:rFonts w:ascii="Cambria" w:hAnsi="Cambria" w:eastAsia="宋体" w:cs="Times New Roman"/>
      <w:b/>
      <w:bCs/>
      <w:kern w:val="0"/>
      <w:sz w:val="30"/>
      <w:szCs w:val="30"/>
      <w:lang w:val="zh-CN"/>
    </w:rPr>
  </w:style>
  <w:style w:type="paragraph" w:styleId="4">
    <w:name w:val="heading 3"/>
    <w:basedOn w:val="1"/>
    <w:next w:val="1"/>
    <w:link w:val="68"/>
    <w:unhideWhenUsed/>
    <w:qFormat/>
    <w:uiPriority w:val="0"/>
    <w:pPr>
      <w:keepNext/>
      <w:keepLines/>
      <w:spacing w:line="360" w:lineRule="auto"/>
      <w:outlineLvl w:val="2"/>
    </w:pPr>
    <w:rPr>
      <w:rFonts w:ascii="宋体" w:hAnsi="宋体" w:eastAsia="宋体"/>
      <w:b/>
      <w:bCs/>
      <w:spacing w:val="1"/>
      <w:sz w:val="28"/>
      <w:szCs w:val="32"/>
      <w:lang w:val="zh-CN"/>
    </w:rPr>
  </w:style>
  <w:style w:type="paragraph" w:styleId="5">
    <w:name w:val="heading 4"/>
    <w:basedOn w:val="1"/>
    <w:next w:val="1"/>
    <w:link w:val="62"/>
    <w:qFormat/>
    <w:uiPriority w:val="0"/>
    <w:pPr>
      <w:autoSpaceDE w:val="0"/>
      <w:autoSpaceDN w:val="0"/>
      <w:adjustRightInd w:val="0"/>
      <w:spacing w:line="360" w:lineRule="auto"/>
      <w:jc w:val="left"/>
      <w:outlineLvl w:val="3"/>
    </w:pPr>
    <w:rPr>
      <w:rFonts w:ascii="宋体" w:hAnsi="宋体" w:eastAsia="宋体" w:cs="Times New Roman"/>
      <w:b/>
      <w:kern w:val="0"/>
      <w:sz w:val="24"/>
      <w:szCs w:val="24"/>
      <w:lang w:val="zh-CN"/>
    </w:rPr>
  </w:style>
  <w:style w:type="paragraph" w:styleId="6">
    <w:name w:val="heading 5"/>
    <w:basedOn w:val="1"/>
    <w:next w:val="1"/>
    <w:link w:val="63"/>
    <w:qFormat/>
    <w:uiPriority w:val="0"/>
    <w:pPr>
      <w:spacing w:line="240" w:lineRule="exact"/>
      <w:ind w:left="284" w:hanging="284"/>
      <w:outlineLvl w:val="4"/>
    </w:pPr>
    <w:rPr>
      <w:rFonts w:ascii="Arial" w:hAnsi="Arial"/>
      <w:kern w:val="2"/>
      <w:lang w:val="en-US"/>
    </w:rPr>
  </w:style>
  <w:style w:type="paragraph" w:styleId="7">
    <w:name w:val="heading 6"/>
    <w:basedOn w:val="1"/>
    <w:next w:val="1"/>
    <w:link w:val="64"/>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9"/>
    <w:link w:val="65"/>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9"/>
    <w:link w:val="66"/>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9"/>
    <w:link w:val="67"/>
    <w:qFormat/>
    <w:uiPriority w:val="0"/>
    <w:pPr>
      <w:keepNext/>
      <w:keepLines/>
      <w:spacing w:before="240" w:after="64" w:line="320" w:lineRule="auto"/>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9">
    <w:name w:val="Normal Indent"/>
    <w:basedOn w:val="1"/>
    <w:link w:val="87"/>
    <w:unhideWhenUsed/>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39"/>
    <w:pPr>
      <w:ind w:left="1260"/>
      <w:jc w:val="left"/>
    </w:pPr>
    <w:rPr>
      <w:rFonts w:ascii="Calibri" w:hAnsi="Calibri" w:eastAsia="宋体" w:cs="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hAnsi="Times New Roman" w:eastAsia="宋体" w:cs="Times New Roman"/>
      <w:kern w:val="0"/>
      <w:sz w:val="18"/>
      <w:szCs w:val="18"/>
      <w:lang w:val="zh-CN"/>
    </w:rPr>
  </w:style>
  <w:style w:type="paragraph" w:styleId="16">
    <w:name w:val="annotation text"/>
    <w:basedOn w:val="1"/>
    <w:link w:val="70"/>
    <w:qFormat/>
    <w:uiPriority w:val="0"/>
    <w:pPr>
      <w:jc w:val="left"/>
    </w:pPr>
    <w:rPr>
      <w:rFonts w:ascii="Times New Roman" w:hAnsi="Times New Roman" w:eastAsia="宋体" w:cs="Times New Roman"/>
      <w:szCs w:val="24"/>
      <w:lang w:val="zh-CN"/>
    </w:rPr>
  </w:style>
  <w:style w:type="paragraph" w:styleId="17">
    <w:name w:val="Salutation"/>
    <w:basedOn w:val="1"/>
    <w:next w:val="1"/>
    <w:link w:val="71"/>
    <w:qFormat/>
    <w:uiPriority w:val="0"/>
    <w:rPr>
      <w:rFonts w:ascii="Calibri" w:hAnsi="Calibri" w:eastAsia="宋体" w:cs="Times New Roman"/>
      <w:kern w:val="0"/>
      <w:sz w:val="32"/>
      <w:szCs w:val="24"/>
    </w:rPr>
  </w:style>
  <w:style w:type="paragraph" w:styleId="18">
    <w:name w:val="Body Text 3"/>
    <w:basedOn w:val="1"/>
    <w:link w:val="72"/>
    <w:qFormat/>
    <w:uiPriority w:val="0"/>
    <w:pPr>
      <w:spacing w:after="120"/>
    </w:pPr>
    <w:rPr>
      <w:rFonts w:ascii="Times New Roman" w:hAnsi="Times New Roman" w:eastAsia="宋体" w:cs="Times New Roman"/>
      <w:kern w:val="0"/>
      <w:sz w:val="16"/>
      <w:szCs w:val="16"/>
      <w:lang w:val="zh-CN"/>
    </w:rPr>
  </w:style>
  <w:style w:type="paragraph" w:styleId="19">
    <w:name w:val="Body Text"/>
    <w:basedOn w:val="1"/>
    <w:next w:val="1"/>
    <w:link w:val="73"/>
    <w:qFormat/>
    <w:uiPriority w:val="99"/>
    <w:pPr>
      <w:pBdr>
        <w:top w:val="single" w:color="auto" w:sz="4" w:space="1"/>
      </w:pBdr>
    </w:pPr>
    <w:rPr>
      <w:rFonts w:ascii="Times New Roman" w:hAnsi="Times New Roman" w:eastAsia="宋体" w:cs="Times New Roman"/>
      <w:b/>
      <w:bCs/>
      <w:szCs w:val="24"/>
    </w:rPr>
  </w:style>
  <w:style w:type="paragraph" w:styleId="20">
    <w:name w:val="Body Text Indent"/>
    <w:basedOn w:val="1"/>
    <w:next w:val="21"/>
    <w:link w:val="74"/>
    <w:qFormat/>
    <w:uiPriority w:val="0"/>
    <w:pPr>
      <w:ind w:firstLine="600" w:firstLineChars="200"/>
    </w:pPr>
    <w:rPr>
      <w:rFonts w:ascii="宋体" w:hAnsi="Times New Roman" w:eastAsia="宋体" w:cs="Times New Roman"/>
      <w:sz w:val="30"/>
      <w:szCs w:val="20"/>
      <w:lang w:val="zh-CN"/>
    </w:rPr>
  </w:style>
  <w:style w:type="paragraph" w:styleId="21">
    <w:name w:val="envelope return"/>
    <w:basedOn w:val="1"/>
    <w:qFormat/>
    <w:uiPriority w:val="0"/>
    <w:pPr>
      <w:snapToGrid w:val="0"/>
    </w:pPr>
    <w:rPr>
      <w:rFonts w:ascii="Arial" w:hAnsi="Arial" w:eastAsia="宋体" w:cs="Times New Roman"/>
      <w:szCs w:val="24"/>
    </w:rPr>
  </w:style>
  <w:style w:type="paragraph" w:styleId="22">
    <w:name w:val="index 4"/>
    <w:basedOn w:val="1"/>
    <w:next w:val="1"/>
    <w:unhideWhenUsed/>
    <w:qFormat/>
    <w:uiPriority w:val="99"/>
    <w:pPr>
      <w:ind w:left="600" w:leftChars="600"/>
    </w:pPr>
    <w:rPr>
      <w:rFonts w:ascii="Times New Roman" w:hAnsi="Times New Roman" w:eastAsia="宋体" w:cs="Times New Roman"/>
      <w:szCs w:val="24"/>
    </w:rPr>
  </w:style>
  <w:style w:type="paragraph" w:styleId="23">
    <w:name w:val="toc 5"/>
    <w:basedOn w:val="1"/>
    <w:next w:val="1"/>
    <w:qFormat/>
    <w:uiPriority w:val="39"/>
    <w:pPr>
      <w:ind w:left="840"/>
      <w:jc w:val="left"/>
    </w:pPr>
    <w:rPr>
      <w:rFonts w:ascii="Calibri" w:hAnsi="Calibri" w:eastAsia="宋体" w:cs="Calibri"/>
      <w:sz w:val="18"/>
      <w:szCs w:val="18"/>
    </w:rPr>
  </w:style>
  <w:style w:type="paragraph" w:styleId="24">
    <w:name w:val="toc 3"/>
    <w:basedOn w:val="1"/>
    <w:next w:val="1"/>
    <w:qFormat/>
    <w:uiPriority w:val="39"/>
    <w:pPr>
      <w:ind w:left="840" w:leftChars="400"/>
    </w:pPr>
    <w:rPr>
      <w:rFonts w:ascii="Times New Roman" w:hAnsi="Times New Roman" w:eastAsia="宋体" w:cs="Times New Roman"/>
      <w:szCs w:val="24"/>
    </w:rPr>
  </w:style>
  <w:style w:type="paragraph" w:styleId="25">
    <w:name w:val="Plain Text"/>
    <w:basedOn w:val="1"/>
    <w:link w:val="75"/>
    <w:qFormat/>
    <w:uiPriority w:val="0"/>
    <w:rPr>
      <w:rFonts w:ascii="宋体" w:hAnsi="Courier New" w:eastAsia="宋体" w:cs="Times New Roman"/>
      <w:szCs w:val="20"/>
      <w:lang w:val="zh-CN"/>
    </w:rPr>
  </w:style>
  <w:style w:type="paragraph" w:styleId="26">
    <w:name w:val="toc 8"/>
    <w:basedOn w:val="1"/>
    <w:next w:val="1"/>
    <w:qFormat/>
    <w:uiPriority w:val="39"/>
    <w:pPr>
      <w:ind w:left="1470"/>
      <w:jc w:val="left"/>
    </w:pPr>
    <w:rPr>
      <w:rFonts w:ascii="Calibri" w:hAnsi="Calibri" w:eastAsia="宋体" w:cs="Calibri"/>
      <w:sz w:val="18"/>
      <w:szCs w:val="18"/>
    </w:rPr>
  </w:style>
  <w:style w:type="paragraph" w:styleId="27">
    <w:name w:val="Date"/>
    <w:basedOn w:val="1"/>
    <w:next w:val="1"/>
    <w:link w:val="76"/>
    <w:qFormat/>
    <w:uiPriority w:val="0"/>
    <w:pPr>
      <w:ind w:left="100" w:leftChars="2500"/>
    </w:pPr>
    <w:rPr>
      <w:rFonts w:ascii="Calibri" w:hAnsi="Calibri" w:eastAsia="宋体" w:cs="Times New Roman"/>
      <w:kern w:val="0"/>
      <w:sz w:val="20"/>
      <w:szCs w:val="24"/>
    </w:rPr>
  </w:style>
  <w:style w:type="paragraph" w:styleId="28">
    <w:name w:val="Body Text Indent 2"/>
    <w:basedOn w:val="1"/>
    <w:link w:val="77"/>
    <w:qFormat/>
    <w:uiPriority w:val="0"/>
    <w:pPr>
      <w:spacing w:after="120" w:line="480" w:lineRule="auto"/>
      <w:ind w:left="420" w:leftChars="200"/>
    </w:pPr>
    <w:rPr>
      <w:rFonts w:ascii="Times New Roman" w:hAnsi="Times New Roman" w:eastAsia="Courier New" w:cs="Times New Roman"/>
      <w:kern w:val="0"/>
      <w:sz w:val="20"/>
      <w:szCs w:val="20"/>
      <w:lang w:val="zh-CN"/>
    </w:rPr>
  </w:style>
  <w:style w:type="paragraph" w:styleId="29">
    <w:name w:val="Balloon Text"/>
    <w:basedOn w:val="1"/>
    <w:link w:val="78"/>
    <w:qFormat/>
    <w:uiPriority w:val="0"/>
    <w:rPr>
      <w:rFonts w:ascii="Times New Roman" w:hAnsi="Times New Roman" w:eastAsia="宋体" w:cs="Times New Roman"/>
      <w:sz w:val="18"/>
      <w:szCs w:val="18"/>
      <w:lang w:val="zh-CN"/>
    </w:rPr>
  </w:style>
  <w:style w:type="paragraph" w:styleId="30">
    <w:name w:val="footer"/>
    <w:basedOn w:val="1"/>
    <w:link w:val="58"/>
    <w:unhideWhenUsed/>
    <w:qFormat/>
    <w:uiPriority w:val="99"/>
    <w:pPr>
      <w:tabs>
        <w:tab w:val="center" w:pos="4153"/>
        <w:tab w:val="right" w:pos="8306"/>
      </w:tabs>
      <w:snapToGrid w:val="0"/>
      <w:jc w:val="left"/>
    </w:pPr>
    <w:rPr>
      <w:sz w:val="18"/>
      <w:szCs w:val="18"/>
    </w:rPr>
  </w:style>
  <w:style w:type="paragraph" w:styleId="3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eastAsia="宋体" w:cs="Calibri"/>
      <w:b/>
      <w:bCs/>
      <w:caps/>
      <w:sz w:val="20"/>
      <w:szCs w:val="20"/>
    </w:rPr>
  </w:style>
  <w:style w:type="paragraph" w:styleId="33">
    <w:name w:val="toc 4"/>
    <w:basedOn w:val="1"/>
    <w:next w:val="1"/>
    <w:qFormat/>
    <w:uiPriority w:val="39"/>
    <w:pPr>
      <w:ind w:left="630"/>
      <w:jc w:val="left"/>
    </w:pPr>
    <w:rPr>
      <w:rFonts w:ascii="Calibri" w:hAnsi="Calibri" w:eastAsia="宋体" w:cs="Calibri"/>
      <w:sz w:val="18"/>
      <w:szCs w:val="18"/>
    </w:rPr>
  </w:style>
  <w:style w:type="paragraph" w:styleId="34">
    <w:name w:val="toc 6"/>
    <w:basedOn w:val="1"/>
    <w:next w:val="1"/>
    <w:qFormat/>
    <w:uiPriority w:val="39"/>
    <w:pPr>
      <w:ind w:left="1050"/>
      <w:jc w:val="left"/>
    </w:pPr>
    <w:rPr>
      <w:rFonts w:ascii="Calibri" w:hAnsi="Calibri" w:eastAsia="宋体" w:cs="Calibri"/>
      <w:sz w:val="18"/>
      <w:szCs w:val="18"/>
    </w:rPr>
  </w:style>
  <w:style w:type="paragraph" w:styleId="35">
    <w:name w:val="Body Text Indent 3"/>
    <w:basedOn w:val="1"/>
    <w:link w:val="79"/>
    <w:qFormat/>
    <w:uiPriority w:val="0"/>
    <w:pPr>
      <w:spacing w:after="120"/>
      <w:ind w:left="420" w:leftChars="200"/>
    </w:pPr>
    <w:rPr>
      <w:rFonts w:ascii="Calibri" w:hAnsi="Calibri" w:eastAsia="宋体" w:cs="Times New Roman"/>
      <w:kern w:val="0"/>
      <w:sz w:val="16"/>
      <w:szCs w:val="20"/>
    </w:rPr>
  </w:style>
  <w:style w:type="paragraph" w:styleId="36">
    <w:name w:val="toc 2"/>
    <w:basedOn w:val="1"/>
    <w:next w:val="1"/>
    <w:unhideWhenUsed/>
    <w:qFormat/>
    <w:uiPriority w:val="39"/>
    <w:pPr>
      <w:ind w:left="420" w:leftChars="200"/>
    </w:pPr>
    <w:rPr>
      <w:rFonts w:ascii="Times New Roman" w:hAnsi="Times New Roman" w:eastAsia="宋体" w:cs="Times New Roman"/>
      <w:szCs w:val="24"/>
    </w:rPr>
  </w:style>
  <w:style w:type="paragraph" w:styleId="37">
    <w:name w:val="toc 9"/>
    <w:basedOn w:val="1"/>
    <w:next w:val="1"/>
    <w:qFormat/>
    <w:uiPriority w:val="39"/>
    <w:pPr>
      <w:ind w:left="1680"/>
      <w:jc w:val="left"/>
    </w:pPr>
    <w:rPr>
      <w:rFonts w:ascii="Calibri" w:hAnsi="Calibri" w:eastAsia="宋体" w:cs="Calibri"/>
      <w:sz w:val="18"/>
      <w:szCs w:val="18"/>
    </w:rPr>
  </w:style>
  <w:style w:type="paragraph" w:styleId="38">
    <w:name w:val="Body Text 2"/>
    <w:basedOn w:val="1"/>
    <w:link w:val="80"/>
    <w:qFormat/>
    <w:uiPriority w:val="0"/>
    <w:pPr>
      <w:spacing w:after="120" w:line="480" w:lineRule="auto"/>
    </w:pPr>
    <w:rPr>
      <w:rFonts w:ascii="Times New Roman" w:hAnsi="Times New Roman" w:eastAsia="宋体" w:cs="Times New Roman"/>
      <w:kern w:val="0"/>
      <w:sz w:val="20"/>
      <w:szCs w:val="24"/>
      <w:lang w:val="zh-CN"/>
    </w:rPr>
  </w:style>
  <w:style w:type="paragraph" w:styleId="39">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eastAsia="宋体" w:cs="Times New Roman"/>
      <w:kern w:val="0"/>
      <w:sz w:val="20"/>
      <w:szCs w:val="21"/>
    </w:rPr>
  </w:style>
  <w:style w:type="paragraph" w:styleId="4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1">
    <w:name w:val="Title"/>
    <w:basedOn w:val="1"/>
    <w:link w:val="82"/>
    <w:qFormat/>
    <w:uiPriority w:val="0"/>
    <w:pPr>
      <w:spacing w:before="240" w:after="60"/>
      <w:jc w:val="center"/>
      <w:outlineLvl w:val="0"/>
    </w:pPr>
    <w:rPr>
      <w:rFonts w:ascii="Arial" w:hAnsi="Arial" w:eastAsia="宋体" w:cs="Times New Roman"/>
      <w:b/>
      <w:bCs/>
      <w:kern w:val="0"/>
      <w:sz w:val="32"/>
      <w:szCs w:val="32"/>
      <w:lang w:val="zh-CN"/>
    </w:rPr>
  </w:style>
  <w:style w:type="paragraph" w:styleId="42">
    <w:name w:val="annotation subject"/>
    <w:basedOn w:val="16"/>
    <w:next w:val="16"/>
    <w:link w:val="83"/>
    <w:qFormat/>
    <w:uiPriority w:val="0"/>
    <w:rPr>
      <w:b/>
      <w:bCs/>
    </w:rPr>
  </w:style>
  <w:style w:type="paragraph" w:styleId="43">
    <w:name w:val="Body Text First Indent"/>
    <w:basedOn w:val="19"/>
    <w:link w:val="84"/>
    <w:qFormat/>
    <w:uiPriority w:val="0"/>
    <w:pPr>
      <w:pBdr>
        <w:top w:val="none" w:color="auto" w:sz="0" w:space="0"/>
      </w:pBdr>
      <w:spacing w:after="120"/>
      <w:ind w:firstLine="420" w:firstLineChars="100"/>
    </w:pPr>
    <w:rPr>
      <w:b w:val="0"/>
      <w:bCs w:val="0"/>
      <w:kern w:val="0"/>
      <w:sz w:val="20"/>
      <w:szCs w:val="20"/>
    </w:rPr>
  </w:style>
  <w:style w:type="paragraph" w:styleId="44">
    <w:name w:val="Body Text First Indent 2"/>
    <w:basedOn w:val="20"/>
    <w:link w:val="85"/>
    <w:qFormat/>
    <w:uiPriority w:val="0"/>
    <w:pPr>
      <w:spacing w:after="120"/>
      <w:ind w:left="420" w:leftChars="200" w:firstLine="420"/>
    </w:pPr>
    <w:rPr>
      <w:rFonts w:ascii="Times New Roman"/>
      <w:kern w:val="0"/>
      <w:sz w:val="20"/>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semiHidden/>
    <w:unhideWhenUsed/>
    <w:qFormat/>
    <w:uiPriority w:val="99"/>
    <w:rPr>
      <w:color w:val="954F72" w:themeColor="followedHyperlink"/>
      <w:u w:val="single"/>
      <w14:textFill>
        <w14:solidFill>
          <w14:schemeClr w14:val="folHlink"/>
        </w14:solidFill>
      </w14:textFill>
    </w:rPr>
  </w:style>
  <w:style w:type="character" w:styleId="51">
    <w:name w:val="HTML Definition"/>
    <w:basedOn w:val="47"/>
    <w:semiHidden/>
    <w:unhideWhenUsed/>
    <w:qFormat/>
    <w:uiPriority w:val="99"/>
    <w:rPr>
      <w:i/>
      <w:iCs/>
    </w:rPr>
  </w:style>
  <w:style w:type="character" w:styleId="52">
    <w:name w:val="Hyperlink"/>
    <w:qFormat/>
    <w:uiPriority w:val="99"/>
    <w:rPr>
      <w:color w:val="0000FF"/>
      <w:u w:val="single"/>
    </w:rPr>
  </w:style>
  <w:style w:type="character" w:styleId="53">
    <w:name w:val="HTML Code"/>
    <w:basedOn w:val="47"/>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54">
    <w:name w:val="annotation reference"/>
    <w:qFormat/>
    <w:uiPriority w:val="0"/>
    <w:rPr>
      <w:sz w:val="21"/>
      <w:szCs w:val="21"/>
    </w:rPr>
  </w:style>
  <w:style w:type="character" w:styleId="55">
    <w:name w:val="HTML Keyboard"/>
    <w:basedOn w:val="47"/>
    <w:semiHidden/>
    <w:unhideWhenUsed/>
    <w:qFormat/>
    <w:uiPriority w:val="99"/>
    <w:rPr>
      <w:rFonts w:hint="default" w:ascii="Consolas" w:hAnsi="Consolas" w:eastAsia="Consolas" w:cs="Consolas"/>
      <w:color w:val="FFFFFF"/>
      <w:sz w:val="21"/>
      <w:szCs w:val="21"/>
      <w:shd w:val="clear" w:color="auto" w:fill="333333"/>
    </w:rPr>
  </w:style>
  <w:style w:type="character" w:styleId="56">
    <w:name w:val="HTML Sample"/>
    <w:basedOn w:val="47"/>
    <w:semiHidden/>
    <w:unhideWhenUsed/>
    <w:qFormat/>
    <w:uiPriority w:val="99"/>
    <w:rPr>
      <w:rFonts w:hint="default" w:ascii="Consolas" w:hAnsi="Consolas" w:eastAsia="Consolas" w:cs="Consolas"/>
      <w:sz w:val="21"/>
      <w:szCs w:val="21"/>
    </w:rPr>
  </w:style>
  <w:style w:type="character" w:customStyle="1" w:styleId="57">
    <w:name w:val="页眉 字符"/>
    <w:basedOn w:val="47"/>
    <w:link w:val="31"/>
    <w:qFormat/>
    <w:uiPriority w:val="0"/>
    <w:rPr>
      <w:sz w:val="18"/>
      <w:szCs w:val="18"/>
    </w:rPr>
  </w:style>
  <w:style w:type="character" w:customStyle="1" w:styleId="58">
    <w:name w:val="页脚 字符"/>
    <w:basedOn w:val="47"/>
    <w:link w:val="30"/>
    <w:qFormat/>
    <w:uiPriority w:val="99"/>
    <w:rPr>
      <w:sz w:val="18"/>
      <w:szCs w:val="18"/>
    </w:rPr>
  </w:style>
  <w:style w:type="character" w:customStyle="1" w:styleId="59">
    <w:name w:val="标题 1 字符"/>
    <w:basedOn w:val="47"/>
    <w:link w:val="2"/>
    <w:qFormat/>
    <w:uiPriority w:val="0"/>
    <w:rPr>
      <w:rFonts w:ascii="Times New Roman" w:hAnsi="Times New Roman" w:eastAsia="宋体" w:cs="Times New Roman"/>
      <w:b/>
      <w:bCs/>
      <w:kern w:val="44"/>
      <w:sz w:val="32"/>
      <w:szCs w:val="32"/>
      <w:lang w:val="zh-CN"/>
    </w:rPr>
  </w:style>
  <w:style w:type="character" w:customStyle="1" w:styleId="60">
    <w:name w:val="标题 2 字符"/>
    <w:basedOn w:val="47"/>
    <w:link w:val="3"/>
    <w:qFormat/>
    <w:uiPriority w:val="0"/>
    <w:rPr>
      <w:rFonts w:ascii="Cambria" w:hAnsi="Cambria" w:eastAsia="宋体" w:cs="Times New Roman"/>
      <w:b/>
      <w:bCs/>
      <w:kern w:val="0"/>
      <w:sz w:val="30"/>
      <w:szCs w:val="30"/>
      <w:lang w:val="zh-CN"/>
    </w:rPr>
  </w:style>
  <w:style w:type="paragraph" w:customStyle="1" w:styleId="61">
    <w:name w:val="标题 31"/>
    <w:basedOn w:val="1"/>
    <w:next w:val="9"/>
    <w:qFormat/>
    <w:uiPriority w:val="0"/>
    <w:pPr>
      <w:keepNext/>
      <w:keepLines/>
      <w:spacing w:before="260" w:line="416" w:lineRule="auto"/>
      <w:outlineLvl w:val="2"/>
    </w:pPr>
    <w:rPr>
      <w:rFonts w:ascii="宋体" w:hAnsi="宋体" w:cs="Times New Roman"/>
      <w:b/>
      <w:bCs/>
      <w:spacing w:val="1"/>
      <w:sz w:val="28"/>
      <w:szCs w:val="32"/>
      <w:lang w:val="zh-CN"/>
    </w:rPr>
  </w:style>
  <w:style w:type="character" w:customStyle="1" w:styleId="62">
    <w:name w:val="标题 4 字符"/>
    <w:basedOn w:val="47"/>
    <w:link w:val="5"/>
    <w:qFormat/>
    <w:uiPriority w:val="0"/>
    <w:rPr>
      <w:rFonts w:ascii="宋体" w:hAnsi="宋体" w:eastAsia="宋体" w:cs="Times New Roman"/>
      <w:b/>
      <w:kern w:val="0"/>
      <w:sz w:val="24"/>
      <w:szCs w:val="24"/>
      <w:lang w:val="zh-CN"/>
    </w:rPr>
  </w:style>
  <w:style w:type="character" w:customStyle="1" w:styleId="63">
    <w:name w:val="标题 5 字符"/>
    <w:basedOn w:val="47"/>
    <w:link w:val="6"/>
    <w:qFormat/>
    <w:uiPriority w:val="0"/>
    <w:rPr>
      <w:rFonts w:ascii="Arial" w:hAnsi="Arial" w:eastAsia="宋体" w:cs="Times New Roman"/>
      <w:sz w:val="24"/>
      <w:szCs w:val="24"/>
    </w:rPr>
  </w:style>
  <w:style w:type="character" w:customStyle="1" w:styleId="64">
    <w:name w:val="标题 6 字符"/>
    <w:basedOn w:val="47"/>
    <w:link w:val="7"/>
    <w:qFormat/>
    <w:uiPriority w:val="0"/>
    <w:rPr>
      <w:rFonts w:ascii="Arial" w:hAnsi="Arial" w:eastAsia="黑体" w:cs="Times New Roman"/>
      <w:b/>
      <w:bCs/>
      <w:sz w:val="24"/>
      <w:szCs w:val="24"/>
    </w:rPr>
  </w:style>
  <w:style w:type="character" w:customStyle="1" w:styleId="65">
    <w:name w:val="标题 7 字符"/>
    <w:basedOn w:val="47"/>
    <w:link w:val="8"/>
    <w:qFormat/>
    <w:uiPriority w:val="0"/>
    <w:rPr>
      <w:rFonts w:ascii="Times New Roman" w:hAnsi="Times New Roman" w:eastAsia="宋体" w:cs="Times New Roman"/>
      <w:b/>
      <w:sz w:val="24"/>
      <w:szCs w:val="20"/>
    </w:rPr>
  </w:style>
  <w:style w:type="character" w:customStyle="1" w:styleId="66">
    <w:name w:val="标题 8 字符"/>
    <w:basedOn w:val="47"/>
    <w:link w:val="10"/>
    <w:qFormat/>
    <w:uiPriority w:val="0"/>
    <w:rPr>
      <w:rFonts w:ascii="Arial" w:hAnsi="Arial" w:eastAsia="黑体" w:cs="Times New Roman"/>
      <w:sz w:val="24"/>
      <w:szCs w:val="20"/>
    </w:rPr>
  </w:style>
  <w:style w:type="character" w:customStyle="1" w:styleId="67">
    <w:name w:val="标题 9 字符"/>
    <w:basedOn w:val="47"/>
    <w:link w:val="11"/>
    <w:qFormat/>
    <w:uiPriority w:val="0"/>
    <w:rPr>
      <w:rFonts w:ascii="Arial" w:hAnsi="Arial" w:eastAsia="黑体" w:cs="Times New Roman"/>
      <w:szCs w:val="20"/>
    </w:rPr>
  </w:style>
  <w:style w:type="character" w:customStyle="1" w:styleId="68">
    <w:name w:val="标题 3 字符"/>
    <w:basedOn w:val="47"/>
    <w:link w:val="4"/>
    <w:qFormat/>
    <w:uiPriority w:val="0"/>
    <w:rPr>
      <w:rFonts w:ascii="宋体" w:hAnsi="宋体" w:eastAsia="宋体"/>
      <w:b/>
      <w:bCs/>
      <w:spacing w:val="1"/>
      <w:sz w:val="28"/>
      <w:szCs w:val="32"/>
      <w:lang w:val="zh-CN"/>
    </w:rPr>
  </w:style>
  <w:style w:type="character" w:customStyle="1" w:styleId="69">
    <w:name w:val="文档结构图 字符"/>
    <w:basedOn w:val="47"/>
    <w:link w:val="15"/>
    <w:qFormat/>
    <w:uiPriority w:val="0"/>
    <w:rPr>
      <w:rFonts w:ascii="宋体" w:hAnsi="Times New Roman" w:eastAsia="宋体" w:cs="Times New Roman"/>
      <w:kern w:val="0"/>
      <w:sz w:val="18"/>
      <w:szCs w:val="18"/>
      <w:lang w:val="zh-CN"/>
    </w:rPr>
  </w:style>
  <w:style w:type="character" w:customStyle="1" w:styleId="70">
    <w:name w:val="批注文字 字符"/>
    <w:basedOn w:val="47"/>
    <w:link w:val="16"/>
    <w:qFormat/>
    <w:uiPriority w:val="0"/>
    <w:rPr>
      <w:rFonts w:ascii="Times New Roman" w:hAnsi="Times New Roman" w:eastAsia="宋体" w:cs="Times New Roman"/>
      <w:szCs w:val="24"/>
      <w:lang w:val="zh-CN"/>
    </w:rPr>
  </w:style>
  <w:style w:type="character" w:customStyle="1" w:styleId="71">
    <w:name w:val="称呼 字符"/>
    <w:basedOn w:val="47"/>
    <w:link w:val="17"/>
    <w:qFormat/>
    <w:uiPriority w:val="0"/>
    <w:rPr>
      <w:rFonts w:ascii="Calibri" w:hAnsi="Calibri" w:eastAsia="宋体" w:cs="Times New Roman"/>
      <w:kern w:val="0"/>
      <w:sz w:val="32"/>
      <w:szCs w:val="24"/>
    </w:rPr>
  </w:style>
  <w:style w:type="character" w:customStyle="1" w:styleId="72">
    <w:name w:val="正文文本 3 字符"/>
    <w:basedOn w:val="47"/>
    <w:link w:val="18"/>
    <w:qFormat/>
    <w:uiPriority w:val="0"/>
    <w:rPr>
      <w:rFonts w:ascii="Times New Roman" w:hAnsi="Times New Roman" w:eastAsia="宋体" w:cs="Times New Roman"/>
      <w:kern w:val="0"/>
      <w:sz w:val="16"/>
      <w:szCs w:val="16"/>
      <w:lang w:val="zh-CN"/>
    </w:rPr>
  </w:style>
  <w:style w:type="character" w:customStyle="1" w:styleId="73">
    <w:name w:val="正文文本 字符"/>
    <w:basedOn w:val="47"/>
    <w:link w:val="19"/>
    <w:qFormat/>
    <w:uiPriority w:val="99"/>
    <w:rPr>
      <w:rFonts w:ascii="Times New Roman" w:hAnsi="Times New Roman" w:eastAsia="宋体" w:cs="Times New Roman"/>
      <w:b/>
      <w:bCs/>
      <w:szCs w:val="24"/>
    </w:rPr>
  </w:style>
  <w:style w:type="character" w:customStyle="1" w:styleId="74">
    <w:name w:val="正文文本缩进 字符"/>
    <w:basedOn w:val="47"/>
    <w:link w:val="20"/>
    <w:qFormat/>
    <w:uiPriority w:val="0"/>
    <w:rPr>
      <w:rFonts w:ascii="宋体" w:hAnsi="Times New Roman" w:eastAsia="宋体" w:cs="Times New Roman"/>
      <w:sz w:val="30"/>
      <w:szCs w:val="20"/>
      <w:lang w:val="zh-CN"/>
    </w:rPr>
  </w:style>
  <w:style w:type="character" w:customStyle="1" w:styleId="75">
    <w:name w:val="纯文本 字符"/>
    <w:basedOn w:val="47"/>
    <w:link w:val="25"/>
    <w:qFormat/>
    <w:uiPriority w:val="0"/>
    <w:rPr>
      <w:rFonts w:ascii="宋体" w:hAnsi="Courier New" w:eastAsia="宋体" w:cs="Times New Roman"/>
      <w:szCs w:val="20"/>
      <w:lang w:val="zh-CN"/>
    </w:rPr>
  </w:style>
  <w:style w:type="character" w:customStyle="1" w:styleId="76">
    <w:name w:val="日期 字符"/>
    <w:basedOn w:val="47"/>
    <w:link w:val="27"/>
    <w:qFormat/>
    <w:uiPriority w:val="0"/>
    <w:rPr>
      <w:rFonts w:ascii="Calibri" w:hAnsi="Calibri" w:eastAsia="宋体" w:cs="Times New Roman"/>
      <w:kern w:val="0"/>
      <w:sz w:val="20"/>
      <w:szCs w:val="24"/>
    </w:rPr>
  </w:style>
  <w:style w:type="character" w:customStyle="1" w:styleId="77">
    <w:name w:val="正文文本缩进 2 字符"/>
    <w:basedOn w:val="47"/>
    <w:link w:val="28"/>
    <w:qFormat/>
    <w:uiPriority w:val="0"/>
    <w:rPr>
      <w:rFonts w:ascii="Times New Roman" w:hAnsi="Times New Roman" w:eastAsia="Courier New" w:cs="Times New Roman"/>
      <w:kern w:val="0"/>
      <w:sz w:val="20"/>
      <w:szCs w:val="20"/>
      <w:lang w:val="zh-CN"/>
    </w:rPr>
  </w:style>
  <w:style w:type="character" w:customStyle="1" w:styleId="78">
    <w:name w:val="批注框文本 字符"/>
    <w:basedOn w:val="47"/>
    <w:link w:val="29"/>
    <w:qFormat/>
    <w:uiPriority w:val="0"/>
    <w:rPr>
      <w:rFonts w:ascii="Times New Roman" w:hAnsi="Times New Roman" w:eastAsia="宋体" w:cs="Times New Roman"/>
      <w:sz w:val="18"/>
      <w:szCs w:val="18"/>
      <w:lang w:val="zh-CN"/>
    </w:rPr>
  </w:style>
  <w:style w:type="character" w:customStyle="1" w:styleId="79">
    <w:name w:val="正文文本缩进 3 字符"/>
    <w:basedOn w:val="47"/>
    <w:link w:val="35"/>
    <w:qFormat/>
    <w:uiPriority w:val="0"/>
    <w:rPr>
      <w:rFonts w:ascii="Calibri" w:hAnsi="Calibri" w:eastAsia="宋体" w:cs="Times New Roman"/>
      <w:kern w:val="0"/>
      <w:sz w:val="16"/>
      <w:szCs w:val="20"/>
    </w:rPr>
  </w:style>
  <w:style w:type="character" w:customStyle="1" w:styleId="80">
    <w:name w:val="正文文本 2 字符"/>
    <w:basedOn w:val="47"/>
    <w:link w:val="38"/>
    <w:qFormat/>
    <w:uiPriority w:val="0"/>
    <w:rPr>
      <w:rFonts w:ascii="Times New Roman" w:hAnsi="Times New Roman" w:eastAsia="宋体" w:cs="Times New Roman"/>
      <w:kern w:val="0"/>
      <w:sz w:val="20"/>
      <w:szCs w:val="24"/>
      <w:lang w:val="zh-CN"/>
    </w:rPr>
  </w:style>
  <w:style w:type="character" w:customStyle="1" w:styleId="81">
    <w:name w:val="HTML 预设格式 字符"/>
    <w:basedOn w:val="47"/>
    <w:link w:val="39"/>
    <w:qFormat/>
    <w:uiPriority w:val="0"/>
    <w:rPr>
      <w:rFonts w:ascii="Calibri" w:hAnsi="Calibri" w:eastAsia="宋体" w:cs="Times New Roman"/>
      <w:kern w:val="0"/>
      <w:sz w:val="20"/>
      <w:szCs w:val="21"/>
    </w:rPr>
  </w:style>
  <w:style w:type="character" w:customStyle="1" w:styleId="82">
    <w:name w:val="标题 字符"/>
    <w:basedOn w:val="47"/>
    <w:link w:val="41"/>
    <w:qFormat/>
    <w:uiPriority w:val="0"/>
    <w:rPr>
      <w:rFonts w:ascii="Arial" w:hAnsi="Arial" w:eastAsia="宋体" w:cs="Times New Roman"/>
      <w:b/>
      <w:bCs/>
      <w:kern w:val="0"/>
      <w:sz w:val="32"/>
      <w:szCs w:val="32"/>
      <w:lang w:val="zh-CN"/>
    </w:rPr>
  </w:style>
  <w:style w:type="character" w:customStyle="1" w:styleId="83">
    <w:name w:val="批注主题 字符"/>
    <w:basedOn w:val="70"/>
    <w:link w:val="42"/>
    <w:qFormat/>
    <w:uiPriority w:val="0"/>
    <w:rPr>
      <w:rFonts w:ascii="Times New Roman" w:hAnsi="Times New Roman" w:eastAsia="宋体" w:cs="Times New Roman"/>
      <w:b/>
      <w:bCs/>
      <w:szCs w:val="24"/>
      <w:lang w:val="zh-CN"/>
    </w:rPr>
  </w:style>
  <w:style w:type="character" w:customStyle="1" w:styleId="84">
    <w:name w:val="正文文本首行缩进 字符"/>
    <w:basedOn w:val="73"/>
    <w:link w:val="43"/>
    <w:qFormat/>
    <w:uiPriority w:val="0"/>
    <w:rPr>
      <w:rFonts w:ascii="Times New Roman" w:hAnsi="Times New Roman" w:eastAsia="宋体" w:cs="Times New Roman"/>
      <w:b w:val="0"/>
      <w:bCs w:val="0"/>
      <w:kern w:val="0"/>
      <w:sz w:val="20"/>
      <w:szCs w:val="20"/>
    </w:rPr>
  </w:style>
  <w:style w:type="character" w:customStyle="1" w:styleId="85">
    <w:name w:val="正文文本首行缩进 2 字符"/>
    <w:basedOn w:val="74"/>
    <w:link w:val="44"/>
    <w:qFormat/>
    <w:uiPriority w:val="0"/>
    <w:rPr>
      <w:rFonts w:ascii="Times New Roman" w:hAnsi="Times New Roman" w:eastAsia="宋体" w:cs="Times New Roman"/>
      <w:kern w:val="0"/>
      <w:sz w:val="20"/>
      <w:szCs w:val="24"/>
      <w:lang w:val="zh-CN"/>
    </w:rPr>
  </w:style>
  <w:style w:type="character" w:customStyle="1" w:styleId="86">
    <w:name w:val="访问过的超链接1"/>
    <w:basedOn w:val="47"/>
    <w:semiHidden/>
    <w:unhideWhenUsed/>
    <w:qFormat/>
    <w:uiPriority w:val="99"/>
    <w:rPr>
      <w:color w:val="800080"/>
      <w:u w:val="single"/>
    </w:rPr>
  </w:style>
  <w:style w:type="character" w:customStyle="1" w:styleId="87">
    <w:name w:val="正文缩进 字符"/>
    <w:link w:val="9"/>
    <w:qFormat/>
    <w:uiPriority w:val="0"/>
    <w:rPr>
      <w:rFonts w:ascii="Times New Roman" w:hAnsi="Times New Roman" w:eastAsia="宋体" w:cs="Times New Roman"/>
      <w:szCs w:val="24"/>
    </w:rPr>
  </w:style>
  <w:style w:type="paragraph" w:customStyle="1" w:styleId="88">
    <w:name w:val="_Style 75"/>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89">
    <w:name w:val="插图名称 Char Char"/>
    <w:link w:val="90"/>
    <w:qFormat/>
    <w:uiPriority w:val="0"/>
    <w:rPr>
      <w:rFonts w:eastAsia="Times New Roman"/>
      <w:szCs w:val="24"/>
    </w:rPr>
  </w:style>
  <w:style w:type="paragraph" w:customStyle="1" w:styleId="90">
    <w:name w:val="插图名称"/>
    <w:link w:val="89"/>
    <w:qFormat/>
    <w:uiPriority w:val="0"/>
    <w:pPr>
      <w:spacing w:after="160" w:line="278" w:lineRule="auto"/>
      <w:jc w:val="center"/>
      <w:outlineLvl w:val="8"/>
    </w:pPr>
    <w:rPr>
      <w:rFonts w:eastAsia="Times New Roman" w:asciiTheme="minorHAnsi" w:hAnsiTheme="minorHAnsi" w:cstheme="minorBidi"/>
      <w:kern w:val="2"/>
      <w:sz w:val="21"/>
      <w:szCs w:val="24"/>
      <w:lang w:val="en-US" w:eastAsia="zh-CN" w:bidi="ar-SA"/>
    </w:rPr>
  </w:style>
  <w:style w:type="character" w:customStyle="1" w:styleId="91">
    <w:name w:val="表格文字 Char"/>
    <w:qFormat/>
    <w:uiPriority w:val="0"/>
    <w:rPr>
      <w:rFonts w:ascii="宋体" w:hAnsi="Courier New"/>
    </w:rPr>
  </w:style>
  <w:style w:type="character" w:customStyle="1" w:styleId="92">
    <w:name w:val="19"/>
    <w:qFormat/>
    <w:uiPriority w:val="0"/>
    <w:rPr>
      <w:rFonts w:hint="default" w:ascii="Calibri" w:hAnsi="Calibri" w:cs="Calibri"/>
      <w:b/>
      <w:bCs/>
      <w:kern w:val="44"/>
      <w:sz w:val="44"/>
      <w:szCs w:val="44"/>
    </w:rPr>
  </w:style>
  <w:style w:type="character" w:customStyle="1" w:styleId="93">
    <w:name w:val="17"/>
    <w:qFormat/>
    <w:uiPriority w:val="0"/>
    <w:rPr>
      <w:rFonts w:hint="default" w:ascii="Calibri" w:hAnsi="Calibri" w:cs="Calibri"/>
    </w:rPr>
  </w:style>
  <w:style w:type="character" w:customStyle="1" w:styleId="94">
    <w:name w:val="Char Char10"/>
    <w:qFormat/>
    <w:uiPriority w:val="0"/>
    <w:rPr>
      <w:rFonts w:ascii="宋体" w:hAnsi="Courier New" w:eastAsia="宋体" w:cs="Times New Roman"/>
      <w:szCs w:val="20"/>
    </w:rPr>
  </w:style>
  <w:style w:type="character" w:customStyle="1" w:styleId="95">
    <w:name w:val="3eee Char Char"/>
    <w:link w:val="96"/>
    <w:qFormat/>
    <w:uiPriority w:val="0"/>
    <w:rPr>
      <w:rFonts w:ascii="Courier New" w:hAnsi="Courier New" w:eastAsia="Courier New"/>
      <w:sz w:val="24"/>
      <w:szCs w:val="24"/>
    </w:rPr>
  </w:style>
  <w:style w:type="paragraph" w:customStyle="1" w:styleId="96">
    <w:name w:val="3eee"/>
    <w:basedOn w:val="1"/>
    <w:link w:val="95"/>
    <w:qFormat/>
    <w:uiPriority w:val="0"/>
    <w:pPr>
      <w:spacing w:line="440" w:lineRule="exact"/>
      <w:ind w:firstLine="480" w:firstLineChars="200"/>
    </w:pPr>
    <w:rPr>
      <w:rFonts w:ascii="Courier New" w:hAnsi="Courier New" w:eastAsia="Courier New"/>
      <w:sz w:val="24"/>
      <w:szCs w:val="24"/>
    </w:rPr>
  </w:style>
  <w:style w:type="character" w:customStyle="1" w:styleId="97">
    <w:name w:val="样式 宋体 小四 Char Char"/>
    <w:link w:val="98"/>
    <w:qFormat/>
    <w:uiPriority w:val="0"/>
    <w:rPr>
      <w:rFonts w:ascii="Courier New" w:hAnsi="Courier New" w:eastAsia="Courier New"/>
      <w:sz w:val="24"/>
    </w:rPr>
  </w:style>
  <w:style w:type="paragraph" w:customStyle="1" w:styleId="98">
    <w:name w:val="样式 宋体 小四"/>
    <w:basedOn w:val="1"/>
    <w:link w:val="97"/>
    <w:qFormat/>
    <w:uiPriority w:val="0"/>
    <w:pPr>
      <w:adjustRightInd w:val="0"/>
      <w:snapToGrid w:val="0"/>
      <w:spacing w:line="480" w:lineRule="exact"/>
      <w:ind w:firstLine="200" w:firstLineChars="200"/>
    </w:pPr>
    <w:rPr>
      <w:rFonts w:ascii="Courier New" w:hAnsi="Courier New" w:eastAsia="Courier New"/>
      <w:sz w:val="24"/>
    </w:rPr>
  </w:style>
  <w:style w:type="character" w:customStyle="1" w:styleId="99">
    <w:name w:val="Default Paragraph Font New"/>
    <w:qFormat/>
    <w:uiPriority w:val="0"/>
    <w:rPr>
      <w:rFonts w:hint="default"/>
    </w:rPr>
  </w:style>
  <w:style w:type="character" w:customStyle="1" w:styleId="100">
    <w:name w:val="文一 Char Char"/>
    <w:link w:val="101"/>
    <w:qFormat/>
    <w:uiPriority w:val="0"/>
    <w:rPr>
      <w:spacing w:val="4"/>
      <w:sz w:val="24"/>
      <w:szCs w:val="24"/>
    </w:rPr>
  </w:style>
  <w:style w:type="paragraph" w:customStyle="1" w:styleId="101">
    <w:name w:val="文一"/>
    <w:basedOn w:val="1"/>
    <w:link w:val="100"/>
    <w:qFormat/>
    <w:uiPriority w:val="0"/>
    <w:pPr>
      <w:topLinePunct/>
      <w:adjustRightInd w:val="0"/>
      <w:snapToGrid w:val="0"/>
      <w:spacing w:line="360" w:lineRule="auto"/>
      <w:ind w:firstLine="200" w:firstLineChars="200"/>
    </w:pPr>
    <w:rPr>
      <w:spacing w:val="4"/>
      <w:sz w:val="24"/>
      <w:szCs w:val="24"/>
    </w:rPr>
  </w:style>
  <w:style w:type="character" w:customStyle="1" w:styleId="102">
    <w:name w:val="无间隔 Char Char"/>
    <w:link w:val="103"/>
    <w:qFormat/>
    <w:uiPriority w:val="0"/>
    <w:rPr>
      <w:szCs w:val="24"/>
    </w:rPr>
  </w:style>
  <w:style w:type="paragraph" w:customStyle="1" w:styleId="103">
    <w:name w:val="无间隔1"/>
    <w:link w:val="10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customStyle="1" w:styleId="104">
    <w:name w:val="18"/>
    <w:qFormat/>
    <w:uiPriority w:val="0"/>
    <w:rPr>
      <w:rFonts w:hint="default" w:ascii="Calibri" w:hAnsi="Calibri" w:cs="Calibri"/>
      <w:b/>
      <w:bCs/>
      <w:sz w:val="30"/>
      <w:szCs w:val="30"/>
    </w:rPr>
  </w:style>
  <w:style w:type="character" w:customStyle="1" w:styleId="105">
    <w:name w:val="16"/>
    <w:qFormat/>
    <w:uiPriority w:val="0"/>
    <w:rPr>
      <w:rFonts w:hint="default" w:ascii="Calibri" w:hAnsi="Calibri" w:cs="Calibri"/>
      <w:color w:val="0000FF"/>
      <w:u w:val="single"/>
    </w:rPr>
  </w:style>
  <w:style w:type="character" w:customStyle="1" w:styleId="106">
    <w:name w:val="样式3 Char Char"/>
    <w:link w:val="107"/>
    <w:qFormat/>
    <w:uiPriority w:val="0"/>
    <w:rPr>
      <w:rFonts w:eastAsia="Times New Roman"/>
      <w:b/>
      <w:sz w:val="24"/>
    </w:rPr>
  </w:style>
  <w:style w:type="paragraph" w:customStyle="1" w:styleId="107">
    <w:name w:val="样式3"/>
    <w:link w:val="106"/>
    <w:qFormat/>
    <w:uiPriority w:val="0"/>
    <w:pPr>
      <w:tabs>
        <w:tab w:val="left" w:pos="1140"/>
      </w:tabs>
      <w:spacing w:after="160"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108">
    <w:name w:val="一级标题 Char Char"/>
    <w:link w:val="109"/>
    <w:qFormat/>
    <w:uiPriority w:val="0"/>
    <w:rPr>
      <w:b/>
      <w:sz w:val="30"/>
      <w:szCs w:val="30"/>
    </w:rPr>
  </w:style>
  <w:style w:type="paragraph" w:customStyle="1" w:styleId="109">
    <w:name w:val="一级标题"/>
    <w:basedOn w:val="1"/>
    <w:link w:val="108"/>
    <w:qFormat/>
    <w:uiPriority w:val="0"/>
    <w:pPr>
      <w:spacing w:line="360" w:lineRule="auto"/>
      <w:outlineLvl w:val="0"/>
    </w:pPr>
    <w:rPr>
      <w:b/>
      <w:sz w:val="30"/>
      <w:szCs w:val="30"/>
    </w:rPr>
  </w:style>
  <w:style w:type="character" w:customStyle="1" w:styleId="110">
    <w:name w:val="Default Paragraph Font New New New"/>
    <w:qFormat/>
    <w:uiPriority w:val="0"/>
    <w:rPr>
      <w:rFonts w:hint="default"/>
    </w:rPr>
  </w:style>
  <w:style w:type="character" w:customStyle="1" w:styleId="111">
    <w:name w:val="默认段落字体1"/>
    <w:qFormat/>
    <w:uiPriority w:val="0"/>
    <w:rPr>
      <w:rFonts w:hint="default"/>
    </w:rPr>
  </w:style>
  <w:style w:type="character" w:customStyle="1" w:styleId="112">
    <w:name w:val="正文(仿)首缩 Char"/>
    <w:link w:val="113"/>
    <w:qFormat/>
    <w:uiPriority w:val="0"/>
    <w:rPr>
      <w:rFonts w:ascii="仿宋_GB2312" w:eastAsia="仿宋_GB2312"/>
      <w:sz w:val="28"/>
    </w:rPr>
  </w:style>
  <w:style w:type="paragraph" w:customStyle="1" w:styleId="113">
    <w:name w:val="正文(仿)首缩"/>
    <w:basedOn w:val="1"/>
    <w:link w:val="112"/>
    <w:qFormat/>
    <w:uiPriority w:val="0"/>
    <w:pPr>
      <w:ind w:firstLine="554" w:firstLineChars="200"/>
    </w:pPr>
    <w:rPr>
      <w:rFonts w:ascii="仿宋_GB2312" w:eastAsia="仿宋_GB2312"/>
      <w:sz w:val="28"/>
    </w:rPr>
  </w:style>
  <w:style w:type="character" w:customStyle="1" w:styleId="114">
    <w:name w:val="表格00 Char1"/>
    <w:link w:val="115"/>
    <w:qFormat/>
    <w:uiPriority w:val="0"/>
    <w:rPr>
      <w:rFonts w:eastAsia="Times New Roman"/>
      <w:szCs w:val="21"/>
    </w:rPr>
  </w:style>
  <w:style w:type="paragraph" w:customStyle="1" w:styleId="115">
    <w:name w:val="表格00"/>
    <w:link w:val="114"/>
    <w:qFormat/>
    <w:uiPriority w:val="0"/>
    <w:pPr>
      <w:widowControl w:val="0"/>
      <w:adjustRightInd w:val="0"/>
      <w:spacing w:after="160"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116">
    <w:name w:val="样式 小四 首行缩进:  0.85 厘米 行距: 1.5 倍行距 Char1"/>
    <w:link w:val="117"/>
    <w:qFormat/>
    <w:uiPriority w:val="0"/>
    <w:rPr>
      <w:rFonts w:ascii="Courier New" w:hAnsi="Courier New" w:eastAsia="Courier New"/>
      <w:bCs/>
      <w:sz w:val="24"/>
      <w:szCs w:val="28"/>
    </w:rPr>
  </w:style>
  <w:style w:type="paragraph" w:customStyle="1" w:styleId="117">
    <w:name w:val="样式 小四 首行缩进:  0.85 厘米 行距: 1.5 倍行距"/>
    <w:basedOn w:val="1"/>
    <w:next w:val="1"/>
    <w:link w:val="116"/>
    <w:qFormat/>
    <w:uiPriority w:val="0"/>
    <w:pPr>
      <w:spacing w:line="360" w:lineRule="auto"/>
      <w:ind w:firstLine="480"/>
    </w:pPr>
    <w:rPr>
      <w:rFonts w:ascii="Courier New" w:hAnsi="Courier New" w:eastAsia="Courier New"/>
      <w:bCs/>
      <w:sz w:val="24"/>
      <w:szCs w:val="28"/>
    </w:rPr>
  </w:style>
  <w:style w:type="character" w:customStyle="1" w:styleId="118">
    <w:name w:val="Default Paragraph Font New New"/>
    <w:qFormat/>
    <w:uiPriority w:val="0"/>
    <w:rPr>
      <w:rFonts w:hint="default"/>
    </w:rPr>
  </w:style>
  <w:style w:type="character" w:customStyle="1" w:styleId="119">
    <w:name w:val="泉州师院正文 Char Char"/>
    <w:link w:val="120"/>
    <w:qFormat/>
    <w:uiPriority w:val="0"/>
    <w:rPr>
      <w:sz w:val="24"/>
      <w:szCs w:val="24"/>
    </w:rPr>
  </w:style>
  <w:style w:type="paragraph" w:customStyle="1" w:styleId="120">
    <w:name w:val="泉州师院正文"/>
    <w:basedOn w:val="1"/>
    <w:link w:val="119"/>
    <w:qFormat/>
    <w:uiPriority w:val="0"/>
    <w:pPr>
      <w:spacing w:line="360" w:lineRule="auto"/>
      <w:ind w:firstLine="480" w:firstLineChars="200"/>
    </w:pPr>
    <w:rPr>
      <w:sz w:val="24"/>
      <w:szCs w:val="24"/>
    </w:rPr>
  </w:style>
  <w:style w:type="character" w:customStyle="1" w:styleId="121">
    <w:name w:val="10"/>
    <w:qFormat/>
    <w:uiPriority w:val="0"/>
    <w:rPr>
      <w:rFonts w:hint="default" w:ascii="Calibri" w:hAnsi="Calibri" w:cs="Calibri"/>
    </w:rPr>
  </w:style>
  <w:style w:type="character" w:customStyle="1" w:styleId="122">
    <w:name w:val="15"/>
    <w:qFormat/>
    <w:uiPriority w:val="0"/>
    <w:rPr>
      <w:rFonts w:hint="default" w:ascii="Calibri" w:hAnsi="Calibri" w:cs="Calibri"/>
      <w:color w:val="0000FF"/>
      <w:u w:val="single"/>
    </w:rPr>
  </w:style>
  <w:style w:type="paragraph" w:customStyle="1" w:styleId="123">
    <w:name w:val="Normal New New"/>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124">
    <w:name w:val="正题"/>
    <w:basedOn w:val="101"/>
    <w:next w:val="101"/>
    <w:qFormat/>
    <w:uiPriority w:val="0"/>
    <w:pPr>
      <w:ind w:firstLine="0" w:firstLineChars="0"/>
      <w:jc w:val="center"/>
    </w:pPr>
    <w:rPr>
      <w:rFonts w:ascii="等线" w:hAnsi="等线" w:eastAsia="黑体"/>
      <w:b/>
      <w:snapToGrid w:val="0"/>
      <w:sz w:val="36"/>
      <w:szCs w:val="36"/>
    </w:rPr>
  </w:style>
  <w:style w:type="paragraph" w:customStyle="1" w:styleId="125">
    <w:name w:val="列出段落1"/>
    <w:basedOn w:val="1"/>
    <w:qFormat/>
    <w:uiPriority w:val="0"/>
    <w:pPr>
      <w:ind w:firstLine="420" w:firstLineChars="200"/>
    </w:pPr>
    <w:rPr>
      <w:rFonts w:ascii="Calibri" w:hAnsi="Calibri" w:eastAsia="宋体" w:cs="Times New Roman"/>
    </w:rPr>
  </w:style>
  <w:style w:type="paragraph" w:customStyle="1" w:styleId="1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27">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styleId="128">
    <w:name w:val="List Paragraph"/>
    <w:basedOn w:val="1"/>
    <w:qFormat/>
    <w:uiPriority w:val="0"/>
    <w:pPr>
      <w:ind w:firstLine="420" w:firstLineChars="200"/>
    </w:pPr>
    <w:rPr>
      <w:rFonts w:ascii="Times New Roman" w:hAnsi="Times New Roman" w:eastAsia="宋体" w:cs="Times New Roman"/>
      <w:szCs w:val="24"/>
    </w:rPr>
  </w:style>
  <w:style w:type="paragraph" w:customStyle="1" w:styleId="129">
    <w:name w:val="1eee"/>
    <w:basedOn w:val="2"/>
    <w:qFormat/>
    <w:uiPriority w:val="0"/>
    <w:rPr>
      <w:rFonts w:eastAsia="黑体" w:cs="宋体"/>
      <w:b w:val="0"/>
      <w:sz w:val="30"/>
    </w:rPr>
  </w:style>
  <w:style w:type="paragraph" w:customStyle="1" w:styleId="130">
    <w:name w:val="正文图标题"/>
    <w:next w:val="1"/>
    <w:qFormat/>
    <w:uiPriority w:val="0"/>
    <w:pPr>
      <w:tabs>
        <w:tab w:val="left" w:pos="420"/>
      </w:tabs>
      <w:spacing w:after="160" w:line="278" w:lineRule="auto"/>
      <w:ind w:left="567" w:hanging="279"/>
      <w:jc w:val="center"/>
    </w:pPr>
    <w:rPr>
      <w:rFonts w:ascii="黑体" w:hAnsi="Times New Roman" w:eastAsia="黑体" w:cs="Times New Roman"/>
      <w:sz w:val="21"/>
      <w:lang w:val="en-US" w:eastAsia="zh-CN" w:bidi="ar-SA"/>
    </w:rPr>
  </w:style>
  <w:style w:type="paragraph" w:customStyle="1" w:styleId="131">
    <w:name w:val="文二"/>
    <w:basedOn w:val="1"/>
    <w:qFormat/>
    <w:uiPriority w:val="0"/>
    <w:pPr>
      <w:jc w:val="left"/>
    </w:pPr>
    <w:rPr>
      <w:rFonts w:ascii="宋体" w:hAnsi="宋体" w:eastAsia="宋体" w:cs="Times New Roman"/>
      <w:szCs w:val="21"/>
    </w:rPr>
  </w:style>
  <w:style w:type="paragraph" w:customStyle="1" w:styleId="132">
    <w:name w:val="公文正文"/>
    <w:qFormat/>
    <w:uiPriority w:val="0"/>
    <w:pPr>
      <w:widowControl w:val="0"/>
      <w:spacing w:after="160" w:line="360" w:lineRule="auto"/>
      <w:ind w:firstLine="629"/>
      <w:jc w:val="both"/>
    </w:pPr>
    <w:rPr>
      <w:rFonts w:ascii="仿宋_GB2312" w:hAnsi="Calisto MT" w:eastAsia="仿宋_GB2312" w:cs="Times New Roman"/>
      <w:color w:val="000000"/>
      <w:sz w:val="32"/>
      <w:lang w:val="en-US" w:eastAsia="zh-CN" w:bidi="ar-SA"/>
    </w:rPr>
  </w:style>
  <w:style w:type="paragraph" w:customStyle="1" w:styleId="133">
    <w:name w:val="Normal New New New"/>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134">
    <w:name w:val="发文落款"/>
    <w:basedOn w:val="132"/>
    <w:qFormat/>
    <w:uiPriority w:val="0"/>
    <w:pPr>
      <w:ind w:left="4094" w:right="607" w:firstLine="0"/>
      <w:jc w:val="center"/>
    </w:pPr>
  </w:style>
  <w:style w:type="paragraph" w:customStyle="1" w:styleId="135">
    <w:name w:val="封一"/>
    <w:basedOn w:val="101"/>
    <w:next w:val="101"/>
    <w:qFormat/>
    <w:uiPriority w:val="0"/>
    <w:pPr>
      <w:ind w:firstLine="0" w:firstLineChars="0"/>
      <w:jc w:val="center"/>
    </w:pPr>
    <w:rPr>
      <w:rFonts w:ascii="等线" w:hAnsi="等线" w:eastAsia="黑体"/>
      <w:b/>
      <w:snapToGrid w:val="0"/>
      <w:sz w:val="84"/>
      <w:szCs w:val="84"/>
    </w:rPr>
  </w:style>
  <w:style w:type="paragraph" w:customStyle="1" w:styleId="136">
    <w:name w:val="_Style 59"/>
    <w:qFormat/>
    <w:uiPriority w:val="0"/>
    <w:pPr>
      <w:spacing w:after="160" w:line="240" w:lineRule="exact"/>
    </w:pPr>
    <w:rPr>
      <w:rFonts w:ascii="Times New Roman" w:hAnsi="Times New Roman" w:eastAsia="宋体" w:cs="Times New Roman"/>
      <w:lang w:val="en-US" w:eastAsia="zh-CN" w:bidi="ar-SA"/>
    </w:rPr>
  </w:style>
  <w:style w:type="paragraph" w:customStyle="1" w:styleId="137">
    <w:name w:val="封四"/>
    <w:basedOn w:val="101"/>
    <w:next w:val="101"/>
    <w:qFormat/>
    <w:uiPriority w:val="0"/>
    <w:pPr>
      <w:jc w:val="left"/>
    </w:pPr>
    <w:rPr>
      <w:rFonts w:ascii="等线" w:hAnsi="等线" w:eastAsia="等线"/>
      <w:snapToGrid w:val="0"/>
      <w:sz w:val="30"/>
      <w:szCs w:val="30"/>
    </w:rPr>
  </w:style>
  <w:style w:type="paragraph" w:customStyle="1" w:styleId="138">
    <w:name w:val="正文1"/>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139">
    <w:name w:val="Default"/>
    <w:qFormat/>
    <w:uiPriority w:val="0"/>
    <w:pPr>
      <w:widowControl w:val="0"/>
      <w:autoSpaceDE w:val="0"/>
      <w:autoSpaceDN w:val="0"/>
      <w:adjustRightInd w:val="0"/>
      <w:spacing w:after="160" w:line="278" w:lineRule="auto"/>
    </w:pPr>
    <w:rPr>
      <w:rFonts w:ascii="黑体" w:hAnsi="Times New Roman" w:eastAsia="黑体" w:cs="黑体"/>
      <w:color w:val="000000"/>
      <w:sz w:val="24"/>
      <w:szCs w:val="24"/>
      <w:lang w:val="en-US" w:eastAsia="zh-CN" w:bidi="ar-SA"/>
    </w:rPr>
  </w:style>
  <w:style w:type="paragraph" w:customStyle="1" w:styleId="140">
    <w:name w:val="Normal New"/>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141">
    <w:name w:val="Char Char Char Char Char Char Char1"/>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42">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43">
    <w:name w:val="封二"/>
    <w:basedOn w:val="101"/>
    <w:next w:val="101"/>
    <w:qFormat/>
    <w:uiPriority w:val="0"/>
    <w:pPr>
      <w:ind w:firstLine="0" w:firstLineChars="0"/>
      <w:jc w:val="center"/>
    </w:pPr>
    <w:rPr>
      <w:rFonts w:ascii="等线" w:hAnsi="等线" w:eastAsia="黑体"/>
      <w:b/>
      <w:snapToGrid w:val="0"/>
      <w:sz w:val="36"/>
      <w:szCs w:val="36"/>
    </w:rPr>
  </w:style>
  <w:style w:type="paragraph" w:customStyle="1" w:styleId="144">
    <w:name w:val="样式 标题 3 + 首行缩进:  1.06 厘米"/>
    <w:basedOn w:val="4"/>
    <w:qFormat/>
    <w:uiPriority w:val="0"/>
  </w:style>
  <w:style w:type="paragraph" w:styleId="145">
    <w:name w:val="No Spacing"/>
    <w:qFormat/>
    <w:uiPriority w:val="0"/>
    <w:pPr>
      <w:widowControl w:val="0"/>
      <w:spacing w:after="160" w:line="278" w:lineRule="auto"/>
      <w:jc w:val="both"/>
    </w:pPr>
    <w:rPr>
      <w:rFonts w:ascii="Times New Roman" w:hAnsi="Times New Roman" w:eastAsia="Times New Roman" w:cs="Times New Roman"/>
      <w:kern w:val="2"/>
      <w:sz w:val="24"/>
      <w:szCs w:val="24"/>
      <w:lang w:val="en-US" w:eastAsia="zh-CN" w:bidi="ar-SA"/>
    </w:rPr>
  </w:style>
  <w:style w:type="paragraph" w:customStyle="1" w:styleId="146">
    <w:name w:val="正文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47">
    <w:name w:val="CM15"/>
    <w:basedOn w:val="1"/>
    <w:next w:val="1"/>
    <w:qFormat/>
    <w:uiPriority w:val="0"/>
    <w:pPr>
      <w:autoSpaceDE w:val="0"/>
      <w:autoSpaceDN w:val="0"/>
      <w:adjustRightInd w:val="0"/>
      <w:spacing w:line="468" w:lineRule="atLeast"/>
      <w:jc w:val="left"/>
    </w:pPr>
    <w:rPr>
      <w:rFonts w:ascii="黑体" w:hAnsi="Calibri" w:eastAsia="黑体" w:cs="Times New Roman"/>
      <w:kern w:val="0"/>
      <w:sz w:val="24"/>
      <w:szCs w:val="24"/>
    </w:rPr>
  </w:style>
  <w:style w:type="paragraph" w:customStyle="1" w:styleId="148">
    <w:name w:val="TOC 标题1"/>
    <w:basedOn w:val="2"/>
    <w:next w:val="1"/>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149">
    <w:name w:val="表格内容"/>
    <w:basedOn w:val="1"/>
    <w:qFormat/>
    <w:uiPriority w:val="0"/>
    <w:pPr>
      <w:adjustRightInd w:val="0"/>
      <w:snapToGrid w:val="0"/>
      <w:spacing w:line="288" w:lineRule="auto"/>
      <w:jc w:val="center"/>
    </w:pPr>
    <w:rPr>
      <w:rFonts w:ascii="Times New Roman" w:hAnsi="Times New Roman" w:eastAsia="宋体" w:cs="Times New Roman"/>
      <w:szCs w:val="24"/>
    </w:rPr>
  </w:style>
  <w:style w:type="paragraph" w:customStyle="1" w:styleId="150">
    <w:name w:val="Plain Text1"/>
    <w:basedOn w:val="1"/>
    <w:qFormat/>
    <w:uiPriority w:val="99"/>
    <w:rPr>
      <w:rFonts w:ascii="宋体" w:hAnsi="Courier New" w:eastAsia="宋体" w:cs="Times New Roman"/>
      <w:kern w:val="0"/>
      <w:sz w:val="20"/>
      <w:szCs w:val="20"/>
    </w:rPr>
  </w:style>
  <w:style w:type="character" w:styleId="151">
    <w:name w:val="Placeholder Text"/>
    <w:basedOn w:val="47"/>
    <w:semiHidden/>
    <w:qFormat/>
    <w:uiPriority w:val="99"/>
    <w:rPr>
      <w:color w:val="808080"/>
    </w:rPr>
  </w:style>
  <w:style w:type="paragraph" w:customStyle="1" w:styleId="152">
    <w:name w:val="p16"/>
    <w:basedOn w:val="1"/>
    <w:qFormat/>
    <w:uiPriority w:val="0"/>
    <w:pPr>
      <w:widowControl/>
    </w:pPr>
    <w:rPr>
      <w:rFonts w:ascii="Times New Roman" w:hAnsi="Times New Roman" w:eastAsia="宋体" w:cs="Times New Roman"/>
      <w:kern w:val="0"/>
      <w:sz w:val="32"/>
      <w:szCs w:val="32"/>
    </w:rPr>
  </w:style>
  <w:style w:type="character" w:customStyle="1" w:styleId="153">
    <w:name w:val="username"/>
    <w:basedOn w:val="47"/>
    <w:qFormat/>
    <w:uiPriority w:val="0"/>
  </w:style>
  <w:style w:type="character" w:customStyle="1" w:styleId="154">
    <w:name w:val="title26"/>
    <w:basedOn w:val="47"/>
    <w:qFormat/>
    <w:uiPriority w:val="0"/>
  </w:style>
  <w:style w:type="character" w:customStyle="1" w:styleId="155">
    <w:name w:val="font01"/>
    <w:qFormat/>
    <w:uiPriority w:val="0"/>
    <w:rPr>
      <w:rFonts w:hint="eastAsia" w:ascii="宋体" w:hAnsi="宋体" w:eastAsia="宋体" w:cs="宋体"/>
      <w:color w:val="000000"/>
      <w:sz w:val="21"/>
      <w:szCs w:val="21"/>
      <w:u w:val="none"/>
    </w:rPr>
  </w:style>
  <w:style w:type="paragraph" w:customStyle="1" w:styleId="156">
    <w:name w:val="正文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7">
    <w:name w:val="title24"/>
    <w:basedOn w:val="47"/>
    <w:qFormat/>
    <w:uiPriority w:val="0"/>
  </w:style>
  <w:style w:type="paragraph" w:customStyle="1" w:styleId="158">
    <w:name w:val="正文 New New"/>
    <w:qFormat/>
    <w:uiPriority w:val="0"/>
    <w:pPr>
      <w:widowControl w:val="0"/>
      <w:spacing w:after="160" w:line="278" w:lineRule="auto"/>
      <w:jc w:val="both"/>
    </w:pPr>
    <w:rPr>
      <w:rFonts w:ascii="Times New Roman" w:hAnsi="Times New Roman" w:eastAsia="楷体_GB2312" w:cs="Times New Roman"/>
      <w:kern w:val="2"/>
      <w:sz w:val="21"/>
      <w:lang w:val="en-US" w:eastAsia="zh-CN" w:bidi="ar-SA"/>
    </w:rPr>
  </w:style>
  <w:style w:type="character" w:customStyle="1" w:styleId="159">
    <w:name w:val="标题 3 字符1"/>
    <w:basedOn w:val="47"/>
    <w:semiHidden/>
    <w:uiPriority w:val="9"/>
    <w:rPr>
      <w:b/>
      <w:bCs/>
      <w:sz w:val="32"/>
      <w:szCs w:val="32"/>
    </w:rPr>
  </w:style>
  <w:style w:type="paragraph" w:customStyle="1" w:styleId="160">
    <w:name w:val="修订2"/>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6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62">
    <w:name w:val="样式 宋体 行距: 1.5 倍行距"/>
    <w:basedOn w:val="1"/>
    <w:qFormat/>
    <w:uiPriority w:val="0"/>
    <w:pPr>
      <w:widowControl/>
      <w:kinsoku w:val="0"/>
      <w:autoSpaceDE w:val="0"/>
      <w:autoSpaceDN w:val="0"/>
      <w:adjustRightInd w:val="0"/>
      <w:snapToGrid w:val="0"/>
      <w:jc w:val="center"/>
      <w:textAlignment w:val="baseline"/>
    </w:pPr>
    <w:rPr>
      <w:rFonts w:ascii="Arial" w:hAnsi="Arial" w:eastAsia="Arial" w:cs="Arial"/>
      <w:b/>
      <w:snapToGrid w:val="0"/>
      <w:color w:val="000000"/>
      <w:kern w:val="0"/>
      <w:szCs w:val="21"/>
    </w:rPr>
  </w:style>
  <w:style w:type="paragraph" w:customStyle="1" w:styleId="163">
    <w:name w:val="修订4"/>
    <w:hidden/>
    <w:semiHidden/>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64">
    <w:name w:val="fontstyle01"/>
    <w:basedOn w:val="47"/>
    <w:qFormat/>
    <w:uiPriority w:val="0"/>
    <w:rPr>
      <w:rFonts w:hint="eastAsia" w:ascii="宋体" w:hAnsi="宋体" w:eastAsia="宋体" w:cs="宋体"/>
      <w:color w:val="000000"/>
      <w:sz w:val="28"/>
      <w:szCs w:val="28"/>
    </w:rPr>
  </w:style>
  <w:style w:type="character" w:customStyle="1" w:styleId="165">
    <w:name w:val="font21"/>
    <w:basedOn w:val="47"/>
    <w:qFormat/>
    <w:uiPriority w:val="0"/>
    <w:rPr>
      <w:rFonts w:hint="eastAsia" w:ascii="宋体" w:hAnsi="宋体" w:eastAsia="宋体" w:cs="宋体"/>
      <w:color w:val="000000"/>
      <w:sz w:val="21"/>
      <w:szCs w:val="21"/>
      <w:u w:val="none"/>
    </w:rPr>
  </w:style>
  <w:style w:type="character" w:customStyle="1" w:styleId="166">
    <w:name w:val="font61"/>
    <w:basedOn w:val="47"/>
    <w:qFormat/>
    <w:uiPriority w:val="0"/>
    <w:rPr>
      <w:rFonts w:hint="eastAsia" w:ascii="宋体" w:hAnsi="宋体" w:eastAsia="宋体" w:cs="宋体"/>
      <w:color w:val="000000"/>
      <w:sz w:val="21"/>
      <w:szCs w:val="21"/>
      <w:u w:val="none"/>
      <w:vertAlign w:val="superscript"/>
    </w:rPr>
  </w:style>
  <w:style w:type="paragraph" w:customStyle="1" w:styleId="167">
    <w:name w:val="正文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6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 New New New New New New New New New New New New New New New New New New New"/>
    <w:uiPriority w:val="0"/>
    <w:pPr>
      <w:widowControl w:val="0"/>
      <w:jc w:val="both"/>
    </w:pPr>
    <w:rPr>
      <w:rFonts w:ascii="仿宋_GB2312" w:hAnsi="仿宋_GB2312" w:eastAsia="宋体" w:cs="宋体"/>
      <w:snapToGrid w:val="0"/>
      <w:sz w:val="21"/>
      <w:szCs w:val="32"/>
      <w:lang w:val="en-US" w:eastAsia="zh-CN" w:bidi="ar-SA"/>
    </w:rPr>
  </w:style>
  <w:style w:type="paragraph" w:customStyle="1" w:styleId="170">
    <w:name w:val="正文缩进 New"/>
    <w:basedOn w:val="169"/>
    <w:uiPriority w:val="0"/>
    <w:pPr>
      <w:ind w:firstLine="420"/>
    </w:pPr>
    <w:rPr>
      <w:rFonts w:ascii="Times New Roman" w:hAnsi="Times New Roman" w:cs="Times New Roman"/>
      <w:snapToGrid/>
      <w:kern w:val="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emf"/><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63A43-755A-49F4-9383-87443131B30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105</Pages>
  <Words>7856</Words>
  <Characters>44783</Characters>
  <Lines>373</Lines>
  <Paragraphs>105</Paragraphs>
  <TotalTime>19</TotalTime>
  <ScaleCrop>false</ScaleCrop>
  <LinksUpToDate>false</LinksUpToDate>
  <CharactersWithSpaces>52534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2025-07-08T03:25:00Z</dcterms:created>
  <dc:creator>HONOR</dc:creator>
  <cp:lastModifiedBy>C-言诺</cp:lastModifiedBy>
  <dcterms:modified xsi:type="dcterms:W3CDTF">2025-08-20T04:26:18Z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eyJoZGlkIjoiN2YzNjBkOTgyNWQ1YTMxYzM3MzMwNWFiODNmOWIzYWMiLCJ1c2VySWQiOiIyMDI2Mjk4MzYifQ==</vt:lpwstr>
  </property>
  <property fmtid="{D5CDD505-2E9C-101B-9397-08002B2CF9AE}" pid="3" name="KSOProductBuildVer">
    <vt:lpwstr>2052-11.1.0.10314</vt:lpwstr>
  </property>
  <property fmtid="{D5CDD505-2E9C-101B-9397-08002B2CF9AE}" pid="4" name="ICV">
    <vt:lpwstr>5F005825D2854CDE9C3B088B9D97352A_12</vt:lpwstr>
  </property>
</Properties>
</file>