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E6A08">
      <w:pPr>
        <w:rPr>
          <w:color w:val="auto"/>
          <w:highlight w:val="none"/>
        </w:rPr>
      </w:pPr>
    </w:p>
    <w:p w14:paraId="4704D74F">
      <w:pPr>
        <w:rPr>
          <w:rFonts w:ascii="宋体" w:hAnsi="宋体" w:cs="宋体"/>
          <w:color w:val="auto"/>
          <w:szCs w:val="21"/>
          <w:highlight w:val="none"/>
        </w:rPr>
      </w:pPr>
    </w:p>
    <w:p w14:paraId="0B9EDEC1">
      <w:pPr>
        <w:rPr>
          <w:rFonts w:ascii="宋体" w:hAnsi="宋体" w:cs="宋体"/>
          <w:color w:val="auto"/>
          <w:szCs w:val="21"/>
          <w:highlight w:val="none"/>
        </w:rPr>
      </w:pPr>
    </w:p>
    <w:p w14:paraId="726F76B5">
      <w:pPr>
        <w:widowControl/>
        <w:spacing w:line="720" w:lineRule="auto"/>
        <w:jc w:val="center"/>
        <w:outlineLvl w:val="0"/>
        <w:rPr>
          <w:rFonts w:hint="eastAsia" w:ascii="宋体" w:hAnsi="宋体" w:cs="宋体"/>
          <w:b/>
          <w:color w:val="auto"/>
          <w:sz w:val="52"/>
          <w:szCs w:val="52"/>
          <w:highlight w:val="none"/>
          <w:shd w:val="clear" w:color="auto" w:fill="FFFFFF"/>
        </w:rPr>
      </w:pPr>
      <w:r>
        <w:rPr>
          <w:rFonts w:hint="eastAsia" w:ascii="宋体" w:hAnsi="宋体" w:cs="宋体"/>
          <w:b/>
          <w:color w:val="auto"/>
          <w:sz w:val="52"/>
          <w:szCs w:val="52"/>
          <w:highlight w:val="none"/>
          <w:shd w:val="clear" w:color="auto" w:fill="FFFFFF"/>
        </w:rPr>
        <w:t>广州市公安局案件物证综合管理</w:t>
      </w:r>
    </w:p>
    <w:p w14:paraId="438FE384">
      <w:pPr>
        <w:widowControl/>
        <w:spacing w:line="720" w:lineRule="auto"/>
        <w:jc w:val="center"/>
        <w:outlineLvl w:val="0"/>
        <w:rPr>
          <w:rFonts w:ascii="宋体" w:hAnsi="宋体" w:cs="宋体"/>
          <w:b/>
          <w:color w:val="auto"/>
          <w:sz w:val="52"/>
          <w:szCs w:val="52"/>
          <w:highlight w:val="none"/>
          <w:shd w:val="clear" w:color="auto" w:fill="FFFFFF"/>
        </w:rPr>
      </w:pPr>
      <w:r>
        <w:rPr>
          <w:rFonts w:hint="eastAsia" w:ascii="宋体" w:hAnsi="宋体" w:cs="宋体"/>
          <w:b/>
          <w:color w:val="auto"/>
          <w:sz w:val="52"/>
          <w:szCs w:val="52"/>
          <w:highlight w:val="none"/>
          <w:shd w:val="clear" w:color="auto" w:fill="FFFFFF"/>
        </w:rPr>
        <w:t>中心</w:t>
      </w:r>
      <w:r>
        <w:rPr>
          <w:rFonts w:ascii="宋体" w:hAnsi="宋体" w:cs="宋体"/>
          <w:b/>
          <w:color w:val="auto"/>
          <w:sz w:val="52"/>
          <w:szCs w:val="52"/>
          <w:highlight w:val="none"/>
          <w:shd w:val="clear" w:color="auto" w:fill="FFFFFF"/>
        </w:rPr>
        <w:t>造价咨询服务</w:t>
      </w:r>
      <w:r>
        <w:rPr>
          <w:rFonts w:hint="eastAsia" w:ascii="宋体" w:hAnsi="宋体" w:cs="宋体"/>
          <w:b/>
          <w:color w:val="auto"/>
          <w:sz w:val="52"/>
          <w:szCs w:val="52"/>
          <w:highlight w:val="none"/>
          <w:shd w:val="clear" w:color="auto" w:fill="FFFFFF"/>
        </w:rPr>
        <w:t>合同</w:t>
      </w:r>
    </w:p>
    <w:p w14:paraId="28527E89">
      <w:pPr>
        <w:widowControl/>
        <w:spacing w:line="360" w:lineRule="auto"/>
        <w:jc w:val="center"/>
        <w:rPr>
          <w:rFonts w:ascii="宋体" w:hAnsi="宋体" w:cs="宋体"/>
          <w:b/>
          <w:color w:val="auto"/>
          <w:sz w:val="32"/>
          <w:szCs w:val="32"/>
          <w:highlight w:val="none"/>
        </w:rPr>
      </w:pPr>
    </w:p>
    <w:p w14:paraId="0EEC95A1">
      <w:pPr>
        <w:widowControl/>
        <w:spacing w:line="360" w:lineRule="auto"/>
        <w:jc w:val="center"/>
        <w:rPr>
          <w:rFonts w:ascii="宋体" w:hAnsi="宋体" w:cs="宋体"/>
          <w:b/>
          <w:color w:val="auto"/>
          <w:sz w:val="32"/>
          <w:szCs w:val="32"/>
          <w:highlight w:val="none"/>
        </w:rPr>
      </w:pPr>
    </w:p>
    <w:p w14:paraId="4023FCA4">
      <w:pPr>
        <w:widowControl/>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合同编号：</w:t>
      </w:r>
    </w:p>
    <w:p w14:paraId="27CEE7BA">
      <w:pPr>
        <w:widowControl/>
        <w:spacing w:line="360" w:lineRule="auto"/>
        <w:jc w:val="left"/>
        <w:rPr>
          <w:rFonts w:ascii="宋体" w:hAnsi="宋体" w:cs="宋体"/>
          <w:color w:val="auto"/>
          <w:szCs w:val="21"/>
          <w:highlight w:val="none"/>
        </w:rPr>
      </w:pPr>
    </w:p>
    <w:p w14:paraId="272D1026">
      <w:pPr>
        <w:widowControl/>
        <w:spacing w:line="360" w:lineRule="auto"/>
        <w:jc w:val="left"/>
        <w:rPr>
          <w:rFonts w:ascii="宋体" w:hAnsi="宋体" w:cs="宋体"/>
          <w:b/>
          <w:color w:val="auto"/>
          <w:sz w:val="24"/>
          <w:szCs w:val="24"/>
          <w:highlight w:val="none"/>
        </w:rPr>
      </w:pPr>
    </w:p>
    <w:p w14:paraId="5D2FD6A4">
      <w:pPr>
        <w:widowControl/>
        <w:spacing w:line="360" w:lineRule="auto"/>
        <w:jc w:val="left"/>
        <w:rPr>
          <w:rFonts w:ascii="宋体" w:hAnsi="宋体" w:cs="宋体"/>
          <w:b/>
          <w:color w:val="auto"/>
          <w:sz w:val="24"/>
          <w:szCs w:val="24"/>
          <w:highlight w:val="none"/>
        </w:rPr>
      </w:pPr>
    </w:p>
    <w:p w14:paraId="7D1CB30F">
      <w:pPr>
        <w:widowControl/>
        <w:spacing w:line="360" w:lineRule="auto"/>
        <w:jc w:val="left"/>
        <w:rPr>
          <w:rFonts w:ascii="宋体" w:hAnsi="宋体" w:cs="宋体"/>
          <w:b/>
          <w:color w:val="auto"/>
          <w:sz w:val="24"/>
          <w:szCs w:val="24"/>
          <w:highlight w:val="none"/>
        </w:rPr>
      </w:pPr>
    </w:p>
    <w:p w14:paraId="0263AC9F">
      <w:pPr>
        <w:widowControl/>
        <w:spacing w:line="360" w:lineRule="auto"/>
        <w:jc w:val="left"/>
        <w:rPr>
          <w:rFonts w:ascii="宋体" w:hAnsi="宋体" w:cs="宋体"/>
          <w:b/>
          <w:color w:val="auto"/>
          <w:sz w:val="24"/>
          <w:szCs w:val="24"/>
          <w:highlight w:val="none"/>
        </w:rPr>
      </w:pPr>
    </w:p>
    <w:p w14:paraId="262AA753">
      <w:pPr>
        <w:widowControl/>
        <w:spacing w:line="360" w:lineRule="auto"/>
        <w:jc w:val="left"/>
        <w:rPr>
          <w:rFonts w:ascii="宋体" w:hAnsi="宋体" w:cs="宋体"/>
          <w:b/>
          <w:color w:val="auto"/>
          <w:sz w:val="24"/>
          <w:szCs w:val="24"/>
          <w:highlight w:val="none"/>
        </w:rPr>
      </w:pPr>
    </w:p>
    <w:p w14:paraId="642C9684">
      <w:pPr>
        <w:widowControl/>
        <w:spacing w:line="360" w:lineRule="auto"/>
        <w:jc w:val="left"/>
        <w:rPr>
          <w:rFonts w:ascii="宋体" w:hAnsi="宋体" w:cs="宋体"/>
          <w:b/>
          <w:color w:val="auto"/>
          <w:sz w:val="24"/>
          <w:szCs w:val="24"/>
          <w:highlight w:val="none"/>
        </w:rPr>
      </w:pPr>
    </w:p>
    <w:p w14:paraId="1CC2FA72">
      <w:pPr>
        <w:widowControl/>
        <w:spacing w:line="360" w:lineRule="auto"/>
        <w:jc w:val="left"/>
        <w:rPr>
          <w:rFonts w:ascii="宋体" w:hAnsi="宋体" w:cs="宋体"/>
          <w:b/>
          <w:color w:val="auto"/>
          <w:sz w:val="24"/>
          <w:szCs w:val="24"/>
          <w:highlight w:val="none"/>
        </w:rPr>
      </w:pPr>
    </w:p>
    <w:p w14:paraId="3AF7DA92">
      <w:pPr>
        <w:widowControl/>
        <w:spacing w:line="360" w:lineRule="auto"/>
        <w:jc w:val="left"/>
        <w:rPr>
          <w:rFonts w:ascii="宋体" w:hAnsi="宋体" w:cs="宋体"/>
          <w:b/>
          <w:color w:val="auto"/>
          <w:sz w:val="24"/>
          <w:szCs w:val="24"/>
          <w:highlight w:val="none"/>
        </w:rPr>
      </w:pPr>
    </w:p>
    <w:p w14:paraId="0365AF77">
      <w:pPr>
        <w:widowControl/>
        <w:spacing w:line="360" w:lineRule="auto"/>
        <w:jc w:val="left"/>
        <w:rPr>
          <w:rFonts w:ascii="宋体" w:hAnsi="宋体" w:cs="宋体"/>
          <w:b/>
          <w:color w:val="auto"/>
          <w:sz w:val="24"/>
          <w:szCs w:val="24"/>
          <w:highlight w:val="none"/>
        </w:rPr>
      </w:pPr>
    </w:p>
    <w:p w14:paraId="502ED899">
      <w:pPr>
        <w:widowControl/>
        <w:spacing w:line="360" w:lineRule="auto"/>
        <w:jc w:val="left"/>
        <w:rPr>
          <w:rFonts w:ascii="宋体" w:hAnsi="宋体" w:cs="宋体"/>
          <w:b/>
          <w:color w:val="auto"/>
          <w:sz w:val="24"/>
          <w:szCs w:val="24"/>
          <w:highlight w:val="none"/>
        </w:rPr>
      </w:pPr>
    </w:p>
    <w:p w14:paraId="271B8DDD">
      <w:pPr>
        <w:widowControl/>
        <w:spacing w:line="360" w:lineRule="auto"/>
        <w:jc w:val="left"/>
        <w:rPr>
          <w:rFonts w:ascii="宋体" w:hAnsi="宋体" w:cs="宋体"/>
          <w:b/>
          <w:color w:val="auto"/>
          <w:sz w:val="24"/>
          <w:szCs w:val="24"/>
          <w:highlight w:val="none"/>
        </w:rPr>
      </w:pPr>
    </w:p>
    <w:p w14:paraId="3DEA62BB">
      <w:pPr>
        <w:widowControl/>
        <w:spacing w:line="360" w:lineRule="auto"/>
        <w:jc w:val="left"/>
        <w:rPr>
          <w:rFonts w:ascii="宋体" w:hAnsi="宋体" w:cs="仿宋_GB2312"/>
          <w:b/>
          <w:color w:val="auto"/>
          <w:sz w:val="32"/>
          <w:szCs w:val="32"/>
          <w:highlight w:val="none"/>
        </w:rPr>
      </w:pPr>
      <w:r>
        <w:rPr>
          <w:rFonts w:hint="eastAsia" w:ascii="宋体" w:hAnsi="宋体" w:cs="宋体"/>
          <w:b/>
          <w:color w:val="auto"/>
          <w:sz w:val="32"/>
          <w:szCs w:val="32"/>
          <w:highlight w:val="none"/>
        </w:rPr>
        <w:t>甲方（委托人）：广州市重点公共建设项目管理中心</w:t>
      </w:r>
    </w:p>
    <w:p w14:paraId="60C948CC">
      <w:pPr>
        <w:widowControl/>
        <w:spacing w:line="360" w:lineRule="auto"/>
        <w:jc w:val="left"/>
        <w:rPr>
          <w:rFonts w:ascii="宋体" w:hAnsi="宋体" w:cs="宋体"/>
          <w:b/>
          <w:color w:val="auto"/>
          <w:spacing w:val="-20"/>
          <w:sz w:val="32"/>
          <w:szCs w:val="32"/>
          <w:highlight w:val="none"/>
        </w:rPr>
      </w:pPr>
      <w:r>
        <w:rPr>
          <w:rFonts w:hint="eastAsia" w:ascii="宋体" w:hAnsi="宋体" w:cs="宋体"/>
          <w:b/>
          <w:color w:val="auto"/>
          <w:sz w:val="32"/>
          <w:szCs w:val="32"/>
          <w:highlight w:val="none"/>
        </w:rPr>
        <w:t>乙方（受托人）：</w:t>
      </w:r>
    </w:p>
    <w:p w14:paraId="6B69BC18">
      <w:pPr>
        <w:widowControl/>
        <w:spacing w:beforeAutospacing="1" w:afterAutospacing="1" w:line="360" w:lineRule="auto"/>
        <w:jc w:val="center"/>
        <w:outlineLvl w:val="0"/>
        <w:rPr>
          <w:rFonts w:hint="eastAsia" w:ascii="宋体" w:hAnsi="宋体" w:cs="宋体"/>
          <w:b/>
          <w:color w:val="auto"/>
          <w:sz w:val="36"/>
          <w:szCs w:val="36"/>
          <w:highlight w:val="none"/>
        </w:rPr>
        <w:sectPr>
          <w:pgSz w:w="11906" w:h="16838"/>
          <w:pgMar w:top="1440" w:right="1800" w:bottom="1440" w:left="1800" w:header="851" w:footer="992" w:gutter="0"/>
          <w:cols w:space="720" w:num="1"/>
          <w:docGrid w:type="lines" w:linePitch="312" w:charSpace="0"/>
        </w:sectPr>
      </w:pPr>
    </w:p>
    <w:p w14:paraId="3012210F">
      <w:pPr>
        <w:widowControl/>
        <w:spacing w:beforeAutospacing="1" w:afterAutospacing="1"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第一部分 合同协议书</w:t>
      </w:r>
    </w:p>
    <w:p w14:paraId="0138B7A7">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委托人</w:t>
      </w:r>
      <w:r>
        <w:rPr>
          <w:rFonts w:hint="eastAsia" w:ascii="宋体" w:hAnsi="宋体" w:cs="宋体"/>
          <w:b/>
          <w:color w:val="auto"/>
          <w:sz w:val="24"/>
          <w:szCs w:val="24"/>
          <w:highlight w:val="none"/>
        </w:rPr>
        <w:t>广州市重点公共建设项目管理中心</w:t>
      </w:r>
      <w:r>
        <w:rPr>
          <w:rFonts w:hint="eastAsia" w:ascii="宋体" w:hAnsi="宋体" w:cs="宋体"/>
          <w:color w:val="auto"/>
          <w:sz w:val="24"/>
          <w:szCs w:val="24"/>
          <w:highlight w:val="none"/>
        </w:rPr>
        <w:t>（以下称甲方）与（以下称乙方）依照《中华人民共和国民法典》、《中华人民共和国建筑法》及其它有关法律、法规的规定，遵循平等、自愿、公平和诚实信用的原则，就</w:t>
      </w:r>
      <w:r>
        <w:rPr>
          <w:rFonts w:hint="eastAsia" w:ascii="宋体" w:hAnsi="宋体" w:cs="宋体"/>
          <w:color w:val="auto"/>
          <w:sz w:val="24"/>
          <w:szCs w:val="24"/>
          <w:highlight w:val="none"/>
          <w:u w:val="single"/>
        </w:rPr>
        <w:t>广州市公安局案件物证综合管理中心</w:t>
      </w:r>
      <w:r>
        <w:rPr>
          <w:rFonts w:ascii="宋体" w:hAnsi="宋体" w:cs="宋体"/>
          <w:color w:val="auto"/>
          <w:sz w:val="24"/>
          <w:szCs w:val="24"/>
          <w:highlight w:val="none"/>
          <w:u w:val="single"/>
        </w:rPr>
        <w:t>造价咨询服务</w:t>
      </w:r>
      <w:r>
        <w:rPr>
          <w:rFonts w:hint="eastAsia" w:ascii="宋体" w:hAnsi="宋体" w:cs="宋体"/>
          <w:color w:val="auto"/>
          <w:sz w:val="24"/>
          <w:szCs w:val="24"/>
          <w:highlight w:val="none"/>
        </w:rPr>
        <w:t>事项协商一致，订立本合同。</w:t>
      </w:r>
    </w:p>
    <w:p w14:paraId="0AF859BA">
      <w:pPr>
        <w:widowControl/>
        <w:spacing w:line="360" w:lineRule="auto"/>
        <w:ind w:firstLine="200"/>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一、甲方委托乙方为以下项目提供建设工程造价咨询服务：</w:t>
      </w:r>
    </w:p>
    <w:p w14:paraId="5AD30B08">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1.项目名称：</w:t>
      </w:r>
      <w:r>
        <w:rPr>
          <w:rFonts w:hint="eastAsia" w:ascii="宋体" w:hAnsi="宋体" w:cs="宋体"/>
          <w:color w:val="auto"/>
          <w:sz w:val="24"/>
          <w:szCs w:val="24"/>
          <w:highlight w:val="none"/>
          <w:u w:val="single"/>
        </w:rPr>
        <w:t>广州市公安局案件物证综合管理中心</w:t>
      </w:r>
      <w:r>
        <w:rPr>
          <w:rFonts w:ascii="宋体" w:hAnsi="宋体" w:cs="宋体"/>
          <w:color w:val="auto"/>
          <w:sz w:val="24"/>
          <w:szCs w:val="24"/>
          <w:highlight w:val="none"/>
          <w:u w:val="single"/>
        </w:rPr>
        <w:t>造价咨询服务</w:t>
      </w:r>
      <w:r>
        <w:rPr>
          <w:rFonts w:hint="eastAsia" w:ascii="宋体" w:hAnsi="宋体" w:cs="宋体"/>
          <w:color w:val="auto"/>
          <w:sz w:val="24"/>
          <w:szCs w:val="24"/>
          <w:highlight w:val="none"/>
          <w:u w:val="single"/>
        </w:rPr>
        <w:t>。</w:t>
      </w:r>
    </w:p>
    <w:p w14:paraId="786219E0">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2.项目地点：</w:t>
      </w:r>
      <w:r>
        <w:rPr>
          <w:rFonts w:hint="eastAsia" w:ascii="宋体" w:hAnsi="宋体" w:cs="宋体"/>
          <w:color w:val="auto"/>
          <w:sz w:val="24"/>
          <w:szCs w:val="24"/>
          <w:highlight w:val="none"/>
          <w:u w:val="single"/>
        </w:rPr>
        <w:t>广州市番禺区钟村镇石壁村谢石公路以北、大象岗森林公园以南、番禺高创鞋业有限公司以西、广州秀珀化工股份有限公司以东的地块内。</w:t>
      </w:r>
    </w:p>
    <w:p w14:paraId="51BBF336">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3.项目规模：</w:t>
      </w:r>
      <w:r>
        <w:rPr>
          <w:rFonts w:hint="eastAsia" w:ascii="宋体" w:hAnsi="宋体" w:cs="宋体"/>
          <w:color w:val="auto"/>
          <w:sz w:val="24"/>
          <w:szCs w:val="24"/>
          <w:highlight w:val="none"/>
          <w:u w:val="single"/>
        </w:rPr>
        <w:t>钟村地块总占地面积为147150.7㎡，可建设面积约79980㎡，本项目利用场地面积21800㎡。本项目拟在场地中新建1栋一般物证＋生物物证及综合楼12020㎡, 1 栋毒品物证楼4929㎡,1 栋涉案枪支弹药物证楼514㎡ 和1 层人防地下室1845㎡。总建筑面积为19308㎡，最大单体建筑面积12020㎡，最大建筑高度约26米。功能包括各类物证的保存、民警管理用房及设备用房等。主要建设内容包括新建建筑的土建、装修及安装工程；现状场地平整及边坡支护工程；现状道路拓宽；室外道路、停车场、绿化工程及室外给排水、供电工程；外水外电工程。投资</w:t>
      </w:r>
      <w:bookmarkStart w:id="0" w:name="_GoBack"/>
      <w:bookmarkEnd w:id="0"/>
      <w:r>
        <w:rPr>
          <w:rFonts w:hint="eastAsia" w:ascii="宋体" w:hAnsi="宋体" w:cs="宋体"/>
          <w:color w:val="auto"/>
          <w:sz w:val="24"/>
          <w:szCs w:val="24"/>
          <w:highlight w:val="none"/>
          <w:u w:val="single"/>
        </w:rPr>
        <w:t>总额约30790.31万元。其中，工程费约24838.62万元。</w:t>
      </w:r>
    </w:p>
    <w:p w14:paraId="39AB2701">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资金来源：广州市基本建设统筹资金。</w:t>
      </w:r>
    </w:p>
    <w:p w14:paraId="71EEEF6C">
      <w:pPr>
        <w:spacing w:line="360" w:lineRule="auto"/>
        <w:ind w:firstLine="420"/>
        <w:rPr>
          <w:rFonts w:ascii="宋体" w:hAnsi="宋体" w:cs="宋体"/>
          <w:b/>
          <w:color w:val="auto"/>
          <w:sz w:val="24"/>
          <w:szCs w:val="24"/>
          <w:highlight w:val="none"/>
        </w:rPr>
      </w:pPr>
      <w:r>
        <w:rPr>
          <w:rFonts w:hint="eastAsia" w:ascii="宋体" w:hAnsi="宋体" w:cs="宋体"/>
          <w:b/>
          <w:color w:val="auto"/>
          <w:sz w:val="24"/>
          <w:szCs w:val="24"/>
          <w:highlight w:val="none"/>
        </w:rPr>
        <w:t>二、服务范围</w:t>
      </w:r>
    </w:p>
    <w:p w14:paraId="0697F28A">
      <w:pPr>
        <w:spacing w:line="360" w:lineRule="auto"/>
        <w:ind w:firstLine="420"/>
        <w:rPr>
          <w:rFonts w:ascii="宋体" w:hAnsi="宋体" w:cs="宋体"/>
          <w:color w:val="auto"/>
          <w:kern w:val="0"/>
          <w:sz w:val="24"/>
          <w:szCs w:val="24"/>
          <w:highlight w:val="none"/>
        </w:rPr>
      </w:pPr>
      <w:r>
        <w:rPr>
          <w:rFonts w:hint="eastAsia" w:ascii="宋体" w:hAnsi="宋体" w:cs="宋体"/>
          <w:color w:val="auto"/>
          <w:sz w:val="24"/>
          <w:szCs w:val="24"/>
          <w:highlight w:val="none"/>
        </w:rPr>
        <w:t>主要包括，(1)</w:t>
      </w:r>
      <w:r>
        <w:rPr>
          <w:rFonts w:hint="eastAsia" w:ascii="宋体" w:hAnsi="宋体" w:cs="宋体"/>
          <w:color w:val="auto"/>
          <w:sz w:val="24"/>
          <w:szCs w:val="24"/>
          <w:highlight w:val="none"/>
          <w:u w:val="single"/>
        </w:rPr>
        <w:t>投资控制</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(2)招标工程量清单和招标控制价编制</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(3)</w:t>
      </w:r>
      <w:r>
        <w:rPr>
          <w:rFonts w:ascii="宋体" w:hAnsi="宋体" w:cs="宋体"/>
          <w:color w:val="auto"/>
          <w:kern w:val="0"/>
          <w:sz w:val="24"/>
          <w:szCs w:val="24"/>
          <w:highlight w:val="none"/>
          <w:u w:val="single"/>
          <w:lang w:bidi="ar"/>
        </w:rPr>
        <w:t>清标(含中标阶段的中标清单与招标控制价对比的清标工作；施工图下发阶段施工图预算与合同清单对比的清标工作</w:t>
      </w:r>
      <w:r>
        <w:rPr>
          <w:rFonts w:hint="eastAsia" w:ascii="宋体" w:hAnsi="宋体" w:cs="宋体"/>
          <w:color w:val="auto"/>
          <w:kern w:val="0"/>
          <w:sz w:val="24"/>
          <w:szCs w:val="24"/>
          <w:highlight w:val="none"/>
          <w:u w:val="single"/>
          <w:lang w:bidi="ar"/>
        </w:rPr>
        <w:t>）</w:t>
      </w:r>
      <w:r>
        <w:rPr>
          <w:rFonts w:ascii="宋体" w:hAnsi="宋体" w:cs="宋体"/>
          <w:color w:val="auto"/>
          <w:kern w:val="0"/>
          <w:sz w:val="24"/>
          <w:szCs w:val="24"/>
          <w:highlight w:val="none"/>
          <w:u w:val="single"/>
          <w:lang w:bidi="ar"/>
        </w:rPr>
        <w:t>；</w:t>
      </w:r>
      <w:r>
        <w:rPr>
          <w:rFonts w:hint="eastAsia" w:ascii="宋体" w:hAnsi="宋体" w:cs="宋体"/>
          <w:color w:val="auto"/>
          <w:sz w:val="24"/>
          <w:szCs w:val="24"/>
          <w:highlight w:val="none"/>
          <w:u w:val="single"/>
        </w:rPr>
        <w:t>(4)</w:t>
      </w:r>
      <w:r>
        <w:rPr>
          <w:rFonts w:hint="eastAsia" w:ascii="宋体" w:hAnsi="宋体" w:cs="宋体"/>
          <w:color w:val="auto"/>
          <w:kern w:val="0"/>
          <w:sz w:val="24"/>
          <w:szCs w:val="24"/>
          <w:highlight w:val="none"/>
          <w:u w:val="single"/>
          <w:lang w:bidi="ar"/>
        </w:rPr>
        <w:t>新增</w:t>
      </w:r>
      <w:r>
        <w:rPr>
          <w:rFonts w:hint="eastAsia" w:ascii="宋体" w:hAnsi="宋体" w:cs="宋体"/>
          <w:color w:val="auto"/>
          <w:kern w:val="0"/>
          <w:sz w:val="24"/>
          <w:szCs w:val="24"/>
          <w:highlight w:val="none"/>
          <w:u w:val="single"/>
          <w:shd w:val="clear" w:color="auto" w:fill="FFFFFF"/>
        </w:rPr>
        <w:t>主材单价</w:t>
      </w:r>
      <w:r>
        <w:rPr>
          <w:rFonts w:hint="eastAsia" w:ascii="宋体" w:hAnsi="宋体" w:cs="宋体"/>
          <w:color w:val="auto"/>
          <w:sz w:val="24"/>
          <w:szCs w:val="24"/>
          <w:highlight w:val="none"/>
          <w:u w:val="single"/>
        </w:rPr>
        <w:t>审核</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(5)检测监测费等费用审核</w:t>
      </w:r>
      <w:r>
        <w:rPr>
          <w:rFonts w:ascii="宋体" w:hAnsi="宋体" w:cs="宋体"/>
          <w:color w:val="auto"/>
          <w:sz w:val="24"/>
          <w:szCs w:val="24"/>
          <w:highlight w:val="none"/>
          <w:u w:val="single"/>
        </w:rPr>
        <w:t>（如需）；</w:t>
      </w:r>
      <w:r>
        <w:rPr>
          <w:rFonts w:hint="eastAsia" w:ascii="宋体" w:hAnsi="宋体" w:cs="宋体"/>
          <w:color w:val="auto"/>
          <w:sz w:val="24"/>
          <w:szCs w:val="24"/>
          <w:highlight w:val="none"/>
          <w:u w:val="single"/>
        </w:rPr>
        <w:t>(6</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送审结算初步审核及评审配合</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rPr>
        <w:t>)</w:t>
      </w:r>
      <w:r>
        <w:rPr>
          <w:rFonts w:hint="eastAsia" w:ascii="宋体" w:hAnsi="宋体" w:cs="宋体"/>
          <w:color w:val="auto"/>
          <w:kern w:val="0"/>
          <w:sz w:val="24"/>
          <w:szCs w:val="24"/>
          <w:highlight w:val="none"/>
          <w:u w:val="single"/>
          <w:shd w:val="clear" w:color="auto" w:fill="FFFFFF"/>
        </w:rPr>
        <w:t>广州市财局或项目业主及其主管部门不评审的合同结算评审等</w:t>
      </w:r>
      <w:r>
        <w:rPr>
          <w:rFonts w:hint="eastAsia" w:ascii="宋体" w:hAnsi="宋体" w:cs="宋体"/>
          <w:color w:val="auto"/>
          <w:sz w:val="24"/>
          <w:szCs w:val="24"/>
          <w:highlight w:val="none"/>
        </w:rPr>
        <w:t>。</w:t>
      </w:r>
    </w:p>
    <w:p w14:paraId="691BABEF">
      <w:pPr>
        <w:widowControl/>
        <w:spacing w:line="360" w:lineRule="auto"/>
        <w:ind w:firstLine="200"/>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三、服务期限</w:t>
      </w:r>
    </w:p>
    <w:p w14:paraId="19066341">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本合同服务期限自收到甲方通知开始之日起至本合同约定造价咨询服务工作全部完成时止。甲方根据实际情况，有权对本合同服务期限进行适当调整。</w:t>
      </w:r>
    </w:p>
    <w:p w14:paraId="5D8AC9E4">
      <w:pPr>
        <w:widowControl/>
        <w:spacing w:line="360" w:lineRule="auto"/>
        <w:ind w:firstLine="200"/>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四、服务报酬</w:t>
      </w:r>
    </w:p>
    <w:p w14:paraId="10051397">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经甲乙双方协商一致，本合同服务报酬以人民币为计算及支付货币，具体计算方法按第二部分合同条款第七条的约定执行。</w:t>
      </w:r>
    </w:p>
    <w:p w14:paraId="3AB59728">
      <w:pPr>
        <w:widowControl/>
        <w:spacing w:line="360" w:lineRule="auto"/>
        <w:ind w:firstLine="200"/>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五、合同文件构成及优先顺序</w:t>
      </w:r>
    </w:p>
    <w:p w14:paraId="4CBC06FD">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下列文件应被认为是组成本合同的一部分，并互为补充和解释，如各文件存在冲突之处，以如下排列次序在前者优先适用：</w:t>
      </w:r>
    </w:p>
    <w:p w14:paraId="11475547">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1.国家和广东省、广州市关于本项目的有关文件；</w:t>
      </w:r>
    </w:p>
    <w:p w14:paraId="4C68C002">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2.本合同履行期间甲乙双方签订的补充合同（协议）或修正文件；</w:t>
      </w:r>
    </w:p>
    <w:p w14:paraId="52DE27B2">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3.合同协议书；</w:t>
      </w:r>
    </w:p>
    <w:p w14:paraId="14152EDD">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4.中标通知书；</w:t>
      </w:r>
    </w:p>
    <w:p w14:paraId="67CE08B0">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5.合同条款；</w:t>
      </w:r>
    </w:p>
    <w:p w14:paraId="1DCD10E6">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6.甲方制定的各项造价（咨询）管理制度及规定（包括继续沿用甲方更名前的各项管理制度及规定，如有更新则按更新后的执行，下同）；</w:t>
      </w:r>
    </w:p>
    <w:p w14:paraId="5A385E3E">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7.合同附件[属本条第（1）项和第（6）项内容的除外]；</w:t>
      </w:r>
    </w:p>
    <w:p w14:paraId="4DC9C98B">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u w:val="single"/>
        </w:rPr>
        <w:t>广州市公安局案件物证综合管理中心</w:t>
      </w:r>
      <w:r>
        <w:rPr>
          <w:rFonts w:ascii="宋体" w:hAnsi="宋体" w:cs="宋体"/>
          <w:color w:val="auto"/>
          <w:sz w:val="24"/>
          <w:szCs w:val="24"/>
          <w:highlight w:val="none"/>
          <w:u w:val="single"/>
        </w:rPr>
        <w:t>造价咨询服务</w:t>
      </w:r>
      <w:r>
        <w:rPr>
          <w:rFonts w:hint="eastAsia" w:ascii="宋体" w:hAnsi="宋体" w:cs="宋体"/>
          <w:color w:val="auto"/>
          <w:sz w:val="24"/>
          <w:szCs w:val="24"/>
          <w:highlight w:val="none"/>
        </w:rPr>
        <w:t>招标文件[含招标文件补充文件、澄清文件、答疑文件等，属本条第（7）项内容的除外]；</w:t>
      </w:r>
    </w:p>
    <w:p w14:paraId="55E5115B">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9.乙方投标文件[含投标文件澄清等，属本条第（7）项内容的除外]；</w:t>
      </w:r>
    </w:p>
    <w:p w14:paraId="56384FB2">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10.国家及广东省、广州市的标准、规范及有关技术文件；</w:t>
      </w:r>
    </w:p>
    <w:p w14:paraId="205F804E">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11.组成合同的其它文件。</w:t>
      </w:r>
    </w:p>
    <w:p w14:paraId="28FB9743">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通过上述顺序解释仍无法明确的事项，由甲方与乙方协商解决；如协商不成，由甲方按照公平合理和有利于本合同工程建设的原则作出决定。如乙方对此决定不服的，应在接到甲方决定之日起3天内提出书面异议；如期满不提出书面异议的，视为同意甲方的决定。甲方收到乙方的书面异议后应作出进一步的决定，如乙方仍有异议的，可按第二部分合同条款第十一条的约定处理，但在有关部门没有作出正式裁决之前，乙方必须无条件先行执行甲方的决定。</w:t>
      </w:r>
    </w:p>
    <w:p w14:paraId="5EDA749B">
      <w:pPr>
        <w:widowControl/>
        <w:spacing w:line="360" w:lineRule="auto"/>
        <w:ind w:firstLine="200"/>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六、</w:t>
      </w:r>
      <w:r>
        <w:rPr>
          <w:rFonts w:hint="eastAsia" w:ascii="宋体" w:hAnsi="宋体" w:cs="宋体"/>
          <w:color w:val="auto"/>
          <w:sz w:val="24"/>
          <w:szCs w:val="24"/>
          <w:highlight w:val="none"/>
        </w:rPr>
        <w:t>乙方承诺按照本合同的约定履行合同义务。</w:t>
      </w:r>
    </w:p>
    <w:p w14:paraId="59B1D78B">
      <w:pPr>
        <w:widowControl/>
        <w:spacing w:line="360" w:lineRule="auto"/>
        <w:ind w:firstLine="200"/>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七、</w:t>
      </w:r>
      <w:r>
        <w:rPr>
          <w:rFonts w:hint="eastAsia" w:ascii="宋体" w:hAnsi="宋体" w:cs="宋体"/>
          <w:color w:val="auto"/>
          <w:sz w:val="24"/>
          <w:szCs w:val="24"/>
          <w:highlight w:val="none"/>
        </w:rPr>
        <w:t>甲方承诺按照本合同约定的履行合同义务。</w:t>
      </w:r>
    </w:p>
    <w:p w14:paraId="35299EF5">
      <w:pPr>
        <w:widowControl/>
        <w:spacing w:line="360" w:lineRule="auto"/>
        <w:ind w:firstLine="200"/>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八、词语定义</w:t>
      </w:r>
    </w:p>
    <w:p w14:paraId="4EBAD56E">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本合同协议书中有关词语含义与合同条款中分别赋予它们的定义相同。</w:t>
      </w:r>
    </w:p>
    <w:p w14:paraId="7467839C">
      <w:pPr>
        <w:widowControl/>
        <w:spacing w:line="360" w:lineRule="auto"/>
        <w:ind w:firstLine="200"/>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九、合同生效及终止</w:t>
      </w:r>
    </w:p>
    <w:p w14:paraId="0C09EC65">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1.本合同自双方签字盖章（公章或合同专用章）之日起生效。</w:t>
      </w:r>
    </w:p>
    <w:p w14:paraId="63DFF182">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2.乙方完成甲方委托的全部工作内容且甲方按合同约定</w:t>
      </w:r>
      <w:r>
        <w:rPr>
          <w:rFonts w:ascii="宋体" w:hAnsi="宋体" w:cs="宋体"/>
          <w:color w:val="auto"/>
          <w:sz w:val="24"/>
          <w:szCs w:val="24"/>
          <w:highlight w:val="none"/>
        </w:rPr>
        <w:t>办理</w:t>
      </w:r>
      <w:r>
        <w:rPr>
          <w:rFonts w:hint="eastAsia" w:ascii="宋体" w:hAnsi="宋体" w:cs="宋体"/>
          <w:color w:val="auto"/>
          <w:sz w:val="24"/>
          <w:szCs w:val="24"/>
          <w:highlight w:val="none"/>
        </w:rPr>
        <w:t>支付了服务报酬后本合同即终止。</w:t>
      </w:r>
    </w:p>
    <w:p w14:paraId="38EE1F8A">
      <w:pPr>
        <w:widowControl/>
        <w:spacing w:line="360" w:lineRule="auto"/>
        <w:ind w:firstLine="200"/>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十、合同份数</w:t>
      </w:r>
    </w:p>
    <w:p w14:paraId="02467BF7">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本合同正本一式两份，双方各执一份；副本八份，其中甲方执六份，乙方执二份。合同正、副本具有同等效力，但当合同正本与副本的表述不一致时，以合同正本为准。</w:t>
      </w:r>
    </w:p>
    <w:p w14:paraId="3465EBF4">
      <w:pPr>
        <w:widowControl/>
        <w:spacing w:line="360" w:lineRule="auto"/>
        <w:jc w:val="left"/>
        <w:rPr>
          <w:rFonts w:ascii="宋体" w:hAnsi="宋体" w:cs="宋体"/>
          <w:color w:val="auto"/>
          <w:sz w:val="24"/>
          <w:szCs w:val="24"/>
          <w:highlight w:val="none"/>
        </w:rPr>
      </w:pPr>
    </w:p>
    <w:p w14:paraId="549D9CBF">
      <w:pPr>
        <w:widowControl/>
        <w:spacing w:line="360" w:lineRule="auto"/>
        <w:jc w:val="left"/>
        <w:rPr>
          <w:rFonts w:ascii="宋体" w:hAnsi="宋体" w:cs="宋体"/>
          <w:color w:val="auto"/>
          <w:szCs w:val="21"/>
          <w:highlight w:val="none"/>
        </w:rPr>
      </w:pPr>
      <w:r>
        <w:rPr>
          <w:rFonts w:hint="eastAsia" w:ascii="宋体" w:hAnsi="宋体" w:cs="宋体"/>
          <w:color w:val="auto"/>
          <w:sz w:val="24"/>
          <w:szCs w:val="24"/>
          <w:highlight w:val="none"/>
        </w:rPr>
        <w:t>甲方：</w:t>
      </w:r>
      <w:r>
        <w:rPr>
          <w:rFonts w:hint="eastAsia" w:ascii="宋体" w:hAnsi="宋体" w:cs="宋体"/>
          <w:b/>
          <w:color w:val="auto"/>
          <w:spacing w:val="-20"/>
          <w:sz w:val="24"/>
          <w:szCs w:val="24"/>
          <w:highlight w:val="none"/>
        </w:rPr>
        <w:t>广州市重点公共建设项目管理中心</w:t>
      </w:r>
      <w:r>
        <w:rPr>
          <w:rFonts w:hint="eastAsia" w:ascii="宋体" w:hAnsi="宋体" w:cs="宋体"/>
          <w:color w:val="auto"/>
          <w:sz w:val="24"/>
          <w:szCs w:val="24"/>
          <w:highlight w:val="none"/>
        </w:rPr>
        <w:t xml:space="preserve">      乙方：</w:t>
      </w:r>
    </w:p>
    <w:p w14:paraId="099A8909">
      <w:pPr>
        <w:widowControl/>
        <w:spacing w:line="360" w:lineRule="auto"/>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（盖章）                                （盖章）</w:t>
      </w:r>
    </w:p>
    <w:p w14:paraId="090B77AC">
      <w:pPr>
        <w:widowControl/>
        <w:spacing w:line="360" w:lineRule="auto"/>
        <w:contextualSpacing/>
        <w:jc w:val="left"/>
        <w:rPr>
          <w:rFonts w:ascii="宋体" w:hAnsi="宋体" w:cs="宋体"/>
          <w:color w:val="auto"/>
          <w:sz w:val="24"/>
          <w:szCs w:val="24"/>
          <w:highlight w:val="none"/>
        </w:rPr>
      </w:pPr>
    </w:p>
    <w:p w14:paraId="1BED7FD4">
      <w:pPr>
        <w:widowControl/>
        <w:spacing w:line="360" w:lineRule="auto"/>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14:paraId="1EE93B78">
      <w:pPr>
        <w:widowControl/>
        <w:spacing w:line="360" w:lineRule="auto"/>
        <w:contextualSpacing/>
        <w:jc w:val="left"/>
        <w:rPr>
          <w:rFonts w:ascii="宋体" w:hAnsi="宋体" w:cs="宋体"/>
          <w:color w:val="auto"/>
          <w:sz w:val="24"/>
          <w:szCs w:val="24"/>
          <w:highlight w:val="none"/>
        </w:rPr>
      </w:pPr>
    </w:p>
    <w:p w14:paraId="4370E480">
      <w:pPr>
        <w:widowControl/>
        <w:spacing w:line="360" w:lineRule="auto"/>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委托代理人：                          委托代理人：</w:t>
      </w:r>
    </w:p>
    <w:p w14:paraId="59F9A513">
      <w:pPr>
        <w:widowControl/>
        <w:spacing w:line="360" w:lineRule="auto"/>
        <w:contextualSpacing/>
        <w:jc w:val="left"/>
        <w:rPr>
          <w:rFonts w:ascii="宋体" w:hAnsi="宋体" w:cs="宋体"/>
          <w:color w:val="auto"/>
          <w:sz w:val="24"/>
          <w:szCs w:val="24"/>
          <w:highlight w:val="none"/>
        </w:rPr>
      </w:pPr>
    </w:p>
    <w:p w14:paraId="0AE83106">
      <w:pPr>
        <w:widowControl/>
        <w:spacing w:line="360" w:lineRule="auto"/>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地址：广州大学城内环东星运路1号      地址：</w:t>
      </w:r>
    </w:p>
    <w:p w14:paraId="215C6295">
      <w:pPr>
        <w:widowControl/>
        <w:spacing w:line="360" w:lineRule="auto"/>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邮编：510006                          邮编：</w:t>
      </w:r>
    </w:p>
    <w:p w14:paraId="703B8AA9">
      <w:pPr>
        <w:widowControl/>
        <w:spacing w:line="360" w:lineRule="auto"/>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电话：                                电话：</w:t>
      </w:r>
    </w:p>
    <w:p w14:paraId="796AD0C5">
      <w:pPr>
        <w:widowControl/>
        <w:spacing w:line="360" w:lineRule="auto"/>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传真：                                传真：</w:t>
      </w:r>
    </w:p>
    <w:p w14:paraId="3D1EB933">
      <w:pPr>
        <w:widowControl/>
        <w:spacing w:line="360" w:lineRule="auto"/>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签订日期：    年  月  日              开户银行：</w:t>
      </w:r>
    </w:p>
    <w:p w14:paraId="78381DDE">
      <w:pPr>
        <w:widowControl/>
        <w:spacing w:line="360" w:lineRule="auto"/>
        <w:ind w:firstLine="4560" w:firstLineChars="190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银行账号：</w:t>
      </w:r>
    </w:p>
    <w:p w14:paraId="388BB6CF">
      <w:pPr>
        <w:widowControl/>
        <w:spacing w:line="360" w:lineRule="auto"/>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签订日期：    年  月   日</w:t>
      </w:r>
    </w:p>
    <w:p w14:paraId="2C5BE20D">
      <w:pPr>
        <w:widowControl/>
        <w:spacing w:line="360" w:lineRule="auto"/>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本合同签订于广东省广州市番禺区。</w:t>
      </w:r>
    </w:p>
    <w:p w14:paraId="1607F987">
      <w:pPr>
        <w:widowControl/>
        <w:spacing w:beforeAutospacing="1" w:afterAutospacing="1"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第二部分 合同条款</w:t>
      </w:r>
    </w:p>
    <w:p w14:paraId="5F52EEFD">
      <w:pPr>
        <w:widowControl/>
        <w:spacing w:line="360" w:lineRule="auto"/>
        <w:ind w:firstLine="200"/>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一、词语定义</w:t>
      </w:r>
    </w:p>
    <w:p w14:paraId="295A444E">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1.1甲方：是指委托建设工程造价咨询业务和聘用工程造价咨询单位的一方，在本合同中特指</w:t>
      </w:r>
      <w:r>
        <w:rPr>
          <w:rFonts w:hint="eastAsia" w:ascii="宋体" w:hAnsi="宋体" w:cs="宋体"/>
          <w:b/>
          <w:color w:val="auto"/>
          <w:sz w:val="24"/>
          <w:szCs w:val="24"/>
          <w:highlight w:val="none"/>
        </w:rPr>
        <w:t>广州市重点公共建设项目管理中心</w:t>
      </w:r>
      <w:r>
        <w:rPr>
          <w:rFonts w:hint="eastAsia" w:ascii="宋体" w:hAnsi="宋体" w:cs="宋体"/>
          <w:color w:val="auto"/>
          <w:sz w:val="24"/>
          <w:szCs w:val="24"/>
          <w:highlight w:val="none"/>
        </w:rPr>
        <w:t>。</w:t>
      </w:r>
    </w:p>
    <w:p w14:paraId="600CEE0A">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1.2乙方：是指承担建设工程造价咨询业务和工程造价咨询责任的一方，在本合同中特指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C147989">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1.3第三人：是指除甲方、乙方以外与本合同约定咨询业务有关的当事人。</w:t>
      </w:r>
    </w:p>
    <w:p w14:paraId="05EC3B62">
      <w:pPr>
        <w:spacing w:line="360" w:lineRule="auto"/>
        <w:ind w:firstLine="420"/>
        <w:rPr>
          <w:rFonts w:ascii="宋体" w:hAnsi="宋体" w:cs="宋体"/>
          <w:strike/>
          <w:color w:val="auto"/>
          <w:sz w:val="24"/>
          <w:szCs w:val="24"/>
          <w:highlight w:val="none"/>
        </w:rPr>
      </w:pPr>
      <w:r>
        <w:rPr>
          <w:rFonts w:hint="eastAsia" w:ascii="宋体" w:hAnsi="宋体" w:cs="宋体"/>
          <w:color w:val="auto"/>
          <w:sz w:val="24"/>
          <w:szCs w:val="24"/>
          <w:highlight w:val="none"/>
        </w:rPr>
        <w:t>1.4</w:t>
      </w:r>
      <w:r>
        <w:rPr>
          <w:rFonts w:hint="eastAsia" w:ascii="宋体" w:hAnsi="宋体" w:cs="宋体"/>
          <w:color w:val="auto"/>
          <w:kern w:val="0"/>
          <w:sz w:val="24"/>
          <w:szCs w:val="24"/>
          <w:highlight w:val="none"/>
        </w:rPr>
        <w:t>天：本合同中规定按天计算时间的，开始当天不计入，从次日开始计算。时限的最后一天是休息日或者其他法定节假日的，以节假日次日为时限的</w:t>
      </w:r>
      <w:r>
        <w:rPr>
          <w:rFonts w:hint="eastAsia" w:ascii="宋体" w:hAnsi="宋体" w:cs="宋体"/>
          <w:color w:val="auto"/>
          <w:sz w:val="24"/>
          <w:szCs w:val="24"/>
          <w:highlight w:val="none"/>
        </w:rPr>
        <w:t>最后</w:t>
      </w:r>
      <w:r>
        <w:rPr>
          <w:rFonts w:hint="eastAsia" w:ascii="宋体" w:hAnsi="宋体" w:cs="宋体"/>
          <w:color w:val="auto"/>
          <w:kern w:val="0"/>
          <w:sz w:val="24"/>
          <w:szCs w:val="24"/>
          <w:highlight w:val="none"/>
        </w:rPr>
        <w:t>一天。时限的最后一天的截止时间为当日24时。</w:t>
      </w:r>
    </w:p>
    <w:p w14:paraId="7D79F57B">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1.5月：是指根据公历从一个月份中任何一日开始到下一个月相应日期的前一日的时间段。</w:t>
      </w:r>
    </w:p>
    <w:p w14:paraId="39DA8E5E">
      <w:pPr>
        <w:widowControl/>
        <w:spacing w:line="360" w:lineRule="auto"/>
        <w:ind w:firstLine="200"/>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二、本合同适用的法律、法规及工程造价计价办法和规定</w:t>
      </w:r>
    </w:p>
    <w:p w14:paraId="71BF8671">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2.1本合同适用中华人民共和国法律、法规。</w:t>
      </w:r>
    </w:p>
    <w:p w14:paraId="1DC774FA">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2.2本合同适用的工程造价计价办法和规定是：《广东省住房和城乡建设厅关于印发&lt;广东省建设工程计价依据（2018）&gt;的通知》（粤建市〔2019〕6号）、《建设工程工程量清单计价规范》（GB50500-2013）及2012年《广东省房屋建筑和市政修缮工程综合定额》等相关规定。国家及广东省、广州市有最新规定的，从其规定。</w:t>
      </w:r>
    </w:p>
    <w:p w14:paraId="64A68192">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2.3其它计价依据：甲方的要求、图纸、招标文件。</w:t>
      </w:r>
    </w:p>
    <w:p w14:paraId="6726D6BC">
      <w:pPr>
        <w:widowControl/>
        <w:spacing w:line="360" w:lineRule="auto"/>
        <w:ind w:firstLine="200"/>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三、本合同适用的语言文字</w:t>
      </w:r>
    </w:p>
    <w:p w14:paraId="4BA7F0F6">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本合同及其补充协议、甲乙双方来往文件等均使用中文书写。使用其他文字书写的对双方均不具有法律约束力，但如翻译成中文并经双方法定代表人（或其委托代理人）签字或双方盖章确认的，则对双方均具有法律约束力。</w:t>
      </w:r>
    </w:p>
    <w:p w14:paraId="4BDFFA80">
      <w:pPr>
        <w:widowControl/>
        <w:spacing w:line="360" w:lineRule="auto"/>
        <w:ind w:firstLine="200"/>
        <w:jc w:val="left"/>
        <w:outlineLvl w:val="1"/>
        <w:rPr>
          <w:rFonts w:ascii="宋体" w:hAnsi="宋体" w:cs="宋体"/>
          <w:color w:val="auto"/>
          <w:sz w:val="24"/>
          <w:szCs w:val="24"/>
          <w:highlight w:val="none"/>
        </w:rPr>
      </w:pPr>
      <w:r>
        <w:rPr>
          <w:rFonts w:hint="eastAsia" w:ascii="宋体" w:hAnsi="宋体" w:cs="宋体"/>
          <w:b/>
          <w:color w:val="auto"/>
          <w:sz w:val="24"/>
          <w:szCs w:val="24"/>
          <w:highlight w:val="none"/>
        </w:rPr>
        <w:t>四、服务</w:t>
      </w:r>
      <w:r>
        <w:rPr>
          <w:rFonts w:ascii="宋体" w:hAnsi="宋体" w:cs="宋体"/>
          <w:b/>
          <w:color w:val="auto"/>
          <w:sz w:val="24"/>
          <w:szCs w:val="24"/>
          <w:highlight w:val="none"/>
        </w:rPr>
        <w:t>范围及服务内容</w:t>
      </w:r>
    </w:p>
    <w:p w14:paraId="45364B29">
      <w:pPr>
        <w:widowControl/>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1、服务范围</w:t>
      </w:r>
    </w:p>
    <w:p w14:paraId="0AD11140">
      <w:pPr>
        <w:widowControl/>
        <w:snapToGrid w:val="0"/>
        <w:spacing w:line="360" w:lineRule="auto"/>
        <w:ind w:firstLine="480" w:firstLineChars="200"/>
        <w:jc w:val="left"/>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bidi="ar"/>
        </w:rPr>
        <w:t>主要包括：</w:t>
      </w:r>
    </w:p>
    <w:p w14:paraId="05933C3E">
      <w:pPr>
        <w:widowControl/>
        <w:snapToGrid w:val="0"/>
        <w:spacing w:line="360" w:lineRule="auto"/>
        <w:ind w:firstLine="480" w:firstLineChars="200"/>
        <w:jc w:val="left"/>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bidi="ar"/>
        </w:rPr>
        <w:t>（1）服务内容包括施工图预算阶段（含合同价格清单）、施工阶段、结算阶段的造价咨询服务及甲方要求的其他造价管理工作。</w:t>
      </w:r>
    </w:p>
    <w:p w14:paraId="458C40CB">
      <w:pPr>
        <w:widowControl/>
        <w:snapToGrid w:val="0"/>
        <w:spacing w:line="360" w:lineRule="auto"/>
        <w:ind w:firstLine="480" w:firstLineChars="200"/>
        <w:jc w:val="left"/>
        <w:rPr>
          <w:rFonts w:hint="eastAsia"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bidi="ar"/>
        </w:rPr>
        <w:t>（2）具体内容包括不限于：主要包括，1）投资控制；2）施工图预算（含合同价格清单）审核，指以经审查合格的施工图为基础编制的项目预算；3)清标工作（如有）；4）新增主材单价审核；5）检测监测等费用审核；6）送审结算初步审核；</w:t>
      </w:r>
      <w:r>
        <w:rPr>
          <w:rFonts w:hint="eastAsia" w:ascii="宋体" w:hAnsi="宋体" w:cs="宋体"/>
          <w:color w:val="auto"/>
          <w:sz w:val="24"/>
          <w:szCs w:val="24"/>
          <w:highlight w:val="none"/>
          <w:shd w:val="clear" w:color="auto" w:fill="FFFFFF"/>
          <w:lang w:val="en-US" w:eastAsia="zh-CN" w:bidi="ar"/>
        </w:rPr>
        <w:t>7</w:t>
      </w:r>
      <w:r>
        <w:rPr>
          <w:rFonts w:hint="eastAsia" w:ascii="宋体" w:hAnsi="宋体" w:cs="宋体"/>
          <w:color w:val="auto"/>
          <w:sz w:val="24"/>
          <w:szCs w:val="24"/>
          <w:highlight w:val="none"/>
          <w:shd w:val="clear" w:color="auto" w:fill="FFFFFF"/>
          <w:lang w:bidi="ar"/>
        </w:rPr>
        <w:t>）项目业主及相关主管部门不评审的合同结算评审。</w:t>
      </w:r>
    </w:p>
    <w:p w14:paraId="5BC36515">
      <w:pPr>
        <w:widowControl/>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2、服务内容</w:t>
      </w:r>
    </w:p>
    <w:p w14:paraId="4EA12C88">
      <w:pPr>
        <w:widowControl/>
        <w:jc w:val="left"/>
        <w:rPr>
          <w:color w:val="auto"/>
          <w:highlight w:val="none"/>
        </w:rPr>
      </w:pPr>
      <w:r>
        <w:rPr>
          <w:rFonts w:hint="eastAsia" w:ascii="宋体" w:hAnsi="宋体" w:cs="宋体"/>
          <w:color w:val="auto"/>
          <w:sz w:val="24"/>
          <w:szCs w:val="24"/>
          <w:highlight w:val="none"/>
          <w:u w:val="single"/>
          <w:lang w:bidi="ar"/>
        </w:rPr>
        <w:t>服务范围各阶段具体的工作内容详见下表（招标人根据项目实际情况有权调整招标范围和内容）</w:t>
      </w:r>
      <w:r>
        <w:rPr>
          <w:rFonts w:hint="eastAsia" w:ascii="宋体" w:hAnsi="宋体" w:cs="宋体"/>
          <w:color w:val="auto"/>
          <w:sz w:val="24"/>
          <w:szCs w:val="24"/>
          <w:highlight w:val="none"/>
          <w:lang w:bidi="ar"/>
        </w:rPr>
        <w:t>：</w:t>
      </w:r>
      <w:r>
        <w:rPr>
          <w:rFonts w:ascii="宋体" w:hAnsi="宋体" w:cs="宋体"/>
          <w:color w:val="auto"/>
          <w:sz w:val="24"/>
          <w:szCs w:val="24"/>
          <w:highlight w:val="none"/>
          <w:lang w:bidi="ar"/>
        </w:rPr>
        <w:t xml:space="preserve"> </w:t>
      </w:r>
    </w:p>
    <w:tbl>
      <w:tblPr>
        <w:tblStyle w:val="7"/>
        <w:tblW w:w="0" w:type="auto"/>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108" w:type="dxa"/>
          <w:bottom w:w="0" w:type="dxa"/>
          <w:right w:w="108" w:type="dxa"/>
        </w:tblCellMar>
      </w:tblPr>
      <w:tblGrid>
        <w:gridCol w:w="664"/>
        <w:gridCol w:w="1070"/>
        <w:gridCol w:w="7122"/>
      </w:tblGrid>
      <w:tr w14:paraId="20EE542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79"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D47D945">
            <w:pPr>
              <w:shd w:val="solid" w:color="FFFFFF" w:fill="auto"/>
              <w:autoSpaceDN w:val="0"/>
              <w:spacing w:line="276" w:lineRule="auto"/>
              <w:contextualSpacing/>
              <w:jc w:val="center"/>
              <w:rPr>
                <w:rFonts w:ascii="宋体" w:hAnsi="宋体" w:cs="宋体"/>
                <w:b/>
                <w:color w:val="auto"/>
                <w:szCs w:val="21"/>
                <w:highlight w:val="none"/>
                <w:shd w:val="clear" w:color="auto" w:fill="FFFFFF"/>
              </w:rPr>
            </w:pPr>
            <w:r>
              <w:rPr>
                <w:rFonts w:hint="eastAsia" w:ascii="宋体" w:hAnsi="宋体" w:cs="宋体"/>
                <w:b/>
                <w:color w:val="auto"/>
                <w:kern w:val="0"/>
                <w:szCs w:val="21"/>
                <w:highlight w:val="none"/>
                <w:shd w:val="clear" w:color="auto" w:fill="FFFFFF"/>
              </w:rPr>
              <w:t>序号</w:t>
            </w:r>
          </w:p>
        </w:tc>
        <w:tc>
          <w:tcPr>
            <w:tcW w:w="1070" w:type="dxa"/>
            <w:tcBorders>
              <w:top w:val="single" w:color="000000" w:sz="4" w:space="0"/>
              <w:left w:val="nil"/>
              <w:bottom w:val="single" w:color="000000" w:sz="4" w:space="0"/>
              <w:right w:val="single" w:color="000000" w:sz="4" w:space="0"/>
            </w:tcBorders>
            <w:noWrap w:val="0"/>
            <w:vAlign w:val="center"/>
          </w:tcPr>
          <w:p w14:paraId="534E0365">
            <w:pPr>
              <w:shd w:val="solid" w:color="FFFFFF" w:fill="auto"/>
              <w:autoSpaceDN w:val="0"/>
              <w:spacing w:line="276" w:lineRule="auto"/>
              <w:contextualSpacing/>
              <w:jc w:val="center"/>
              <w:rPr>
                <w:rFonts w:ascii="宋体" w:hAnsi="宋体" w:cs="宋体"/>
                <w:b/>
                <w:color w:val="auto"/>
                <w:szCs w:val="21"/>
                <w:highlight w:val="none"/>
                <w:shd w:val="clear" w:color="auto" w:fill="FFFFFF"/>
              </w:rPr>
            </w:pPr>
            <w:r>
              <w:rPr>
                <w:rFonts w:hint="eastAsia" w:ascii="宋体" w:hAnsi="宋体" w:cs="宋体"/>
                <w:b/>
                <w:color w:val="auto"/>
                <w:kern w:val="0"/>
                <w:szCs w:val="21"/>
                <w:highlight w:val="none"/>
                <w:shd w:val="clear" w:color="auto" w:fill="FFFFFF"/>
              </w:rPr>
              <w:t>阶段</w:t>
            </w:r>
          </w:p>
        </w:tc>
        <w:tc>
          <w:tcPr>
            <w:tcW w:w="7122" w:type="dxa"/>
            <w:tcBorders>
              <w:top w:val="single" w:color="000000" w:sz="4" w:space="0"/>
              <w:left w:val="nil"/>
              <w:bottom w:val="single" w:color="000000" w:sz="4" w:space="0"/>
              <w:right w:val="single" w:color="000000" w:sz="4" w:space="0"/>
            </w:tcBorders>
            <w:noWrap w:val="0"/>
            <w:vAlign w:val="center"/>
          </w:tcPr>
          <w:p w14:paraId="5400F823">
            <w:pPr>
              <w:shd w:val="solid" w:color="FFFFFF" w:fill="auto"/>
              <w:autoSpaceDN w:val="0"/>
              <w:spacing w:line="276" w:lineRule="auto"/>
              <w:contextualSpacing/>
              <w:jc w:val="center"/>
              <w:rPr>
                <w:rFonts w:ascii="宋体" w:hAnsi="宋体" w:cs="宋体"/>
                <w:b/>
                <w:color w:val="auto"/>
                <w:szCs w:val="21"/>
                <w:highlight w:val="none"/>
                <w:shd w:val="clear" w:color="auto" w:fill="FFFFFF"/>
              </w:rPr>
            </w:pPr>
            <w:r>
              <w:rPr>
                <w:rFonts w:hint="eastAsia" w:ascii="宋体" w:hAnsi="宋体" w:cs="宋体"/>
                <w:b/>
                <w:color w:val="auto"/>
                <w:kern w:val="0"/>
                <w:szCs w:val="21"/>
                <w:highlight w:val="none"/>
                <w:shd w:val="clear" w:color="auto" w:fill="FFFFFF"/>
              </w:rPr>
              <w:t>服务内容</w:t>
            </w:r>
            <w:r>
              <w:rPr>
                <w:rFonts w:ascii="宋体" w:hAnsi="宋体" w:cs="宋体"/>
                <w:b/>
                <w:color w:val="auto"/>
                <w:kern w:val="0"/>
                <w:szCs w:val="21"/>
                <w:highlight w:val="none"/>
                <w:shd w:val="clear" w:color="auto" w:fill="FFFFFF"/>
              </w:rPr>
              <w:t>（如有）</w:t>
            </w:r>
          </w:p>
        </w:tc>
      </w:tr>
      <w:tr w14:paraId="65BB9F8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E92BD1D">
            <w:pPr>
              <w:shd w:val="solid" w:color="FFFFFF" w:fill="auto"/>
              <w:autoSpaceDN w:val="0"/>
              <w:spacing w:line="276" w:lineRule="auto"/>
              <w:contextualSpacing/>
              <w:jc w:val="center"/>
              <w:rPr>
                <w:rFonts w:hint="eastAsia" w:ascii="宋体" w:hAnsi="宋体" w:cs="宋体"/>
                <w:color w:val="auto"/>
                <w:szCs w:val="21"/>
                <w:highlight w:val="none"/>
                <w:shd w:val="clear" w:color="auto" w:fill="FFFFFF"/>
              </w:rPr>
            </w:pPr>
            <w:r>
              <w:rPr>
                <w:rFonts w:hint="eastAsia" w:ascii="宋体" w:hAnsi="宋体" w:cs="宋体"/>
                <w:color w:val="auto"/>
                <w:kern w:val="0"/>
                <w:szCs w:val="21"/>
                <w:highlight w:val="none"/>
                <w:shd w:val="clear" w:color="auto" w:fill="FFFFFF"/>
              </w:rPr>
              <w:t>1</w:t>
            </w:r>
          </w:p>
        </w:tc>
        <w:tc>
          <w:tcPr>
            <w:tcW w:w="1070" w:type="dxa"/>
            <w:tcBorders>
              <w:top w:val="single" w:color="000000" w:sz="4" w:space="0"/>
              <w:left w:val="nil"/>
              <w:bottom w:val="single" w:color="000000" w:sz="4" w:space="0"/>
              <w:right w:val="single" w:color="000000" w:sz="4" w:space="0"/>
            </w:tcBorders>
            <w:noWrap w:val="0"/>
            <w:vAlign w:val="center"/>
          </w:tcPr>
          <w:p w14:paraId="276E1D4B">
            <w:pPr>
              <w:shd w:val="solid" w:color="FFFFFF" w:fill="auto"/>
              <w:autoSpaceDN w:val="0"/>
              <w:spacing w:line="276" w:lineRule="auto"/>
              <w:contextualSpacing/>
              <w:jc w:val="center"/>
              <w:rPr>
                <w:rFonts w:ascii="宋体" w:hAnsi="宋体" w:cs="宋体"/>
                <w:color w:val="auto"/>
                <w:szCs w:val="21"/>
                <w:highlight w:val="none"/>
                <w:shd w:val="clear" w:color="auto" w:fill="FFFFFF"/>
              </w:rPr>
            </w:pPr>
            <w:r>
              <w:rPr>
                <w:rFonts w:hint="eastAsia" w:ascii="宋体" w:hAnsi="宋体" w:cs="宋体"/>
                <w:color w:val="auto"/>
                <w:kern w:val="0"/>
                <w:szCs w:val="21"/>
                <w:highlight w:val="none"/>
              </w:rPr>
              <w:t>招标阶段</w:t>
            </w:r>
          </w:p>
        </w:tc>
        <w:tc>
          <w:tcPr>
            <w:tcW w:w="7122" w:type="dxa"/>
            <w:tcBorders>
              <w:top w:val="single" w:color="000000" w:sz="4" w:space="0"/>
              <w:left w:val="nil"/>
              <w:bottom w:val="single" w:color="000000" w:sz="4" w:space="0"/>
              <w:right w:val="single" w:color="000000" w:sz="4" w:space="0"/>
            </w:tcBorders>
            <w:noWrap w:val="0"/>
            <w:vAlign w:val="center"/>
          </w:tcPr>
          <w:p w14:paraId="47191989">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（1）负责按招标人要求编制并审核招标工程量清单及招标控制价，负责进行市场调查、询价，在招标人指定地点进行对数、编制或调整等；</w:t>
            </w:r>
          </w:p>
          <w:p w14:paraId="74E3A847">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（2）负责根据设计单位的图纸及技术规范、用户需求书，编制设备、材料询价或采购清单；</w:t>
            </w:r>
          </w:p>
          <w:p w14:paraId="712503C1">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3）负责对投标人等相关单位提出的造价问题的解答。按广州市建设工程造价管理站招标控制价备案要求提供造价文件（含编制说明、最高投标限价公布函、招标控制价软件版、EXCEL版、XML（cos）版、指标分析表等），并完成招标控制价备案工作；</w:t>
            </w:r>
          </w:p>
          <w:p w14:paraId="333D0C3E">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（4）负责对中标承建（服务）单位的经济标文件或报价书等进行分析和汇总，提出造价控制建议，并形成清标报告；</w:t>
            </w:r>
          </w:p>
          <w:p w14:paraId="2E35D4CF">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（5）负责对合同方式和可能存在的风险因素及解决办法等提出合理化建议供招标人参考。</w:t>
            </w:r>
          </w:p>
        </w:tc>
      </w:tr>
      <w:tr w14:paraId="3336069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311"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D9E541B">
            <w:pPr>
              <w:shd w:val="solid" w:color="FFFFFF" w:fill="auto"/>
              <w:autoSpaceDN w:val="0"/>
              <w:spacing w:line="276" w:lineRule="auto"/>
              <w:contextualSpacing/>
              <w:jc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w:t>
            </w:r>
          </w:p>
        </w:tc>
        <w:tc>
          <w:tcPr>
            <w:tcW w:w="1070" w:type="dxa"/>
            <w:tcBorders>
              <w:top w:val="single" w:color="000000" w:sz="4" w:space="0"/>
              <w:left w:val="nil"/>
              <w:bottom w:val="single" w:color="000000" w:sz="4" w:space="0"/>
              <w:right w:val="single" w:color="000000" w:sz="4" w:space="0"/>
            </w:tcBorders>
            <w:noWrap w:val="0"/>
            <w:vAlign w:val="center"/>
          </w:tcPr>
          <w:p w14:paraId="7322F1CF">
            <w:pPr>
              <w:shd w:val="solid" w:color="FFFFFF" w:fill="auto"/>
              <w:autoSpaceDN w:val="0"/>
              <w:spacing w:line="276" w:lineRule="auto"/>
              <w:contextualSpacing/>
              <w:jc w:val="center"/>
              <w:rPr>
                <w:rFonts w:ascii="宋体" w:hAnsi="宋体" w:cs="宋体"/>
                <w:color w:val="auto"/>
                <w:szCs w:val="21"/>
                <w:highlight w:val="none"/>
                <w:shd w:val="clear" w:color="auto" w:fill="FFFFFF"/>
              </w:rPr>
            </w:pPr>
            <w:r>
              <w:rPr>
                <w:rFonts w:hint="eastAsia" w:ascii="宋体" w:hAnsi="宋体" w:cs="宋体"/>
                <w:color w:val="auto"/>
                <w:kern w:val="0"/>
                <w:szCs w:val="21"/>
                <w:highlight w:val="none"/>
                <w:shd w:val="clear" w:color="auto" w:fill="FFFFFF"/>
              </w:rPr>
              <w:t>施工阶段</w:t>
            </w:r>
          </w:p>
        </w:tc>
        <w:tc>
          <w:tcPr>
            <w:tcW w:w="7122" w:type="dxa"/>
            <w:tcBorders>
              <w:top w:val="single" w:color="000000" w:sz="4" w:space="0"/>
              <w:left w:val="nil"/>
              <w:bottom w:val="single" w:color="000000" w:sz="4" w:space="0"/>
              <w:right w:val="single" w:color="000000" w:sz="4" w:space="0"/>
            </w:tcBorders>
            <w:noWrap w:val="0"/>
            <w:vAlign w:val="top"/>
          </w:tcPr>
          <w:p w14:paraId="70116F3C">
            <w:pPr>
              <w:widowControl/>
              <w:spacing w:line="276"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（1）清标工作（施工图下发阶段施工图预算与合同清单对比的清标工作）</w:t>
            </w:r>
          </w:p>
          <w:p w14:paraId="50F59665">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（2）负责主材单价审核，检测监测费用</w:t>
            </w:r>
            <w:r>
              <w:rPr>
                <w:rFonts w:ascii="宋体" w:hAnsi="宋体" w:cs="宋体"/>
                <w:color w:val="auto"/>
                <w:kern w:val="0"/>
                <w:szCs w:val="21"/>
                <w:highlight w:val="none"/>
              </w:rPr>
              <w:t>等费用</w:t>
            </w:r>
            <w:r>
              <w:rPr>
                <w:rFonts w:hint="eastAsia" w:ascii="宋体" w:hAnsi="宋体" w:cs="宋体"/>
                <w:color w:val="auto"/>
                <w:kern w:val="0"/>
                <w:szCs w:val="21"/>
                <w:highlight w:val="none"/>
              </w:rPr>
              <w:t>审核(如需)，必要时按招标人要求集中会审；</w:t>
            </w:r>
          </w:p>
          <w:p w14:paraId="293042D2">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（3）负责施工过程造价控制，定期召开造价控制会议，每月底提交投资控制报告，含项目整体资金使用情况、结算价预估分析、动态成本（须与目标成本对比分析偏差原因及解决方案建议）等；</w:t>
            </w:r>
          </w:p>
          <w:p w14:paraId="0D515CAD">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 xml:space="preserve">（4）制定项目总体投资进度计划，根据实际进度与每月实际投资和计划投资作分析比较，分析成本超支的原因和修正项目投资进度计划； </w:t>
            </w:r>
          </w:p>
          <w:p w14:paraId="19B28305">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 xml:space="preserve">（5）负责建立合同台账、变更台账（按变更原因分类）、签证台账、新增主材单价台账、新增综合单价台账、动态投资台账等； </w:t>
            </w:r>
          </w:p>
          <w:p w14:paraId="65D38A46">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（6）负责定期收集和整理有关设备材料的市场价格动态信息，对施工方案、材料选用提供成本控制建议；</w:t>
            </w:r>
          </w:p>
          <w:p w14:paraId="3EC7A018">
            <w:pPr>
              <w:pStyle w:val="9"/>
              <w:rPr>
                <w:rFonts w:ascii="宋体" w:hAnsi="宋体" w:cs="宋体"/>
                <w:color w:val="auto"/>
                <w:kern w:val="0"/>
                <w:highlight w:val="none"/>
              </w:rPr>
            </w:pPr>
            <w:r>
              <w:rPr>
                <w:rFonts w:hint="eastAsia" w:ascii="宋体" w:hAnsi="宋体" w:cs="宋体"/>
                <w:color w:val="auto"/>
                <w:kern w:val="0"/>
                <w:highlight w:val="none"/>
              </w:rPr>
              <w:t>（7）负责协助第三方的合同索赔处理</w:t>
            </w:r>
            <w:r>
              <w:rPr>
                <w:rFonts w:ascii="宋体" w:hAnsi="宋体" w:cs="宋体"/>
                <w:color w:val="auto"/>
                <w:kern w:val="0"/>
                <w:highlight w:val="none"/>
              </w:rPr>
              <w:t>、</w:t>
            </w:r>
            <w:r>
              <w:rPr>
                <w:rFonts w:hint="eastAsia" w:ascii="宋体" w:hAnsi="宋体" w:cs="宋体"/>
                <w:color w:val="auto"/>
                <w:highlight w:val="none"/>
                <w:lang w:bidi="ar"/>
              </w:rPr>
              <w:t>工程造价争议处理</w:t>
            </w:r>
            <w:r>
              <w:rPr>
                <w:rFonts w:hint="eastAsia" w:ascii="宋体" w:hAnsi="宋体" w:cs="宋体"/>
                <w:color w:val="auto"/>
                <w:kern w:val="0"/>
                <w:highlight w:val="none"/>
              </w:rPr>
              <w:t>，参加合同变更谈判，负责处理合同变更，维护业主的合法权益。</w:t>
            </w:r>
          </w:p>
        </w:tc>
      </w:tr>
      <w:tr w14:paraId="10ABDDB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311"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221198AB">
            <w:pPr>
              <w:shd w:val="solid" w:color="FFFFFF" w:fill="auto"/>
              <w:autoSpaceDN w:val="0"/>
              <w:spacing w:line="276" w:lineRule="auto"/>
              <w:contextualSpacing/>
              <w:jc w:val="center"/>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w:t>
            </w:r>
          </w:p>
        </w:tc>
        <w:tc>
          <w:tcPr>
            <w:tcW w:w="1070" w:type="dxa"/>
            <w:tcBorders>
              <w:top w:val="single" w:color="000000" w:sz="4" w:space="0"/>
              <w:left w:val="nil"/>
              <w:bottom w:val="single" w:color="000000" w:sz="4" w:space="0"/>
              <w:right w:val="single" w:color="000000" w:sz="4" w:space="0"/>
            </w:tcBorders>
            <w:noWrap w:val="0"/>
            <w:vAlign w:val="center"/>
          </w:tcPr>
          <w:p w14:paraId="43C8A831">
            <w:pPr>
              <w:shd w:val="solid" w:color="FFFFFF" w:fill="auto"/>
              <w:autoSpaceDN w:val="0"/>
              <w:spacing w:line="276" w:lineRule="auto"/>
              <w:contextualSpacing/>
              <w:jc w:val="center"/>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结（决）算阶段</w:t>
            </w:r>
          </w:p>
        </w:tc>
        <w:tc>
          <w:tcPr>
            <w:tcW w:w="7122" w:type="dxa"/>
            <w:tcBorders>
              <w:top w:val="single" w:color="000000" w:sz="4" w:space="0"/>
              <w:left w:val="nil"/>
              <w:bottom w:val="single" w:color="000000" w:sz="4" w:space="0"/>
              <w:right w:val="single" w:color="000000" w:sz="4" w:space="0"/>
            </w:tcBorders>
            <w:noWrap w:val="0"/>
            <w:vAlign w:val="center"/>
          </w:tcPr>
          <w:p w14:paraId="490F8532">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（1）负责建立结算台账；</w:t>
            </w:r>
          </w:p>
          <w:p w14:paraId="7D1FD072">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（2）负责收集和整理结算依据资料，负责组织过程结算；</w:t>
            </w:r>
          </w:p>
          <w:p w14:paraId="3BD5F379">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cs="Times New Roman"/>
                <w:color w:val="auto"/>
                <w:szCs w:val="21"/>
                <w:highlight w:val="none"/>
              </w:rPr>
              <w:t>负责送审结算初步审核及配合评审、广州市财局或项目业主及其主管部门不评审的合同结算评审，要求收到承建（服务）单位报送的结算文件后按甲方要求的时间出具结算审核报告</w:t>
            </w:r>
            <w:r>
              <w:rPr>
                <w:rFonts w:hint="eastAsia" w:ascii="宋体" w:hAnsi="宋体" w:cs="Times New Roman"/>
                <w:color w:val="auto"/>
                <w:szCs w:val="21"/>
                <w:highlight w:val="none"/>
                <w:shd w:val="clear" w:color="auto" w:fill="FFFFFF"/>
              </w:rPr>
              <w:t>；</w:t>
            </w:r>
          </w:p>
          <w:p w14:paraId="1D6AD102">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（4）配合结算定审和决算工作。</w:t>
            </w:r>
          </w:p>
        </w:tc>
      </w:tr>
      <w:tr w14:paraId="2B5DAB3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B074691">
            <w:pPr>
              <w:shd w:val="solid" w:color="FFFFFF" w:fill="auto"/>
              <w:autoSpaceDN w:val="0"/>
              <w:spacing w:line="276" w:lineRule="auto"/>
              <w:contextualSpacing/>
              <w:jc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p>
        </w:tc>
        <w:tc>
          <w:tcPr>
            <w:tcW w:w="1070" w:type="dxa"/>
            <w:tcBorders>
              <w:top w:val="single" w:color="000000" w:sz="4" w:space="0"/>
              <w:left w:val="nil"/>
              <w:bottom w:val="single" w:color="000000" w:sz="4" w:space="0"/>
              <w:right w:val="single" w:color="000000" w:sz="4" w:space="0"/>
            </w:tcBorders>
            <w:noWrap w:val="0"/>
            <w:vAlign w:val="center"/>
          </w:tcPr>
          <w:p w14:paraId="1B0390C0">
            <w:pPr>
              <w:shd w:val="solid" w:color="FFFFFF" w:fill="auto"/>
              <w:autoSpaceDN w:val="0"/>
              <w:spacing w:line="276" w:lineRule="auto"/>
              <w:contextualSpacing/>
              <w:jc w:val="center"/>
              <w:rPr>
                <w:rFonts w:ascii="宋体" w:hAnsi="宋体" w:cs="宋体"/>
                <w:color w:val="auto"/>
                <w:szCs w:val="21"/>
                <w:highlight w:val="none"/>
                <w:shd w:val="clear" w:color="auto" w:fill="FFFFFF"/>
              </w:rPr>
            </w:pPr>
            <w:r>
              <w:rPr>
                <w:rFonts w:hint="eastAsia" w:ascii="宋体" w:hAnsi="宋体" w:cs="宋体"/>
                <w:color w:val="auto"/>
                <w:kern w:val="0"/>
                <w:szCs w:val="21"/>
                <w:highlight w:val="none"/>
                <w:shd w:val="clear" w:color="auto" w:fill="FFFFFF"/>
              </w:rPr>
              <w:t>其他</w:t>
            </w:r>
          </w:p>
        </w:tc>
        <w:tc>
          <w:tcPr>
            <w:tcW w:w="7122" w:type="dxa"/>
            <w:tcBorders>
              <w:top w:val="single" w:color="000000" w:sz="4" w:space="0"/>
              <w:left w:val="nil"/>
              <w:bottom w:val="single" w:color="000000" w:sz="4" w:space="0"/>
              <w:right w:val="single" w:color="000000" w:sz="4" w:space="0"/>
            </w:tcBorders>
            <w:noWrap w:val="0"/>
            <w:vAlign w:val="center"/>
          </w:tcPr>
          <w:p w14:paraId="25DEB3DB">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（1）负责按招标人要求编制各类造价管理文件；</w:t>
            </w:r>
          </w:p>
          <w:p w14:paraId="43F6AE57">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（2）负责委托合同价格审核；</w:t>
            </w:r>
          </w:p>
          <w:p w14:paraId="6E5E2E7A">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（3）参与设计方案论证会议、技术经济方案比选、变更论证等专题会，提出造价专业意见；督促落实各阶段、各专业工程造价限额设计量化指标；</w:t>
            </w:r>
          </w:p>
          <w:p w14:paraId="597D9797">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（4）负责组织相关造价控制评审会议，包括邀请相应的经济专家。视情况邀请高级经济顾问对造价问题进行咨询把关；</w:t>
            </w:r>
          </w:p>
          <w:p w14:paraId="21A67ED0">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（5）配合招标人编制详细的工程成本预测和资金流量预测分析，以作为进度和成本控制的目标；随设计的深入定期分析工程成本、定期修正资金流量预测；</w:t>
            </w:r>
          </w:p>
          <w:p w14:paraId="1877E63F">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（6）招标人安排的其他造价管理工作，如投资匡算、培训等；</w:t>
            </w:r>
          </w:p>
          <w:p w14:paraId="45172C37">
            <w:pPr>
              <w:widowControl/>
              <w:spacing w:line="276" w:lineRule="auto"/>
              <w:contextualSpacing/>
              <w:rPr>
                <w:rFonts w:ascii="宋体" w:hAnsi="宋体" w:cs="宋体"/>
                <w:color w:val="auto"/>
                <w:szCs w:val="21"/>
                <w:highlight w:val="none"/>
                <w:shd w:val="clear" w:color="auto" w:fill="FFFFFF"/>
              </w:rPr>
            </w:pPr>
            <w:r>
              <w:rPr>
                <w:rFonts w:hint="eastAsia" w:ascii="宋体" w:hAnsi="宋体" w:cs="宋体"/>
                <w:color w:val="auto"/>
                <w:kern w:val="0"/>
                <w:szCs w:val="21"/>
                <w:highlight w:val="none"/>
              </w:rPr>
              <w:t>（7）按要求配合项目审计工作。</w:t>
            </w:r>
          </w:p>
        </w:tc>
      </w:tr>
    </w:tbl>
    <w:p w14:paraId="7FD04701">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4.2服务质量要求</w:t>
      </w:r>
    </w:p>
    <w:p w14:paraId="54859AE8">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4.2.1.乙方应熟悉并严格按照国家、省、市有关财政、基建、工程造价方面的法律、法规，以及甲方工程造价管理业务制度要求，依据合同相关约定，本着有依有据、合法合规的原则，科学、客观、公正地开展造价咨询工作，乙方提供的</w:t>
      </w:r>
      <w:r>
        <w:rPr>
          <w:rFonts w:hint="eastAsia" w:ascii="宋体" w:hAnsi="宋体" w:cs="宋体"/>
          <w:color w:val="auto"/>
          <w:sz w:val="24"/>
          <w:szCs w:val="24"/>
          <w:highlight w:val="none"/>
        </w:rPr>
        <w:t>工程造价咨询成果文件</w:t>
      </w:r>
      <w:r>
        <w:rPr>
          <w:rFonts w:hint="eastAsia" w:ascii="宋体" w:hAnsi="宋体" w:cs="宋体"/>
          <w:color w:val="auto"/>
          <w:kern w:val="0"/>
          <w:sz w:val="24"/>
          <w:szCs w:val="24"/>
          <w:highlight w:val="none"/>
        </w:rPr>
        <w:t>应合理体现甲方控制项目投资的要求。</w:t>
      </w:r>
    </w:p>
    <w:p w14:paraId="6A01E2B4">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4.2.2.项目建设实行全过程限额设计和施工。概算金额应低于项目立项批复的估算金额</w:t>
      </w:r>
      <w:r>
        <w:rPr>
          <w:rFonts w:ascii="宋体" w:hAnsi="宋体" w:cs="宋体"/>
          <w:color w:val="auto"/>
          <w:kern w:val="0"/>
          <w:sz w:val="24"/>
          <w:szCs w:val="24"/>
          <w:highlight w:val="none"/>
        </w:rPr>
        <w:t>且低于投资估算评审金额</w:t>
      </w:r>
      <w:r>
        <w:rPr>
          <w:rFonts w:hint="eastAsia" w:ascii="宋体" w:hAnsi="宋体" w:cs="宋体"/>
          <w:color w:val="auto"/>
          <w:kern w:val="0"/>
          <w:sz w:val="24"/>
          <w:szCs w:val="24"/>
          <w:highlight w:val="none"/>
        </w:rPr>
        <w:t>。在不降低勘察设计任务书、初步设计文件、材料设备技术需求书中的主要设计指标（建筑高度、建筑面积等）的前提下，确保施工图预算不超过有权审核部门审定工程设计概算中的建安工程费总额。竣工结算总金额不得超出实际实施范围所对应的批复概算金额。</w:t>
      </w:r>
    </w:p>
    <w:p w14:paraId="7EFF7F8C">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4.2.3.</w:t>
      </w:r>
      <w:r>
        <w:rPr>
          <w:rFonts w:hint="eastAsia" w:ascii="宋体" w:hAnsi="宋体" w:cs="宋体"/>
          <w:color w:val="auto"/>
          <w:sz w:val="24"/>
          <w:szCs w:val="24"/>
          <w:highlight w:val="none"/>
        </w:rPr>
        <w:t>乙方</w:t>
      </w:r>
      <w:r>
        <w:rPr>
          <w:rFonts w:hint="eastAsia" w:ascii="宋体" w:hAnsi="宋体" w:cs="宋体"/>
          <w:color w:val="auto"/>
          <w:kern w:val="0"/>
          <w:sz w:val="24"/>
          <w:szCs w:val="24"/>
          <w:highlight w:val="none"/>
        </w:rPr>
        <w:t>应确保本工程</w:t>
      </w:r>
      <w:r>
        <w:rPr>
          <w:rFonts w:ascii="宋体" w:hAnsi="宋体" w:cs="宋体"/>
          <w:color w:val="auto"/>
          <w:kern w:val="0"/>
          <w:sz w:val="24"/>
          <w:szCs w:val="24"/>
          <w:highlight w:val="none"/>
        </w:rPr>
        <w:t>概算文件、</w:t>
      </w:r>
      <w:r>
        <w:rPr>
          <w:rFonts w:hint="eastAsia" w:ascii="宋体" w:hAnsi="宋体" w:cs="宋体"/>
          <w:color w:val="auto"/>
          <w:kern w:val="0"/>
          <w:sz w:val="24"/>
          <w:szCs w:val="24"/>
          <w:highlight w:val="none"/>
        </w:rPr>
        <w:t>施工图预算文件、招标工程量清单、招标控制价等的编制（审核）工作质量，开项必须齐全、工程量必须准确、造价必须合理，并满足工程投资控制和合同的约定。</w:t>
      </w:r>
    </w:p>
    <w:p w14:paraId="52019E88">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4.2.4.乙方提供的造价成果文件应包括并不限于：编制说明、造价文件（含软件版）、工程量计算书、经济指标分析表、主要设备材料价格表、主要材料设备定价依据文件（含询价文件等）、审核意见落实情况说明和修改对比表等。</w:t>
      </w:r>
    </w:p>
    <w:p w14:paraId="3F016D77">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4.2.5乙方至少要提供3个同类项目的技术经济指标供甲方做决策参考。乙方负责对造价成果（含施工图预算审核结果、招标工程量清单及控制价编制成果、设计变更及合同变更等）进行分析，对比同类项目，找出技术经济指标偏离内容及原因，及时修正，并提出合理化建议。</w:t>
      </w:r>
    </w:p>
    <w:p w14:paraId="22394421">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4.2.6.</w:t>
      </w:r>
      <w:r>
        <w:rPr>
          <w:rFonts w:hint="eastAsia" w:ascii="宋体" w:hAnsi="宋体" w:cs="宋体"/>
          <w:color w:val="auto"/>
          <w:sz w:val="24"/>
          <w:szCs w:val="24"/>
          <w:highlight w:val="none"/>
        </w:rPr>
        <w:t>乙方</w:t>
      </w:r>
      <w:r>
        <w:rPr>
          <w:rFonts w:hint="eastAsia" w:ascii="宋体" w:hAnsi="宋体" w:cs="宋体"/>
          <w:color w:val="auto"/>
          <w:kern w:val="0"/>
          <w:sz w:val="24"/>
          <w:szCs w:val="24"/>
          <w:highlight w:val="none"/>
        </w:rPr>
        <w:t>应建立健全内部控制制度、质量保证体系和档案管理制度，保证工程造价咨询成果文件的质量，对其完整性、真实性、准确性、有效性负责，并负有保密责任。</w:t>
      </w:r>
    </w:p>
    <w:p w14:paraId="77080867">
      <w:pPr>
        <w:widowControl/>
        <w:numPr>
          <w:ilvl w:val="3"/>
          <w:numId w:val="1"/>
        </w:numPr>
        <w:spacing w:line="360" w:lineRule="auto"/>
        <w:ind w:left="0" w:firstLine="48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确保工程造价咨询成果文件文字表达清晰、装订整齐。</w:t>
      </w:r>
    </w:p>
    <w:p w14:paraId="71227DA5">
      <w:pPr>
        <w:widowControl/>
        <w:numPr>
          <w:ilvl w:val="3"/>
          <w:numId w:val="1"/>
        </w:numPr>
        <w:spacing w:line="360" w:lineRule="auto"/>
        <w:ind w:left="0" w:firstLine="48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确保工程造价咨询成果文件均由专业造价师（造价员）编制，由技术负责人（包括项目总工、土建主管、机电主管）审核，由项目负责人或指挥长审定的三级审查制度。工程造价咨询成果文件的编制人应具有注册造价工程师执业资格或造价员从业资格，工程造价咨询成果文件的审核人、审定人应具有注册造价工程师执业资格。工程造价咨询成果文件的编制人、审核人、审定人应在工程造价咨询的成果文件上签署执业(或从业)资格专用印章，最终的成果文件需经项目指挥长或法定代表人签字并加盖公章。</w:t>
      </w:r>
    </w:p>
    <w:p w14:paraId="2261EA93">
      <w:pPr>
        <w:widowControl/>
        <w:numPr>
          <w:ilvl w:val="3"/>
          <w:numId w:val="1"/>
        </w:numPr>
        <w:spacing w:line="360" w:lineRule="auto"/>
        <w:ind w:left="0" w:firstLine="48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编制人应认真阅读、复核甲方提供书面资料的有效性、合规性，并应对自身所收集的工程计价基础资料和编制依据的全面性、真实性和适用性负责，全面进行工程的计量与计价，按工程造价咨询服务合同的要求编制工程造价咨询成果文件，并整理好工作过程文件。</w:t>
      </w:r>
    </w:p>
    <w:p w14:paraId="4486F9F6">
      <w:pPr>
        <w:widowControl/>
        <w:numPr>
          <w:ilvl w:val="3"/>
          <w:numId w:val="1"/>
        </w:numPr>
        <w:spacing w:line="360" w:lineRule="auto"/>
        <w:ind w:left="0" w:firstLine="48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审核人应进一步审核甲方提供的书面资料的有效性、合规性，编制人使用工程计价基础资料和编制依据的全面性、真实性和有效性，并应对相关工作做一定比例的复核，对错误的部分提出书面的修改和补充意见，修正、完善工程造价咨询成果文件，并整理好自身的工作过程文件和相关文件。</w:t>
      </w:r>
    </w:p>
    <w:p w14:paraId="7197F0CC">
      <w:pPr>
        <w:widowControl/>
        <w:numPr>
          <w:ilvl w:val="3"/>
          <w:numId w:val="1"/>
        </w:numPr>
        <w:spacing w:line="360" w:lineRule="auto"/>
        <w:ind w:left="0" w:firstLine="48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审定人应再次审核甲方提供的书面资料的有效性、合规性，编制人使用工程计价基础资料和编制依据的全面性、真实性和有效性，并应依据工程经济指标进行工程造价的合理性分析，对工程造价咨询质量进行整体控制。</w:t>
      </w:r>
    </w:p>
    <w:p w14:paraId="3635DF67">
      <w:pPr>
        <w:widowControl/>
        <w:numPr>
          <w:ilvl w:val="3"/>
          <w:numId w:val="1"/>
        </w:numPr>
        <w:spacing w:line="360" w:lineRule="auto"/>
        <w:ind w:left="0" w:firstLine="48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乙方应建立工程造价咨询项目档案，保证项目资料的完整，不得损坏、遗失项目资料。加强项目档案管理，及时做好已完成项目的资料移交和归档工作，妥善保管至报告出具之日起十年后。</w:t>
      </w:r>
    </w:p>
    <w:p w14:paraId="17AFFFCC">
      <w:pPr>
        <w:widowControl/>
        <w:numPr>
          <w:ilvl w:val="3"/>
          <w:numId w:val="1"/>
        </w:numPr>
        <w:spacing w:line="360" w:lineRule="auto"/>
        <w:ind w:left="0" w:firstLine="48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加强信息系统管理，及时建立电子信息台账；保证在甲方信息系统中录入或审核的工程造价相关信息及时、完整。</w:t>
      </w:r>
    </w:p>
    <w:p w14:paraId="78E71DCB">
      <w:pPr>
        <w:spacing w:line="360" w:lineRule="auto"/>
        <w:ind w:firstLine="420"/>
        <w:rPr>
          <w:rFonts w:hint="eastAsia" w:ascii="宋体" w:hAnsi="宋体" w:cs="宋体"/>
          <w:color w:val="auto"/>
          <w:sz w:val="24"/>
          <w:szCs w:val="24"/>
          <w:highlight w:val="none"/>
        </w:rPr>
      </w:pPr>
      <w:r>
        <w:rPr>
          <w:rFonts w:ascii="宋体" w:hAnsi="宋体" w:cs="宋体"/>
          <w:color w:val="auto"/>
          <w:sz w:val="24"/>
          <w:szCs w:val="24"/>
          <w:highlight w:val="none"/>
        </w:rPr>
        <w:t>4.2.7预算及招标控制价偏差在±4%以内；竣工结算审核偏差在±4%以内；单项费用偏差±4%以内；单项工程量偏差在±5%以内；新增主材偏差在±20%以内。</w:t>
      </w:r>
      <w:r>
        <w:rPr>
          <w:rFonts w:hint="eastAsia" w:ascii="宋体" w:hAnsi="宋体" w:cs="宋体"/>
          <w:color w:val="auto"/>
          <w:sz w:val="24"/>
          <w:szCs w:val="24"/>
          <w:highlight w:val="none"/>
        </w:rPr>
        <w:t>数据汇总、合同变更费用计算、结算评审结果准确。</w:t>
      </w:r>
    </w:p>
    <w:p w14:paraId="3D088135">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4.3服务进度要求</w:t>
      </w:r>
    </w:p>
    <w:p w14:paraId="197285E9">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4.3.1.</w:t>
      </w:r>
      <w:r>
        <w:rPr>
          <w:rFonts w:hint="eastAsia" w:ascii="宋体" w:hAnsi="宋体" w:cs="宋体"/>
          <w:color w:val="auto"/>
          <w:sz w:val="24"/>
          <w:szCs w:val="24"/>
          <w:highlight w:val="none"/>
        </w:rPr>
        <w:t>乙方</w:t>
      </w:r>
      <w:r>
        <w:rPr>
          <w:rFonts w:hint="eastAsia" w:ascii="宋体" w:hAnsi="宋体" w:cs="宋体"/>
          <w:color w:val="auto"/>
          <w:kern w:val="0"/>
          <w:sz w:val="24"/>
          <w:szCs w:val="24"/>
          <w:highlight w:val="none"/>
        </w:rPr>
        <w:t>应对甲方提供资料的完整性、严谨性把关，对因范围不清晰、图纸不详导致基本工程量难以计算等情况，应在收到资料后2个工作日内向甲方提出资料补充要求。因乙方未能在上述时间内提出要求而造成编审进度延误或其他损失的均由乙方自行承担全部责任。</w:t>
      </w:r>
    </w:p>
    <w:p w14:paraId="79C7F3BF">
      <w:pPr>
        <w:spacing w:line="360" w:lineRule="auto"/>
        <w:ind w:firstLine="420"/>
        <w:rPr>
          <w:rFonts w:ascii="宋体" w:hAnsi="宋体" w:cs="宋体"/>
          <w:color w:val="auto"/>
          <w:sz w:val="24"/>
          <w:szCs w:val="24"/>
          <w:highlight w:val="none"/>
        </w:rPr>
      </w:pPr>
      <w:r>
        <w:rPr>
          <w:rFonts w:hint="eastAsia" w:ascii="宋体" w:hAnsi="宋体" w:cs="宋体"/>
          <w:bCs/>
          <w:color w:val="auto"/>
          <w:sz w:val="24"/>
          <w:szCs w:val="24"/>
          <w:highlight w:val="none"/>
        </w:rPr>
        <w:t>4.3.2.各项服务内容的</w:t>
      </w:r>
      <w:r>
        <w:rPr>
          <w:rFonts w:hint="eastAsia" w:ascii="宋体" w:hAnsi="宋体" w:cs="宋体"/>
          <w:color w:val="auto"/>
          <w:kern w:val="0"/>
          <w:sz w:val="24"/>
          <w:szCs w:val="24"/>
          <w:highlight w:val="none"/>
        </w:rPr>
        <w:t>工作时间</w:t>
      </w:r>
      <w:r>
        <w:rPr>
          <w:rFonts w:hint="eastAsia" w:ascii="宋体" w:hAnsi="宋体" w:cs="宋体"/>
          <w:bCs/>
          <w:color w:val="auto"/>
          <w:sz w:val="24"/>
          <w:szCs w:val="24"/>
          <w:highlight w:val="none"/>
        </w:rPr>
        <w:t>要求（如有）（以下天数指日历天数）</w:t>
      </w:r>
    </w:p>
    <w:p w14:paraId="20267324">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（1）电子版审核说明由项目负责人发送甲方，纸质版审核说明在收到甲方通知后2天内提交；除特别说明外，纸质版工作成果文件均应提交一式六份（下同）。</w:t>
      </w:r>
    </w:p>
    <w:p w14:paraId="49C741AD">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招标工程量清单、最高投标限价编制：公告中招标工程量清单、最高投标限价自收到甲方通知起10日内出具，终版招标工程量清单、最高投标限价自收到完整资料起完成时间为：最高投标限价在3000万元以内的20天，3000万元-2亿元的25天，2亿元以上的30天，特殊情况经批准后延长时间不超过10天。</w:t>
      </w:r>
    </w:p>
    <w:p w14:paraId="1603DD46">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（3）招标文件（含澄清答疑）审核：自收到资料起2天内出具电子版审核说明。</w:t>
      </w:r>
    </w:p>
    <w:p w14:paraId="57657A4F">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（4）清标报告：自收到中标人投标文件5天内出具电子版审核说明。</w:t>
      </w:r>
      <w:r>
        <w:rPr>
          <w:rFonts w:hint="eastAsia" w:ascii="宋体" w:hAnsi="宋体" w:cs="宋体"/>
          <w:color w:val="auto"/>
          <w:kern w:val="0"/>
          <w:sz w:val="24"/>
          <w:szCs w:val="24"/>
          <w:highlight w:val="none"/>
          <w:lang w:bidi="ar"/>
        </w:rPr>
        <w:t xml:space="preserve">施工图纸下发后30天内呈批施工图预算清标报告。 </w:t>
      </w:r>
    </w:p>
    <w:p w14:paraId="2DAE81E4">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lang w:bidi="ar"/>
        </w:rPr>
        <w:t>新增主材单价审核</w:t>
      </w:r>
      <w:r>
        <w:rPr>
          <w:rFonts w:hint="eastAsia" w:ascii="宋体" w:hAnsi="宋体" w:cs="宋体"/>
          <w:color w:val="auto"/>
          <w:kern w:val="0"/>
          <w:sz w:val="24"/>
          <w:szCs w:val="24"/>
          <w:highlight w:val="none"/>
          <w:lang w:bidi="ar"/>
        </w:rPr>
        <w:t>：自收到资料起5个工作日内完成审核；特殊情况经批准后延长时间不超过10天；争议问题由乙方项目指挥长或法定代表人主持专题会议解决。</w:t>
      </w:r>
    </w:p>
    <w:p w14:paraId="2567391E">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（6）变更签证</w:t>
      </w:r>
      <w:r>
        <w:rPr>
          <w:rFonts w:ascii="宋体" w:hAnsi="宋体" w:cs="宋体"/>
          <w:color w:val="auto"/>
          <w:kern w:val="0"/>
          <w:sz w:val="24"/>
          <w:szCs w:val="24"/>
          <w:highlight w:val="none"/>
        </w:rPr>
        <w:t>及</w:t>
      </w:r>
      <w:r>
        <w:rPr>
          <w:rFonts w:hint="eastAsia" w:ascii="宋体" w:hAnsi="宋体" w:cs="宋体"/>
          <w:color w:val="auto"/>
          <w:kern w:val="0"/>
          <w:sz w:val="24"/>
          <w:szCs w:val="24"/>
          <w:highlight w:val="none"/>
        </w:rPr>
        <w:t>合同费用（含委托合同、检测费用</w:t>
      </w:r>
      <w:r>
        <w:rPr>
          <w:rFonts w:ascii="宋体" w:hAnsi="宋体" w:cs="宋体"/>
          <w:color w:val="auto"/>
          <w:kern w:val="0"/>
          <w:sz w:val="24"/>
          <w:szCs w:val="24"/>
          <w:highlight w:val="none"/>
        </w:rPr>
        <w:t>等</w:t>
      </w:r>
      <w:r>
        <w:rPr>
          <w:rFonts w:hint="eastAsia" w:ascii="宋体" w:hAnsi="宋体" w:cs="宋体"/>
          <w:color w:val="auto"/>
          <w:kern w:val="0"/>
          <w:sz w:val="24"/>
          <w:szCs w:val="24"/>
          <w:highlight w:val="none"/>
        </w:rPr>
        <w:t>）编制或审核：30万元以内的</w:t>
      </w:r>
      <w:r>
        <w:rPr>
          <w:rFonts w:hint="eastAsia" w:ascii="宋体" w:hAnsi="宋体" w:cs="宋体"/>
          <w:color w:val="auto"/>
          <w:sz w:val="24"/>
          <w:szCs w:val="24"/>
          <w:highlight w:val="none"/>
          <w:lang w:bidi="ar"/>
        </w:rPr>
        <w:t>2个工作日</w:t>
      </w:r>
      <w:r>
        <w:rPr>
          <w:rFonts w:hint="eastAsia" w:ascii="宋体" w:hAnsi="宋体" w:cs="宋体"/>
          <w:color w:val="auto"/>
          <w:kern w:val="0"/>
          <w:sz w:val="24"/>
          <w:szCs w:val="24"/>
          <w:highlight w:val="none"/>
        </w:rPr>
        <w:t>，30万元以上的</w:t>
      </w:r>
      <w:r>
        <w:rPr>
          <w:rFonts w:hint="eastAsia" w:ascii="宋体" w:hAnsi="宋体" w:cs="宋体"/>
          <w:color w:val="auto"/>
          <w:sz w:val="24"/>
          <w:szCs w:val="24"/>
          <w:highlight w:val="none"/>
          <w:lang w:bidi="ar"/>
        </w:rPr>
        <w:t>3个工作日</w:t>
      </w:r>
      <w:r>
        <w:rPr>
          <w:rFonts w:hint="eastAsia" w:ascii="宋体" w:hAnsi="宋体" w:cs="宋体"/>
          <w:color w:val="auto"/>
          <w:kern w:val="0"/>
          <w:sz w:val="24"/>
          <w:szCs w:val="24"/>
          <w:highlight w:val="none"/>
        </w:rPr>
        <w:t>，特殊情况经批准后延长时间不超过</w:t>
      </w:r>
      <w:r>
        <w:rPr>
          <w:rFonts w:hint="eastAsia" w:ascii="宋体" w:hAnsi="宋体" w:cs="宋体"/>
          <w:color w:val="auto"/>
          <w:sz w:val="24"/>
          <w:szCs w:val="24"/>
          <w:highlight w:val="none"/>
          <w:lang w:bidi="ar"/>
        </w:rPr>
        <w:t>5个工作日</w:t>
      </w:r>
      <w:r>
        <w:rPr>
          <w:rFonts w:hint="eastAsia" w:ascii="宋体" w:hAnsi="宋体" w:cs="宋体"/>
          <w:color w:val="auto"/>
          <w:kern w:val="0"/>
          <w:sz w:val="24"/>
          <w:szCs w:val="24"/>
          <w:highlight w:val="none"/>
        </w:rPr>
        <w:t>，电子版审核说明提前</w:t>
      </w:r>
      <w:r>
        <w:rPr>
          <w:rFonts w:hint="eastAsia" w:ascii="宋体" w:hAnsi="宋体" w:cs="宋体"/>
          <w:color w:val="auto"/>
          <w:sz w:val="24"/>
          <w:szCs w:val="24"/>
          <w:highlight w:val="none"/>
          <w:lang w:bidi="ar"/>
        </w:rPr>
        <w:t>1天</w:t>
      </w:r>
      <w:r>
        <w:rPr>
          <w:rFonts w:hint="eastAsia" w:ascii="宋体" w:hAnsi="宋体" w:cs="宋体"/>
          <w:color w:val="auto"/>
          <w:kern w:val="0"/>
          <w:sz w:val="24"/>
          <w:szCs w:val="24"/>
          <w:highlight w:val="none"/>
        </w:rPr>
        <w:t>出具，争议问题由乙方项目指挥长或法定代表人主持专题会议解决。</w:t>
      </w:r>
    </w:p>
    <w:p w14:paraId="054EFE5E">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）结算文件：自收到结算文件起出具结算审核报告时间为：</w:t>
      </w:r>
      <w:r>
        <w:rPr>
          <w:rFonts w:hint="eastAsia" w:ascii="宋体" w:hAnsi="宋体" w:cs="宋体"/>
          <w:color w:val="auto"/>
          <w:sz w:val="24"/>
          <w:szCs w:val="24"/>
          <w:highlight w:val="none"/>
          <w:lang w:bidi="ar"/>
        </w:rPr>
        <w:t>施工、采购类：大型合同30日内、中型合同20日内、小型合同15日内，非施工</w:t>
      </w:r>
      <w:r>
        <w:rPr>
          <w:rFonts w:ascii="宋体" w:hAnsi="宋体" w:cs="宋体"/>
          <w:color w:val="auto"/>
          <w:sz w:val="24"/>
          <w:szCs w:val="24"/>
          <w:highlight w:val="none"/>
          <w:lang w:bidi="ar"/>
        </w:rPr>
        <w:t>非采购</w:t>
      </w:r>
      <w:r>
        <w:rPr>
          <w:rFonts w:hint="eastAsia" w:ascii="宋体" w:hAnsi="宋体" w:cs="宋体"/>
          <w:color w:val="auto"/>
          <w:sz w:val="24"/>
          <w:szCs w:val="24"/>
          <w:highlight w:val="none"/>
          <w:lang w:bidi="ar"/>
        </w:rPr>
        <w:t>类合同10日内</w:t>
      </w:r>
      <w:r>
        <w:rPr>
          <w:rFonts w:ascii="宋体" w:hAnsi="宋体" w:cs="宋体"/>
          <w:color w:val="auto"/>
          <w:sz w:val="24"/>
          <w:szCs w:val="24"/>
          <w:highlight w:val="none"/>
          <w:lang w:bidi="ar"/>
        </w:rPr>
        <w:t>。</w:t>
      </w:r>
      <w:r>
        <w:rPr>
          <w:rFonts w:hint="eastAsia" w:ascii="宋体" w:hAnsi="宋体" w:cs="宋体"/>
          <w:color w:val="auto"/>
          <w:sz w:val="24"/>
          <w:szCs w:val="24"/>
          <w:highlight w:val="none"/>
          <w:lang w:bidi="ar"/>
        </w:rPr>
        <w:t>合同类型划分标准是：项目投资额在1亿元以上（不含1亿元）的为大型合同，3000万-1亿元（含1亿元）为中型合同，3000万元以下（含3000万元）的为小型合同。其他详见《广州市重点公共建设项目管理中心建设项目合同结算组织管理办法（2024年版）》。</w:t>
      </w:r>
    </w:p>
    <w:p w14:paraId="320A3B47">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4.3.3.以上工作期限为正常的工作期限，特急项目的工作期限由甲方根据实际情况确定，但最短不少于1天；其他咨询服务工作由甲方视具体情况确定；对于甲方提出的疑问，乙方应在24小时内给予答复。</w:t>
      </w:r>
    </w:p>
    <w:p w14:paraId="47B562A2">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4.4服务人员要求</w:t>
      </w:r>
    </w:p>
    <w:p w14:paraId="4928A67E">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4.4.1</w:t>
      </w:r>
      <w:r>
        <w:rPr>
          <w:rFonts w:hint="eastAsia" w:ascii="宋体" w:hAnsi="宋体" w:cs="宋体"/>
          <w:color w:val="auto"/>
          <w:sz w:val="24"/>
          <w:szCs w:val="24"/>
          <w:highlight w:val="none"/>
        </w:rPr>
        <w:t>为本项目提供工程造价咨询服务的具体人员详见附件4</w:t>
      </w:r>
      <w:r>
        <w:rPr>
          <w:rFonts w:hint="eastAsia" w:ascii="宋体" w:hAnsi="宋体" w:cs="宋体"/>
          <w:color w:val="auto"/>
          <w:szCs w:val="21"/>
          <w:highlight w:val="none"/>
        </w:rPr>
        <w:t>。</w:t>
      </w:r>
    </w:p>
    <w:p w14:paraId="759B172F">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4.4.2乙方在投标文件《拟投入本项目造价人员一览表》中配备的人员在通过甲方的面试考核后方可确定为本项目的工程造价咨询服务人员，乙方不得擅自更换已确定为本项目的造价咨询服务人员。确因特殊情况需要更换时，应提前书面提出更换人员的原因及更换人员的名单，更换人员的资质、资历、职称、实际工作能力等应不低于投标文件中所承诺人员的素质，同时乙方应按合同约定承担违约责任，但乙方有合法理由（如服务人员因死亡、重大疾病等原因导致不能履行职责）提出申请并经甲方批准更换相关人员的，乙方可不承担违约责任。 </w:t>
      </w:r>
    </w:p>
    <w:p w14:paraId="1F3C0710">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4.4.3本项目造价咨询工作必须由上述人员完成。当乙方工作进度不满足甲方要求时，甲方有权要求乙方上述人员驻场办公，必要时，乙方应按甲方要求增加或更换相关人员，直至整改完毕。</w:t>
      </w:r>
    </w:p>
    <w:p w14:paraId="3C0F2CE5">
      <w:pPr>
        <w:spacing w:line="360" w:lineRule="auto"/>
        <w:ind w:firstLine="42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4.4.4项目负责人应全面熟悉项目情况，乙方应安排部门经理以上人员（项目指挥长（如有）、项目负责人、技术负责人（项目总工））中的至少1位带队参加会议、完成对数工作。</w:t>
      </w:r>
    </w:p>
    <w:p w14:paraId="458B8AA2">
      <w:pPr>
        <w:spacing w:line="360" w:lineRule="auto"/>
        <w:ind w:firstLine="420"/>
        <w:rPr>
          <w:rFonts w:hint="eastAsia" w:ascii="宋体" w:hAnsi="宋体" w:cs="宋体"/>
          <w:color w:val="auto"/>
          <w:kern w:val="0"/>
          <w:sz w:val="24"/>
          <w:szCs w:val="24"/>
          <w:highlight w:val="none"/>
        </w:rPr>
      </w:pPr>
      <w:r>
        <w:rPr>
          <w:rFonts w:ascii="宋体" w:hAnsi="宋体" w:cs="宋体"/>
          <w:color w:val="auto"/>
          <w:kern w:val="0"/>
          <w:sz w:val="24"/>
          <w:szCs w:val="24"/>
          <w:highlight w:val="none"/>
        </w:rPr>
        <w:t>4.4.5</w:t>
      </w:r>
      <w:r>
        <w:rPr>
          <w:rFonts w:hint="eastAsia" w:ascii="宋体" w:hAnsi="宋体" w:cs="宋体"/>
          <w:color w:val="auto"/>
          <w:kern w:val="0"/>
          <w:sz w:val="24"/>
          <w:szCs w:val="24"/>
          <w:highlight w:val="none"/>
        </w:rPr>
        <w:t>驻场服务要求：</w:t>
      </w:r>
    </w:p>
    <w:p w14:paraId="7EE4DE82">
      <w:pPr>
        <w:spacing w:line="360" w:lineRule="auto"/>
        <w:ind w:firstLine="420"/>
        <w:rPr>
          <w:rFonts w:hint="eastAsia" w:ascii="宋体" w:hAnsi="宋体" w:cs="宋体"/>
          <w:strike/>
          <w:color w:val="auto"/>
          <w:kern w:val="0"/>
          <w:sz w:val="24"/>
          <w:szCs w:val="24"/>
          <w:highlight w:val="none"/>
        </w:rPr>
      </w:pPr>
      <w:r>
        <w:rPr>
          <w:rFonts w:hint="eastAsia"/>
          <w:color w:val="auto"/>
          <w:highlight w:val="none"/>
          <w:lang w:bidi="ar"/>
        </w:rPr>
        <w:t>若乙方承接甲方的造价咨询业务合同额金额累计达到</w:t>
      </w:r>
      <w:r>
        <w:rPr>
          <w:color w:val="auto"/>
          <w:highlight w:val="none"/>
          <w:lang w:bidi="ar"/>
        </w:rPr>
        <w:t>200</w:t>
      </w:r>
      <w:r>
        <w:rPr>
          <w:rFonts w:hint="eastAsia"/>
          <w:color w:val="auto"/>
          <w:highlight w:val="none"/>
          <w:lang w:bidi="ar"/>
        </w:rPr>
        <w:t>万元或以上的，按</w:t>
      </w:r>
      <w:r>
        <w:rPr>
          <w:color w:val="auto"/>
          <w:highlight w:val="none"/>
          <w:lang w:bidi="ar"/>
        </w:rPr>
        <w:t>200</w:t>
      </w:r>
      <w:r>
        <w:rPr>
          <w:rFonts w:hint="eastAsia"/>
          <w:color w:val="auto"/>
          <w:highlight w:val="none"/>
          <w:lang w:bidi="ar"/>
        </w:rPr>
        <w:t>万元</w:t>
      </w:r>
      <w:r>
        <w:rPr>
          <w:color w:val="auto"/>
          <w:highlight w:val="none"/>
          <w:lang w:bidi="ar"/>
        </w:rPr>
        <w:t>/</w:t>
      </w:r>
      <w:r>
        <w:rPr>
          <w:rFonts w:hint="eastAsia"/>
          <w:color w:val="auto"/>
          <w:highlight w:val="none"/>
          <w:lang w:bidi="ar"/>
        </w:rPr>
        <w:t>人</w:t>
      </w:r>
      <w:r>
        <w:rPr>
          <w:color w:val="auto"/>
          <w:highlight w:val="none"/>
          <w:lang w:bidi="ar"/>
        </w:rPr>
        <w:t>/</w:t>
      </w:r>
      <w:r>
        <w:rPr>
          <w:rFonts w:hint="eastAsia"/>
          <w:color w:val="auto"/>
          <w:highlight w:val="none"/>
          <w:lang w:bidi="ar"/>
        </w:rPr>
        <w:t>年的标准派驻驻场服务人员。派出的驻场服务人员（造价工作经验不少于</w:t>
      </w:r>
      <w:r>
        <w:rPr>
          <w:color w:val="auto"/>
          <w:highlight w:val="none"/>
          <w:lang w:bidi="ar"/>
        </w:rPr>
        <w:t>3</w:t>
      </w:r>
      <w:r>
        <w:rPr>
          <w:rFonts w:hint="eastAsia"/>
          <w:color w:val="auto"/>
          <w:highlight w:val="none"/>
          <w:lang w:bidi="ar"/>
        </w:rPr>
        <w:t>年）经甲方面试同意后提供驻场服务，驻场人员应服从甲方的工作安排和管理，由甲方负责考勤，未经同意不得离开；驻场人员的相关费用已包含在服务报酬中，其薪资福利费用由乙方自行承担。</w:t>
      </w:r>
      <w:r>
        <w:rPr>
          <w:rFonts w:ascii="宋体" w:hAnsi="宋体" w:cs="宋体"/>
          <w:color w:val="auto"/>
          <w:sz w:val="24"/>
          <w:szCs w:val="24"/>
          <w:highlight w:val="none"/>
        </w:rPr>
        <w:t xml:space="preserve"> </w:t>
      </w:r>
    </w:p>
    <w:p w14:paraId="6A2E55FC">
      <w:pPr>
        <w:spacing w:line="360" w:lineRule="auto"/>
        <w:ind w:firstLine="42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4.4.</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乙方所派出的服务本项目的造价咨询专业人员必须勤勉尽责，恪守职业道德，本着热情服务、秉公办事、廉洁自律的原则开展工作。如出现服务人员未按照合同履行职责，或与第三方串通造成经济损失，或不服从工作安排，不满足工作要求，不遵守管理制度，服务态度恶劣，不胜任工作等情形的，乙方应在接到甲方通知后3天内予以撤换，所调换人员的资质、资历、职称、实际工作能力等应不低于投标文件中所承诺人员的素质且需按合同约定承担违约责任。</w:t>
      </w:r>
    </w:p>
    <w:p w14:paraId="22CC084B">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4.5其它服务要求</w:t>
      </w:r>
    </w:p>
    <w:p w14:paraId="2F136308">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4.5.1乙方须遵守甲方各项规章制度和廉政纪律要求，无条件配合甲方的复核、复审和考核等工作。</w:t>
      </w:r>
    </w:p>
    <w:p w14:paraId="352DD74F">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4.5.2乙方须具备保障开展工作所需要的交通工具、办公设备和造价审核管理软件等。</w:t>
      </w:r>
    </w:p>
    <w:p w14:paraId="7AE0D1B5">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4.5.3乙方应独立完成合同约定的造价咨询服务，未经甲方同意不得将工作内容另行委托第三方实施；对有特殊技术要求的咨询服务项目，需聘请相关专家共同完成咨询服务的，应事先征得甲方同意。未经甲方同意，乙方不得以任何形式向任何单位或个人披露审核项目的相关信息，不得对外提供、泄露相关审核情况。</w:t>
      </w:r>
    </w:p>
    <w:p w14:paraId="7C43FF77">
      <w:pPr>
        <w:widowControl/>
        <w:spacing w:line="360" w:lineRule="auto"/>
        <w:ind w:firstLine="200"/>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五、甲方的权利和义务</w:t>
      </w:r>
    </w:p>
    <w:p w14:paraId="50049C18">
      <w:pPr>
        <w:widowControl/>
        <w:spacing w:line="360" w:lineRule="auto"/>
        <w:contextualSpacing/>
        <w:jc w:val="left"/>
        <w:rPr>
          <w:rFonts w:ascii="宋体" w:hAnsi="宋体" w:cs="宋体"/>
          <w:b/>
          <w:color w:val="auto"/>
          <w:sz w:val="24"/>
          <w:szCs w:val="24"/>
          <w:highlight w:val="none"/>
        </w:rPr>
      </w:pPr>
      <w:r>
        <w:rPr>
          <w:rFonts w:hint="eastAsia" w:ascii="宋体" w:hAnsi="宋体" w:cs="宋体"/>
          <w:b/>
          <w:color w:val="auto"/>
          <w:sz w:val="24"/>
          <w:szCs w:val="24"/>
          <w:highlight w:val="none"/>
        </w:rPr>
        <w:t>5.1甲方的权利</w:t>
      </w:r>
    </w:p>
    <w:p w14:paraId="4CE8D813">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5.1.1甲方有权向乙方询问工作进展情况及相关的内容，并要求乙方提交造价咨询服务业务范围内的专项报告。</w:t>
      </w:r>
    </w:p>
    <w:p w14:paraId="2F03C333">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5.1.2甲方有权阐述对具体问题的意见和建议。</w:t>
      </w:r>
    </w:p>
    <w:p w14:paraId="37BD3299">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5.1.3乙方派出的项目技术负责人、专业造价工作人员或驻场服务人员未能满足甲方要求时，甲方有权要求乙方更换相关人员，乙方应在收到甲方通知之日起3个日历天内按甲方要求完成更换。</w:t>
      </w:r>
    </w:p>
    <w:p w14:paraId="7DF1CD8C">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5.1.4当甲方认定乙方派出的项目技术负责人、专业造价工作人员或驻场服务人员不按合同履行其职责，或与第三人串通给甲方造成经济损失的，甲方有权要求乙方更换相关人员，乙方应在收到甲方通知之日起3个日历天内按甲方要求完成更换。情况严重的，甲方可以单方面解除合同并要求乙方承担相应的赔偿责任。</w:t>
      </w:r>
    </w:p>
    <w:p w14:paraId="76878EDE">
      <w:pPr>
        <w:widowControl/>
        <w:spacing w:line="360" w:lineRule="auto"/>
        <w:contextualSpacing/>
        <w:jc w:val="left"/>
        <w:rPr>
          <w:rFonts w:ascii="宋体" w:hAnsi="宋体" w:cs="宋体"/>
          <w:b/>
          <w:color w:val="auto"/>
          <w:sz w:val="24"/>
          <w:szCs w:val="24"/>
          <w:highlight w:val="none"/>
        </w:rPr>
      </w:pPr>
      <w:r>
        <w:rPr>
          <w:rFonts w:hint="eastAsia" w:ascii="宋体" w:hAnsi="宋体" w:cs="宋体"/>
          <w:b/>
          <w:color w:val="auto"/>
          <w:sz w:val="24"/>
          <w:szCs w:val="24"/>
          <w:highlight w:val="none"/>
        </w:rPr>
        <w:t>5.2甲方的义务</w:t>
      </w:r>
    </w:p>
    <w:p w14:paraId="0DC79BAA">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5.2.1甲方应负责与本合同约定项目造价咨询服务有关的第三人的协调。</w:t>
      </w:r>
    </w:p>
    <w:p w14:paraId="02F3C2BD">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5.2.2甲方应及时将所拥有的且是乙方实施本合同约定项目造价咨询服务所必需的有关资料提供给乙方。</w:t>
      </w:r>
    </w:p>
    <w:p w14:paraId="23C56A0D">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5.2.3甲方应在3个工作日内对乙方书面提交并要求做出答复的事宜做出书面答复。乙方要求第三人提供有关资料时，甲方应负责转达及资料转送。</w:t>
      </w:r>
    </w:p>
    <w:p w14:paraId="22511A51">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5.2.4甲方指定</w:t>
      </w:r>
      <w:r>
        <w:rPr>
          <w:rFonts w:hint="eastAsia" w:ascii="宋体" w:hAnsi="宋体" w:cs="宋体"/>
          <w:color w:val="auto"/>
          <w:sz w:val="24"/>
          <w:szCs w:val="24"/>
          <w:highlight w:val="none"/>
          <w:u w:val="single"/>
        </w:rPr>
        <w:t>（联系电话：         ）</w:t>
      </w:r>
      <w:r>
        <w:rPr>
          <w:rFonts w:hint="eastAsia" w:ascii="宋体" w:hAnsi="宋体" w:cs="宋体"/>
          <w:color w:val="auto"/>
          <w:sz w:val="24"/>
          <w:szCs w:val="24"/>
          <w:highlight w:val="none"/>
        </w:rPr>
        <w:t>为联系人，负责与乙方联系。</w:t>
      </w:r>
    </w:p>
    <w:p w14:paraId="289F5AA4">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5.3甲方其它权利和义务详见甲方造价管理制度及项目管理要求。</w:t>
      </w:r>
    </w:p>
    <w:p w14:paraId="2407EDF7">
      <w:pPr>
        <w:widowControl/>
        <w:spacing w:line="360" w:lineRule="auto"/>
        <w:ind w:firstLine="200"/>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六、乙方的权利和义务</w:t>
      </w:r>
    </w:p>
    <w:p w14:paraId="1FBCCF3F">
      <w:pPr>
        <w:spacing w:line="360" w:lineRule="auto"/>
        <w:ind w:firstLine="420"/>
        <w:rPr>
          <w:rFonts w:ascii="宋体" w:hAnsi="宋体" w:cs="宋体"/>
          <w:b/>
          <w:color w:val="auto"/>
          <w:sz w:val="24"/>
          <w:szCs w:val="24"/>
          <w:highlight w:val="none"/>
        </w:rPr>
      </w:pPr>
      <w:r>
        <w:rPr>
          <w:rFonts w:hint="eastAsia" w:ascii="宋体" w:hAnsi="宋体" w:cs="宋体"/>
          <w:b/>
          <w:color w:val="auto"/>
          <w:sz w:val="24"/>
          <w:szCs w:val="24"/>
          <w:highlight w:val="none"/>
        </w:rPr>
        <w:t>6.1乙方的权利</w:t>
      </w:r>
    </w:p>
    <w:p w14:paraId="712E1C3C">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6.1.1服务期限内，乙方有到工程现场勘察的权利。</w:t>
      </w:r>
    </w:p>
    <w:p w14:paraId="75E4FD74">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6.1.2乙方有权按照本合同约定获得服务报酬。</w:t>
      </w:r>
    </w:p>
    <w:p w14:paraId="0EEE3E54">
      <w:pPr>
        <w:spacing w:line="360" w:lineRule="auto"/>
        <w:ind w:firstLine="420"/>
        <w:rPr>
          <w:rFonts w:ascii="宋体" w:hAnsi="宋体" w:cs="宋体"/>
          <w:b/>
          <w:color w:val="auto"/>
          <w:sz w:val="24"/>
          <w:szCs w:val="24"/>
          <w:highlight w:val="none"/>
        </w:rPr>
      </w:pPr>
      <w:r>
        <w:rPr>
          <w:rFonts w:hint="eastAsia" w:ascii="宋体" w:hAnsi="宋体" w:cs="宋体"/>
          <w:b/>
          <w:color w:val="auto"/>
          <w:sz w:val="24"/>
          <w:szCs w:val="24"/>
          <w:highlight w:val="none"/>
        </w:rPr>
        <w:t>6.2乙方的义务</w:t>
      </w:r>
    </w:p>
    <w:p w14:paraId="6647B428">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6.2.1乙方应依据《工程造价咨询企业管理办法》（中华人民共和国建设部令第149号、中华人民共和国住房和城乡建设部令第50号）、《注册造价工程师管理办法》（中华人民共和国建设部令第150号、中华人民共和国住房和城乡建设部令第50号）、《国务院办公厅关于科学绿化的指导意见》（国办发〔2021〕19号）、《广东省人民政府办公厅关于科学绿化的实施意见》（粤府办【2021】48号）、《广州市关于科学绿化的实施意见》（穗办【2021】11号）和《广州市绿化条例》等国家、广东省、广州市相关规定与本合同约定以及甲方要求实施本合同项下的咨询服务工作、提交工作成果。</w:t>
      </w:r>
    </w:p>
    <w:p w14:paraId="48F70E91">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6.2.2乙方应按本合同约定派出项目技术负责人和专业造价工作人员，并按照甲方要求在甲方指定地点办公，为甲方提供全方位服务，保证造价咨询工作顺利进行。</w:t>
      </w:r>
    </w:p>
    <w:p w14:paraId="7AFE21A9">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6.2.3服务期限内，乙方发现甲方提供的资料有缺陷、不明确或存在相互矛盾的，应及时书面通知甲方。</w:t>
      </w:r>
    </w:p>
    <w:p w14:paraId="2916E1C8">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6.2.4乙方在履行合同过程中接触到的甲方的文件、资料、信息，均应以绝密件对待；未经甲方书面同意，不得提供给第三人，不得用于本合同以外的其他目的。</w:t>
      </w:r>
    </w:p>
    <w:p w14:paraId="1C56FE43">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6.2.5未经甲方的书面同意，乙方不得转让本合同约定的权利和义务。</w:t>
      </w:r>
    </w:p>
    <w:p w14:paraId="6271AA77">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6.2.6乙方不得从事或参与可能损害甲方利益的任何活动。</w:t>
      </w:r>
    </w:p>
    <w:p w14:paraId="15544826">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6.2.7未经甲方书面同意，乙方不得更换其派出技术负责人、专业造价工作人员及驻场服务人员。</w:t>
      </w:r>
    </w:p>
    <w:p w14:paraId="5AE00B5F">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6.2.8乙方应当在3个工作日内对甲方或第三人书面提出并要求做出答复的事宜做出书面答复。</w:t>
      </w:r>
    </w:p>
    <w:p w14:paraId="6FAE54C4">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6.2.9乙方应严格按照合同约定及甲方相关管理办法的规定从事咨询服务工作。</w:t>
      </w:r>
    </w:p>
    <w:p w14:paraId="563D4FF2">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6.2.10乙方应确保造价咨询工作质量，工程量准确、造价合理，满足工程投资控制的要求。</w:t>
      </w:r>
      <w:r>
        <w:rPr>
          <w:rFonts w:hint="eastAsia" w:ascii="宋体" w:hAnsi="宋体" w:cs="宋体"/>
          <w:bCs/>
          <w:color w:val="auto"/>
          <w:sz w:val="24"/>
          <w:szCs w:val="24"/>
          <w:highlight w:val="none"/>
        </w:rPr>
        <w:t>否则应按本合同条款第8.2款的约定承担</w:t>
      </w:r>
      <w:r>
        <w:rPr>
          <w:rFonts w:hint="eastAsia" w:ascii="宋体" w:hAnsi="宋体" w:cs="宋体"/>
          <w:color w:val="auto"/>
          <w:sz w:val="24"/>
          <w:szCs w:val="24"/>
          <w:highlight w:val="none"/>
        </w:rPr>
        <w:t>违约责任。</w:t>
      </w:r>
    </w:p>
    <w:p w14:paraId="12FDB736">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6.2.11乙方指定</w:t>
      </w:r>
      <w:r>
        <w:rPr>
          <w:rFonts w:hint="eastAsia" w:ascii="宋体" w:hAnsi="宋体" w:cs="宋体"/>
          <w:color w:val="auto"/>
          <w:kern w:val="0"/>
          <w:sz w:val="24"/>
          <w:szCs w:val="24"/>
          <w:highlight w:val="none"/>
          <w:u w:val="single"/>
        </w:rPr>
        <w:t>（联系电话：      ）</w:t>
      </w:r>
      <w:r>
        <w:rPr>
          <w:rFonts w:hint="eastAsia" w:ascii="宋体" w:hAnsi="宋体" w:cs="宋体"/>
          <w:color w:val="auto"/>
          <w:sz w:val="24"/>
          <w:szCs w:val="24"/>
          <w:highlight w:val="none"/>
        </w:rPr>
        <w:t>为联系人，负责与甲方联系。</w:t>
      </w:r>
    </w:p>
    <w:p w14:paraId="1087DE97">
      <w:pPr>
        <w:rPr>
          <w:rFonts w:ascii="宋体" w:hAnsi="宋体" w:cs="宋体"/>
          <w:color w:val="auto"/>
          <w:szCs w:val="21"/>
          <w:highlight w:val="none"/>
        </w:rPr>
      </w:pPr>
    </w:p>
    <w:p w14:paraId="186703B1">
      <w:pPr>
        <w:widowControl/>
        <w:spacing w:line="360" w:lineRule="auto"/>
        <w:ind w:firstLine="200"/>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七、服务报酬及其支付方式</w:t>
      </w:r>
    </w:p>
    <w:p w14:paraId="0A4E2FB7">
      <w:pPr>
        <w:pStyle w:val="10"/>
        <w:widowControl/>
        <w:spacing w:line="360" w:lineRule="auto"/>
        <w:ind w:right="144" w:firstLine="602" w:firstLineChars="250"/>
        <w:contextualSpacing/>
        <w:jc w:val="left"/>
        <w:rPr>
          <w:rFonts w:hint="default" w:cs="宋体"/>
          <w:b/>
          <w:color w:val="auto"/>
          <w:highlight w:val="none"/>
        </w:rPr>
      </w:pPr>
      <w:r>
        <w:rPr>
          <w:rFonts w:cs="宋体"/>
          <w:b/>
          <w:color w:val="auto"/>
          <w:highlight w:val="none"/>
        </w:rPr>
        <w:t>7.1服务报酬</w:t>
      </w:r>
    </w:p>
    <w:p w14:paraId="2AFCA911">
      <w:pPr>
        <w:widowControl/>
        <w:spacing w:line="360" w:lineRule="auto"/>
        <w:ind w:firstLine="42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7.1.1甲乙双方约定：本合同造价咨询服务报酬暂定为人民币 （￥    元），造价咨询费费率为   %[造价咨询费率=合同价（即中标价    万元）/暂定建筑安装工程费（    万元）*100%]。</w:t>
      </w:r>
    </w:p>
    <w:p w14:paraId="14FF6161">
      <w:pPr>
        <w:widowControl/>
        <w:spacing w:line="360" w:lineRule="auto"/>
        <w:ind w:firstLine="42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7.1.2甲乙双方一致同意按以下约定进行结算：</w:t>
      </w:r>
    </w:p>
    <w:p w14:paraId="2BCE4CAC">
      <w:pPr>
        <w:spacing w:line="360" w:lineRule="auto"/>
        <w:ind w:firstLine="420"/>
        <w:rPr>
          <w:rFonts w:hint="default" w:ascii="宋体" w:hAnsi="宋体" w:cs="宋体"/>
          <w:color w:val="auto"/>
          <w:sz w:val="24"/>
          <w:szCs w:val="24"/>
          <w:highlight w:val="none"/>
        </w:rPr>
      </w:pPr>
      <w:r>
        <w:rPr>
          <w:rFonts w:hint="eastAsia" w:ascii="宋体" w:hAnsi="宋体" w:cs="宋体"/>
          <w:color w:val="auto"/>
          <w:sz w:val="24"/>
          <w:szCs w:val="24"/>
          <w:highlight w:val="none"/>
        </w:rPr>
        <w:t>本合同造价咨询服务结算价=概算批复的建筑安装工程费×造价咨询费费率</w:t>
      </w:r>
      <w:r>
        <w:rPr>
          <w:rFonts w:hint="default" w:ascii="宋体" w:hAnsi="宋体" w:cs="宋体"/>
          <w:color w:val="auto"/>
          <w:sz w:val="24"/>
          <w:szCs w:val="24"/>
          <w:highlight w:val="none"/>
        </w:rPr>
        <w:t>.</w:t>
      </w:r>
    </w:p>
    <w:p w14:paraId="003539EA">
      <w:pPr>
        <w:spacing w:line="360" w:lineRule="auto"/>
        <w:ind w:firstLine="420"/>
        <w:rPr>
          <w:rFonts w:hint="eastAsia" w:ascii="宋体" w:hAnsi="宋体" w:cs="宋体"/>
          <w:color w:val="auto"/>
          <w:sz w:val="24"/>
          <w:szCs w:val="24"/>
          <w:highlight w:val="none"/>
          <w:lang w:val="zh-CN" w:bidi="ar"/>
        </w:rPr>
      </w:pPr>
      <w:r>
        <w:rPr>
          <w:rFonts w:hint="eastAsia" w:ascii="宋体" w:hAnsi="宋体" w:cs="宋体"/>
          <w:color w:val="auto"/>
          <w:sz w:val="24"/>
          <w:szCs w:val="24"/>
          <w:highlight w:val="none"/>
        </w:rPr>
        <w:t xml:space="preserve"> </w:t>
      </w:r>
      <w:r>
        <w:rPr>
          <w:rFonts w:hint="eastAsia" w:ascii="宋体" w:hAnsi="宋体" w:eastAsia="Times New Roman" w:cs="宋体"/>
          <w:color w:val="auto"/>
          <w:sz w:val="24"/>
          <w:szCs w:val="24"/>
          <w:highlight w:val="none"/>
          <w:lang w:bidi="ar"/>
        </w:rPr>
        <w:t>按</w:t>
      </w:r>
      <w:r>
        <w:rPr>
          <w:rFonts w:hint="default" w:ascii="宋体" w:hAnsi="宋体" w:eastAsia="Times New Roman" w:cs="宋体"/>
          <w:color w:val="auto"/>
          <w:sz w:val="24"/>
          <w:szCs w:val="24"/>
          <w:highlight w:val="none"/>
          <w:lang w:bidi="ar"/>
        </w:rPr>
        <w:t>上</w:t>
      </w:r>
      <w:r>
        <w:rPr>
          <w:rFonts w:hint="eastAsia" w:ascii="宋体" w:hAnsi="宋体" w:eastAsia="Times New Roman" w:cs="宋体"/>
          <w:color w:val="auto"/>
          <w:sz w:val="24"/>
          <w:szCs w:val="24"/>
          <w:highlight w:val="none"/>
          <w:lang w:bidi="ar"/>
        </w:rPr>
        <w:t>述约定计取的本合同服务报酬结算金额不得超过概算批复监理费与基本设计费之和的10%乘以95%。</w:t>
      </w:r>
      <w:r>
        <w:rPr>
          <w:rFonts w:hint="eastAsia" w:ascii="宋体" w:hAnsi="宋体" w:eastAsia="Times New Roman" w:cs="宋体"/>
          <w:color w:val="auto"/>
          <w:sz w:val="24"/>
          <w:szCs w:val="24"/>
          <w:highlight w:val="none"/>
        </w:rPr>
        <w:t xml:space="preserve"> </w:t>
      </w:r>
      <w:r>
        <w:rPr>
          <w:rFonts w:hint="eastAsia" w:ascii="宋体" w:hAnsi="宋体" w:cs="宋体"/>
          <w:color w:val="auto"/>
          <w:sz w:val="24"/>
          <w:szCs w:val="24"/>
          <w:highlight w:val="none"/>
          <w:lang w:val="zh-CN" w:bidi="ar"/>
        </w:rPr>
        <w:t>结算金额最终以有权审核部门审定为准。</w:t>
      </w:r>
    </w:p>
    <w:p w14:paraId="4F98AC8E">
      <w:pPr>
        <w:pStyle w:val="10"/>
        <w:widowControl/>
        <w:spacing w:line="360" w:lineRule="auto"/>
        <w:ind w:right="144" w:firstLine="480" w:firstLineChars="200"/>
        <w:contextualSpacing/>
        <w:rPr>
          <w:rFonts w:hint="default" w:cs="宋体"/>
          <w:color w:val="auto"/>
          <w:highlight w:val="none"/>
        </w:rPr>
      </w:pPr>
      <w:r>
        <w:rPr>
          <w:rFonts w:cs="宋体"/>
          <w:color w:val="auto"/>
          <w:highlight w:val="none"/>
        </w:rPr>
        <w:t>7.1.3服务报酬包含投入委托项目的管理、交通、食宿、文件制作、驻场以及包含所有税费等一切费用，同时也包含在服务过程中出现特殊情况如乙方服务人员必须加班或甲方要求乙方服务人员加班而产生的加班费用等诸如此类的所有费用，乙方应综合考虑。乙方工作范围内的配合甲方招投标、协助评标、定标、合同签订、组卷、提供其他与造价控制有关的技术服务（如主要材料市场信息及经济指标的比较分析）等工作的相关费用已包括在上述费用中，不再另行计费。除本合同另有约定外，乙方不得再向甲方要求支付其它任何费用。</w:t>
      </w:r>
    </w:p>
    <w:p w14:paraId="4EA025CF">
      <w:pPr>
        <w:pStyle w:val="3"/>
        <w:widowControl/>
        <w:spacing w:beforeAutospacing="1" w:line="360" w:lineRule="auto"/>
        <w:ind w:firstLine="482"/>
        <w:contextualSpacing/>
        <w:rPr>
          <w:rFonts w:ascii="宋体" w:hAnsi="宋体" w:cs="宋体"/>
          <w:b/>
          <w:color w:val="auto"/>
          <w:sz w:val="24"/>
          <w:highlight w:val="none"/>
        </w:rPr>
      </w:pPr>
      <w:r>
        <w:rPr>
          <w:rFonts w:hint="eastAsia" w:ascii="宋体" w:hAnsi="宋体" w:cs="宋体"/>
          <w:b/>
          <w:color w:val="auto"/>
          <w:sz w:val="24"/>
          <w:highlight w:val="none"/>
        </w:rPr>
        <w:t>7.2服务报酬支付方式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145"/>
        <w:gridCol w:w="2432"/>
        <w:gridCol w:w="715"/>
        <w:gridCol w:w="2572"/>
      </w:tblGrid>
      <w:tr w14:paraId="0B91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502E9010">
            <w:pPr>
              <w:spacing w:line="273" w:lineRule="auto"/>
              <w:jc w:val="center"/>
              <w:rPr>
                <w:rFonts w:ascii="宋体" w:hAnsi="宋体"/>
                <w:b/>
                <w:color w:val="auto"/>
                <w:sz w:val="20"/>
                <w:szCs w:val="20"/>
                <w:highlight w:val="none"/>
              </w:rPr>
            </w:pPr>
            <w:r>
              <w:rPr>
                <w:rFonts w:hint="eastAsia" w:ascii="宋体" w:hAnsi="宋体" w:cs="宋体"/>
                <w:b/>
                <w:color w:val="auto"/>
                <w:sz w:val="20"/>
                <w:szCs w:val="20"/>
                <w:highlight w:val="none"/>
              </w:rPr>
              <w:t>序号</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5E4CB977">
            <w:pPr>
              <w:spacing w:line="273" w:lineRule="auto"/>
              <w:jc w:val="center"/>
              <w:rPr>
                <w:rFonts w:ascii="宋体" w:hAnsi="宋体"/>
                <w:b/>
                <w:color w:val="auto"/>
                <w:sz w:val="20"/>
                <w:szCs w:val="20"/>
                <w:highlight w:val="none"/>
              </w:rPr>
            </w:pPr>
            <w:r>
              <w:rPr>
                <w:rFonts w:hint="eastAsia" w:ascii="宋体" w:hAnsi="宋体" w:cs="宋体"/>
                <w:b/>
                <w:color w:val="auto"/>
                <w:sz w:val="20"/>
                <w:szCs w:val="20"/>
                <w:highlight w:val="none"/>
              </w:rPr>
              <w:t>服务阶段</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6267AB33">
            <w:pPr>
              <w:spacing w:line="273" w:lineRule="auto"/>
              <w:jc w:val="center"/>
              <w:rPr>
                <w:rFonts w:ascii="宋体" w:hAnsi="宋体"/>
                <w:b/>
                <w:color w:val="auto"/>
                <w:sz w:val="20"/>
                <w:szCs w:val="20"/>
                <w:highlight w:val="none"/>
              </w:rPr>
            </w:pPr>
            <w:r>
              <w:rPr>
                <w:rFonts w:hint="eastAsia" w:ascii="宋体" w:hAnsi="宋体" w:cs="宋体"/>
                <w:b/>
                <w:color w:val="auto"/>
                <w:sz w:val="20"/>
                <w:szCs w:val="20"/>
                <w:highlight w:val="none"/>
              </w:rPr>
              <w:t>支付时间</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65E9947E">
            <w:pPr>
              <w:spacing w:line="273" w:lineRule="auto"/>
              <w:jc w:val="center"/>
              <w:rPr>
                <w:rFonts w:ascii="宋体" w:hAnsi="宋体"/>
                <w:b/>
                <w:color w:val="auto"/>
                <w:sz w:val="20"/>
                <w:szCs w:val="20"/>
                <w:highlight w:val="none"/>
              </w:rPr>
            </w:pPr>
            <w:r>
              <w:rPr>
                <w:rFonts w:hint="eastAsia" w:ascii="宋体" w:hAnsi="宋体" w:cs="宋体"/>
                <w:b/>
                <w:color w:val="auto"/>
                <w:sz w:val="20"/>
                <w:szCs w:val="20"/>
                <w:highlight w:val="none"/>
              </w:rPr>
              <w:t>支付比例</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3F92F128">
            <w:pPr>
              <w:spacing w:line="273" w:lineRule="auto"/>
              <w:jc w:val="center"/>
              <w:rPr>
                <w:rFonts w:ascii="宋体" w:hAnsi="宋体"/>
                <w:b/>
                <w:color w:val="auto"/>
                <w:sz w:val="20"/>
                <w:szCs w:val="20"/>
                <w:highlight w:val="none"/>
              </w:rPr>
            </w:pPr>
            <w:r>
              <w:rPr>
                <w:rFonts w:hint="eastAsia" w:ascii="宋体" w:hAnsi="宋体" w:cs="宋体"/>
                <w:b/>
                <w:color w:val="auto"/>
                <w:sz w:val="20"/>
                <w:szCs w:val="20"/>
                <w:highlight w:val="none"/>
              </w:rPr>
              <w:t>备注</w:t>
            </w:r>
          </w:p>
        </w:tc>
      </w:tr>
      <w:tr w14:paraId="78CA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00C4FF0B">
            <w:pPr>
              <w:spacing w:line="273" w:lineRule="auto"/>
              <w:jc w:val="center"/>
              <w:rPr>
                <w:rFonts w:ascii="宋体" w:hAnsi="宋体"/>
                <w:color w:val="auto"/>
                <w:sz w:val="20"/>
                <w:szCs w:val="20"/>
                <w:highlight w:val="none"/>
              </w:rPr>
            </w:pPr>
            <w:r>
              <w:rPr>
                <w:rFonts w:hint="eastAsia" w:ascii="宋体" w:hAnsi="宋体" w:cs="宋体"/>
                <w:color w:val="auto"/>
                <w:sz w:val="20"/>
                <w:szCs w:val="20"/>
                <w:highlight w:val="none"/>
              </w:rPr>
              <w:t>1</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4AD256C4">
            <w:pPr>
              <w:spacing w:line="273" w:lineRule="auto"/>
              <w:rPr>
                <w:rFonts w:ascii="宋体" w:hAnsi="宋体"/>
                <w:color w:val="auto"/>
                <w:sz w:val="20"/>
                <w:szCs w:val="20"/>
                <w:highlight w:val="none"/>
              </w:rPr>
            </w:pPr>
            <w:r>
              <w:rPr>
                <w:rFonts w:hint="eastAsia" w:ascii="宋体" w:hAnsi="宋体" w:cs="宋体"/>
                <w:color w:val="auto"/>
                <w:sz w:val="20"/>
                <w:szCs w:val="20"/>
                <w:highlight w:val="none"/>
              </w:rPr>
              <w:t>预付款</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40952212">
            <w:pPr>
              <w:spacing w:line="273" w:lineRule="auto"/>
              <w:rPr>
                <w:rFonts w:ascii="宋体" w:hAnsi="宋体"/>
                <w:color w:val="auto"/>
                <w:sz w:val="20"/>
                <w:szCs w:val="20"/>
                <w:highlight w:val="none"/>
              </w:rPr>
            </w:pPr>
            <w:r>
              <w:rPr>
                <w:rFonts w:hint="eastAsia" w:ascii="宋体" w:hAnsi="宋体" w:cs="宋体"/>
                <w:color w:val="auto"/>
                <w:sz w:val="20"/>
                <w:szCs w:val="20"/>
                <w:highlight w:val="none"/>
              </w:rPr>
              <w:t>合同签订生效且乙方已按要求向甲方提交履约担保，提出支付申请后15个工作日内。</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33E315C2">
            <w:pPr>
              <w:spacing w:line="273" w:lineRule="auto"/>
              <w:jc w:val="center"/>
              <w:rPr>
                <w:rFonts w:ascii="宋体" w:hAnsi="宋体"/>
                <w:color w:val="auto"/>
                <w:sz w:val="20"/>
                <w:szCs w:val="20"/>
                <w:highlight w:val="none"/>
              </w:rPr>
            </w:pPr>
            <w:r>
              <w:rPr>
                <w:rFonts w:hint="eastAsia" w:ascii="宋体" w:hAnsi="宋体" w:cs="宋体"/>
                <w:color w:val="auto"/>
                <w:sz w:val="20"/>
                <w:szCs w:val="20"/>
                <w:highlight w:val="none"/>
              </w:rPr>
              <w:t>5%</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0E18E5DB">
            <w:pPr>
              <w:spacing w:line="273" w:lineRule="auto"/>
              <w:jc w:val="center"/>
              <w:rPr>
                <w:rFonts w:ascii="宋体" w:hAnsi="宋体"/>
                <w:color w:val="auto"/>
                <w:sz w:val="20"/>
                <w:szCs w:val="20"/>
                <w:highlight w:val="none"/>
              </w:rPr>
            </w:pPr>
          </w:p>
        </w:tc>
      </w:tr>
      <w:tr w14:paraId="5BBD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2B50ED77">
            <w:pPr>
              <w:spacing w:line="273" w:lineRule="auto"/>
              <w:jc w:val="center"/>
              <w:rPr>
                <w:rFonts w:hint="eastAsia" w:ascii="宋体" w:hAnsi="宋体"/>
                <w:color w:val="auto"/>
                <w:sz w:val="20"/>
                <w:szCs w:val="20"/>
                <w:highlight w:val="none"/>
              </w:rPr>
            </w:pPr>
            <w:r>
              <w:rPr>
                <w:rFonts w:hint="eastAsia" w:ascii="宋体" w:hAnsi="宋体" w:cs="宋体"/>
                <w:color w:val="auto"/>
                <w:sz w:val="20"/>
                <w:szCs w:val="20"/>
                <w:highlight w:val="none"/>
              </w:rPr>
              <w:t>2</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5B4D65EB">
            <w:pPr>
              <w:spacing w:line="273" w:lineRule="auto"/>
              <w:rPr>
                <w:rFonts w:ascii="宋体" w:hAnsi="宋体"/>
                <w:color w:val="auto"/>
                <w:sz w:val="20"/>
                <w:szCs w:val="20"/>
                <w:highlight w:val="none"/>
              </w:rPr>
            </w:pPr>
            <w:r>
              <w:rPr>
                <w:rFonts w:hint="eastAsia" w:ascii="宋体" w:hAnsi="宋体" w:cs="宋体"/>
                <w:color w:val="auto"/>
                <w:sz w:val="20"/>
                <w:szCs w:val="20"/>
                <w:highlight w:val="none"/>
              </w:rPr>
              <w:t>招标阶段</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2CEA94E5">
            <w:pPr>
              <w:spacing w:line="273" w:lineRule="auto"/>
              <w:rPr>
                <w:rFonts w:ascii="宋体" w:hAnsi="宋体"/>
                <w:color w:val="auto"/>
                <w:sz w:val="20"/>
                <w:szCs w:val="20"/>
                <w:highlight w:val="none"/>
              </w:rPr>
            </w:pPr>
            <w:r>
              <w:rPr>
                <w:rFonts w:hint="eastAsia" w:ascii="宋体" w:hAnsi="宋体" w:cs="宋体"/>
                <w:color w:val="auto"/>
                <w:sz w:val="20"/>
                <w:szCs w:val="20"/>
                <w:highlight w:val="none"/>
              </w:rPr>
              <w:t>确定施工合同价格清单</w:t>
            </w:r>
            <w:r>
              <w:rPr>
                <w:rFonts w:hint="eastAsia" w:ascii="宋体" w:hAnsi="宋体"/>
                <w:color w:val="auto"/>
                <w:sz w:val="20"/>
                <w:szCs w:val="20"/>
                <w:highlight w:val="none"/>
                <w:lang w:bidi="ar"/>
              </w:rPr>
              <w:t>或签订施工合同</w:t>
            </w:r>
            <w:r>
              <w:rPr>
                <w:rFonts w:hint="eastAsia" w:ascii="宋体" w:hAnsi="宋体" w:cs="宋体"/>
                <w:color w:val="auto"/>
                <w:sz w:val="20"/>
                <w:szCs w:val="20"/>
                <w:highlight w:val="none"/>
              </w:rPr>
              <w:t>后提出支付申请后15个工作日内。如出现多批次施工招标，则按每批次招标控制价金额与批复概算中需招标建安工程费金额的比值分次支付。</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6F6EE86D">
            <w:pPr>
              <w:spacing w:line="273" w:lineRule="auto"/>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35%</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62F2F892">
            <w:pPr>
              <w:spacing w:line="273" w:lineRule="auto"/>
              <w:jc w:val="center"/>
              <w:rPr>
                <w:rFonts w:ascii="宋体" w:hAnsi="宋体"/>
                <w:color w:val="auto"/>
                <w:sz w:val="20"/>
                <w:szCs w:val="20"/>
                <w:highlight w:val="none"/>
              </w:rPr>
            </w:pPr>
          </w:p>
        </w:tc>
      </w:tr>
      <w:tr w14:paraId="01F5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795A3AB8">
            <w:pPr>
              <w:spacing w:line="273" w:lineRule="auto"/>
              <w:jc w:val="center"/>
              <w:rPr>
                <w:rFonts w:hint="eastAsia" w:ascii="宋体" w:hAnsi="宋体"/>
                <w:color w:val="auto"/>
                <w:sz w:val="20"/>
                <w:szCs w:val="20"/>
                <w:highlight w:val="none"/>
              </w:rPr>
            </w:pPr>
            <w:r>
              <w:rPr>
                <w:rFonts w:hint="eastAsia" w:ascii="宋体" w:hAnsi="宋体" w:cs="宋体"/>
                <w:color w:val="auto"/>
                <w:sz w:val="20"/>
                <w:szCs w:val="20"/>
                <w:highlight w:val="none"/>
              </w:rPr>
              <w:t>3</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5F9FBCE5">
            <w:pPr>
              <w:spacing w:line="273" w:lineRule="auto"/>
              <w:rPr>
                <w:rFonts w:ascii="宋体" w:hAnsi="宋体"/>
                <w:color w:val="auto"/>
                <w:sz w:val="20"/>
                <w:szCs w:val="20"/>
                <w:highlight w:val="none"/>
              </w:rPr>
            </w:pPr>
            <w:r>
              <w:rPr>
                <w:rFonts w:hint="eastAsia" w:ascii="宋体" w:hAnsi="宋体" w:cs="宋体"/>
                <w:color w:val="auto"/>
                <w:sz w:val="20"/>
                <w:szCs w:val="20"/>
                <w:highlight w:val="none"/>
              </w:rPr>
              <w:t>施工阶段及其他工作</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2D79881D">
            <w:pPr>
              <w:spacing w:line="273" w:lineRule="auto"/>
              <w:rPr>
                <w:rFonts w:ascii="宋体" w:hAnsi="宋体"/>
                <w:color w:val="auto"/>
                <w:sz w:val="20"/>
                <w:szCs w:val="20"/>
                <w:highlight w:val="none"/>
              </w:rPr>
            </w:pPr>
            <w:r>
              <w:rPr>
                <w:rFonts w:hint="eastAsia" w:ascii="宋体" w:hAnsi="宋体" w:cs="宋体"/>
                <w:color w:val="auto"/>
                <w:sz w:val="20"/>
                <w:szCs w:val="20"/>
                <w:highlight w:val="none"/>
              </w:rPr>
              <w:t>按工期分季度支付进度款，提出支付申请后15个工作日内。</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5E41EF76">
            <w:pPr>
              <w:spacing w:line="273" w:lineRule="auto"/>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40%</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369D87A2">
            <w:pPr>
              <w:spacing w:line="273" w:lineRule="auto"/>
              <w:jc w:val="center"/>
              <w:rPr>
                <w:rFonts w:ascii="宋体" w:hAnsi="宋体"/>
                <w:color w:val="auto"/>
                <w:sz w:val="20"/>
                <w:szCs w:val="20"/>
                <w:highlight w:val="none"/>
              </w:rPr>
            </w:pPr>
          </w:p>
        </w:tc>
      </w:tr>
      <w:tr w14:paraId="3034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1180A36F">
            <w:pPr>
              <w:spacing w:line="273" w:lineRule="auto"/>
              <w:jc w:val="center"/>
              <w:rPr>
                <w:rFonts w:hint="eastAsia" w:ascii="宋体" w:hAnsi="宋体"/>
                <w:color w:val="auto"/>
                <w:sz w:val="20"/>
                <w:szCs w:val="20"/>
                <w:highlight w:val="none"/>
              </w:rPr>
            </w:pPr>
            <w:r>
              <w:rPr>
                <w:rFonts w:hint="eastAsia" w:ascii="宋体" w:hAnsi="宋体" w:cs="宋体"/>
                <w:color w:val="auto"/>
                <w:sz w:val="20"/>
                <w:szCs w:val="20"/>
                <w:highlight w:val="none"/>
              </w:rPr>
              <w:t>4</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5EE7F595">
            <w:pPr>
              <w:spacing w:line="273" w:lineRule="auto"/>
              <w:rPr>
                <w:rFonts w:ascii="宋体" w:hAnsi="宋体"/>
                <w:color w:val="auto"/>
                <w:sz w:val="20"/>
                <w:szCs w:val="20"/>
                <w:highlight w:val="none"/>
              </w:rPr>
            </w:pPr>
            <w:r>
              <w:rPr>
                <w:rFonts w:hint="eastAsia" w:ascii="宋体" w:hAnsi="宋体" w:cs="宋体"/>
                <w:color w:val="auto"/>
                <w:sz w:val="20"/>
                <w:szCs w:val="20"/>
                <w:highlight w:val="none"/>
              </w:rPr>
              <w:t>结（决）算阶段</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24257325">
            <w:pPr>
              <w:spacing w:line="273" w:lineRule="auto"/>
              <w:rPr>
                <w:rFonts w:ascii="宋体" w:hAnsi="宋体"/>
                <w:color w:val="auto"/>
                <w:sz w:val="20"/>
                <w:szCs w:val="20"/>
                <w:highlight w:val="none"/>
              </w:rPr>
            </w:pPr>
            <w:r>
              <w:rPr>
                <w:rFonts w:hint="eastAsia" w:ascii="宋体" w:hAnsi="宋体" w:cs="宋体"/>
                <w:color w:val="auto"/>
                <w:sz w:val="20"/>
                <w:szCs w:val="20"/>
                <w:highlight w:val="none"/>
              </w:rPr>
              <w:t>工程项目竣工结算送有权结算终审部门终审至该项目的结算终审并获得结算批复文件，且甲方按《广州市重点公共建设项目管理中心建设工程造价咨询单位管理办法》完成项目考核后，提出支付申请后15个工作日内。</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4C721781">
            <w:pPr>
              <w:spacing w:line="273" w:lineRule="auto"/>
              <w:jc w:val="center"/>
              <w:rPr>
                <w:rFonts w:hint="eastAsia" w:ascii="宋体" w:hAnsi="宋体" w:cs="宋体"/>
                <w:color w:val="auto"/>
                <w:sz w:val="20"/>
                <w:szCs w:val="20"/>
                <w:highlight w:val="none"/>
              </w:rPr>
            </w:pPr>
            <w:r>
              <w:rPr>
                <w:rFonts w:ascii="宋体" w:hAnsi="宋体" w:cs="宋体"/>
                <w:color w:val="auto"/>
                <w:sz w:val="20"/>
                <w:szCs w:val="20"/>
                <w:highlight w:val="none"/>
              </w:rPr>
              <w:t>20</w:t>
            </w:r>
            <w:r>
              <w:rPr>
                <w:rFonts w:hint="eastAsia" w:ascii="宋体" w:hAnsi="宋体" w:cs="宋体"/>
                <w:color w:val="auto"/>
                <w:sz w:val="20"/>
                <w:szCs w:val="20"/>
                <w:highlight w:val="none"/>
              </w:rPr>
              <w:t>%</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683DBAE1">
            <w:pPr>
              <w:spacing w:line="273" w:lineRule="auto"/>
              <w:jc w:val="center"/>
              <w:rPr>
                <w:rFonts w:ascii="宋体" w:hAnsi="宋体"/>
                <w:color w:val="auto"/>
                <w:sz w:val="20"/>
                <w:szCs w:val="20"/>
                <w:highlight w:val="none"/>
              </w:rPr>
            </w:pPr>
            <w:r>
              <w:rPr>
                <w:rFonts w:hint="eastAsia" w:ascii="宋体" w:hAnsi="宋体" w:cs="宋体"/>
                <w:color w:val="auto"/>
                <w:sz w:val="20"/>
                <w:szCs w:val="20"/>
                <w:highlight w:val="none"/>
              </w:rPr>
              <w:t>乙方完成本合同约定的所有工作内容后，甲方按《广州市重点公共建设项目管理中心建设工程造价咨询单位管理办法》对乙方进行项目考评。考评情况服务酬金最高占本合同按照结算公式计算的服务报酬的10%，甲方视考评情况进行结算并支付相应比例服务酬金：乙方在考评中得分90分或以上的，按10%结算支付；85分≤考评得分＜90分，按8%结算支付；75分≤考评得分＜85分，按5%结算支付；65分≤考评得分＜75分，按2%结算支付；考评得分＜65分，则考评情况服务酬金不予结算支付。</w:t>
            </w:r>
          </w:p>
        </w:tc>
      </w:tr>
      <w:tr w14:paraId="1863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150" w:type="dxa"/>
            <w:gridSpan w:val="3"/>
            <w:tcBorders>
              <w:top w:val="single" w:color="auto" w:sz="4" w:space="0"/>
              <w:left w:val="single" w:color="auto" w:sz="4" w:space="0"/>
              <w:bottom w:val="single" w:color="auto" w:sz="4" w:space="0"/>
              <w:right w:val="single" w:color="auto" w:sz="4" w:space="0"/>
            </w:tcBorders>
            <w:noWrap w:val="0"/>
            <w:vAlign w:val="center"/>
          </w:tcPr>
          <w:p w14:paraId="0C468664">
            <w:pPr>
              <w:spacing w:line="273" w:lineRule="auto"/>
              <w:jc w:val="center"/>
              <w:rPr>
                <w:rFonts w:ascii="宋体" w:hAnsi="宋体"/>
                <w:color w:val="auto"/>
                <w:sz w:val="20"/>
                <w:szCs w:val="20"/>
                <w:highlight w:val="none"/>
              </w:rPr>
            </w:pPr>
            <w:r>
              <w:rPr>
                <w:rFonts w:hint="eastAsia" w:ascii="宋体" w:hAnsi="宋体" w:cs="宋体"/>
                <w:color w:val="auto"/>
                <w:sz w:val="20"/>
                <w:szCs w:val="20"/>
                <w:highlight w:val="none"/>
              </w:rPr>
              <w:t>合计</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34053E62">
            <w:pPr>
              <w:spacing w:line="273" w:lineRule="auto"/>
              <w:jc w:val="center"/>
              <w:rPr>
                <w:rFonts w:ascii="宋体" w:hAnsi="宋体"/>
                <w:color w:val="auto"/>
                <w:sz w:val="20"/>
                <w:szCs w:val="20"/>
                <w:highlight w:val="none"/>
              </w:rPr>
            </w:pPr>
            <w:r>
              <w:rPr>
                <w:rFonts w:hint="eastAsia" w:ascii="宋体" w:hAnsi="宋体" w:cs="宋体"/>
                <w:color w:val="auto"/>
                <w:sz w:val="20"/>
                <w:szCs w:val="20"/>
                <w:highlight w:val="none"/>
              </w:rPr>
              <w:t>100%</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57CB8E7F">
            <w:pPr>
              <w:spacing w:line="273" w:lineRule="auto"/>
              <w:jc w:val="center"/>
              <w:rPr>
                <w:rFonts w:ascii="宋体" w:hAnsi="宋体"/>
                <w:color w:val="auto"/>
                <w:sz w:val="20"/>
                <w:szCs w:val="20"/>
                <w:highlight w:val="none"/>
              </w:rPr>
            </w:pPr>
          </w:p>
        </w:tc>
      </w:tr>
    </w:tbl>
    <w:p w14:paraId="3D9C009B">
      <w:pPr>
        <w:pStyle w:val="10"/>
        <w:widowControl/>
        <w:spacing w:line="273" w:lineRule="auto"/>
        <w:contextualSpacing/>
        <w:jc w:val="both"/>
        <w:rPr>
          <w:rFonts w:hint="default" w:cs="宋体"/>
          <w:color w:val="auto"/>
          <w:sz w:val="21"/>
          <w:szCs w:val="21"/>
          <w:highlight w:val="none"/>
        </w:rPr>
      </w:pPr>
      <w:r>
        <w:rPr>
          <w:rFonts w:cs="宋体"/>
          <w:color w:val="auto"/>
          <w:sz w:val="21"/>
          <w:szCs w:val="21"/>
          <w:highlight w:val="none"/>
        </w:rPr>
        <w:t>注：</w:t>
      </w:r>
    </w:p>
    <w:p w14:paraId="1C6E93D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1.未进入费用分摊的工作，其费用视为已包含在其他阶段工作的费用中，不单独计量支付。</w:t>
      </w:r>
    </w:p>
    <w:p w14:paraId="6C5AF041">
      <w:pPr>
        <w:spacing w:line="360" w:lineRule="auto"/>
        <w:ind w:firstLine="420" w:firstLineChars="200"/>
        <w:jc w:val="left"/>
        <w:rPr>
          <w:rFonts w:ascii="宋体" w:hAnsi="宋体" w:cs="宋体"/>
          <w:strike/>
          <w:color w:val="auto"/>
          <w:szCs w:val="21"/>
          <w:highlight w:val="none"/>
        </w:rPr>
      </w:pPr>
      <w:r>
        <w:rPr>
          <w:rFonts w:hint="eastAsia" w:ascii="宋体" w:hAnsi="宋体" w:cs="宋体"/>
          <w:color w:val="auto"/>
          <w:szCs w:val="21"/>
          <w:highlight w:val="none"/>
        </w:rPr>
        <w:t>2.每次付款，乙方均需按甲方财务管理制度办理支付申请手续，并提供合法有效增值税一般纳税人服务类专用发票的正式发票（发票由乙方向项目</w:t>
      </w:r>
      <w:r>
        <w:rPr>
          <w:rFonts w:ascii="宋体" w:hAnsi="宋体" w:cs="宋体"/>
          <w:color w:val="auto"/>
          <w:szCs w:val="21"/>
          <w:highlight w:val="none"/>
        </w:rPr>
        <w:t>业主单位</w:t>
      </w:r>
      <w:r>
        <w:rPr>
          <w:rFonts w:hint="eastAsia" w:ascii="宋体" w:hAnsi="宋体" w:cs="宋体"/>
          <w:color w:val="auto"/>
          <w:szCs w:val="21"/>
          <w:highlight w:val="none"/>
        </w:rPr>
        <w:t>开具），甲方审核确认后办理支付。具体支付方式根据甲方与项目</w:t>
      </w:r>
      <w:r>
        <w:rPr>
          <w:rFonts w:ascii="宋体" w:hAnsi="宋体" w:cs="宋体"/>
          <w:color w:val="auto"/>
          <w:szCs w:val="21"/>
          <w:highlight w:val="none"/>
        </w:rPr>
        <w:t>业主单位</w:t>
      </w:r>
      <w:r>
        <w:rPr>
          <w:rFonts w:hint="eastAsia" w:ascii="宋体" w:hAnsi="宋体" w:cs="宋体"/>
          <w:color w:val="auto"/>
          <w:szCs w:val="21"/>
          <w:highlight w:val="none"/>
        </w:rPr>
        <w:t>签订的《建设资金支付协议》</w:t>
      </w:r>
      <w:r>
        <w:rPr>
          <w:rFonts w:ascii="宋体" w:hAnsi="宋体" w:cs="宋体"/>
          <w:color w:val="auto"/>
          <w:szCs w:val="21"/>
          <w:highlight w:val="none"/>
        </w:rPr>
        <w:t>（附件8）</w:t>
      </w:r>
      <w:r>
        <w:rPr>
          <w:rFonts w:hint="eastAsia" w:ascii="宋体" w:hAnsi="宋体" w:cs="宋体"/>
          <w:color w:val="auto"/>
          <w:szCs w:val="21"/>
          <w:highlight w:val="none"/>
        </w:rPr>
        <w:t>执行。</w:t>
      </w:r>
    </w:p>
    <w:p w14:paraId="6E89401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3.实际支付可视项目进展情况、以上表支付比例为限分次支付。</w:t>
      </w:r>
    </w:p>
    <w:p w14:paraId="77128AA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4.概算批复后，即根据概算批复及上述第7.1款调整实际支付金额。</w:t>
      </w:r>
    </w:p>
    <w:p w14:paraId="3A82BC0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olor w:val="auto"/>
          <w:szCs w:val="21"/>
          <w:highlight w:val="none"/>
          <w:lang w:bidi="ar"/>
        </w:rPr>
        <w:t>本项目为财政投资项目，服务报酬的具体支付时间以市财政局实际支付时间为准，乙方承诺不因财政或上级主管部门等原因导致的支付延迟而向甲方及业主单位、项目使用单位索赔费用或主张相关违约责任，并且此情况不能成为乙方终止或拒绝履行合同约定义务的理由</w:t>
      </w:r>
      <w:r>
        <w:rPr>
          <w:rFonts w:hint="eastAsia" w:ascii="宋体" w:hAnsi="宋体" w:cs="宋体"/>
          <w:color w:val="auto"/>
          <w:szCs w:val="21"/>
          <w:highlight w:val="none"/>
        </w:rPr>
        <w:t>。</w:t>
      </w:r>
    </w:p>
    <w:p w14:paraId="593ACE4B">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7.3</w:t>
      </w:r>
      <w:r>
        <w:rPr>
          <w:rFonts w:hint="eastAsia" w:ascii="宋体" w:hAnsi="宋体" w:cs="宋体"/>
          <w:color w:val="auto"/>
          <w:sz w:val="24"/>
          <w:szCs w:val="24"/>
          <w:highlight w:val="none"/>
        </w:rPr>
        <w:t>双方一致同意，如本合同工程审计机关对结算评审提出修正意见的，双方应当本着实事求是的原则予以纠正。</w:t>
      </w:r>
    </w:p>
    <w:p w14:paraId="0CC72E91">
      <w:pPr>
        <w:widowControl/>
        <w:spacing w:line="360" w:lineRule="auto"/>
        <w:ind w:firstLine="200"/>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八、违约责任</w:t>
      </w:r>
    </w:p>
    <w:p w14:paraId="42A6FB3F">
      <w:pPr>
        <w:spacing w:line="360" w:lineRule="auto"/>
        <w:ind w:firstLine="420"/>
        <w:rPr>
          <w:rFonts w:ascii="宋体" w:hAnsi="宋体" w:cs="宋体"/>
          <w:b/>
          <w:color w:val="auto"/>
          <w:sz w:val="24"/>
          <w:szCs w:val="24"/>
          <w:highlight w:val="none"/>
        </w:rPr>
      </w:pPr>
      <w:r>
        <w:rPr>
          <w:rFonts w:hint="eastAsia" w:ascii="宋体" w:hAnsi="宋体" w:cs="宋体"/>
          <w:b/>
          <w:color w:val="auto"/>
          <w:sz w:val="24"/>
          <w:szCs w:val="24"/>
          <w:highlight w:val="none"/>
        </w:rPr>
        <w:t>8.1甲方违约责任</w:t>
      </w:r>
    </w:p>
    <w:p w14:paraId="7EF0E336">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若由于甲方原因造成未在本合同约定的支付期限内支付服务报酬，甲方除应继续支付服务报酬外，还应按银行同期活期存款利率给乙方计付款项拖欠期间的利息。（如付款责任主体非甲方则本款不适用）</w:t>
      </w:r>
    </w:p>
    <w:p w14:paraId="0F36CC9B">
      <w:pPr>
        <w:spacing w:line="360" w:lineRule="auto"/>
        <w:ind w:firstLine="420"/>
        <w:rPr>
          <w:rFonts w:ascii="宋体" w:hAnsi="宋体" w:cs="宋体"/>
          <w:b/>
          <w:color w:val="auto"/>
          <w:sz w:val="24"/>
          <w:szCs w:val="24"/>
          <w:highlight w:val="none"/>
        </w:rPr>
      </w:pPr>
      <w:r>
        <w:rPr>
          <w:rFonts w:hint="eastAsia" w:ascii="宋体" w:hAnsi="宋体" w:cs="宋体"/>
          <w:b/>
          <w:color w:val="auto"/>
          <w:sz w:val="24"/>
          <w:szCs w:val="24"/>
          <w:highlight w:val="none"/>
        </w:rPr>
        <w:t>8.2乙方违约责任</w:t>
      </w:r>
    </w:p>
    <w:p w14:paraId="1656E0C5">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8.2.1乙方承担违约责任的方式包括但不限于：</w:t>
      </w:r>
    </w:p>
    <w:p w14:paraId="031F905D">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（1）书面警告。乙方不履行或不完全履行合同或不执行甲方的指令时，甲方有权向乙方发出书面警告。乙方必须在书面警告限定的时间内履行义务或执行指令，否则应承担一次一般违约责任。</w:t>
      </w:r>
    </w:p>
    <w:p w14:paraId="4B8138A0">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（2）一般违约责任。乙方违反本合同的约定须承担一般违约责任时，必须向甲方交纳违约金人民币3000元/次。</w:t>
      </w:r>
    </w:p>
    <w:p w14:paraId="6D49280B">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（3）严重违约责任。乙方违反本合同的约定须承担严重违约责任时，必须向甲方交纳违约金人民币10000元/次。</w:t>
      </w:r>
    </w:p>
    <w:p w14:paraId="0B6877E5">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（4）下浮支付服务报酬。乙方的违约情节特别严重时，甲方有权在合同约定基础上再下浮支付服务报酬，累计下浮金额不超过服务报酬总额的50%。</w:t>
      </w:r>
    </w:p>
    <w:p w14:paraId="43718F9D">
      <w:pPr>
        <w:spacing w:line="360" w:lineRule="auto"/>
        <w:ind w:firstLine="420"/>
        <w:rPr>
          <w:rFonts w:ascii="宋体" w:hAnsi="宋体" w:cs="宋体"/>
          <w:strike/>
          <w:color w:val="auto"/>
          <w:sz w:val="24"/>
          <w:szCs w:val="24"/>
          <w:highlight w:val="none"/>
        </w:rPr>
      </w:pPr>
      <w:r>
        <w:rPr>
          <w:rFonts w:hint="eastAsia" w:ascii="宋体" w:hAnsi="宋体" w:cs="宋体"/>
          <w:color w:val="auto"/>
          <w:sz w:val="24"/>
          <w:szCs w:val="24"/>
          <w:highlight w:val="none"/>
        </w:rPr>
        <w:t>（5）部分解除合同或解除合同。乙方累计三次以上（含三次）严重违约或甲方认为其违约情节特别恶劣的，甲方有权单方面部分解除合同或解除合同。</w:t>
      </w:r>
    </w:p>
    <w:p w14:paraId="6EE8A1BA">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赔偿损失。因乙方违约或工作失误给甲方造成损失的，乙方应向甲方赔偿与违约有直接或间接因果关系的所有损失，但赔偿总额不应超过服务报酬总额。如果损失是由于乙方故意或严重渎职造成的，乙方应全额赔偿由此给甲方所造成的损失。</w:t>
      </w:r>
    </w:p>
    <w:p w14:paraId="58FD0753">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8.2.2三次书面警告另行追加一次一般违约责任，三次一般违约责任另行追加一次严重违约责任，累计三次严重违约责任，甲方有权单方面部分解除合同或解除合同。</w:t>
      </w:r>
    </w:p>
    <w:p w14:paraId="05B317DA">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8.2.3乙方违约需向甲方支付违约金或赔偿金时，违约金和赔偿金应分别计算，甲方有权从应支付给乙方的服务报酬中直接扣除，结算时不予退还，乙方不得有任何异议。同时，甲方保留进一步依法追究乙方有关责任的权利，如：视情况决定将乙方的违约行为通报有关政府主管部门，提起诉讼等。</w:t>
      </w:r>
    </w:p>
    <w:p w14:paraId="563D6D12">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8.2.4组织管理方面的违约责任</w:t>
      </w:r>
    </w:p>
    <w:p w14:paraId="758EB668">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1）为保证项目建设有序、规范和顺利进行，乙方必须主动支持甲方的工作，对甲方的指令和书面通知，若无正当理由又未提前报告、得到认可，而公开或变相拒不执行的，第一次按一般违约处理；第二次以后，每违反一次按一次严重违约处理；乙方同时应承担由此给甲方造成的一切经济损失。情节较轻的，可给予书面警告，情节特别严重的，甲方有权视情况单方面部分解除合同或解除合同。</w:t>
      </w:r>
    </w:p>
    <w:p w14:paraId="0707DBBA">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2）乙方所配备的造价咨询人员不符合本合同约定的，甲方每发现一人次，有权要求乙方承担一次一般违约责任；同时乙方应在甲方规定的时间内改正，否则应另承担一次严重违约责任；同时甲方有权视情况单方面部分解除合同或解除合同。</w:t>
      </w:r>
    </w:p>
    <w:p w14:paraId="6D7238FB">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3）乙方违反本合同约定，项目负责人不按时亲自组织造价咨询工作，未及时向甲方主管部门负责人及时汇报项目争议进展情况的，甲方每发现一次，有权要求乙方承担一次一般违约责任；乙方应在甲方规定的时间内改正，否则应另承担一次严重违约责任；如因此给甲方造成损失的，乙方应赔偿甲方的损失；同时甲方有权视情况单方面部分解除合同或解除合同。</w:t>
      </w:r>
    </w:p>
    <w:p w14:paraId="198728CC">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4）乙方违反本合同约定，所配备的造价咨询人员（含驻场人员）不按甲方的作息时间在甲方指定的地点驻场办公的，第一次将向乙方发出书面警告，乙方应在甲方规定的时间内改正，第二次以后，每违反一次按一次一般违约处理；同时甲方有权视情况单方面部分解除合同或解除合同。</w:t>
      </w:r>
    </w:p>
    <w:p w14:paraId="2D7F8AEC">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（5）乙方违反本合同约定，未经甲方书面同意擅自更换造价咨询人员的，甲方有权发出书面警告，乙方应在甲方规定的时间内改正，否则应承担一次严重违约责任；同时甲方有权方面部分解除合同或解除合同。</w:t>
      </w:r>
    </w:p>
    <w:p w14:paraId="78CCB657">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乙方违反本合同约定，不按甲方的要求撤换不能胜任工作的造价咨询人员的，甲方有权发出书面警告，乙方应在甲方规定的时间内改正，否则应承担一次严重违约责任；同时甲方有权单方面部分解除合同或解除合同。</w:t>
      </w:r>
    </w:p>
    <w:p w14:paraId="69DFAB4A">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（7）甲方要求乙方有关人员必须参加的会议（含对数等），有关人员必须到会，未经甲方同意不到会或不按期到会的，甲方有权给予书面警告。</w:t>
      </w:r>
    </w:p>
    <w:p w14:paraId="79FED443">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8.2.5工作进度方面的违约责任</w:t>
      </w:r>
    </w:p>
    <w:p w14:paraId="7F98CDBF">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1）乙方不按本合同约定的时间向甲方提交合格的造价咨询成果文件的，每延误一天，应按本合同服务报酬总额的1‰向甲方支付违约金；延误20天以上，乙方除按上述约定继续支付违约金外，甲方有权下浮10%支付服务报酬；延误30天以上，甲方有权单方面部分解除合同或解除合同。</w:t>
      </w:r>
    </w:p>
    <w:p w14:paraId="13415D84">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2）乙方不按本合同约定及时收集整理有关资料以致影响甲方正常工作的，甲方有权要求乙方承担一次一般违约责任；乙方应在甲方规定的时间内改正，否则应另承担一次严重违约责任；如因此给甲方造成损失的，乙方应赔偿甲方的损失。</w:t>
      </w:r>
    </w:p>
    <w:p w14:paraId="246B98C2">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（3）乙方不按本合同约定的时间向甲方提交造价咨询工作报告和符合归档要求的造价咨询成果文件的，支付服务报酬的时间相应顺延，且乙方须承担一次严重违约责任。</w:t>
      </w:r>
    </w:p>
    <w:p w14:paraId="56CCE9BD">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8.2.6服务质量方面的违约责任</w:t>
      </w:r>
    </w:p>
    <w:p w14:paraId="29F9A5BC">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（1）乙方提交的工作成果存在单项漏项或偏差金额（乙方金额与甲方复核金额之差的绝对值，下同）＜100万元的，按以下约定处理：</w:t>
      </w:r>
    </w:p>
    <w:p w14:paraId="5E7A7C93">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漏项或偏差金额累计达到100万元以上且不超过500万元时，甲方即有权要求乙方承担一次一般违约责任；最终确认漏项或偏差累计金额达到500万元以上的，甲方有权要求乙方另行承担一次严重违约责任。</w:t>
      </w:r>
    </w:p>
    <w:p w14:paraId="626995BE">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（2）乙方提交的工作成果存在单项漏项或偏差金额≥100万元的，每发现一次，甲方有权要求乙方承担一次严重违约责任。</w:t>
      </w:r>
    </w:p>
    <w:p w14:paraId="54450C69">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乙方因承担本款违约责任支付的违约金总额累计不应超过本合同服务报酬暂定总额的50%。</w:t>
      </w:r>
    </w:p>
    <w:p w14:paraId="487B696F">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3）经查实乙方违反本合同约定或者由于乙方的其它原因，致使甲方被投诉的，甲方视情节严重程度有权要求乙方承担一次一般违约或以上的违约责任并且甲方还有权下浮10%支付服务报酬。因此致使中标无效需要重新组织招标的，重新组织招标所需要的费用全部由乙方承担。同时，甲方有权单方面部分解除合同或解除合同。</w:t>
      </w:r>
    </w:p>
    <w:p w14:paraId="19E30A48">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4）乙方未按约定向有关部门提交全部招标控制价备案文件，或有其他未妥善办理招标工程量清单或招标控制价相关手续的情形，致使开标时间延误的，每延误一天，应按本合同服务报酬总额的1‰向甲方支付违约金；延误20天以上，乙方除按上述约定继续支付违约金外，甲方有权下浮10%支付服务报酬；延误30天以上，甲方有权单方面部分解除合同或解除合同。</w:t>
      </w:r>
    </w:p>
    <w:p w14:paraId="7B6403A2">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（5）乙方对本合同约定有关工作事项故意拖延或者不作出明确处理意见的，每发生一次，乙方须承担一次一般违约责任。若因此给甲方造成损失的，乙方应赔偿甲方的全部损失。</w:t>
      </w:r>
    </w:p>
    <w:p w14:paraId="6A53EBC8">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（6）由于乙方原因，致使本合同项目在施工阶段中发生三类变更的，甲方有权要求乙方承担一次一般违约责任；发生二类变更的，乙方除应承担一次严重违约责任外</w:t>
      </w:r>
      <w:r>
        <w:rPr>
          <w:rFonts w:hint="eastAsia" w:ascii="宋体" w:hAnsi="宋体" w:cs="宋体"/>
          <w:bCs/>
          <w:color w:val="auto"/>
          <w:kern w:val="0"/>
          <w:sz w:val="24"/>
          <w:szCs w:val="24"/>
          <w:highlight w:val="none"/>
        </w:rPr>
        <w:t>，还应向甲方赔偿相应的损失</w:t>
      </w:r>
      <w:r>
        <w:rPr>
          <w:rFonts w:hint="eastAsia" w:ascii="宋体" w:hAnsi="宋体" w:cs="宋体"/>
          <w:color w:val="auto"/>
          <w:sz w:val="24"/>
          <w:szCs w:val="24"/>
          <w:highlight w:val="none"/>
        </w:rPr>
        <w:t>；发生一类变更的，甲方有权下浮10%支付服务报酬，且乙方应向甲方赔偿相应的损失，同时，甲方有权单方面部分解除合同或解除合同。</w:t>
      </w:r>
    </w:p>
    <w:p w14:paraId="71536CA0">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（7）竣工结算总金额超出实际实施范围所对应的批复概算金额，甲方有权下浮10%支付服务报酬，同时，甲方有权单方面部分解除合同或解除合同。</w:t>
      </w:r>
    </w:p>
    <w:p w14:paraId="34C003CF">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8.2.7工作纪律方面的违约责任</w:t>
      </w:r>
    </w:p>
    <w:p w14:paraId="5712BC4C">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（1）对于异常情况，乙方不如实或不及时上报甲方甚至隐瞒不报的，一经核实，乙方须承担一次严重违约责任。若因此给甲方造成损失的，乙方应赔偿甲方的全部损失。</w:t>
      </w:r>
    </w:p>
    <w:p w14:paraId="0CB1BBC4">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2）乙方违反本合同约定，接受了与本合同工程建设项目有关的咨询业务，甲方有权单方面部分解除合同或解除合同；同时，甲方将如实通报政府有关部门，由政府有关部门对其进行处罚。若因此给甲方造成损失，乙方应赔偿甲方的全部损失。</w:t>
      </w:r>
    </w:p>
    <w:p w14:paraId="709FE0BE">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3）乙方违反本合同约定或法律规定，向第三方泄露与本合同工程有关的任何招投标资料和情况的，一经核实，甲方有权单方面部分解除合同或解除合同；同时，甲方将如实通报政府有关部门，由政府有关部门对其进行处罚。若因此给甲方造成损失，乙方应赔偿甲方的全部损失。</w:t>
      </w:r>
    </w:p>
    <w:p w14:paraId="6B41A16F">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4）如发生任何对乙方的投诉情况，经查属实，甲方有权根据情节轻重要求乙方承担一次严重违约责任并且甲方有权下浮10%支付服务报酬。同时，甲方将视情况决定将乙方的违约行为通报有关政府主管部门。如因对乙方的投诉最终导致甲方被投诉的，同时按照</w:t>
      </w:r>
      <w:r>
        <w:rPr>
          <w:rFonts w:hint="eastAsia" w:ascii="宋体" w:hAnsi="宋体" w:cs="宋体"/>
          <w:bCs/>
          <w:color w:val="auto"/>
          <w:sz w:val="24"/>
          <w:szCs w:val="24"/>
          <w:highlight w:val="none"/>
        </w:rPr>
        <w:t>本合同条款第</w:t>
      </w:r>
      <w:r>
        <w:rPr>
          <w:rFonts w:hint="eastAsia" w:ascii="宋体" w:hAnsi="宋体" w:cs="宋体"/>
          <w:color w:val="auto"/>
          <w:sz w:val="24"/>
          <w:szCs w:val="24"/>
          <w:highlight w:val="none"/>
        </w:rPr>
        <w:t>8.2.6－（3）款执行。</w:t>
      </w:r>
    </w:p>
    <w:p w14:paraId="02638DFB">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（5）乙方通过提供虚假信息，误导或欺骗等方式，谋取非法利益的；乙方未经甲方书面同意擅自将受托项目转委托给第三方的，每次均须承担严重违约责任一次。</w:t>
      </w:r>
    </w:p>
    <w:p w14:paraId="4039ABBC">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（6）乙方违反回避制度的；乙方拒绝接受甲方跟踪核查的；乙方不按要求保管甲方提供的相关资料的，每次均须承担一般违约责任一次。</w:t>
      </w:r>
    </w:p>
    <w:p w14:paraId="091FE874">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（7）乙方违反保密义务，每次均须承担严重违约责任一次，并承担其它相应的法律责任。</w:t>
      </w:r>
    </w:p>
    <w:p w14:paraId="38ED4A77">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8.2.8乙方在项目工作质量考评中合格，但分数低于65分且有单项得分低于合格基准分的，甲方有权下浮10%支付造价咨询服务报酬，并要求乙方对相应单项进行整改，乙方必须无条件接受。</w:t>
      </w:r>
    </w:p>
    <w:p w14:paraId="2138F4E0">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8.2.9乙方向甲方提出的赔偿要求不能成立时，则应补偿由于该赔偿或其他要求所导致甲方的各种费用的支出。</w:t>
      </w:r>
    </w:p>
    <w:p w14:paraId="2334270F">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8.2.10在本合同有效期内，乙方的单位名称变更的，应及时以书面形式通知甲方；乙方法定代表人变更的，应在变更后15日内向甲方提交新法定代表人的职务、职称、联系电话、通信地址等信息。否则视为乙方违约，乙方应当承担一次一般违约责任。</w:t>
      </w:r>
    </w:p>
    <w:p w14:paraId="3A310ADE">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8.2.11除上述约定之外，乙方不履行或不完全履行合同其他义务的，均构成违约，应当承担一次一般违约责任。情节较轻的，可给予书面警告；情节较重的，应当承担一次严重违约责任。</w:t>
      </w:r>
    </w:p>
    <w:p w14:paraId="74629FCD">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8.2.12乙方违约责任的认定方式：以甲方发出的通知、通报、会议纪要等书面文件确定的内容为准。</w:t>
      </w:r>
    </w:p>
    <w:p w14:paraId="17C041BD">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8.3除非法律、法规规定或本合同约定，任何一方不得擅自解除合同，擅自解除合同者应向对方支付</w:t>
      </w:r>
      <w:r>
        <w:rPr>
          <w:rFonts w:hint="eastAsia" w:ascii="宋体" w:hAnsi="宋体" w:cs="宋体"/>
          <w:bCs/>
          <w:color w:val="auto"/>
          <w:sz w:val="24"/>
          <w:szCs w:val="24"/>
          <w:highlight w:val="none"/>
        </w:rPr>
        <w:t>本合同服务报酬总额</w:t>
      </w:r>
      <w:r>
        <w:rPr>
          <w:rFonts w:hint="eastAsia" w:ascii="宋体" w:hAnsi="宋体" w:cs="宋体"/>
          <w:color w:val="auto"/>
          <w:sz w:val="24"/>
          <w:szCs w:val="24"/>
          <w:highlight w:val="none"/>
        </w:rPr>
        <w:t>20%的违约金。如乙方擅自解除合同的，还需返还已收取的全部款项。</w:t>
      </w:r>
    </w:p>
    <w:p w14:paraId="414D4F0A">
      <w:pPr>
        <w:widowControl/>
        <w:spacing w:line="360" w:lineRule="auto"/>
        <w:ind w:firstLine="200"/>
        <w:jc w:val="left"/>
        <w:outlineLvl w:val="1"/>
        <w:rPr>
          <w:rFonts w:ascii="宋体" w:hAnsi="宋体" w:cs="宋体"/>
          <w:color w:val="auto"/>
          <w:sz w:val="24"/>
          <w:szCs w:val="24"/>
          <w:highlight w:val="none"/>
        </w:rPr>
      </w:pPr>
      <w:r>
        <w:rPr>
          <w:rFonts w:hint="eastAsia" w:ascii="宋体" w:hAnsi="宋体" w:cs="宋体"/>
          <w:b/>
          <w:color w:val="auto"/>
          <w:sz w:val="24"/>
          <w:szCs w:val="24"/>
          <w:highlight w:val="none"/>
        </w:rPr>
        <w:t>九、合同变更与终止</w:t>
      </w:r>
    </w:p>
    <w:p w14:paraId="218DB936">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9.1由于甲方或第三人的原因使乙方工作受到阻碍或延误以致增加了工作量或持续时间，则乙方应当将此情况与可能产生的影响及时书面通知甲方，完成建设工程造价咨询工作的时间应当相应延长。</w:t>
      </w:r>
    </w:p>
    <w:p w14:paraId="20333D2E">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9.2当事人一方要求变更或解除合同时，应当至少提前14天通知对方；因变更或解除合同使一方遭受损失的，应由责任方负责赔偿。</w:t>
      </w:r>
    </w:p>
    <w:p w14:paraId="7DB6F2A2">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9.3本合同履行期间，如遇不可抗力，致使合同无法履行的，双方应按有关法律规定及时协商处理。</w:t>
      </w:r>
    </w:p>
    <w:p w14:paraId="3DBA5BB5">
      <w:pPr>
        <w:spacing w:line="360" w:lineRule="auto"/>
        <w:ind w:firstLine="420"/>
        <w:rPr>
          <w:rFonts w:ascii="宋体" w:hAnsi="宋体" w:cs="宋体"/>
          <w:color w:val="auto"/>
          <w:sz w:val="24"/>
          <w:szCs w:val="24"/>
          <w:highlight w:val="none"/>
        </w:rPr>
      </w:pPr>
      <w:r>
        <w:rPr>
          <w:rFonts w:hint="eastAsia" w:ascii="宋体" w:hAnsi="宋体" w:cs="宋体"/>
          <w:bCs/>
          <w:color w:val="auto"/>
          <w:kern w:val="0"/>
          <w:sz w:val="24"/>
          <w:szCs w:val="24"/>
          <w:highlight w:val="none"/>
        </w:rPr>
        <w:t>不可抗力，是指不能预见、不能避免并不能克服、对本合同的约定工作造成实质性影响的自然灾害和战争、动乱（不包括乙方内部的任何纠纷和纷争）等社会事件。政府关于本项目政策的重大调整或本项目建设规划方案重大功能性调整，也属不可抗力。</w:t>
      </w:r>
    </w:p>
    <w:p w14:paraId="675B15FA">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9.4变更或解除合同的通知或协议应当采取书面形式，新的协议未达成之前，原合同仍然有效。</w:t>
      </w:r>
    </w:p>
    <w:p w14:paraId="44A74ABF">
      <w:pPr>
        <w:widowControl/>
        <w:spacing w:line="360" w:lineRule="auto"/>
        <w:ind w:firstLine="200"/>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十、履约担保及索赔</w:t>
      </w:r>
    </w:p>
    <w:p w14:paraId="3F3E3A2D">
      <w:pPr>
        <w:spacing w:line="360" w:lineRule="auto"/>
        <w:ind w:firstLine="42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10.1  乙方应在本合同签订后</w:t>
      </w:r>
      <w:r>
        <w:rPr>
          <w:rFonts w:ascii="宋体" w:hAnsi="宋体" w:cs="宋体"/>
          <w:color w:val="auto"/>
          <w:spacing w:val="4"/>
          <w:kern w:val="0"/>
          <w:sz w:val="24"/>
          <w:szCs w:val="24"/>
          <w:highlight w:val="none"/>
        </w:rPr>
        <w:t>14</w:t>
      </w:r>
      <w:r>
        <w:rPr>
          <w:rFonts w:hint="eastAsia" w:ascii="宋体" w:hAnsi="宋体" w:cs="宋体"/>
          <w:color w:val="auto"/>
          <w:spacing w:val="4"/>
          <w:kern w:val="0"/>
          <w:sz w:val="24"/>
          <w:szCs w:val="24"/>
          <w:highlight w:val="none"/>
        </w:rPr>
        <w:t>天内按招标文件载明的格式向甲方提交由在中国注册并经委托人认可的担保机构开具的担保金额为合同价款的10%,即人民币</w:t>
      </w:r>
      <w:r>
        <w:rPr>
          <w:rFonts w:ascii="宋体" w:hAnsi="宋体" w:cs="宋体"/>
          <w:color w:val="auto"/>
          <w:spacing w:val="4"/>
          <w:kern w:val="0"/>
          <w:sz w:val="24"/>
          <w:szCs w:val="24"/>
          <w:highlight w:val="none"/>
          <w:u w:val="single"/>
        </w:rPr>
        <w:t xml:space="preserve">         </w:t>
      </w:r>
      <w:r>
        <w:rPr>
          <w:rFonts w:hint="eastAsia" w:ascii="宋体" w:hAnsi="宋体" w:cs="宋体"/>
          <w:color w:val="auto"/>
          <w:spacing w:val="4"/>
          <w:kern w:val="0"/>
          <w:sz w:val="24"/>
          <w:szCs w:val="24"/>
          <w:highlight w:val="none"/>
        </w:rPr>
        <w:t>元的《履约担保》原件。</w:t>
      </w:r>
    </w:p>
    <w:p w14:paraId="3868C899">
      <w:pPr>
        <w:spacing w:line="360" w:lineRule="auto"/>
        <w:ind w:firstLine="42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10.2 乙方如未能在上述约定的时间内提交履约担保的，视为自动放弃中标资格。</w:t>
      </w:r>
    </w:p>
    <w:p w14:paraId="66FF1DF8">
      <w:pPr>
        <w:spacing w:line="360" w:lineRule="auto"/>
        <w:ind w:firstLine="42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10.3 乙方提交的履约担保是对本合同约定的乙方的全部义务（包括但不限于乙方违约后应支付的违约金和赔偿金）的担保，乙方的任何一次不履行或不完全履行合同义务的行为，甲方均有权向出函</w:t>
      </w:r>
      <w:r>
        <w:rPr>
          <w:rFonts w:ascii="宋体" w:hAnsi="宋体" w:cs="宋体"/>
          <w:color w:val="auto"/>
          <w:spacing w:val="4"/>
          <w:kern w:val="0"/>
          <w:sz w:val="24"/>
          <w:szCs w:val="24"/>
          <w:highlight w:val="none"/>
        </w:rPr>
        <w:t>单位</w:t>
      </w:r>
      <w:r>
        <w:rPr>
          <w:rFonts w:hint="eastAsia" w:ascii="宋体" w:hAnsi="宋体" w:cs="宋体"/>
          <w:color w:val="auto"/>
          <w:spacing w:val="4"/>
          <w:kern w:val="0"/>
          <w:sz w:val="24"/>
          <w:szCs w:val="24"/>
          <w:highlight w:val="none"/>
        </w:rPr>
        <w:t>提出索赔。</w:t>
      </w:r>
    </w:p>
    <w:p w14:paraId="62B1D7E7">
      <w:pPr>
        <w:spacing w:line="360" w:lineRule="auto"/>
        <w:ind w:firstLine="42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10.4 乙方不履行或不完全履行合同义务的行为导致甲方依据履约担保向出函</w:t>
      </w:r>
      <w:r>
        <w:rPr>
          <w:rFonts w:ascii="宋体" w:hAnsi="宋体" w:cs="宋体"/>
          <w:color w:val="auto"/>
          <w:spacing w:val="4"/>
          <w:kern w:val="0"/>
          <w:sz w:val="24"/>
          <w:szCs w:val="24"/>
          <w:highlight w:val="none"/>
        </w:rPr>
        <w:t>单位</w:t>
      </w:r>
      <w:r>
        <w:rPr>
          <w:rFonts w:hint="eastAsia" w:ascii="宋体" w:hAnsi="宋体" w:cs="宋体"/>
          <w:color w:val="auto"/>
          <w:spacing w:val="4"/>
          <w:kern w:val="0"/>
          <w:sz w:val="24"/>
          <w:szCs w:val="24"/>
          <w:highlight w:val="none"/>
        </w:rPr>
        <w:t>索赔履约担保金额的一部分或者全部的，乙方必须在甲方规定的时间内补充提交履约担保，使得本合同履行期间有效的履约担保金额等于乙方按本合同约定第一次提交的履约担保金额。</w:t>
      </w:r>
    </w:p>
    <w:p w14:paraId="013C5B09">
      <w:pPr>
        <w:spacing w:line="360" w:lineRule="auto"/>
        <w:ind w:firstLine="42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10.5 如果乙方不按甲方的要求及时补充提交履约担保，则甲方有权单方面部分解除或解除本合同，并按合同条款第8</w:t>
      </w:r>
      <w:r>
        <w:rPr>
          <w:rFonts w:ascii="宋体" w:hAnsi="宋体" w:cs="宋体"/>
          <w:color w:val="auto"/>
          <w:spacing w:val="4"/>
          <w:kern w:val="0"/>
          <w:sz w:val="24"/>
          <w:szCs w:val="24"/>
          <w:highlight w:val="none"/>
        </w:rPr>
        <w:t>条</w:t>
      </w:r>
      <w:r>
        <w:rPr>
          <w:rFonts w:hint="eastAsia" w:ascii="宋体" w:hAnsi="宋体" w:cs="宋体"/>
          <w:color w:val="auto"/>
          <w:spacing w:val="4"/>
          <w:kern w:val="0"/>
          <w:sz w:val="24"/>
          <w:szCs w:val="24"/>
          <w:highlight w:val="none"/>
        </w:rPr>
        <w:t>的有关约定执行。</w:t>
      </w:r>
    </w:p>
    <w:p w14:paraId="2B557C82">
      <w:pPr>
        <w:spacing w:line="360" w:lineRule="auto"/>
        <w:ind w:firstLine="42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xml:space="preserve">10.6 </w:t>
      </w:r>
      <w:r>
        <w:rPr>
          <w:rFonts w:ascii="宋体" w:hAnsi="宋体" w:cs="宋体"/>
          <w:color w:val="auto"/>
          <w:spacing w:val="4"/>
          <w:kern w:val="0"/>
          <w:sz w:val="24"/>
          <w:szCs w:val="24"/>
          <w:highlight w:val="none"/>
        </w:rPr>
        <w:t>合同约定项目</w:t>
      </w:r>
      <w:r>
        <w:rPr>
          <w:rFonts w:hint="eastAsia" w:ascii="宋体" w:hAnsi="宋体" w:cs="宋体"/>
          <w:color w:val="auto"/>
          <w:spacing w:val="4"/>
          <w:kern w:val="0"/>
          <w:sz w:val="24"/>
          <w:szCs w:val="24"/>
          <w:highlight w:val="none"/>
        </w:rPr>
        <w:t>结算最终定审后，乙方可以向甲方申请退还履约担保。</w:t>
      </w:r>
    </w:p>
    <w:p w14:paraId="2E2185CE">
      <w:pPr>
        <w:widowControl/>
        <w:spacing w:line="360" w:lineRule="auto"/>
        <w:ind w:firstLine="200"/>
        <w:jc w:val="left"/>
        <w:outlineLvl w:val="1"/>
        <w:rPr>
          <w:rFonts w:ascii="宋体" w:hAnsi="宋体" w:cs="宋体"/>
          <w:color w:val="auto"/>
          <w:sz w:val="24"/>
          <w:szCs w:val="24"/>
          <w:highlight w:val="none"/>
        </w:rPr>
      </w:pPr>
      <w:r>
        <w:rPr>
          <w:rFonts w:hint="eastAsia" w:ascii="宋体" w:hAnsi="宋体" w:cs="宋体"/>
          <w:b/>
          <w:color w:val="auto"/>
          <w:sz w:val="24"/>
          <w:szCs w:val="24"/>
          <w:highlight w:val="none"/>
        </w:rPr>
        <w:t>十一、合同争议的解决</w:t>
      </w:r>
    </w:p>
    <w:p w14:paraId="67E0A090">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11.1凡因履行本合同而引起的一切争议或与本合同有关的争议，应由甲乙双方通过友好协商解决。协商不成时，任何一方均有权向甲方住所地人民法院提起诉讼。</w:t>
      </w:r>
    </w:p>
    <w:p w14:paraId="47D1CE26">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11.2乙方承诺：在争议解决期间，仍将尽职尽责继续完成甲方所委托的工作，否则甲方有权先行单方面解除本合同；如甲方决定先行单方面解除本合同的，乙方立即无条件服从并将有关资料无偿移交甲方。</w:t>
      </w:r>
    </w:p>
    <w:p w14:paraId="00A35ED8">
      <w:pPr>
        <w:widowControl/>
        <w:spacing w:line="360" w:lineRule="auto"/>
        <w:ind w:firstLine="200"/>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十二、其它</w:t>
      </w:r>
    </w:p>
    <w:p w14:paraId="419DB30F">
      <w:pPr>
        <w:spacing w:line="360" w:lineRule="auto"/>
        <w:ind w:firstLine="420"/>
        <w:rPr>
          <w:rFonts w:ascii="宋体" w:hAnsi="宋体" w:cs="宋体"/>
          <w:b/>
          <w:color w:val="auto"/>
          <w:sz w:val="24"/>
          <w:szCs w:val="24"/>
          <w:highlight w:val="none"/>
        </w:rPr>
      </w:pPr>
      <w:r>
        <w:rPr>
          <w:rFonts w:hint="eastAsia" w:ascii="宋体" w:hAnsi="宋体" w:cs="宋体"/>
          <w:b/>
          <w:color w:val="auto"/>
          <w:sz w:val="24"/>
          <w:szCs w:val="24"/>
          <w:highlight w:val="none"/>
        </w:rPr>
        <w:t>12.1补充条款</w:t>
      </w:r>
    </w:p>
    <w:p w14:paraId="6DE78A76">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乙方承诺严格按照合同约定履行义务，并同意甲方将其履行合同、招投标文件义务的履约情况和不诚信行为（包括但不限于由甲方组织的考核、考评通报、作出的违约责任处理决定等）在甲方网站和建设项目业主网站及其他媒体上公开披露，由此造成的一切损失和不利后果均由乙方自行承担。</w:t>
      </w:r>
    </w:p>
    <w:p w14:paraId="3F18A1A9">
      <w:pPr>
        <w:spacing w:line="360" w:lineRule="auto"/>
        <w:ind w:firstLine="420"/>
        <w:rPr>
          <w:rFonts w:ascii="宋体" w:hAnsi="宋体" w:cs="宋体"/>
          <w:b/>
          <w:color w:val="auto"/>
          <w:sz w:val="24"/>
          <w:szCs w:val="24"/>
          <w:highlight w:val="none"/>
        </w:rPr>
      </w:pPr>
      <w:r>
        <w:rPr>
          <w:rFonts w:hint="eastAsia" w:ascii="宋体" w:hAnsi="宋体" w:cs="宋体"/>
          <w:b/>
          <w:color w:val="auto"/>
          <w:sz w:val="24"/>
          <w:szCs w:val="24"/>
          <w:highlight w:val="none"/>
        </w:rPr>
        <w:t>12.2知识产权</w:t>
      </w:r>
    </w:p>
    <w:p w14:paraId="17F873AF">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乙方应保证在造价咨询服务中所编制的文件不侵犯他人合法权益。乙方为本合同约定项目提供造价咨询服务编制的所有文件的知识产权应属甲方专有。</w:t>
      </w:r>
    </w:p>
    <w:p w14:paraId="03DE05ED">
      <w:pPr>
        <w:spacing w:line="360" w:lineRule="auto"/>
        <w:ind w:firstLine="420"/>
        <w:rPr>
          <w:rFonts w:ascii="宋体" w:hAnsi="宋体" w:cs="宋体"/>
          <w:b/>
          <w:color w:val="auto"/>
          <w:sz w:val="24"/>
          <w:szCs w:val="24"/>
          <w:highlight w:val="none"/>
        </w:rPr>
      </w:pPr>
      <w:r>
        <w:rPr>
          <w:rFonts w:hint="eastAsia" w:ascii="宋体" w:hAnsi="宋体" w:cs="宋体"/>
          <w:b/>
          <w:color w:val="auto"/>
          <w:sz w:val="24"/>
          <w:szCs w:val="24"/>
          <w:highlight w:val="none"/>
        </w:rPr>
        <w:t>12.3回避</w:t>
      </w:r>
    </w:p>
    <w:p w14:paraId="0D2F9407">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乙方不得再接受除甲方外的其他委托人对本项目的服务委托，即不能就本项目既接受甲方的委托，又接受项目投标供应商、施工承包单位等相对利益关系人的委托，否则甲方有权解除本合同并按合同条款第8.2款的约定追究乙方的违约责任。</w:t>
      </w:r>
    </w:p>
    <w:p w14:paraId="17E0893D">
      <w:pPr>
        <w:widowControl/>
        <w:spacing w:line="360" w:lineRule="auto"/>
        <w:ind w:firstLine="200"/>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十三、附件</w:t>
      </w:r>
    </w:p>
    <w:p w14:paraId="2CCF8D3B">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附件1：工程建设廉洁协议书</w:t>
      </w:r>
    </w:p>
    <w:p w14:paraId="5E7617CA">
      <w:pPr>
        <w:spacing w:line="360" w:lineRule="auto"/>
        <w:ind w:firstLine="420"/>
        <w:rPr>
          <w:rFonts w:ascii="宋体" w:hAnsi="宋体" w:cs="宋体"/>
          <w:color w:val="auto"/>
          <w:sz w:val="24"/>
          <w:szCs w:val="24"/>
          <w:highlight w:val="none"/>
        </w:rPr>
      </w:pPr>
      <w:r>
        <w:rPr>
          <w:rFonts w:hint="eastAsia" w:ascii="宋体" w:hAnsi="宋体" w:cs="宋体"/>
          <w:color w:val="auto"/>
          <w:kern w:val="0"/>
          <w:sz w:val="24"/>
          <w:szCs w:val="24"/>
          <w:highlight w:val="none"/>
        </w:rPr>
        <w:t>附件2：</w:t>
      </w:r>
      <w:r>
        <w:rPr>
          <w:rFonts w:hint="eastAsia" w:ascii="宋体" w:hAnsi="宋体" w:cs="宋体"/>
          <w:color w:val="auto"/>
          <w:sz w:val="24"/>
          <w:szCs w:val="24"/>
          <w:highlight w:val="none"/>
        </w:rPr>
        <w:t>中标通知书</w:t>
      </w:r>
    </w:p>
    <w:p w14:paraId="289A0168">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附件3：履约担保</w:t>
      </w:r>
    </w:p>
    <w:p w14:paraId="31ECE3E9">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附件4：拟投入本项目造价人员一览表</w:t>
      </w:r>
    </w:p>
    <w:p w14:paraId="5D5870C7">
      <w:pPr>
        <w:spacing w:line="360" w:lineRule="auto"/>
        <w:ind w:firstLine="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附件5：投标函及投标函附录</w:t>
      </w:r>
    </w:p>
    <w:p w14:paraId="6EA5860E">
      <w:pPr>
        <w:widowControl/>
        <w:spacing w:line="360" w:lineRule="auto"/>
        <w:ind w:firstLine="420" w:firstLineChars="175"/>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附件6：《广州市重点公共建设项目管理中心建设工程造价咨询单位管理办法》（穗重建〔2021〕770号，另册）</w:t>
      </w:r>
    </w:p>
    <w:p w14:paraId="5925501D">
      <w:pPr>
        <w:widowControl/>
        <w:spacing w:line="360" w:lineRule="auto"/>
        <w:ind w:firstLine="420" w:firstLineChars="175"/>
        <w:contextualSpacing/>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附件7：乙方营业执照</w:t>
      </w:r>
    </w:p>
    <w:p w14:paraId="071E9301">
      <w:pPr>
        <w:widowControl/>
        <w:spacing w:line="360" w:lineRule="auto"/>
        <w:ind w:firstLine="420" w:firstLineChars="175"/>
        <w:contextualSpacing/>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附件8：建设资金支付协议</w:t>
      </w:r>
    </w:p>
    <w:p w14:paraId="1000172D">
      <w:pPr>
        <w:widowControl/>
        <w:spacing w:line="360" w:lineRule="auto"/>
        <w:contextualSpacing/>
        <w:jc w:val="left"/>
        <w:outlineLvl w:val="0"/>
        <w:rPr>
          <w:rFonts w:ascii="宋体" w:hAnsi="宋体" w:cs="宋体"/>
          <w:color w:val="auto"/>
          <w:sz w:val="24"/>
          <w:szCs w:val="24"/>
          <w:highlight w:val="none"/>
        </w:rPr>
      </w:pPr>
      <w:r>
        <w:rPr>
          <w:rFonts w:hint="eastAsia" w:ascii="宋体" w:hAnsi="宋体" w:cs="宋体"/>
          <w:color w:val="auto"/>
          <w:sz w:val="24"/>
          <w:szCs w:val="24"/>
          <w:highlight w:val="none"/>
        </w:rPr>
        <w:t>（本页以下无正文）</w:t>
      </w: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附件1：</w:t>
      </w:r>
    </w:p>
    <w:p w14:paraId="4352B026">
      <w:pPr>
        <w:widowControl/>
        <w:adjustRightInd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工程建设廉洁协议书</w:t>
      </w:r>
    </w:p>
    <w:p w14:paraId="5DFE57F7">
      <w:pPr>
        <w:widowControl/>
        <w:adjustRightInd w:val="0"/>
        <w:snapToGrid w:val="0"/>
        <w:spacing w:line="360" w:lineRule="auto"/>
        <w:jc w:val="left"/>
        <w:rPr>
          <w:rFonts w:ascii="宋体" w:hAnsi="宋体" w:cs="宋体"/>
          <w:color w:val="auto"/>
          <w:kern w:val="0"/>
          <w:szCs w:val="21"/>
          <w:highlight w:val="none"/>
        </w:rPr>
      </w:pPr>
    </w:p>
    <w:p w14:paraId="1BA3636D">
      <w:pPr>
        <w:widowControl/>
        <w:adjustRightInd w:val="0"/>
        <w:snapToGri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工程项目名称：广州市公安局案件物证综合管理中心</w:t>
      </w:r>
      <w:r>
        <w:rPr>
          <w:rFonts w:ascii="宋体" w:hAnsi="宋体" w:cs="宋体"/>
          <w:color w:val="auto"/>
          <w:kern w:val="0"/>
          <w:sz w:val="24"/>
          <w:szCs w:val="24"/>
          <w:highlight w:val="none"/>
        </w:rPr>
        <w:t>造价咨询服务</w:t>
      </w:r>
    </w:p>
    <w:p w14:paraId="6C81ADD0">
      <w:pPr>
        <w:widowControl/>
        <w:adjustRightInd w:val="0"/>
        <w:snapToGrid w:val="0"/>
        <w:spacing w:line="360" w:lineRule="auto"/>
        <w:jc w:val="left"/>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工程项目地址：广州市番禺区钟村镇石壁村谢石公路以北、大象岗森林公园以南、番禺高创鞋业有限公司以西、广州秀珀化工股份有限公司以东的地块内</w:t>
      </w:r>
    </w:p>
    <w:p w14:paraId="145C96EE">
      <w:pPr>
        <w:widowControl/>
        <w:adjustRightInd w:val="0"/>
        <w:snapToGri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甲方（委托人）：广州市重点公共建设项目管理中心</w:t>
      </w:r>
    </w:p>
    <w:p w14:paraId="7F98205D">
      <w:pPr>
        <w:widowControl/>
        <w:adjustRightInd w:val="0"/>
        <w:snapToGri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乙方（受托人）：</w:t>
      </w:r>
    </w:p>
    <w:p w14:paraId="5D50007F">
      <w:pPr>
        <w:widowControl/>
        <w:adjustRightInd w:val="0"/>
        <w:snapToGrid w:val="0"/>
        <w:spacing w:line="360" w:lineRule="auto"/>
        <w:jc w:val="left"/>
        <w:rPr>
          <w:rFonts w:ascii="宋体" w:hAnsi="宋体" w:cs="宋体"/>
          <w:color w:val="auto"/>
          <w:kern w:val="0"/>
          <w:sz w:val="24"/>
          <w:szCs w:val="24"/>
          <w:highlight w:val="none"/>
        </w:rPr>
      </w:pPr>
    </w:p>
    <w:p w14:paraId="0280E405">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为切实规范甲乙双方的各项建筑活动，预防本工程违法违纪等腐败现象的发生，保障工程建设优质、安全和廉洁，根据《广州市建筑市场廉洁准入规定》及相关法律法规的规定，特订立本协议书。</w:t>
      </w:r>
    </w:p>
    <w:p w14:paraId="655619D6">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第一条 甲乙双方责任</w:t>
      </w:r>
    </w:p>
    <w:p w14:paraId="091DFE54">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（一）严格遵守国家和省、市关于市场准入、项目招标投标、工程施工、工程验收、结算和市场活动等有关法律、法规，相关政策，以及廉政建设的各项约定。</w:t>
      </w:r>
    </w:p>
    <w:p w14:paraId="499500DE">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（二）严格执行建设工程项目承发包合同文件，自觉按合同办事。</w:t>
      </w:r>
    </w:p>
    <w:p w14:paraId="0379CDB5">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建筑活动必须坚持公开、公平、公正、诚信、透明的原则（除法律法规另有规定者外），不得为获取不正当的利益，损害国家、集体和对方利益，不得违反国家、省、市和甲方有关工程建设管理的规章制度。</w:t>
      </w:r>
    </w:p>
    <w:p w14:paraId="573BD277">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（四）发现对方在建筑活动中存在违规、违纪、违法行为的，有权向其上级主管部门或纪检监察、检察等有关机关举报。</w:t>
      </w:r>
    </w:p>
    <w:p w14:paraId="5DEBF7FA">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（五）甲乙双方单位监督部门应充分发挥各自职能作用，积极互动形成纵向监督合力，依照本协议书规定，对本工程廉洁从业情况实施监督，及时制止不廉洁行为的发生。</w:t>
      </w:r>
    </w:p>
    <w:p w14:paraId="4FCB6508">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第二条 甲方责任</w:t>
      </w:r>
    </w:p>
    <w:p w14:paraId="2FCBB039">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（一）甲方领导干部和从事该工程建设的管理人员，在建筑活动中须严格遵守以下廉洁从业规定：</w:t>
      </w:r>
    </w:p>
    <w:p w14:paraId="08BAD129">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1.不准向乙方和相关单位或个人索取钱物或接受回扣、礼金、各种有价证券、信用卡和好处费、感谢费以及其它支付凭证等。</w:t>
      </w:r>
    </w:p>
    <w:p w14:paraId="1C0CD86C">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2.不准接受可能影响公正执行公务的乙方和相关单位或个人的礼物馈赠、宴请、各种形式俱乐部会员资格、高消费娱乐活动。</w:t>
      </w:r>
    </w:p>
    <w:p w14:paraId="57E963A9">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3.不准在乙方和相关单位报销任何应由甲方或个人负担的费用。</w:t>
      </w:r>
    </w:p>
    <w:p w14:paraId="065082D2">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4.不准要求、暗示或接受乙方和相关单位或个人为自己、配偶、子女、其他亲属朋友及身边工作人员的装修住房、婚丧嫁娶、工作安排、学习培训、经商办企业以及出国（境）、旅游、度假等支付费用。</w:t>
      </w:r>
    </w:p>
    <w:p w14:paraId="4912D76D">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5.不准向乙方介绍配偶、子女、其他亲属朋友及身边工作人员参与同甲方项目工程合同有关的设备、材料、工程分包、劳务等经济活动。</w:t>
      </w:r>
    </w:p>
    <w:p w14:paraId="7B944BF1">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6.不得以任何理由向乙方和相关单位推荐分包单位和要求或暗示乙方购买项目工程合同规定外的材料、设备等。</w:t>
      </w:r>
    </w:p>
    <w:p w14:paraId="37878919">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（二）正式开工前组织与乙方廉洁责任人见面会，进行廉洁工程建设交底，明确廉洁工程建设责任和目标任务、举报方式。</w:t>
      </w:r>
    </w:p>
    <w:p w14:paraId="4411440F">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（三）加强对质量安全、计量支付、工程变更以及工程结算等建设管理环节的监督管理，特别是各业务审批效能方面的监察检查，提高建设管理服务水平。</w:t>
      </w:r>
    </w:p>
    <w:p w14:paraId="6CA48760">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（四）在工地现场设置反腐倡廉举报箱和公开举报电话，并组织开展廉政座谈、法制讲座、参观监狱等活动，加强廉洁自律教育，营造廉洁工地文化氛围，筑牢文化防腐第一道防线。</w:t>
      </w:r>
    </w:p>
    <w:p w14:paraId="0741B6DC">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（五）成立现场监督工作机构，不定期对工地建设管理及监督工作情况开展巡查，对发现的有关问题，及时协调给予现场解决。</w:t>
      </w:r>
    </w:p>
    <w:p w14:paraId="45561124">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第三条 乙方责任</w:t>
      </w:r>
    </w:p>
    <w:p w14:paraId="4CFF4DB8">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（一）与甲方保持正常的业务交往，遵守以下规定：</w:t>
      </w:r>
    </w:p>
    <w:p w14:paraId="09CF18F0">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1.不准以任何理由向甲方人员行贿或赠送回扣、礼金、各种有价证券、信用卡和好处费、感谢费及其它支付凭证等。</w:t>
      </w:r>
    </w:p>
    <w:p w14:paraId="3B462B2C">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2.不准以任何理由为甲方人员组织有可能影响公正执行公务的宴请、各种形式俱乐部及高消费娱乐等活动。</w:t>
      </w:r>
    </w:p>
    <w:p w14:paraId="77E1B494">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3.不准以任何理由为甲方或个人报销应由对方或个人支付的费用。</w:t>
      </w:r>
    </w:p>
    <w:p w14:paraId="745D2879">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4.不准暗示或要求为甲方人员及其配偶、子女、其他亲属朋友及身边工作人员的装修住房、婚丧嫁娶、工作安排、学习培训、经商办企业以及出国（境）、旅游、度假提供方便和支付费用。</w:t>
      </w:r>
    </w:p>
    <w:p w14:paraId="18EEF25E">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5.不准介绍和安排甲方人员及其配偶、子女、其他亲属朋友及身边工作人员参与同甲方工程项目有关的设备、材料、工程分包、劳务等经济活动。</w:t>
      </w:r>
    </w:p>
    <w:p w14:paraId="41E90752">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（二）细化内部廉洁工程建设任务，分解责任，明确落实到项目部管理人员，层层签订廉洁从业责任状，形成有效的管理机制。</w:t>
      </w:r>
    </w:p>
    <w:p w14:paraId="5A0D8B09">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（三）成立现场施工监督工作组，负责项目部廉政责任组织落实，工地廉洁文化建设以及对现场实施进行监督管理，并接受甲方监督工作机构的再监督。</w:t>
      </w:r>
    </w:p>
    <w:p w14:paraId="7DF35E83">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（四）按甲方要求在工地项目部设置廉洁文化教育专区，开展观看警示教育片、图片展览等教育活动，加强对员工的法律法规、廉洁和职业道德教育。</w:t>
      </w:r>
    </w:p>
    <w:p w14:paraId="7B28E682">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第四条 违约责任</w:t>
      </w:r>
    </w:p>
    <w:p w14:paraId="40CBEAC2">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（一）甲方违约责任</w:t>
      </w:r>
    </w:p>
    <w:p w14:paraId="05CD59A5">
      <w:pPr>
        <w:widowControl/>
        <w:adjustRightInd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1.甲方</w:t>
      </w:r>
      <w:r>
        <w:rPr>
          <w:rFonts w:hint="eastAsia" w:ascii="宋体" w:hAnsi="宋体" w:cs="宋体"/>
          <w:bCs/>
          <w:color w:val="auto"/>
          <w:kern w:val="0"/>
          <w:sz w:val="24"/>
          <w:szCs w:val="24"/>
          <w:highlight w:val="none"/>
        </w:rPr>
        <w:t>不履行或不完全履行本协议书有关责任义务给乙方造成损失的，在乙方提交足够证据并经查证属实的情况下，甲方赔偿其直接经济损失。</w:t>
      </w:r>
    </w:p>
    <w:p w14:paraId="691308EA">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2.甲方人员出现受贿等严重违法违纪违规行为的，按照管理权限，依据有关法律法规和规定给予党纪、政纪处分或组织处理；涉嫌犯罪的，移交司法机关追究刑事责任。</w:t>
      </w:r>
    </w:p>
    <w:p w14:paraId="36A018D5">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（二）乙方违约责任</w:t>
      </w:r>
    </w:p>
    <w:p w14:paraId="3D6DB4C3">
      <w:pPr>
        <w:widowControl/>
        <w:adjustRightInd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bCs/>
          <w:color w:val="auto"/>
          <w:kern w:val="0"/>
          <w:sz w:val="24"/>
          <w:szCs w:val="24"/>
          <w:highlight w:val="none"/>
        </w:rPr>
        <w:t>乙方不履行或不完全履行本协议书有关责任义务的，</w:t>
      </w:r>
      <w:r>
        <w:rPr>
          <w:rFonts w:hint="eastAsia" w:ascii="宋体" w:hAnsi="宋体" w:cs="宋体"/>
          <w:color w:val="auto"/>
          <w:kern w:val="0"/>
          <w:sz w:val="24"/>
          <w:szCs w:val="24"/>
          <w:highlight w:val="none"/>
        </w:rPr>
        <w:t>按本工程合同</w:t>
      </w:r>
      <w:r>
        <w:rPr>
          <w:rFonts w:hint="eastAsia" w:ascii="宋体" w:hAnsi="宋体" w:cs="宋体"/>
          <w:bCs/>
          <w:color w:val="auto"/>
          <w:kern w:val="0"/>
          <w:sz w:val="24"/>
          <w:szCs w:val="24"/>
          <w:highlight w:val="none"/>
        </w:rPr>
        <w:t>规定须承担一次一般违约责任。情节较轻的，可给予书面警告；情节较重的，须承担一次严重违约责任。</w:t>
      </w:r>
    </w:p>
    <w:p w14:paraId="41EC3B78">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2.乙方</w:t>
      </w:r>
      <w:r>
        <w:rPr>
          <w:rFonts w:hint="eastAsia" w:ascii="宋体" w:hAnsi="宋体" w:cs="宋体"/>
          <w:color w:val="auto"/>
          <w:kern w:val="0"/>
          <w:sz w:val="24"/>
          <w:szCs w:val="24"/>
          <w:highlight w:val="none"/>
        </w:rPr>
        <w:t>出现严重违法违纪违规行为的，甲方将上报市检察院或监察机关依法查处，并提请建设行政主管部门根据《广州市建筑市场廉洁准入规定》给予限制或者取消其进入广州市建筑市场从事建筑活动的资格等处罚。</w:t>
      </w:r>
    </w:p>
    <w:p w14:paraId="094EB88B">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第五条 甲乙双方监管部门</w:t>
      </w:r>
    </w:p>
    <w:p w14:paraId="08362DFB">
      <w:pPr>
        <w:widowControl/>
        <w:adjustRightInd w:val="0"/>
        <w:snapToGrid w:val="0"/>
        <w:spacing w:line="4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1.甲方监督部门：纪检审计室，举报电话/电子邮箱：</w:t>
      </w:r>
    </w:p>
    <w:p w14:paraId="7D357CC5">
      <w:pPr>
        <w:widowControl/>
        <w:adjustRightInd w:val="0"/>
        <w:snapToGrid w:val="0"/>
        <w:spacing w:line="4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rPr>
        <w:t>020-22905611/gcpcjj@gz.gov.cn（纪委书记信箱）</w:t>
      </w:r>
      <w:r>
        <w:rPr>
          <w:rFonts w:hint="eastAsia" w:ascii="宋体" w:hAnsi="宋体" w:cs="宋体"/>
          <w:color w:val="auto"/>
          <w:kern w:val="0"/>
          <w:sz w:val="24"/>
          <w:szCs w:val="24"/>
          <w:highlight w:val="none"/>
        </w:rPr>
        <w:t>。</w:t>
      </w:r>
    </w:p>
    <w:p w14:paraId="7B579494">
      <w:pPr>
        <w:widowControl/>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2.乙方监督部门：</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，举报电话：</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w:t>
      </w:r>
    </w:p>
    <w:p w14:paraId="28961C73">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廉政责任人：</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，职务：</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，上级主管部门：</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rPr>
        <w:t>。</w:t>
      </w:r>
    </w:p>
    <w:p w14:paraId="19CB6E8B">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第六条 本协议书作为合同的附件，与合同具有同等法律效力。经双方签字盖章后生效。</w:t>
      </w:r>
    </w:p>
    <w:p w14:paraId="191AD93F">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第七条 本协议书有效期为双方签字盖章之日起至所属工程项目合同履行完毕时止。</w:t>
      </w:r>
    </w:p>
    <w:p w14:paraId="0F5B971C">
      <w:pPr>
        <w:widowControl/>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第八条 未尽事宜，由双方协商解决。</w:t>
      </w:r>
    </w:p>
    <w:p w14:paraId="0F0BB974">
      <w:pPr>
        <w:widowControl/>
        <w:adjustRightInd w:val="0"/>
        <w:snapToGrid w:val="0"/>
        <w:spacing w:line="360" w:lineRule="auto"/>
        <w:jc w:val="left"/>
        <w:rPr>
          <w:rFonts w:ascii="宋体" w:hAnsi="宋体" w:cs="宋体"/>
          <w:color w:val="auto"/>
          <w:kern w:val="0"/>
          <w:sz w:val="24"/>
          <w:szCs w:val="24"/>
          <w:highlight w:val="none"/>
        </w:rPr>
      </w:pPr>
    </w:p>
    <w:p w14:paraId="792049B5">
      <w:pPr>
        <w:widowControl/>
        <w:adjustRightInd w:val="0"/>
        <w:snapToGrid w:val="0"/>
        <w:spacing w:line="360" w:lineRule="auto"/>
        <w:jc w:val="left"/>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 xml:space="preserve">甲方：广州市重点公共建设项目管理中心                乙方：   </w:t>
      </w:r>
    </w:p>
    <w:p w14:paraId="301B6C25">
      <w:pPr>
        <w:widowControl/>
        <w:adjustRightInd w:val="0"/>
        <w:snapToGrid w:val="0"/>
        <w:spacing w:line="360" w:lineRule="auto"/>
        <w:ind w:firstLine="1320" w:firstLineChars="5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（盖章）                                （盖章）</w:t>
      </w:r>
    </w:p>
    <w:p w14:paraId="7FAACA23">
      <w:pPr>
        <w:widowControl/>
        <w:adjustRightInd w:val="0"/>
        <w:snapToGrid w:val="0"/>
        <w:spacing w:line="360" w:lineRule="auto"/>
        <w:jc w:val="left"/>
        <w:rPr>
          <w:rFonts w:ascii="宋体" w:hAnsi="宋体" w:cs="宋体"/>
          <w:color w:val="auto"/>
          <w:kern w:val="0"/>
          <w:sz w:val="24"/>
          <w:szCs w:val="24"/>
          <w:highlight w:val="none"/>
        </w:rPr>
      </w:pPr>
    </w:p>
    <w:p w14:paraId="245A6830">
      <w:pPr>
        <w:widowControl/>
        <w:adjustRightInd w:val="0"/>
        <w:snapToGri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                            法定代表人：</w:t>
      </w:r>
    </w:p>
    <w:p w14:paraId="342AC5C0">
      <w:pPr>
        <w:widowControl/>
        <w:adjustRightInd w:val="0"/>
        <w:snapToGrid w:val="0"/>
        <w:spacing w:line="360" w:lineRule="auto"/>
        <w:jc w:val="left"/>
        <w:rPr>
          <w:rFonts w:ascii="宋体" w:hAnsi="宋体" w:cs="宋体"/>
          <w:color w:val="auto"/>
          <w:kern w:val="0"/>
          <w:sz w:val="24"/>
          <w:szCs w:val="24"/>
          <w:highlight w:val="none"/>
        </w:rPr>
      </w:pPr>
    </w:p>
    <w:p w14:paraId="4801AE92">
      <w:pPr>
        <w:widowControl/>
        <w:adjustRightInd w:val="0"/>
        <w:snapToGri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                            委托代理人：</w:t>
      </w:r>
    </w:p>
    <w:p w14:paraId="07EE6ACD">
      <w:pPr>
        <w:widowControl/>
        <w:adjustRightInd w:val="0"/>
        <w:snapToGrid w:val="0"/>
        <w:spacing w:line="360" w:lineRule="auto"/>
        <w:jc w:val="left"/>
        <w:rPr>
          <w:rFonts w:ascii="宋体" w:hAnsi="宋体" w:cs="宋体"/>
          <w:color w:val="auto"/>
          <w:kern w:val="0"/>
          <w:sz w:val="24"/>
          <w:szCs w:val="24"/>
          <w:highlight w:val="none"/>
        </w:rPr>
      </w:pPr>
    </w:p>
    <w:p w14:paraId="6F94023F">
      <w:pPr>
        <w:widowControl/>
        <w:spacing w:line="360" w:lineRule="auto"/>
        <w:contextualSpacing/>
        <w:jc w:val="left"/>
        <w:rPr>
          <w:rFonts w:ascii="宋体" w:hAnsi="宋体" w:cs="宋体"/>
          <w:color w:val="auto"/>
          <w:sz w:val="24"/>
          <w:szCs w:val="24"/>
          <w:highlight w:val="none"/>
        </w:rPr>
      </w:pPr>
      <w:r>
        <w:rPr>
          <w:rFonts w:hint="eastAsia" w:ascii="宋体" w:hAnsi="宋体" w:cs="宋体"/>
          <w:color w:val="auto"/>
          <w:kern w:val="0"/>
          <w:sz w:val="24"/>
          <w:szCs w:val="24"/>
          <w:highlight w:val="none"/>
        </w:rPr>
        <w:t>日期：    年  月  日                    日期：    年  月  日</w:t>
      </w:r>
    </w:p>
    <w:p w14:paraId="6605E1DB">
      <w:pPr>
        <w:widowControl/>
        <w:spacing w:line="360" w:lineRule="auto"/>
        <w:contextualSpacing/>
        <w:jc w:val="left"/>
        <w:rPr>
          <w:rFonts w:ascii="宋体" w:hAnsi="宋体" w:cs="宋体"/>
          <w:color w:val="auto"/>
          <w:sz w:val="24"/>
          <w:szCs w:val="24"/>
          <w:highlight w:val="none"/>
        </w:rPr>
      </w:pPr>
    </w:p>
    <w:p w14:paraId="2CCD90C4">
      <w:pPr>
        <w:widowControl/>
        <w:spacing w:line="360" w:lineRule="auto"/>
        <w:contextualSpacing/>
        <w:jc w:val="left"/>
        <w:outlineLvl w:val="0"/>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附件2：</w:t>
      </w:r>
    </w:p>
    <w:p w14:paraId="3673C28B">
      <w:pPr>
        <w:widowControl/>
        <w:adjustRightInd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中标通知书</w:t>
      </w:r>
    </w:p>
    <w:p w14:paraId="7E5F9EDA">
      <w:pPr>
        <w:widowControl/>
        <w:spacing w:line="360" w:lineRule="auto"/>
        <w:contextualSpacing/>
        <w:jc w:val="left"/>
        <w:outlineLvl w:val="0"/>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 xml:space="preserve">附件3： </w:t>
      </w:r>
    </w:p>
    <w:p w14:paraId="4C37D8FF">
      <w:pPr>
        <w:widowControl/>
        <w:adjustRightInd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履约担保（格式）</w:t>
      </w:r>
    </w:p>
    <w:p w14:paraId="6BC99732">
      <w:pPr>
        <w:widowControl/>
        <w:adjustRightInd w:val="0"/>
        <w:snapToGrid w:val="0"/>
        <w:spacing w:line="360" w:lineRule="exact"/>
        <w:jc w:val="left"/>
        <w:rPr>
          <w:rFonts w:ascii="宋体" w:hAnsi="宋体" w:cs="宋体"/>
          <w:b/>
          <w:color w:val="auto"/>
          <w:kern w:val="0"/>
          <w:sz w:val="24"/>
          <w:szCs w:val="24"/>
          <w:highlight w:val="none"/>
        </w:rPr>
      </w:pPr>
      <w:r>
        <w:rPr>
          <w:rFonts w:hint="eastAsia" w:ascii="宋体" w:hAnsi="宋体" w:cs="宋体"/>
          <w:color w:val="auto"/>
          <w:sz w:val="24"/>
          <w:szCs w:val="24"/>
          <w:highlight w:val="none"/>
          <w:shd w:val="clear" w:color="auto" w:fill="FFFFFF"/>
        </w:rPr>
        <w:t>广州市重点公共建设项目管理中心</w:t>
      </w:r>
      <w:r>
        <w:rPr>
          <w:rFonts w:hint="eastAsia" w:ascii="宋体" w:hAnsi="宋体" w:cs="宋体"/>
          <w:b/>
          <w:color w:val="auto"/>
          <w:kern w:val="0"/>
          <w:sz w:val="24"/>
          <w:szCs w:val="24"/>
          <w:highlight w:val="none"/>
        </w:rPr>
        <w:t>：</w:t>
      </w:r>
    </w:p>
    <w:p w14:paraId="496FECDB">
      <w:pPr>
        <w:widowControl/>
        <w:spacing w:line="360" w:lineRule="exact"/>
        <w:ind w:firstLine="480" w:firstLineChars="200"/>
        <w:jc w:val="left"/>
        <w:rPr>
          <w:rFonts w:ascii="宋体" w:hAnsi="宋体" w:cs="宋体"/>
          <w:color w:val="auto"/>
          <w:sz w:val="18"/>
          <w:szCs w:val="18"/>
          <w:highlight w:val="none"/>
        </w:rPr>
      </w:pPr>
      <w:r>
        <w:rPr>
          <w:rFonts w:hint="eastAsia" w:ascii="宋体" w:hAnsi="宋体" w:cs="宋体"/>
          <w:color w:val="auto"/>
          <w:kern w:val="0"/>
          <w:sz w:val="24"/>
          <w:szCs w:val="24"/>
          <w:highlight w:val="none"/>
        </w:rPr>
        <w:t>鉴于_____（以下称咨询人）已于年月日与贵中心订立《</w:t>
      </w:r>
      <w:r>
        <w:rPr>
          <w:rFonts w:hint="eastAsia" w:ascii="宋体" w:hAnsi="宋体" w:cs="宋体"/>
          <w:color w:val="auto"/>
          <w:sz w:val="24"/>
          <w:szCs w:val="24"/>
          <w:highlight w:val="none"/>
          <w:u w:val="single"/>
        </w:rPr>
        <w:t>广州市公安局案件物证综合管理中心</w:t>
      </w:r>
      <w:r>
        <w:rPr>
          <w:rFonts w:ascii="宋体" w:hAnsi="宋体" w:cs="宋体"/>
          <w:color w:val="auto"/>
          <w:sz w:val="24"/>
          <w:szCs w:val="24"/>
          <w:highlight w:val="none"/>
          <w:u w:val="single"/>
        </w:rPr>
        <w:t>造价咨询服务</w:t>
      </w:r>
      <w:r>
        <w:rPr>
          <w:rFonts w:hint="eastAsia" w:ascii="宋体" w:hAnsi="宋体" w:cs="宋体"/>
          <w:color w:val="auto"/>
          <w:kern w:val="0"/>
          <w:sz w:val="24"/>
          <w:szCs w:val="24"/>
          <w:highlight w:val="none"/>
          <w:u w:val="single"/>
        </w:rPr>
        <w:t>合同</w:t>
      </w:r>
      <w:r>
        <w:rPr>
          <w:rFonts w:hint="eastAsia" w:ascii="宋体" w:hAnsi="宋体" w:cs="宋体"/>
          <w:color w:val="auto"/>
          <w:kern w:val="0"/>
          <w:sz w:val="24"/>
          <w:szCs w:val="24"/>
          <w:highlight w:val="none"/>
        </w:rPr>
        <w:t>》（合同编号：             ，以下简称为合同）。我方同意为咨询人担保，以担保金额为人民币_____（￥______）向贵中心提供不可撤销的连带责任保证，担保的范围为：咨询人按合同约定应向贵中心履行的全部</w:t>
      </w:r>
      <w:r>
        <w:rPr>
          <w:rFonts w:ascii="宋体" w:hAnsi="宋体" w:cs="宋体"/>
          <w:color w:val="auto"/>
          <w:kern w:val="0"/>
          <w:sz w:val="24"/>
          <w:szCs w:val="24"/>
          <w:highlight w:val="none"/>
        </w:rPr>
        <w:t>义</w:t>
      </w:r>
      <w:r>
        <w:rPr>
          <w:rFonts w:hint="eastAsia" w:ascii="宋体" w:hAnsi="宋体" w:cs="宋体"/>
          <w:color w:val="auto"/>
          <w:kern w:val="0"/>
          <w:sz w:val="24"/>
          <w:szCs w:val="24"/>
          <w:highlight w:val="none"/>
        </w:rPr>
        <w:t>务，包括但不限于合同约定的</w:t>
      </w:r>
      <w:r>
        <w:rPr>
          <w:rFonts w:ascii="宋体" w:hAnsi="宋体" w:cs="宋体"/>
          <w:color w:val="auto"/>
          <w:kern w:val="0"/>
          <w:sz w:val="24"/>
          <w:szCs w:val="24"/>
          <w:highlight w:val="none"/>
        </w:rPr>
        <w:t>义</w:t>
      </w:r>
      <w:r>
        <w:rPr>
          <w:rFonts w:hint="eastAsia" w:ascii="宋体" w:hAnsi="宋体" w:cs="宋体"/>
          <w:color w:val="auto"/>
          <w:kern w:val="0"/>
          <w:sz w:val="24"/>
          <w:szCs w:val="24"/>
          <w:highlight w:val="none"/>
        </w:rPr>
        <w:t xml:space="preserve">务，应向贵中心支付的利息，在人力资源、办公设备、服务质量及服务期限等方面的违约金，损害赔偿金，实现债权的费用。 </w:t>
      </w:r>
    </w:p>
    <w:p w14:paraId="1B6673E4">
      <w:pPr>
        <w:widowControl/>
        <w:autoSpaceDE w:val="0"/>
        <w:autoSpaceDN w:val="0"/>
        <w:adjustRightInd w:val="0"/>
        <w:snapToGrid w:val="0"/>
        <w:spacing w:line="36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我方承诺如下：</w:t>
      </w:r>
    </w:p>
    <w:p w14:paraId="7A37DEDB">
      <w:pPr>
        <w:widowControl/>
        <w:autoSpaceDE w:val="0"/>
        <w:autoSpaceDN w:val="0"/>
        <w:adjustRightInd w:val="0"/>
        <w:snapToGrid w:val="0"/>
        <w:spacing w:line="36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1．咨询人在履行合同中，由于资金、技术、质量或非不可抗力及违约等原因需向贵中心支付违约金或赔偿金时，在贵中心</w:t>
      </w:r>
      <w:r>
        <w:rPr>
          <w:rFonts w:hint="eastAsia" w:ascii="宋体" w:hAnsi="宋体" w:cs="宋体"/>
          <w:color w:val="auto"/>
          <w:sz w:val="24"/>
          <w:szCs w:val="24"/>
          <w:highlight w:val="none"/>
        </w:rPr>
        <w:t>以书面索赔通知纸质原件形式提出要求得到上述金额内的任何付款时（需提供本担保正本原件供我方核对），我方在7个工作日内予以支付累计不超过上述担保金额的款项</w:t>
      </w:r>
      <w:r>
        <w:rPr>
          <w:rFonts w:hint="eastAsia" w:ascii="宋体" w:hAnsi="宋体" w:cs="宋体"/>
          <w:color w:val="auto"/>
          <w:kern w:val="0"/>
          <w:sz w:val="24"/>
          <w:szCs w:val="24"/>
          <w:highlight w:val="none"/>
        </w:rPr>
        <w:t>，不挑剔、不争辩，也不要求贵中心出具证明或说明背景、理由。</w:t>
      </w:r>
    </w:p>
    <w:p w14:paraId="7DD8448F">
      <w:pPr>
        <w:widowControl/>
        <w:autoSpaceDE w:val="0"/>
        <w:autoSpaceDN w:val="0"/>
        <w:adjustRightInd w:val="0"/>
        <w:snapToGrid w:val="0"/>
        <w:spacing w:line="36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2．我</w:t>
      </w:r>
      <w:r>
        <w:rPr>
          <w:rFonts w:hint="eastAsia" w:ascii="宋体" w:hAnsi="宋体" w:cs="宋体"/>
          <w:color w:val="auto"/>
          <w:sz w:val="24"/>
          <w:szCs w:val="24"/>
          <w:highlight w:val="none"/>
        </w:rPr>
        <w:t>方</w:t>
      </w:r>
      <w:r>
        <w:rPr>
          <w:rFonts w:hint="eastAsia" w:ascii="宋体" w:hAnsi="宋体" w:cs="宋体"/>
          <w:color w:val="auto"/>
          <w:kern w:val="0"/>
          <w:sz w:val="24"/>
          <w:szCs w:val="24"/>
          <w:highlight w:val="none"/>
        </w:rPr>
        <w:t>放弃贵中心应先向咨询人要求赔偿上述金额然后再向我</w:t>
      </w:r>
      <w:r>
        <w:rPr>
          <w:rFonts w:hint="eastAsia" w:ascii="宋体" w:hAnsi="宋体" w:cs="宋体"/>
          <w:color w:val="auto"/>
          <w:sz w:val="24"/>
          <w:szCs w:val="24"/>
          <w:highlight w:val="none"/>
        </w:rPr>
        <w:t>方</w:t>
      </w:r>
      <w:r>
        <w:rPr>
          <w:rFonts w:hint="eastAsia" w:ascii="宋体" w:hAnsi="宋体" w:cs="宋体"/>
          <w:color w:val="auto"/>
          <w:kern w:val="0"/>
          <w:sz w:val="24"/>
          <w:szCs w:val="24"/>
          <w:highlight w:val="none"/>
        </w:rPr>
        <w:t>提出要求的权利。</w:t>
      </w:r>
    </w:p>
    <w:p w14:paraId="03E508C1">
      <w:pPr>
        <w:widowControl/>
        <w:autoSpaceDE w:val="0"/>
        <w:autoSpaceDN w:val="0"/>
        <w:adjustRightInd w:val="0"/>
        <w:snapToGrid w:val="0"/>
        <w:spacing w:line="36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3．我</w:t>
      </w:r>
      <w:r>
        <w:rPr>
          <w:rFonts w:hint="eastAsia" w:ascii="宋体" w:hAnsi="宋体" w:cs="宋体"/>
          <w:color w:val="auto"/>
          <w:sz w:val="24"/>
          <w:szCs w:val="24"/>
          <w:highlight w:val="none"/>
        </w:rPr>
        <w:t>方</w:t>
      </w:r>
      <w:r>
        <w:rPr>
          <w:rFonts w:hint="eastAsia" w:ascii="宋体" w:hAnsi="宋体" w:cs="宋体"/>
          <w:color w:val="auto"/>
          <w:kern w:val="0"/>
          <w:sz w:val="24"/>
          <w:szCs w:val="24"/>
          <w:highlight w:val="none"/>
        </w:rPr>
        <w:t>进一步同意，在贵中心和咨询人之间的合同条件、合同项下的服务或合同发生变化、补充或修改，</w:t>
      </w:r>
      <w:r>
        <w:rPr>
          <w:rFonts w:hint="eastAsia" w:ascii="宋体" w:hAnsi="宋体" w:cs="宋体"/>
          <w:color w:val="auto"/>
          <w:sz w:val="24"/>
          <w:szCs w:val="24"/>
          <w:highlight w:val="none"/>
        </w:rPr>
        <w:t>在不加重我方担保责任的情况下，</w:t>
      </w:r>
      <w:r>
        <w:rPr>
          <w:rFonts w:hint="eastAsia" w:ascii="宋体" w:hAnsi="宋体" w:cs="宋体"/>
          <w:color w:val="auto"/>
          <w:kern w:val="0"/>
          <w:sz w:val="24"/>
          <w:szCs w:val="24"/>
          <w:highlight w:val="none"/>
        </w:rPr>
        <w:t>我</w:t>
      </w:r>
      <w:r>
        <w:rPr>
          <w:rFonts w:hint="eastAsia" w:ascii="宋体" w:hAnsi="宋体" w:cs="宋体"/>
          <w:color w:val="auto"/>
          <w:sz w:val="24"/>
          <w:szCs w:val="24"/>
          <w:highlight w:val="none"/>
        </w:rPr>
        <w:t>方</w:t>
      </w:r>
      <w:r>
        <w:rPr>
          <w:rFonts w:hint="eastAsia" w:ascii="宋体" w:hAnsi="宋体" w:cs="宋体"/>
          <w:color w:val="auto"/>
          <w:kern w:val="0"/>
          <w:sz w:val="24"/>
          <w:szCs w:val="24"/>
          <w:highlight w:val="none"/>
        </w:rPr>
        <w:t>承担本担保的责任也不改变。有关上述变化、补充和修改也无须通知我方。</w:t>
      </w:r>
    </w:p>
    <w:p w14:paraId="3A2DD3F3">
      <w:pPr>
        <w:widowControl/>
        <w:autoSpaceDE w:val="0"/>
        <w:autoSpaceDN w:val="0"/>
        <w:adjustRightInd w:val="0"/>
        <w:snapToGrid w:val="0"/>
        <w:spacing w:line="360" w:lineRule="exact"/>
        <w:ind w:firstLine="480" w:firstLineChars="200"/>
        <w:jc w:val="left"/>
        <w:rPr>
          <w:rFonts w:ascii="宋体" w:hAnsi="宋体" w:cs="宋体"/>
          <w:color w:val="auto"/>
          <w:spacing w:val="-4"/>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spacing w:val="-4"/>
          <w:kern w:val="0"/>
          <w:sz w:val="24"/>
          <w:szCs w:val="24"/>
          <w:highlight w:val="none"/>
        </w:rPr>
        <w:t>本担保有效期间为：自本担保签署之</w:t>
      </w:r>
      <w:r>
        <w:rPr>
          <w:rFonts w:hint="eastAsia" w:ascii="宋体" w:hAnsi="宋体" w:cs="宋体"/>
          <w:color w:val="auto"/>
          <w:kern w:val="0"/>
          <w:sz w:val="24"/>
          <w:szCs w:val="24"/>
          <w:highlight w:val="none"/>
        </w:rPr>
        <w:t>日起至合同约定项目结算定审之日止，但最迟不超过____年___月___日。</w:t>
      </w:r>
    </w:p>
    <w:p w14:paraId="0434A108">
      <w:pPr>
        <w:widowControl/>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 本</w:t>
      </w:r>
      <w:r>
        <w:rPr>
          <w:rFonts w:hint="eastAsia" w:ascii="宋体" w:hAnsi="宋体" w:cs="宋体"/>
          <w:color w:val="auto"/>
          <w:spacing w:val="-4"/>
          <w:kern w:val="0"/>
          <w:sz w:val="24"/>
          <w:szCs w:val="24"/>
          <w:highlight w:val="none"/>
        </w:rPr>
        <w:t>担保</w:t>
      </w:r>
      <w:r>
        <w:rPr>
          <w:rFonts w:hint="eastAsia" w:ascii="宋体" w:hAnsi="宋体" w:cs="宋体"/>
          <w:color w:val="auto"/>
          <w:sz w:val="24"/>
          <w:szCs w:val="24"/>
          <w:highlight w:val="none"/>
        </w:rPr>
        <w:t>适用中华人民共和国法律，任何与本</w:t>
      </w:r>
      <w:r>
        <w:rPr>
          <w:rFonts w:hint="eastAsia" w:ascii="宋体" w:hAnsi="宋体" w:cs="宋体"/>
          <w:color w:val="auto"/>
          <w:spacing w:val="-4"/>
          <w:kern w:val="0"/>
          <w:sz w:val="24"/>
          <w:szCs w:val="24"/>
          <w:highlight w:val="none"/>
        </w:rPr>
        <w:t>担保</w:t>
      </w:r>
      <w:r>
        <w:rPr>
          <w:rFonts w:hint="eastAsia" w:ascii="宋体" w:hAnsi="宋体" w:cs="宋体"/>
          <w:color w:val="auto"/>
          <w:sz w:val="24"/>
          <w:szCs w:val="24"/>
          <w:highlight w:val="none"/>
        </w:rPr>
        <w:t>有关的争议均需提交甲方所在地人民法院提起诉讼。</w:t>
      </w:r>
    </w:p>
    <w:p w14:paraId="12BEFF7B">
      <w:pPr>
        <w:widowControl/>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w:t>
      </w:r>
      <w:r>
        <w:rPr>
          <w:rFonts w:hint="eastAsia" w:ascii="宋体" w:hAnsi="宋体" w:cs="宋体"/>
          <w:color w:val="auto"/>
          <w:spacing w:val="-4"/>
          <w:kern w:val="0"/>
          <w:sz w:val="24"/>
          <w:szCs w:val="24"/>
          <w:highlight w:val="none"/>
        </w:rPr>
        <w:t>担保</w:t>
      </w:r>
      <w:r>
        <w:rPr>
          <w:rFonts w:hint="eastAsia" w:ascii="宋体" w:hAnsi="宋体" w:cs="宋体"/>
          <w:color w:val="auto"/>
          <w:sz w:val="24"/>
          <w:szCs w:val="24"/>
          <w:highlight w:val="none"/>
        </w:rPr>
        <w:t>自我方负责人（或委托代理人）签字并加盖公章之日起生效。</w:t>
      </w:r>
    </w:p>
    <w:p w14:paraId="5FF75EE5">
      <w:pPr>
        <w:widowControl/>
        <w:autoSpaceDE w:val="0"/>
        <w:autoSpaceDN w:val="0"/>
        <w:adjustRightInd w:val="0"/>
        <w:snapToGrid w:val="0"/>
        <w:spacing w:line="360" w:lineRule="exact"/>
        <w:jc w:val="left"/>
        <w:rPr>
          <w:rFonts w:ascii="宋体" w:hAnsi="宋体" w:cs="宋体"/>
          <w:color w:val="auto"/>
          <w:kern w:val="0"/>
          <w:sz w:val="24"/>
          <w:szCs w:val="24"/>
          <w:highlight w:val="none"/>
        </w:rPr>
      </w:pPr>
    </w:p>
    <w:p w14:paraId="6CEFEB8D">
      <w:pPr>
        <w:widowControl/>
        <w:autoSpaceDE w:val="0"/>
        <w:autoSpaceDN w:val="0"/>
        <w:adjustRightInd w:val="0"/>
        <w:snapToGrid w:val="0"/>
        <w:spacing w:line="360" w:lineRule="exact"/>
        <w:jc w:val="left"/>
        <w:rPr>
          <w:rFonts w:ascii="宋体" w:hAnsi="宋体" w:cs="宋体"/>
          <w:color w:val="auto"/>
          <w:kern w:val="0"/>
          <w:sz w:val="24"/>
          <w:szCs w:val="24"/>
          <w:highlight w:val="none"/>
        </w:rPr>
      </w:pPr>
      <w:r>
        <w:rPr>
          <w:rFonts w:hint="eastAsia" w:ascii="宋体" w:hAnsi="宋体" w:cs="宋体"/>
          <w:color w:val="auto"/>
          <w:spacing w:val="-4"/>
          <w:kern w:val="0"/>
          <w:sz w:val="24"/>
          <w:szCs w:val="24"/>
          <w:highlight w:val="none"/>
        </w:rPr>
        <w:t>保证</w:t>
      </w:r>
      <w:r>
        <w:rPr>
          <w:rFonts w:hint="eastAsia" w:ascii="宋体" w:hAnsi="宋体" w:cs="宋体"/>
          <w:color w:val="auto"/>
          <w:kern w:val="0"/>
          <w:sz w:val="24"/>
          <w:szCs w:val="24"/>
          <w:highlight w:val="none"/>
        </w:rPr>
        <w:t>人：（盖章）</w:t>
      </w:r>
    </w:p>
    <w:p w14:paraId="34EACBC9">
      <w:pPr>
        <w:widowControl/>
        <w:autoSpaceDE w:val="0"/>
        <w:autoSpaceDN w:val="0"/>
        <w:adjustRightInd w:val="0"/>
        <w:snapToGrid w:val="0"/>
        <w:spacing w:line="360" w:lineRule="exact"/>
        <w:jc w:val="left"/>
        <w:rPr>
          <w:rFonts w:ascii="宋体" w:hAnsi="宋体" w:cs="宋体"/>
          <w:color w:val="auto"/>
          <w:kern w:val="0"/>
          <w:sz w:val="24"/>
          <w:szCs w:val="24"/>
          <w:highlight w:val="none"/>
        </w:rPr>
      </w:pPr>
      <w:r>
        <w:rPr>
          <w:rFonts w:hint="eastAsia" w:ascii="宋体" w:hAnsi="宋体" w:cs="宋体"/>
          <w:color w:val="auto"/>
          <w:spacing w:val="-4"/>
          <w:kern w:val="0"/>
          <w:sz w:val="24"/>
          <w:szCs w:val="24"/>
          <w:highlight w:val="none"/>
        </w:rPr>
        <w:t>负责人</w:t>
      </w:r>
      <w:r>
        <w:rPr>
          <w:rFonts w:hint="eastAsia" w:ascii="宋体" w:hAnsi="宋体" w:cs="宋体"/>
          <w:color w:val="auto"/>
          <w:kern w:val="0"/>
          <w:sz w:val="24"/>
          <w:szCs w:val="24"/>
          <w:highlight w:val="none"/>
        </w:rPr>
        <w:t>（或委托代理人）：</w:t>
      </w:r>
    </w:p>
    <w:p w14:paraId="3AD4CC19">
      <w:pPr>
        <w:widowControl/>
        <w:autoSpaceDE w:val="0"/>
        <w:autoSpaceDN w:val="0"/>
        <w:adjustRightInd w:val="0"/>
        <w:snapToGrid w:val="0"/>
        <w:spacing w:line="36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w:t>
      </w:r>
    </w:p>
    <w:p w14:paraId="67D913D1">
      <w:pPr>
        <w:widowControl/>
        <w:autoSpaceDE w:val="0"/>
        <w:autoSpaceDN w:val="0"/>
        <w:adjustRightInd w:val="0"/>
        <w:snapToGrid w:val="0"/>
        <w:spacing w:line="36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邮政编码：</w:t>
      </w:r>
    </w:p>
    <w:p w14:paraId="1A1550AA">
      <w:pPr>
        <w:widowControl/>
        <w:autoSpaceDE w:val="0"/>
        <w:autoSpaceDN w:val="0"/>
        <w:adjustRightInd w:val="0"/>
        <w:snapToGrid w:val="0"/>
        <w:spacing w:line="36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联系电话：</w:t>
      </w:r>
    </w:p>
    <w:p w14:paraId="48821B60">
      <w:pPr>
        <w:widowControl/>
        <w:autoSpaceDE w:val="0"/>
        <w:autoSpaceDN w:val="0"/>
        <w:adjustRightInd w:val="0"/>
        <w:snapToGrid w:val="0"/>
        <w:spacing w:line="36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日期：_____年___月___日</w:t>
      </w:r>
    </w:p>
    <w:p w14:paraId="3E9EBA05">
      <w:pPr>
        <w:adjustRightInd w:val="0"/>
        <w:snapToGrid w:val="0"/>
        <w:spacing w:line="360" w:lineRule="auto"/>
        <w:jc w:val="center"/>
        <w:rPr>
          <w:rFonts w:ascii="宋体" w:hAnsi="宋体" w:cs="宋体"/>
          <w:b/>
          <w:color w:val="auto"/>
          <w:sz w:val="44"/>
          <w:szCs w:val="44"/>
          <w:highlight w:val="none"/>
        </w:rPr>
      </w:pPr>
      <w:r>
        <w:rPr>
          <w:rFonts w:hint="eastAsia" w:ascii="宋体" w:hAnsi="宋体" w:cs="宋体"/>
          <w:color w:val="auto"/>
          <w:kern w:val="0"/>
          <w:sz w:val="24"/>
          <w:szCs w:val="24"/>
          <w:highlight w:val="none"/>
        </w:rPr>
        <w:br w:type="page"/>
      </w:r>
      <w:r>
        <w:rPr>
          <w:rFonts w:hint="eastAsia" w:ascii="宋体" w:hAnsi="宋体" w:cs="宋体"/>
          <w:b/>
          <w:color w:val="auto"/>
          <w:sz w:val="44"/>
          <w:szCs w:val="44"/>
          <w:highlight w:val="none"/>
        </w:rPr>
        <w:t>承诺书</w:t>
      </w:r>
    </w:p>
    <w:p w14:paraId="522A65F7">
      <w:pPr>
        <w:autoSpaceDE w:val="0"/>
        <w:autoSpaceDN w:val="0"/>
        <w:adjustRightInd w:val="0"/>
        <w:snapToGrid w:val="0"/>
        <w:spacing w:line="360" w:lineRule="auto"/>
        <w:ind w:firstLine="480"/>
        <w:rPr>
          <w:rFonts w:ascii="宋体" w:hAnsi="宋体" w:cs="宋体"/>
          <w:color w:val="auto"/>
          <w:sz w:val="24"/>
          <w:szCs w:val="24"/>
          <w:highlight w:val="none"/>
        </w:rPr>
      </w:pPr>
    </w:p>
    <w:p w14:paraId="2139A6B1">
      <w:pPr>
        <w:autoSpaceDE w:val="0"/>
        <w:autoSpaceDN w:val="0"/>
        <w:adjustRightInd w:val="0"/>
        <w:snapToGrid w:val="0"/>
        <w:spacing w:line="360" w:lineRule="auto"/>
        <w:outlineLvl w:val="0"/>
        <w:rPr>
          <w:rFonts w:ascii="宋体" w:hAnsi="宋体" w:cs="宋体"/>
          <w:b/>
          <w:color w:val="auto"/>
          <w:sz w:val="24"/>
          <w:szCs w:val="24"/>
          <w:highlight w:val="none"/>
        </w:rPr>
      </w:pPr>
      <w:r>
        <w:rPr>
          <w:rFonts w:hint="eastAsia" w:ascii="宋体" w:hAnsi="宋体" w:cs="宋体"/>
          <w:b/>
          <w:color w:val="auto"/>
          <w:sz w:val="24"/>
          <w:szCs w:val="24"/>
          <w:highlight w:val="none"/>
        </w:rPr>
        <w:t>广州市重点公共建设项目管理中心：</w:t>
      </w:r>
    </w:p>
    <w:p w14:paraId="220E0A89">
      <w:pPr>
        <w:autoSpaceDE w:val="0"/>
        <w:autoSpaceDN w:val="0"/>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我司已于20  年  月  日向贵中心提交了</w:t>
      </w:r>
      <w:r>
        <w:rPr>
          <w:rFonts w:hint="eastAsia" w:ascii="宋体" w:hAnsi="宋体" w:cs="宋体"/>
          <w:color w:val="auto"/>
          <w:sz w:val="24"/>
          <w:szCs w:val="24"/>
          <w:highlight w:val="none"/>
          <w:u w:val="single"/>
        </w:rPr>
        <w:t>广州市公安局案件物证综合管理中心</w:t>
      </w:r>
      <w:r>
        <w:rPr>
          <w:rFonts w:ascii="宋体" w:hAnsi="宋体" w:cs="宋体"/>
          <w:color w:val="auto"/>
          <w:sz w:val="24"/>
          <w:szCs w:val="24"/>
          <w:highlight w:val="none"/>
          <w:u w:val="single"/>
        </w:rPr>
        <w:t>造价咨询服务</w:t>
      </w:r>
      <w:r>
        <w:rPr>
          <w:rFonts w:hint="eastAsia" w:ascii="宋体" w:hAnsi="宋体" w:cs="宋体"/>
          <w:color w:val="auto"/>
          <w:sz w:val="24"/>
          <w:szCs w:val="24"/>
          <w:highlight w:val="none"/>
        </w:rPr>
        <w:t>项目的履约担保，履约担保最长有效期至</w:t>
      </w:r>
      <w:r>
        <w:rPr>
          <w:rFonts w:hint="eastAsia" w:ascii="宋体" w:hAnsi="宋体" w:cs="宋体"/>
          <w:color w:val="auto"/>
          <w:spacing w:val="-4"/>
          <w:sz w:val="24"/>
          <w:szCs w:val="24"/>
          <w:highlight w:val="none"/>
        </w:rPr>
        <w:t xml:space="preserve">20  </w:t>
      </w:r>
      <w:r>
        <w:rPr>
          <w:rFonts w:hint="eastAsia" w:ascii="宋体" w:hAnsi="宋体" w:cs="宋体"/>
          <w:color w:val="auto"/>
          <w:sz w:val="24"/>
          <w:szCs w:val="24"/>
          <w:highlight w:val="none"/>
        </w:rPr>
        <w:t>年  月  日。</w:t>
      </w:r>
    </w:p>
    <w:p w14:paraId="085172E2">
      <w:pPr>
        <w:autoSpaceDE w:val="0"/>
        <w:autoSpaceDN w:val="0"/>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如在履约担保最长有效期届满时合同约定项目</w:t>
      </w:r>
      <w:r>
        <w:rPr>
          <w:rFonts w:hint="eastAsia" w:ascii="宋体" w:hAnsi="宋体" w:cs="宋体"/>
          <w:color w:val="auto"/>
          <w:spacing w:val="4"/>
          <w:sz w:val="24"/>
          <w:szCs w:val="24"/>
          <w:highlight w:val="none"/>
        </w:rPr>
        <w:t>未完成</w:t>
      </w:r>
      <w:r>
        <w:rPr>
          <w:rFonts w:hint="eastAsia" w:ascii="宋体" w:hAnsi="宋体" w:cs="宋体"/>
          <w:color w:val="auto"/>
          <w:kern w:val="0"/>
          <w:sz w:val="24"/>
          <w:szCs w:val="24"/>
          <w:highlight w:val="none"/>
        </w:rPr>
        <w:t>结算定审</w:t>
      </w:r>
      <w:r>
        <w:rPr>
          <w:rFonts w:hint="eastAsia" w:ascii="宋体" w:hAnsi="宋体" w:cs="宋体"/>
          <w:color w:val="auto"/>
          <w:spacing w:val="4"/>
          <w:sz w:val="24"/>
          <w:szCs w:val="24"/>
          <w:highlight w:val="none"/>
        </w:rPr>
        <w:t>的</w:t>
      </w:r>
      <w:r>
        <w:rPr>
          <w:rFonts w:hint="eastAsia" w:ascii="宋体" w:hAnsi="宋体" w:cs="宋体"/>
          <w:color w:val="auto"/>
          <w:sz w:val="24"/>
          <w:szCs w:val="24"/>
          <w:highlight w:val="none"/>
        </w:rPr>
        <w:t>，我司将在履约担保最长有效期届满三天前按原担保格式提交新的履约担保，否则，贵中心有权暂停支付余下的合同价款，直至我司提交新的履约担保或完成</w:t>
      </w:r>
      <w:r>
        <w:rPr>
          <w:rFonts w:hint="eastAsia" w:ascii="宋体" w:hAnsi="宋体" w:cs="宋体"/>
          <w:color w:val="auto"/>
          <w:kern w:val="0"/>
          <w:sz w:val="24"/>
          <w:szCs w:val="24"/>
          <w:highlight w:val="none"/>
        </w:rPr>
        <w:t>工程结算定审</w:t>
      </w:r>
      <w:r>
        <w:rPr>
          <w:rFonts w:hint="eastAsia" w:ascii="宋体" w:hAnsi="宋体" w:cs="宋体"/>
          <w:color w:val="auto"/>
          <w:sz w:val="24"/>
          <w:szCs w:val="24"/>
          <w:highlight w:val="none"/>
        </w:rPr>
        <w:t>。</w:t>
      </w:r>
    </w:p>
    <w:p w14:paraId="40B94508">
      <w:pPr>
        <w:autoSpaceDE w:val="0"/>
        <w:autoSpaceDN w:val="0"/>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3F0F8A7A">
      <w:pPr>
        <w:autoSpaceDE w:val="0"/>
        <w:autoSpaceDN w:val="0"/>
        <w:adjustRightInd w:val="0"/>
        <w:snapToGrid w:val="0"/>
        <w:spacing w:line="360" w:lineRule="auto"/>
        <w:rPr>
          <w:rFonts w:ascii="宋体" w:hAnsi="宋体" w:cs="宋体"/>
          <w:color w:val="auto"/>
          <w:sz w:val="24"/>
          <w:szCs w:val="24"/>
          <w:highlight w:val="none"/>
        </w:rPr>
      </w:pPr>
    </w:p>
    <w:p w14:paraId="25F3C85F">
      <w:pPr>
        <w:wordWrap w:val="0"/>
        <w:autoSpaceDE w:val="0"/>
        <w:autoSpaceDN w:val="0"/>
        <w:adjustRightInd w:val="0"/>
        <w:snapToGrid w:val="0"/>
        <w:spacing w:line="360" w:lineRule="auto"/>
        <w:jc w:val="right"/>
        <w:outlineLvl w:val="0"/>
        <w:rPr>
          <w:rFonts w:ascii="宋体" w:hAnsi="宋体" w:cs="宋体"/>
          <w:b/>
          <w:color w:val="auto"/>
          <w:sz w:val="24"/>
          <w:szCs w:val="24"/>
          <w:highlight w:val="none"/>
        </w:rPr>
      </w:pPr>
    </w:p>
    <w:p w14:paraId="7CACEB35">
      <w:pPr>
        <w:autoSpaceDE w:val="0"/>
        <w:autoSpaceDN w:val="0"/>
        <w:adjustRightInd w:val="0"/>
        <w:snapToGrid w:val="0"/>
        <w:spacing w:line="360" w:lineRule="auto"/>
        <w:ind w:right="480" w:firstLine="5667" w:firstLineChars="2352"/>
        <w:outlineLvl w:val="0"/>
        <w:rPr>
          <w:rFonts w:ascii="宋体" w:hAnsi="宋体" w:cs="宋体"/>
          <w:b/>
          <w:color w:val="auto"/>
          <w:sz w:val="24"/>
          <w:szCs w:val="24"/>
          <w:highlight w:val="none"/>
        </w:rPr>
      </w:pPr>
      <w:r>
        <w:rPr>
          <w:rFonts w:hint="eastAsia" w:ascii="宋体" w:hAnsi="宋体" w:cs="宋体"/>
          <w:b/>
          <w:color w:val="auto"/>
          <w:sz w:val="24"/>
          <w:szCs w:val="24"/>
          <w:highlight w:val="none"/>
        </w:rPr>
        <w:t xml:space="preserve">承诺人： </w:t>
      </w:r>
    </w:p>
    <w:p w14:paraId="7AC8F249">
      <w:pPr>
        <w:autoSpaceDE w:val="0"/>
        <w:autoSpaceDN w:val="0"/>
        <w:adjustRightInd w:val="0"/>
        <w:snapToGrid w:val="0"/>
        <w:spacing w:line="360" w:lineRule="auto"/>
        <w:ind w:left="6943" w:leftChars="3192" w:right="480" w:hanging="240" w:hangingChars="100"/>
        <w:rPr>
          <w:rFonts w:ascii="宋体" w:hAnsi="宋体" w:cs="宋体"/>
          <w:color w:val="auto"/>
          <w:sz w:val="24"/>
          <w:szCs w:val="24"/>
          <w:highlight w:val="none"/>
        </w:rPr>
      </w:pPr>
      <w:r>
        <w:rPr>
          <w:rFonts w:hint="eastAsia" w:ascii="宋体" w:hAnsi="宋体" w:cs="宋体"/>
          <w:color w:val="auto"/>
          <w:sz w:val="24"/>
          <w:szCs w:val="24"/>
          <w:highlight w:val="none"/>
        </w:rPr>
        <w:t>（盖章）</w:t>
      </w:r>
    </w:p>
    <w:p w14:paraId="102D5667">
      <w:pPr>
        <w:autoSpaceDE w:val="0"/>
        <w:autoSpaceDN w:val="0"/>
        <w:adjustRightInd w:val="0"/>
        <w:snapToGrid w:val="0"/>
        <w:spacing w:line="360" w:lineRule="auto"/>
        <w:ind w:right="480" w:firstLine="5701" w:firstLineChars="2366"/>
        <w:rPr>
          <w:rFonts w:ascii="宋体" w:hAnsi="宋体" w:cs="宋体"/>
          <w:b/>
          <w:color w:val="auto"/>
          <w:sz w:val="24"/>
          <w:szCs w:val="24"/>
          <w:highlight w:val="none"/>
        </w:rPr>
      </w:pPr>
      <w:r>
        <w:rPr>
          <w:rFonts w:hint="eastAsia" w:ascii="宋体" w:hAnsi="宋体" w:cs="宋体"/>
          <w:b/>
          <w:color w:val="auto"/>
          <w:sz w:val="24"/>
          <w:szCs w:val="24"/>
          <w:highlight w:val="none"/>
        </w:rPr>
        <w:t>法定代表人：</w:t>
      </w:r>
    </w:p>
    <w:p w14:paraId="356D3B6B">
      <w:pPr>
        <w:pStyle w:val="5"/>
        <w:widowControl w:val="0"/>
        <w:spacing w:beforeAutospacing="0" w:afterAutospacing="0"/>
        <w:jc w:val="both"/>
        <w:rPr>
          <w:rFonts w:hint="default" w:cs="宋体"/>
          <w:color w:val="auto"/>
          <w:kern w:val="2"/>
          <w:sz w:val="21"/>
          <w:szCs w:val="21"/>
          <w:highlight w:val="none"/>
        </w:rPr>
      </w:pPr>
    </w:p>
    <w:p w14:paraId="5922422B">
      <w:pPr>
        <w:autoSpaceDE w:val="0"/>
        <w:autoSpaceDN w:val="0"/>
        <w:adjustRightInd w:val="0"/>
        <w:snapToGrid w:val="0"/>
        <w:spacing w:line="360" w:lineRule="exact"/>
        <w:ind w:firstLine="5860" w:firstLineChars="2442"/>
        <w:rPr>
          <w:rFonts w:ascii="宋体" w:hAnsi="宋体" w:cs="宋体"/>
          <w:color w:val="auto"/>
          <w:sz w:val="24"/>
          <w:szCs w:val="24"/>
          <w:highlight w:val="none"/>
        </w:rPr>
      </w:pPr>
      <w:r>
        <w:rPr>
          <w:rFonts w:hint="eastAsia" w:ascii="宋体" w:hAnsi="宋体" w:cs="宋体"/>
          <w:color w:val="auto"/>
          <w:sz w:val="24"/>
          <w:szCs w:val="24"/>
          <w:highlight w:val="none"/>
        </w:rPr>
        <w:t>______年___月___日</w:t>
      </w:r>
    </w:p>
    <w:p w14:paraId="6A42FA36">
      <w:pPr>
        <w:rPr>
          <w:color w:val="auto"/>
          <w:highlight w:val="none"/>
        </w:rPr>
      </w:pPr>
    </w:p>
    <w:p w14:paraId="0A1BEA1C">
      <w:pPr>
        <w:rPr>
          <w:rFonts w:ascii="宋体" w:hAnsi="宋体" w:cs="宋体"/>
          <w:color w:val="auto"/>
          <w:sz w:val="24"/>
          <w:szCs w:val="24"/>
          <w:highlight w:val="none"/>
        </w:rPr>
      </w:pPr>
    </w:p>
    <w:p w14:paraId="13B7A2C3">
      <w:pPr>
        <w:widowControl/>
        <w:jc w:val="left"/>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13E877A2">
      <w:pPr>
        <w:widowControl/>
        <w:spacing w:line="360" w:lineRule="auto"/>
        <w:contextualSpacing/>
        <w:jc w:val="left"/>
        <w:outlineLvl w:val="0"/>
        <w:rPr>
          <w:rFonts w:ascii="宋体" w:hAnsi="宋体" w:cs="宋体"/>
          <w:b/>
          <w:color w:val="auto"/>
          <w:kern w:val="0"/>
          <w:sz w:val="32"/>
          <w:szCs w:val="32"/>
          <w:highlight w:val="none"/>
        </w:rPr>
      </w:pPr>
      <w:r>
        <w:rPr>
          <w:rFonts w:hint="eastAsia" w:ascii="宋体" w:hAnsi="宋体" w:cs="宋体"/>
          <w:color w:val="auto"/>
          <w:sz w:val="24"/>
          <w:szCs w:val="24"/>
          <w:highlight w:val="none"/>
        </w:rPr>
        <w:t>附件4：</w:t>
      </w:r>
    </w:p>
    <w:p w14:paraId="2767E721">
      <w:pPr>
        <w:widowControl/>
        <w:adjustRightInd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拟投入本项目造价人员一览表</w:t>
      </w:r>
    </w:p>
    <w:p w14:paraId="500092C5">
      <w:pPr>
        <w:widowControl/>
        <w:spacing w:line="360" w:lineRule="auto"/>
        <w:contextualSpacing/>
        <w:jc w:val="left"/>
        <w:rPr>
          <w:rFonts w:ascii="宋体" w:hAnsi="宋体" w:cs="宋体"/>
          <w:color w:val="auto"/>
          <w:kern w:val="0"/>
          <w:sz w:val="24"/>
          <w:szCs w:val="24"/>
          <w:highlight w:val="none"/>
        </w:rPr>
      </w:pPr>
    </w:p>
    <w:p w14:paraId="1F6F50A4">
      <w:pPr>
        <w:rPr>
          <w:rFonts w:ascii="宋体" w:hAnsi="宋体" w:cs="宋体"/>
          <w:color w:val="auto"/>
          <w:sz w:val="24"/>
          <w:szCs w:val="24"/>
          <w:highlight w:val="none"/>
        </w:rPr>
      </w:pPr>
      <w:r>
        <w:rPr>
          <w:rFonts w:hint="eastAsia" w:ascii="宋体" w:hAnsi="宋体" w:cs="宋体"/>
          <w:color w:val="auto"/>
          <w:kern w:val="0"/>
          <w:sz w:val="24"/>
          <w:szCs w:val="24"/>
          <w:highlight w:val="none"/>
        </w:rPr>
        <w:br w:type="page"/>
      </w:r>
      <w:r>
        <w:rPr>
          <w:rFonts w:hint="eastAsia" w:ascii="宋体" w:hAnsi="宋体" w:cs="宋体"/>
          <w:color w:val="auto"/>
          <w:sz w:val="24"/>
          <w:szCs w:val="24"/>
          <w:highlight w:val="none"/>
        </w:rPr>
        <w:t>附件5：投标函及投标函附录</w:t>
      </w:r>
    </w:p>
    <w:p w14:paraId="41E1F8EA">
      <w:pPr>
        <w:widowControl/>
        <w:spacing w:line="360" w:lineRule="auto"/>
        <w:contextualSpacing/>
        <w:jc w:val="left"/>
        <w:rPr>
          <w:rFonts w:ascii="宋体" w:hAnsi="宋体" w:cs="宋体"/>
          <w:color w:val="auto"/>
          <w:kern w:val="0"/>
          <w:sz w:val="24"/>
          <w:szCs w:val="24"/>
          <w:highlight w:val="none"/>
        </w:rPr>
      </w:pPr>
    </w:p>
    <w:p w14:paraId="3835FA49">
      <w:pPr>
        <w:widowControl/>
        <w:spacing w:line="360" w:lineRule="auto"/>
        <w:contextualSpacing/>
        <w:jc w:val="left"/>
        <w:outlineLvl w:val="0"/>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附件6：《广州市重点公共建设项目管理中心建设工程造价咨询单位管理办法》（另册）</w:t>
      </w:r>
    </w:p>
    <w:p w14:paraId="6DFAE2AA">
      <w:pPr>
        <w:widowControl/>
        <w:spacing w:line="360" w:lineRule="auto"/>
        <w:contextualSpacing/>
        <w:jc w:val="left"/>
        <w:rPr>
          <w:rFonts w:ascii="宋体" w:hAnsi="宋体" w:cs="宋体"/>
          <w:color w:val="auto"/>
          <w:sz w:val="24"/>
          <w:szCs w:val="24"/>
          <w:highlight w:val="none"/>
        </w:rPr>
      </w:pPr>
    </w:p>
    <w:p w14:paraId="0BABC377">
      <w:pPr>
        <w:rPr>
          <w:rFonts w:ascii="宋体" w:hAnsi="宋体" w:cs="宋体"/>
          <w:color w:val="auto"/>
          <w:szCs w:val="21"/>
          <w:highlight w:val="none"/>
        </w:rPr>
      </w:pPr>
    </w:p>
    <w:p w14:paraId="633B3496">
      <w:pPr>
        <w:rPr>
          <w:rFonts w:ascii="宋体" w:hAnsi="宋体" w:cs="宋体"/>
          <w:color w:val="auto"/>
          <w:szCs w:val="21"/>
          <w:highlight w:val="none"/>
        </w:rPr>
      </w:pPr>
    </w:p>
    <w:p w14:paraId="2006205E">
      <w:pPr>
        <w:keepNext/>
        <w:keepLines/>
        <w:spacing w:before="62" w:beforeLines="20" w:after="62" w:afterLines="20" w:line="360" w:lineRule="auto"/>
        <w:outlineLvl w:val="0"/>
        <w:rPr>
          <w:rFonts w:ascii="宋体" w:hAnsi="宋体" w:cs="宋体"/>
          <w:color w:val="auto"/>
          <w:szCs w:val="21"/>
          <w:highlight w:val="none"/>
        </w:rPr>
      </w:pPr>
    </w:p>
    <w:p w14:paraId="555F2E20">
      <w:pPr>
        <w:rPr>
          <w:rFonts w:ascii="宋体" w:hAnsi="宋体" w:cs="宋体"/>
          <w:color w:val="auto"/>
          <w:szCs w:val="21"/>
          <w:highlight w:val="none"/>
        </w:rPr>
      </w:pPr>
    </w:p>
    <w:p w14:paraId="7EE25EA9">
      <w:pPr>
        <w:rPr>
          <w:rFonts w:ascii="宋体" w:hAnsi="宋体" w:cs="宋体"/>
          <w:color w:val="auto"/>
          <w:szCs w:val="21"/>
          <w:highlight w:val="none"/>
        </w:rPr>
      </w:pPr>
    </w:p>
    <w:p w14:paraId="5FF45E68">
      <w:pPr>
        <w:rPr>
          <w:rFonts w:ascii="宋体" w:hAnsi="宋体" w:cs="宋体"/>
          <w:color w:val="auto"/>
          <w:szCs w:val="21"/>
          <w:highlight w:val="none"/>
        </w:rPr>
      </w:pPr>
    </w:p>
    <w:p w14:paraId="4E7D0BB0">
      <w:pPr>
        <w:rPr>
          <w:color w:val="auto"/>
          <w:highlight w:val="none"/>
        </w:rPr>
      </w:pPr>
      <w:r>
        <w:rPr>
          <w:rFonts w:hint="eastAsia" w:ascii="宋体" w:hAnsi="宋体" w:cs="宋体"/>
          <w:color w:val="auto"/>
          <w:szCs w:val="21"/>
          <w:highlight w:val="none"/>
        </w:rPr>
        <w:br w:type="page"/>
      </w:r>
      <w:r>
        <w:rPr>
          <w:rFonts w:hint="eastAsia" w:ascii="宋体" w:hAnsi="宋体" w:cs="宋体"/>
          <w:color w:val="auto"/>
          <w:sz w:val="24"/>
          <w:szCs w:val="24"/>
          <w:highlight w:val="none"/>
        </w:rPr>
        <w:t>附件7：乙方营业执照</w:t>
      </w:r>
    </w:p>
    <w:p w14:paraId="40925EF1">
      <w:pPr>
        <w:pStyle w:val="6"/>
        <w:ind w:firstLine="480"/>
        <w:rPr>
          <w:color w:val="auto"/>
          <w:highlight w:val="none"/>
        </w:rPr>
      </w:pPr>
    </w:p>
    <w:p w14:paraId="154E4C28">
      <w:pPr>
        <w:pStyle w:val="6"/>
        <w:ind w:firstLine="480"/>
        <w:rPr>
          <w:color w:val="auto"/>
          <w:highlight w:val="none"/>
        </w:rPr>
      </w:pPr>
    </w:p>
    <w:p w14:paraId="3BF97030">
      <w:pPr>
        <w:pStyle w:val="6"/>
        <w:ind w:firstLine="480"/>
        <w:rPr>
          <w:color w:val="auto"/>
          <w:highlight w:val="none"/>
        </w:rPr>
      </w:pPr>
    </w:p>
    <w:p w14:paraId="7F7E8FE6">
      <w:pPr>
        <w:pStyle w:val="6"/>
        <w:ind w:firstLine="480"/>
        <w:rPr>
          <w:color w:val="auto"/>
          <w:highlight w:val="none"/>
        </w:rPr>
      </w:pPr>
    </w:p>
    <w:p w14:paraId="43C12A58">
      <w:pPr>
        <w:pStyle w:val="6"/>
        <w:ind w:firstLine="480"/>
        <w:rPr>
          <w:color w:val="auto"/>
          <w:highlight w:val="none"/>
        </w:rPr>
      </w:pPr>
    </w:p>
    <w:p w14:paraId="776353CB">
      <w:pPr>
        <w:pStyle w:val="6"/>
        <w:ind w:firstLine="480"/>
        <w:rPr>
          <w:color w:val="auto"/>
          <w:highlight w:val="none"/>
        </w:rPr>
      </w:pPr>
    </w:p>
    <w:p w14:paraId="50E2800E">
      <w:pPr>
        <w:pStyle w:val="6"/>
        <w:ind w:firstLine="480"/>
        <w:rPr>
          <w:color w:val="auto"/>
          <w:highlight w:val="none"/>
        </w:rPr>
      </w:pPr>
    </w:p>
    <w:p w14:paraId="0CC8BCD3">
      <w:pPr>
        <w:pStyle w:val="6"/>
        <w:ind w:firstLine="480"/>
        <w:rPr>
          <w:color w:val="auto"/>
          <w:highlight w:val="none"/>
        </w:rPr>
      </w:pPr>
    </w:p>
    <w:p w14:paraId="648BF265">
      <w:pPr>
        <w:pStyle w:val="6"/>
        <w:ind w:firstLine="480"/>
        <w:rPr>
          <w:color w:val="auto"/>
          <w:highlight w:val="none"/>
        </w:rPr>
      </w:pPr>
    </w:p>
    <w:p w14:paraId="618A41E4">
      <w:pPr>
        <w:pStyle w:val="6"/>
        <w:ind w:firstLine="480"/>
        <w:rPr>
          <w:color w:val="auto"/>
          <w:highlight w:val="none"/>
        </w:rPr>
      </w:pPr>
    </w:p>
    <w:p w14:paraId="691B155D">
      <w:pPr>
        <w:pStyle w:val="6"/>
        <w:ind w:firstLine="480"/>
        <w:rPr>
          <w:color w:val="auto"/>
          <w:highlight w:val="none"/>
        </w:rPr>
      </w:pPr>
    </w:p>
    <w:p w14:paraId="3D1A2339">
      <w:pPr>
        <w:pStyle w:val="6"/>
        <w:ind w:firstLine="480"/>
        <w:rPr>
          <w:color w:val="auto"/>
          <w:highlight w:val="none"/>
        </w:rPr>
      </w:pPr>
    </w:p>
    <w:p w14:paraId="4262C88B">
      <w:pPr>
        <w:pStyle w:val="6"/>
        <w:ind w:firstLine="480"/>
        <w:rPr>
          <w:color w:val="auto"/>
          <w:highlight w:val="none"/>
        </w:rPr>
      </w:pPr>
    </w:p>
    <w:p w14:paraId="2F3630C8">
      <w:pPr>
        <w:pStyle w:val="6"/>
        <w:ind w:firstLine="480"/>
        <w:rPr>
          <w:color w:val="auto"/>
          <w:highlight w:val="none"/>
        </w:rPr>
      </w:pPr>
    </w:p>
    <w:p w14:paraId="0895F10D">
      <w:pPr>
        <w:pStyle w:val="6"/>
        <w:ind w:firstLine="480"/>
        <w:rPr>
          <w:color w:val="auto"/>
          <w:highlight w:val="none"/>
        </w:rPr>
      </w:pPr>
    </w:p>
    <w:p w14:paraId="2EC329DE">
      <w:pPr>
        <w:pStyle w:val="6"/>
        <w:ind w:firstLine="480"/>
        <w:rPr>
          <w:color w:val="auto"/>
          <w:highlight w:val="none"/>
        </w:rPr>
      </w:pPr>
    </w:p>
    <w:p w14:paraId="02B9EED0">
      <w:pPr>
        <w:pStyle w:val="6"/>
        <w:ind w:firstLine="480"/>
        <w:rPr>
          <w:color w:val="auto"/>
          <w:highlight w:val="none"/>
        </w:rPr>
      </w:pPr>
    </w:p>
    <w:p w14:paraId="0FDF1AF6">
      <w:pPr>
        <w:pStyle w:val="6"/>
        <w:ind w:firstLine="480"/>
        <w:rPr>
          <w:color w:val="auto"/>
          <w:highlight w:val="none"/>
        </w:rPr>
      </w:pPr>
    </w:p>
    <w:p w14:paraId="21BE25EC">
      <w:pPr>
        <w:pStyle w:val="6"/>
        <w:ind w:firstLine="480"/>
        <w:rPr>
          <w:color w:val="auto"/>
          <w:highlight w:val="none"/>
        </w:rPr>
      </w:pPr>
    </w:p>
    <w:p w14:paraId="121BC881">
      <w:pPr>
        <w:pStyle w:val="6"/>
        <w:ind w:firstLine="480"/>
        <w:rPr>
          <w:color w:val="auto"/>
          <w:highlight w:val="none"/>
        </w:rPr>
      </w:pPr>
    </w:p>
    <w:p w14:paraId="1F55C923">
      <w:pPr>
        <w:pStyle w:val="6"/>
        <w:ind w:firstLine="480"/>
        <w:rPr>
          <w:color w:val="auto"/>
          <w:highlight w:val="none"/>
        </w:rPr>
      </w:pPr>
    </w:p>
    <w:p w14:paraId="1B859FAF">
      <w:pPr>
        <w:pStyle w:val="6"/>
        <w:ind w:firstLine="480"/>
        <w:rPr>
          <w:color w:val="auto"/>
          <w:highlight w:val="none"/>
        </w:rPr>
      </w:pPr>
    </w:p>
    <w:p w14:paraId="742F4C99">
      <w:pPr>
        <w:pStyle w:val="6"/>
        <w:ind w:firstLine="480"/>
        <w:rPr>
          <w:color w:val="auto"/>
          <w:highlight w:val="none"/>
        </w:rPr>
      </w:pPr>
    </w:p>
    <w:p w14:paraId="166D636C">
      <w:pPr>
        <w:pStyle w:val="6"/>
        <w:ind w:firstLine="480"/>
        <w:rPr>
          <w:color w:val="auto"/>
          <w:highlight w:val="none"/>
        </w:rPr>
      </w:pPr>
    </w:p>
    <w:p w14:paraId="2932DFF6">
      <w:pPr>
        <w:pStyle w:val="6"/>
        <w:ind w:firstLine="480"/>
        <w:rPr>
          <w:color w:val="auto"/>
          <w:highlight w:val="none"/>
        </w:rPr>
      </w:pPr>
    </w:p>
    <w:p w14:paraId="27EC39E6">
      <w:pPr>
        <w:pStyle w:val="6"/>
        <w:ind w:firstLine="480"/>
        <w:rPr>
          <w:color w:val="auto"/>
          <w:highlight w:val="none"/>
        </w:rPr>
      </w:pPr>
    </w:p>
    <w:p w14:paraId="734EFC93">
      <w:pPr>
        <w:pStyle w:val="6"/>
        <w:ind w:firstLine="480"/>
        <w:rPr>
          <w:color w:val="auto"/>
          <w:highlight w:val="none"/>
        </w:rPr>
      </w:pPr>
    </w:p>
    <w:p w14:paraId="6960318A">
      <w:pPr>
        <w:pStyle w:val="6"/>
        <w:ind w:firstLine="480"/>
        <w:rPr>
          <w:color w:val="auto"/>
          <w:highlight w:val="none"/>
        </w:rPr>
      </w:pPr>
    </w:p>
    <w:p w14:paraId="6301BA78">
      <w:pPr>
        <w:pStyle w:val="6"/>
        <w:ind w:firstLine="480"/>
        <w:rPr>
          <w:color w:val="auto"/>
          <w:highlight w:val="none"/>
        </w:rPr>
      </w:pPr>
    </w:p>
    <w:p w14:paraId="6651E161">
      <w:pPr>
        <w:pStyle w:val="6"/>
        <w:ind w:firstLine="480"/>
        <w:rPr>
          <w:color w:val="auto"/>
          <w:highlight w:val="none"/>
        </w:rPr>
      </w:pPr>
    </w:p>
    <w:p w14:paraId="5497A8DD">
      <w:pPr>
        <w:pStyle w:val="6"/>
        <w:ind w:firstLine="480"/>
        <w:rPr>
          <w:color w:val="auto"/>
          <w:highlight w:val="none"/>
        </w:rPr>
      </w:pPr>
    </w:p>
    <w:p w14:paraId="7649C6E7">
      <w:pPr>
        <w:pStyle w:val="6"/>
        <w:ind w:firstLine="480"/>
        <w:rPr>
          <w:color w:val="auto"/>
          <w:highlight w:val="none"/>
        </w:rPr>
      </w:pPr>
    </w:p>
    <w:p w14:paraId="4583A9A4">
      <w:pPr>
        <w:pStyle w:val="6"/>
        <w:spacing w:line="480" w:lineRule="auto"/>
        <w:ind w:firstLine="480"/>
        <w:rPr>
          <w:color w:val="auto"/>
          <w:highlight w:val="none"/>
        </w:rPr>
      </w:pPr>
      <w:r>
        <w:rPr>
          <w:color w:val="auto"/>
          <w:highlight w:val="none"/>
        </w:rPr>
        <w:t>附件8：建设资金支付协议</w:t>
      </w:r>
    </w:p>
    <w:p w14:paraId="4DA6A191">
      <w:pPr>
        <w:pStyle w:val="6"/>
        <w:ind w:firstLine="480"/>
        <w:rPr>
          <w:color w:val="auto"/>
          <w:highlight w:val="none"/>
        </w:rPr>
      </w:pPr>
    </w:p>
    <w:p w14:paraId="7F4E5343">
      <w:pPr>
        <w:pStyle w:val="6"/>
        <w:spacing w:line="480" w:lineRule="auto"/>
        <w:ind w:firstLine="0" w:firstLineChars="0"/>
        <w:rPr>
          <w:color w:val="auto"/>
          <w:highlight w:val="none"/>
        </w:rPr>
      </w:pPr>
      <w:r>
        <w:rPr>
          <w:color w:val="auto"/>
          <w:highlight w:val="none"/>
        </w:rPr>
        <w:drawing>
          <wp:inline distT="0" distB="0" distL="114300" distR="114300">
            <wp:extent cx="4791075" cy="6648450"/>
            <wp:effectExtent l="0" t="0" r="9525" b="0"/>
            <wp:docPr id="2" name="图片 1" descr="upload_post_object_v2_896205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upload_post_object_v2_896205988"/>
                    <pic:cNvPicPr>
                      <a:picLocks noChangeAspect="1"/>
                    </pic:cNvPicPr>
                  </pic:nvPicPr>
                  <pic:blipFill>
                    <a:blip r:embed="rId5"/>
                    <a:stretch>
                      <a:fillRect/>
                    </a:stretch>
                  </pic:blipFill>
                  <pic:spPr>
                    <a:xfrm>
                      <a:off x="0" y="0"/>
                      <a:ext cx="4791075" cy="6648450"/>
                    </a:xfrm>
                    <a:prstGeom prst="rect">
                      <a:avLst/>
                    </a:prstGeom>
                    <a:noFill/>
                    <a:ln>
                      <a:noFill/>
                    </a:ln>
                  </pic:spPr>
                </pic:pic>
              </a:graphicData>
            </a:graphic>
          </wp:inline>
        </w:drawing>
      </w:r>
      <w:r>
        <w:rPr>
          <w:color w:val="auto"/>
          <w:highlight w:val="none"/>
        </w:rPr>
        <w:drawing>
          <wp:inline distT="0" distB="0" distL="114300" distR="114300">
            <wp:extent cx="4867275" cy="6715125"/>
            <wp:effectExtent l="0" t="0" r="9525" b="952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4867275" cy="6715125"/>
                    </a:xfrm>
                    <a:prstGeom prst="rect">
                      <a:avLst/>
                    </a:prstGeom>
                    <a:noFill/>
                    <a:ln>
                      <a:noFill/>
                    </a:ln>
                  </pic:spPr>
                </pic:pic>
              </a:graphicData>
            </a:graphic>
          </wp:inline>
        </w:drawing>
      </w:r>
      <w:r>
        <w:rPr>
          <w:color w:val="auto"/>
          <w:highlight w:val="none"/>
        </w:rPr>
        <w:drawing>
          <wp:inline distT="0" distB="0" distL="114300" distR="114300">
            <wp:extent cx="4819650" cy="67532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819650" cy="6753225"/>
                    </a:xfrm>
                    <a:prstGeom prst="rect">
                      <a:avLst/>
                    </a:prstGeom>
                    <a:noFill/>
                    <a:ln>
                      <a:noFill/>
                    </a:ln>
                  </pic:spPr>
                </pic:pic>
              </a:graphicData>
            </a:graphic>
          </wp:inline>
        </w:drawing>
      </w:r>
    </w:p>
    <w:p w14:paraId="7DED02AC">
      <w:pPr>
        <w:rPr>
          <w:color w:val="auto"/>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F161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F8406A">
                          <w:pPr>
                            <w:pStyle w:val="4"/>
                          </w:pPr>
                          <w:r>
                            <w:fldChar w:fldCharType="begin"/>
                          </w:r>
                          <w:r>
                            <w:instrText xml:space="preserve"> PAGE  \* MERGEFORMAT </w:instrText>
                          </w:r>
                          <w:r>
                            <w:fldChar w:fldCharType="separate"/>
                          </w:r>
                          <w:r>
                            <w:t>112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BF8406A">
                    <w:pPr>
                      <w:pStyle w:val="4"/>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EBC38"/>
    <w:multiLevelType w:val="multilevel"/>
    <w:tmpl w:val="CF9EBC38"/>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eastAsia" w:ascii="宋体" w:hAnsi="宋体" w:eastAsia="宋体" w:cs="宋体"/>
      </w:rPr>
    </w:lvl>
    <w:lvl w:ilvl="2" w:tentative="0">
      <w:start w:val="1"/>
      <w:numFmt w:val="lowerRoman"/>
      <w:lvlText w:val="%3."/>
      <w:lvlJc w:val="right"/>
      <w:pPr>
        <w:ind w:left="1260" w:hanging="420"/>
      </w:pPr>
      <w:rPr>
        <w:rFonts w:hint="eastAsia" w:ascii="宋体" w:hAnsi="宋体" w:eastAsia="宋体" w:cs="宋体"/>
      </w:rPr>
    </w:lvl>
    <w:lvl w:ilvl="3" w:tentative="0">
      <w:start w:val="1"/>
      <w:numFmt w:val="decimal"/>
      <w:lvlText w:val="（%4）"/>
      <w:lvlJc w:val="left"/>
      <w:pPr>
        <w:ind w:left="704" w:hanging="420"/>
      </w:pPr>
      <w:rPr>
        <w:rFonts w:hint="eastAsia" w:ascii="仿宋_GB2312" w:eastAsia="仿宋_GB2312" w:cs="仿宋_GB2312"/>
        <w:b w:val="0"/>
        <w:sz w:val="24"/>
        <w:szCs w:val="24"/>
      </w:rPr>
    </w:lvl>
    <w:lvl w:ilvl="4" w:tentative="0">
      <w:start w:val="1"/>
      <w:numFmt w:val="lowerLetter"/>
      <w:lvlText w:val="%5)"/>
      <w:lvlJc w:val="left"/>
      <w:pPr>
        <w:ind w:left="2100" w:hanging="420"/>
      </w:pPr>
      <w:rPr>
        <w:rFonts w:hint="eastAsia" w:ascii="宋体" w:hAnsi="宋体" w:eastAsia="宋体" w:cs="宋体"/>
      </w:rPr>
    </w:lvl>
    <w:lvl w:ilvl="5" w:tentative="0">
      <w:start w:val="1"/>
      <w:numFmt w:val="lowerRoman"/>
      <w:lvlText w:val="%6."/>
      <w:lvlJc w:val="right"/>
      <w:pPr>
        <w:ind w:left="2520" w:hanging="420"/>
      </w:pPr>
      <w:rPr>
        <w:rFonts w:hint="eastAsia" w:ascii="宋体" w:hAnsi="宋体" w:eastAsia="宋体" w:cs="宋体"/>
      </w:rPr>
    </w:lvl>
    <w:lvl w:ilvl="6" w:tentative="0">
      <w:start w:val="1"/>
      <w:numFmt w:val="decimal"/>
      <w:lvlText w:val="%7."/>
      <w:lvlJc w:val="left"/>
      <w:pPr>
        <w:ind w:left="2940" w:hanging="420"/>
      </w:pPr>
      <w:rPr>
        <w:rFonts w:hint="eastAsia" w:ascii="宋体" w:hAnsi="宋体" w:eastAsia="宋体" w:cs="宋体"/>
      </w:rPr>
    </w:lvl>
    <w:lvl w:ilvl="7" w:tentative="0">
      <w:start w:val="1"/>
      <w:numFmt w:val="lowerLetter"/>
      <w:lvlText w:val="%8)"/>
      <w:lvlJc w:val="left"/>
      <w:pPr>
        <w:ind w:left="3360" w:hanging="420"/>
      </w:pPr>
      <w:rPr>
        <w:rFonts w:hint="eastAsia" w:ascii="宋体" w:hAnsi="宋体" w:eastAsia="宋体" w:cs="宋体"/>
      </w:rPr>
    </w:lvl>
    <w:lvl w:ilvl="8" w:tentative="0">
      <w:start w:val="1"/>
      <w:numFmt w:val="lowerRoman"/>
      <w:lvlText w:val="%9."/>
      <w:lvlJc w:val="right"/>
      <w:pPr>
        <w:ind w:left="3780" w:hanging="42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E2237"/>
    <w:rsid w:val="1C5110EE"/>
    <w:rsid w:val="50CF7548"/>
    <w:rsid w:val="6FFE2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0" w:lineRule="auto"/>
      <w:outlineLvl w:val="1"/>
    </w:pPr>
    <w:rPr>
      <w:rFonts w:ascii="Arial" w:hAnsi="Arial" w:eastAsia="黑体" w:cs="Times New Roman"/>
      <w:b/>
      <w:kern w:val="0"/>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560" w:firstLineChars="200"/>
    </w:pPr>
    <w:rPr>
      <w:rFonts w:ascii="Times New Roman" w:hAnsi="Times New Roman"/>
      <w:kern w:val="0"/>
      <w:sz w:val="28"/>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nhideWhenUsed/>
    <w:qFormat/>
    <w:uiPriority w:val="99"/>
    <w:pPr>
      <w:widowControl/>
      <w:spacing w:beforeAutospacing="1" w:afterAutospacing="1"/>
      <w:jc w:val="left"/>
    </w:pPr>
    <w:rPr>
      <w:rFonts w:hint="eastAsia" w:ascii="宋体" w:hAnsi="宋体" w:eastAsia="宋体" w:cs="Times New Roman"/>
      <w:kern w:val="0"/>
      <w:sz w:val="24"/>
      <w:szCs w:val="24"/>
    </w:rPr>
  </w:style>
  <w:style w:type="paragraph" w:styleId="6">
    <w:name w:val="Body Text First Indent 2"/>
    <w:basedOn w:val="3"/>
    <w:qFormat/>
    <w:uiPriority w:val="0"/>
    <w:pPr>
      <w:spacing w:line="420" w:lineRule="exact"/>
      <w:ind w:firstLine="420"/>
      <w:jc w:val="left"/>
    </w:pPr>
    <w:rPr>
      <w:rFonts w:ascii="宋体" w:hAnsi="宋体"/>
      <w:color w:val="000000"/>
      <w:sz w:val="24"/>
      <w:szCs w:val="18"/>
    </w:rPr>
  </w:style>
  <w:style w:type="paragraph" w:customStyle="1" w:styleId="9">
    <w:name w:val="_Style 3"/>
    <w:basedOn w:val="1"/>
    <w:qFormat/>
    <w:uiPriority w:val="0"/>
    <w:rPr>
      <w:rFonts w:ascii="Times New Roman" w:hAnsi="Times New Roman" w:cs="Times New Roman"/>
      <w:szCs w:val="21"/>
    </w:rPr>
  </w:style>
  <w:style w:type="paragraph" w:customStyle="1" w:styleId="10">
    <w:name w:val="样式"/>
    <w:basedOn w:val="1"/>
    <w:next w:val="3"/>
    <w:qFormat/>
    <w:uiPriority w:val="0"/>
    <w:pPr>
      <w:jc w:val="center"/>
    </w:pPr>
    <w:rPr>
      <w:rFonts w:hint="eastAsia" w:ascii="宋体" w:hAnsi="宋体" w:eastAsia="宋体" w:cs="Times New Roman"/>
      <w:color w:val="FF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18258</Words>
  <Characters>18949</Characters>
  <DocSecurity>0</DocSecurity>
  <Lines>0</Lines>
  <Paragraphs>0</Paragraphs>
  <ScaleCrop>false</ScaleCrop>
  <LinksUpToDate>false</LinksUpToDate>
  <CharactersWithSpaces>19506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2025-08-20T06:28:00Z</dcterms:created>
  <dcterms:modified xsi:type="dcterms:W3CDTF">2025-08-20T06:37:18Z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D5C6AD1E18894933ACC19AFFFD85920A_11</vt:lpwstr>
  </property>
  <property fmtid="{D5CDD505-2E9C-101B-9397-08002B2CF9AE}" pid="4" name="KSOTemplateDocerSaveRecord">
    <vt:lpwstr>eyJoZGlkIjoiOTM4Mzc5NjE1NWI2M2E4ODc4Mjk5MDcxYjVmYTM5MzYiLCJ1c2VySWQiOiIxNjAxMzk4MzU5In0=</vt:lpwstr>
  </property>
</Properties>
</file>