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95ABC">
      <w:pPr>
        <w:jc w:val="center"/>
        <w:rPr>
          <w:rFonts w:hint="eastAsia" w:ascii="宋体" w:hAnsi="宋体" w:cs="宋体"/>
          <w:b/>
          <w:color w:val="auto"/>
          <w:sz w:val="48"/>
          <w:szCs w:val="48"/>
          <w:highlight w:val="none"/>
        </w:rPr>
      </w:pPr>
      <w:bookmarkStart w:id="9" w:name="_GoBack"/>
      <w:bookmarkEnd w:id="9"/>
    </w:p>
    <w:p w14:paraId="649A859B">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广州市公安局案件物证综合管理中心</w:t>
      </w:r>
    </w:p>
    <w:p w14:paraId="7192B20B">
      <w:pPr>
        <w:jc w:val="center"/>
        <w:rPr>
          <w:rFonts w:ascii="宋体" w:hAnsi="宋体" w:cs="宋体"/>
          <w:color w:val="auto"/>
          <w:sz w:val="28"/>
          <w:szCs w:val="28"/>
          <w:highlight w:val="none"/>
        </w:rPr>
      </w:pPr>
      <w:r>
        <w:rPr>
          <w:rFonts w:ascii="宋体" w:hAnsi="宋体" w:cs="宋体"/>
          <w:b/>
          <w:color w:val="auto"/>
          <w:sz w:val="48"/>
          <w:szCs w:val="48"/>
          <w:highlight w:val="none"/>
        </w:rPr>
        <w:t>造价咨询服务</w:t>
      </w:r>
    </w:p>
    <w:p w14:paraId="5F420CAD">
      <w:pPr>
        <w:rPr>
          <w:rFonts w:ascii="宋体" w:hAnsi="宋体" w:cs="宋体"/>
          <w:color w:val="auto"/>
          <w:sz w:val="28"/>
          <w:szCs w:val="28"/>
          <w:highlight w:val="none"/>
        </w:rPr>
      </w:pPr>
    </w:p>
    <w:p w14:paraId="326BD71A">
      <w:pPr>
        <w:rPr>
          <w:rFonts w:ascii="宋体" w:hAnsi="宋体" w:cs="宋体"/>
          <w:color w:val="auto"/>
          <w:sz w:val="28"/>
          <w:szCs w:val="28"/>
          <w:highlight w:val="none"/>
        </w:rPr>
      </w:pPr>
    </w:p>
    <w:p w14:paraId="0531F5CF">
      <w:pPr>
        <w:rPr>
          <w:rFonts w:ascii="宋体" w:hAnsi="宋体" w:cs="宋体"/>
          <w:color w:val="auto"/>
          <w:sz w:val="28"/>
          <w:szCs w:val="28"/>
          <w:highlight w:val="none"/>
        </w:rPr>
      </w:pPr>
    </w:p>
    <w:p w14:paraId="2A754E9F">
      <w:pPr>
        <w:rPr>
          <w:rFonts w:ascii="宋体" w:hAnsi="宋体" w:cs="宋体"/>
          <w:color w:val="auto"/>
          <w:sz w:val="28"/>
          <w:szCs w:val="28"/>
          <w:highlight w:val="none"/>
        </w:rPr>
      </w:pPr>
    </w:p>
    <w:p w14:paraId="2C20883C">
      <w:pPr>
        <w:rPr>
          <w:rFonts w:ascii="宋体" w:hAnsi="宋体" w:cs="宋体"/>
          <w:color w:val="auto"/>
          <w:sz w:val="28"/>
          <w:szCs w:val="28"/>
          <w:highlight w:val="none"/>
        </w:rPr>
      </w:pPr>
    </w:p>
    <w:p w14:paraId="70ED698D">
      <w:pPr>
        <w:jc w:val="center"/>
        <w:rPr>
          <w:rFonts w:ascii="宋体" w:hAnsi="宋体" w:cs="宋体"/>
          <w:b/>
          <w:color w:val="auto"/>
          <w:sz w:val="56"/>
          <w:szCs w:val="56"/>
          <w:highlight w:val="none"/>
        </w:rPr>
      </w:pPr>
      <w:r>
        <w:rPr>
          <w:rFonts w:hint="eastAsia" w:ascii="宋体" w:hAnsi="宋体" w:cs="宋体"/>
          <w:b/>
          <w:color w:val="auto"/>
          <w:sz w:val="96"/>
          <w:szCs w:val="96"/>
          <w:highlight w:val="none"/>
        </w:rPr>
        <w:t>招标公告</w:t>
      </w:r>
    </w:p>
    <w:p w14:paraId="346BAC96">
      <w:pPr>
        <w:rPr>
          <w:rFonts w:ascii="宋体" w:hAnsi="宋体" w:cs="宋体"/>
          <w:color w:val="auto"/>
          <w:sz w:val="28"/>
          <w:szCs w:val="28"/>
          <w:highlight w:val="none"/>
        </w:rPr>
      </w:pPr>
    </w:p>
    <w:p w14:paraId="01A6ABEE">
      <w:pPr>
        <w:rPr>
          <w:rFonts w:ascii="宋体" w:hAnsi="宋体" w:cs="宋体"/>
          <w:color w:val="auto"/>
          <w:sz w:val="28"/>
          <w:szCs w:val="28"/>
          <w:highlight w:val="none"/>
        </w:rPr>
      </w:pPr>
    </w:p>
    <w:p w14:paraId="6BF58BAA">
      <w:pPr>
        <w:rPr>
          <w:rFonts w:ascii="宋体" w:hAnsi="宋体" w:cs="宋体"/>
          <w:color w:val="auto"/>
          <w:sz w:val="28"/>
          <w:szCs w:val="28"/>
          <w:highlight w:val="none"/>
        </w:rPr>
      </w:pPr>
    </w:p>
    <w:p w14:paraId="7A320296">
      <w:pPr>
        <w:rPr>
          <w:rFonts w:ascii="宋体" w:hAnsi="宋体" w:cs="宋体"/>
          <w:color w:val="auto"/>
          <w:szCs w:val="21"/>
          <w:highlight w:val="none"/>
        </w:rPr>
      </w:pPr>
    </w:p>
    <w:p w14:paraId="4FDFF519">
      <w:pPr>
        <w:pStyle w:val="9"/>
        <w:widowControl/>
        <w:rPr>
          <w:rFonts w:ascii="宋体" w:hAnsi="宋体" w:cs="宋体"/>
          <w:color w:val="auto"/>
          <w:highlight w:val="none"/>
        </w:rPr>
      </w:pPr>
    </w:p>
    <w:p w14:paraId="3918CA8B">
      <w:pPr>
        <w:pStyle w:val="9"/>
        <w:widowControl/>
        <w:rPr>
          <w:rFonts w:ascii="宋体" w:hAnsi="宋体" w:cs="宋体"/>
          <w:color w:val="auto"/>
          <w:highlight w:val="none"/>
        </w:rPr>
      </w:pPr>
    </w:p>
    <w:p w14:paraId="63795FCF">
      <w:pPr>
        <w:pStyle w:val="9"/>
        <w:widowControl/>
        <w:rPr>
          <w:rFonts w:ascii="宋体" w:hAnsi="宋体" w:cs="宋体"/>
          <w:color w:val="auto"/>
          <w:sz w:val="28"/>
          <w:szCs w:val="28"/>
          <w:highlight w:val="none"/>
        </w:rPr>
      </w:pPr>
    </w:p>
    <w:p w14:paraId="1D7E66AC">
      <w:pPr>
        <w:spacing w:line="480" w:lineRule="auto"/>
        <w:ind w:firstLine="900" w:firstLineChars="300"/>
        <w:rPr>
          <w:rFonts w:ascii="宋体" w:hAnsi="宋体" w:cs="宋体"/>
          <w:color w:val="auto"/>
          <w:sz w:val="30"/>
          <w:szCs w:val="30"/>
          <w:highlight w:val="none"/>
        </w:rPr>
      </w:pPr>
      <w:r>
        <w:rPr>
          <w:rFonts w:hint="eastAsia" w:ascii="宋体" w:hAnsi="宋体" w:cs="宋体"/>
          <w:color w:val="auto"/>
          <w:sz w:val="30"/>
          <w:szCs w:val="30"/>
          <w:highlight w:val="none"/>
        </w:rPr>
        <w:t>招   标  人 ：</w:t>
      </w:r>
      <w:r>
        <w:rPr>
          <w:rFonts w:hint="eastAsia" w:ascii="宋体" w:hAnsi="宋体" w:cs="宋体"/>
          <w:color w:val="auto"/>
          <w:sz w:val="30"/>
          <w:szCs w:val="30"/>
          <w:highlight w:val="none"/>
          <w:u w:val="single"/>
        </w:rPr>
        <w:t>广州市重点公共建设项目管理中心</w:t>
      </w:r>
    </w:p>
    <w:p w14:paraId="47F69B49">
      <w:pPr>
        <w:spacing w:line="480" w:lineRule="auto"/>
        <w:ind w:firstLine="900" w:firstLineChars="300"/>
        <w:rPr>
          <w:rFonts w:hint="eastAsia" w:ascii="宋体" w:hAnsi="宋体" w:cs="宋体"/>
          <w:color w:val="auto"/>
          <w:sz w:val="30"/>
          <w:szCs w:val="30"/>
          <w:highlight w:val="none"/>
          <w:u w:val="single"/>
        </w:rPr>
      </w:pPr>
      <w:r>
        <w:rPr>
          <w:rFonts w:hint="eastAsia" w:ascii="宋体" w:hAnsi="宋体" w:cs="宋体"/>
          <w:color w:val="auto"/>
          <w:sz w:val="30"/>
          <w:szCs w:val="30"/>
          <w:highlight w:val="none"/>
        </w:rPr>
        <w:t>招标代理机构：</w:t>
      </w:r>
      <w:r>
        <w:rPr>
          <w:rFonts w:hint="eastAsia" w:ascii="宋体" w:hAnsi="宋体" w:cs="宋体"/>
          <w:color w:val="auto"/>
          <w:sz w:val="30"/>
          <w:szCs w:val="30"/>
          <w:highlight w:val="none"/>
          <w:u w:val="single"/>
        </w:rPr>
        <w:t>北京中交建设工程咨询有限公司</w:t>
      </w:r>
    </w:p>
    <w:p w14:paraId="48597E2E">
      <w:pPr>
        <w:spacing w:after="156" w:afterLines="50" w:line="360" w:lineRule="auto"/>
        <w:ind w:firstLine="900" w:firstLineChars="300"/>
        <w:rPr>
          <w:rFonts w:ascii="宋体" w:hAnsi="宋体" w:cs="宋体"/>
          <w:color w:val="auto"/>
          <w:sz w:val="30"/>
          <w:szCs w:val="30"/>
          <w:highlight w:val="none"/>
        </w:rPr>
      </w:pPr>
      <w:r>
        <w:rPr>
          <w:rFonts w:hint="eastAsia" w:ascii="宋体" w:hAnsi="宋体" w:cs="宋体"/>
          <w:color w:val="auto"/>
          <w:sz w:val="30"/>
          <w:szCs w:val="30"/>
          <w:highlight w:val="none"/>
        </w:rPr>
        <w:t>日        期：</w:t>
      </w:r>
      <w:r>
        <w:rPr>
          <w:rFonts w:hint="eastAsia" w:ascii="宋体" w:hAnsi="宋体" w:cs="宋体"/>
          <w:color w:val="auto"/>
          <w:sz w:val="30"/>
          <w:szCs w:val="30"/>
          <w:highlight w:val="none"/>
          <w:u w:val="single"/>
        </w:rPr>
        <w:t>2025</w:t>
      </w:r>
      <w:r>
        <w:rPr>
          <w:rFonts w:hint="eastAsia" w:ascii="宋体" w:hAnsi="宋体" w:cs="宋体"/>
          <w:color w:val="auto"/>
          <w:sz w:val="30"/>
          <w:szCs w:val="30"/>
          <w:highlight w:val="none"/>
        </w:rPr>
        <w:t>年</w:t>
      </w:r>
      <w:r>
        <w:rPr>
          <w:rFonts w:ascii="宋体" w:hAnsi="宋体" w:cs="宋体"/>
          <w:color w:val="auto"/>
          <w:sz w:val="30"/>
          <w:szCs w:val="30"/>
          <w:highlight w:val="none"/>
        </w:rPr>
        <w:t>8</w:t>
      </w:r>
      <w:r>
        <w:rPr>
          <w:rFonts w:hint="eastAsia" w:ascii="宋体" w:hAnsi="宋体" w:cs="宋体"/>
          <w:color w:val="auto"/>
          <w:sz w:val="30"/>
          <w:szCs w:val="30"/>
          <w:highlight w:val="none"/>
        </w:rPr>
        <w:t>月</w:t>
      </w:r>
    </w:p>
    <w:p w14:paraId="16E3DA0D">
      <w:pPr>
        <w:spacing w:after="156" w:afterLines="50" w:line="360" w:lineRule="auto"/>
        <w:jc w:val="center"/>
        <w:rPr>
          <w:rFonts w:ascii="宋体" w:hAnsi="宋体" w:cs="宋体"/>
          <w:b/>
          <w:color w:val="auto"/>
          <w:sz w:val="32"/>
          <w:szCs w:val="32"/>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6F7C93DC">
      <w:pPr>
        <w:spacing w:after="156"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广州市公安局案件物证综合管理中心</w:t>
      </w:r>
      <w:r>
        <w:rPr>
          <w:rFonts w:ascii="宋体" w:hAnsi="宋体" w:cs="宋体"/>
          <w:b/>
          <w:color w:val="auto"/>
          <w:sz w:val="32"/>
          <w:szCs w:val="32"/>
          <w:highlight w:val="none"/>
        </w:rPr>
        <w:t>造价咨询服务</w:t>
      </w:r>
    </w:p>
    <w:p w14:paraId="396121DA">
      <w:pPr>
        <w:spacing w:after="156" w:afterLines="50"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招标公告</w:t>
      </w:r>
    </w:p>
    <w:p w14:paraId="019F46B3">
      <w:pPr>
        <w:pStyle w:val="3"/>
        <w:keepNext w:val="0"/>
        <w:keepLines w:val="0"/>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t>1. 招标条件</w:t>
      </w:r>
    </w:p>
    <w:p w14:paraId="3107638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本招标项目</w:t>
      </w:r>
      <w:r>
        <w:rPr>
          <w:rFonts w:hint="eastAsia" w:ascii="宋体" w:hAnsi="宋体" w:cs="宋体"/>
          <w:color w:val="auto"/>
          <w:sz w:val="24"/>
          <w:szCs w:val="24"/>
          <w:highlight w:val="none"/>
          <w:u w:val="single"/>
        </w:rPr>
        <w:t>广州市公安局案件物证综合管理中心</w:t>
      </w:r>
      <w:r>
        <w:rPr>
          <w:rFonts w:hint="eastAsia" w:ascii="宋体" w:hAnsi="宋体" w:cs="宋体"/>
          <w:color w:val="auto"/>
          <w:sz w:val="24"/>
          <w:szCs w:val="24"/>
          <w:highlight w:val="none"/>
        </w:rPr>
        <w:t>已批准建设，项目业主为</w:t>
      </w:r>
      <w:r>
        <w:rPr>
          <w:rFonts w:hint="eastAsia" w:ascii="宋体" w:hAnsi="宋体" w:cs="宋体"/>
          <w:color w:val="auto"/>
          <w:sz w:val="24"/>
          <w:szCs w:val="24"/>
          <w:highlight w:val="none"/>
          <w:u w:val="single"/>
        </w:rPr>
        <w:t>广州市公安局</w:t>
      </w:r>
      <w:r>
        <w:rPr>
          <w:rFonts w:hint="eastAsia" w:ascii="宋体" w:hAnsi="宋体" w:cs="宋体"/>
          <w:color w:val="auto"/>
          <w:sz w:val="24"/>
          <w:szCs w:val="24"/>
          <w:highlight w:val="none"/>
        </w:rPr>
        <w:t>，建设资金来自</w:t>
      </w:r>
      <w:r>
        <w:rPr>
          <w:rFonts w:hint="eastAsia" w:ascii="宋体" w:hAnsi="宋体" w:cs="宋体"/>
          <w:color w:val="auto"/>
          <w:sz w:val="24"/>
          <w:szCs w:val="24"/>
          <w:highlight w:val="none"/>
          <w:u w:val="single"/>
        </w:rPr>
        <w:t>广州市基本建设统筹资金</w:t>
      </w:r>
      <w:r>
        <w:rPr>
          <w:rFonts w:hint="eastAsia" w:ascii="宋体" w:hAnsi="宋体" w:cs="宋体"/>
          <w:color w:val="auto"/>
          <w:sz w:val="24"/>
          <w:szCs w:val="24"/>
          <w:highlight w:val="none"/>
        </w:rPr>
        <w:t>，出资比例为</w:t>
      </w:r>
      <w:r>
        <w:rPr>
          <w:rFonts w:hint="eastAsia" w:ascii="宋体" w:hAnsi="宋体" w:cs="宋体"/>
          <w:color w:val="auto"/>
          <w:sz w:val="24"/>
          <w:szCs w:val="24"/>
          <w:highlight w:val="none"/>
          <w:u w:val="single"/>
        </w:rPr>
        <w:t>100%</w:t>
      </w:r>
      <w:r>
        <w:rPr>
          <w:rFonts w:hint="eastAsia" w:ascii="宋体" w:hAnsi="宋体" w:cs="宋体"/>
          <w:color w:val="auto"/>
          <w:sz w:val="24"/>
          <w:szCs w:val="24"/>
          <w:highlight w:val="none"/>
        </w:rPr>
        <w:t>，招标人为</w:t>
      </w:r>
      <w:r>
        <w:rPr>
          <w:rFonts w:hint="eastAsia" w:ascii="宋体" w:hAnsi="宋体" w:cs="宋体"/>
          <w:color w:val="auto"/>
          <w:sz w:val="24"/>
          <w:szCs w:val="24"/>
          <w:highlight w:val="none"/>
          <w:u w:val="single"/>
        </w:rPr>
        <w:t>广州市重点公共建设项目管理中心</w:t>
      </w:r>
      <w:r>
        <w:rPr>
          <w:rFonts w:hint="eastAsia" w:ascii="宋体" w:hAnsi="宋体" w:cs="宋体"/>
          <w:color w:val="auto"/>
          <w:sz w:val="24"/>
          <w:szCs w:val="24"/>
          <w:highlight w:val="none"/>
        </w:rPr>
        <w:t>。项目已具备招标条件，现对该项目的</w:t>
      </w:r>
      <w:r>
        <w:rPr>
          <w:rFonts w:ascii="宋体" w:hAnsi="宋体" w:cs="宋体"/>
          <w:color w:val="auto"/>
          <w:sz w:val="24"/>
          <w:szCs w:val="24"/>
          <w:highlight w:val="none"/>
          <w:u w:val="single"/>
        </w:rPr>
        <w:t>造价咨询服务</w:t>
      </w:r>
      <w:r>
        <w:rPr>
          <w:rFonts w:hint="eastAsia" w:ascii="宋体" w:hAnsi="宋体" w:cs="宋体"/>
          <w:color w:val="auto"/>
          <w:sz w:val="24"/>
          <w:szCs w:val="24"/>
          <w:highlight w:val="none"/>
        </w:rPr>
        <w:t>进行公开招标。</w:t>
      </w:r>
    </w:p>
    <w:p w14:paraId="5F9CE4DF">
      <w:pPr>
        <w:pStyle w:val="3"/>
        <w:keepNext w:val="0"/>
        <w:keepLines w:val="0"/>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t>2. 项目概况与招标范围</w:t>
      </w:r>
    </w:p>
    <w:p w14:paraId="1064A10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2.1招标项目概况</w:t>
      </w:r>
    </w:p>
    <w:p w14:paraId="22A457EA">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2.1.1招标项目名称：</w:t>
      </w:r>
      <w:r>
        <w:rPr>
          <w:rFonts w:hint="eastAsia" w:ascii="宋体" w:hAnsi="宋体" w:cs="宋体"/>
          <w:color w:val="auto"/>
          <w:sz w:val="24"/>
          <w:szCs w:val="24"/>
          <w:highlight w:val="none"/>
          <w:u w:val="single"/>
        </w:rPr>
        <w:t>广州市公安局案件物证综合管理中心</w:t>
      </w:r>
      <w:r>
        <w:rPr>
          <w:rFonts w:ascii="宋体" w:hAnsi="宋体" w:cs="宋体"/>
          <w:color w:val="auto"/>
          <w:sz w:val="24"/>
          <w:szCs w:val="24"/>
          <w:highlight w:val="none"/>
          <w:u w:val="single"/>
        </w:rPr>
        <w:t>造价咨询服务</w:t>
      </w:r>
      <w:r>
        <w:rPr>
          <w:rFonts w:hint="eastAsia" w:ascii="宋体" w:hAnsi="宋体" w:cs="宋体"/>
          <w:color w:val="auto"/>
          <w:sz w:val="24"/>
          <w:szCs w:val="24"/>
          <w:highlight w:val="none"/>
        </w:rPr>
        <w:t>。</w:t>
      </w:r>
    </w:p>
    <w:p w14:paraId="45BB9D2A">
      <w:pPr>
        <w:spacing w:line="360" w:lineRule="auto"/>
        <w:ind w:firstLine="477" w:firstLineChars="199"/>
        <w:rPr>
          <w:rFonts w:ascii="宋体" w:hAnsi="宋体" w:cs="宋体"/>
          <w:color w:val="auto"/>
          <w:sz w:val="24"/>
          <w:szCs w:val="24"/>
          <w:highlight w:val="none"/>
          <w:u w:val="single"/>
        </w:rPr>
      </w:pPr>
      <w:r>
        <w:rPr>
          <w:rFonts w:hint="eastAsia" w:ascii="宋体" w:hAnsi="宋体" w:cs="宋体"/>
          <w:color w:val="auto"/>
          <w:sz w:val="24"/>
          <w:szCs w:val="24"/>
          <w:highlight w:val="none"/>
        </w:rPr>
        <w:t>2.1.2工程建设地点：</w:t>
      </w:r>
      <w:r>
        <w:rPr>
          <w:rFonts w:hint="eastAsia" w:ascii="宋体" w:hAnsi="宋体" w:cs="宋体"/>
          <w:color w:val="auto"/>
          <w:sz w:val="24"/>
          <w:szCs w:val="24"/>
          <w:highlight w:val="none"/>
          <w:u w:val="single"/>
        </w:rPr>
        <w:t>广州市番禺区钟村镇石壁村谢石公路以北、大象岗森林公园以南、番禺高创鞋业有限公司以西、广州秀珀化工股份有限公司以东的地块内。</w:t>
      </w:r>
    </w:p>
    <w:p w14:paraId="0C632300">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2.1.3工程建设规模：</w:t>
      </w:r>
      <w:r>
        <w:rPr>
          <w:rFonts w:hint="eastAsia" w:ascii="宋体" w:hAnsi="宋体" w:cs="宋体"/>
          <w:color w:val="auto"/>
          <w:sz w:val="24"/>
          <w:szCs w:val="24"/>
          <w:highlight w:val="none"/>
          <w:u w:val="single"/>
        </w:rPr>
        <w:t>钟村地块总占地面积为147150.7㎡，可建设面积约79980㎡，本项目利用场地面积21800㎡。本项目拟在场地中新建1栋一般物证＋生物物证及综合楼12020㎡,1栋毒品物证楼4929㎡,1栋涉案枪支弹药物证楼514㎡和1层人防地下室1845㎡。总建筑面积为19308㎡，最大单体建筑面积12020㎡，最大建筑高度约26米。功能包括各类物证的保存、民警管理用房及设备用房等。主要建设内容包括新建建筑的土建、装修及安装工程；现状场地平整及边坡支护工程；现状道路拓宽；室外道路、停车场、绿化工程及室外给排水、供电工程；外水外电工程。项目投资总额约30790.31万元。其中，工程费约24838.62万元。</w:t>
      </w:r>
    </w:p>
    <w:p w14:paraId="664A513E">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资金来源：广州市基本建设统筹资金。</w:t>
      </w:r>
    </w:p>
    <w:p w14:paraId="22DE3FB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2.2招标范围：</w:t>
      </w:r>
    </w:p>
    <w:p w14:paraId="48641EE1">
      <w:pPr>
        <w:shd w:val="clear" w:color="auto" w:fill="FFFFFF"/>
        <w:adjustRightInd w:val="0"/>
        <w:spacing w:line="360" w:lineRule="auto"/>
        <w:ind w:firstLine="480" w:firstLineChars="200"/>
        <w:rPr>
          <w:rFonts w:hint="eastAsia" w:ascii="宋体" w:hAnsi="宋体" w:cs="宋体"/>
          <w:color w:val="auto"/>
          <w:kern w:val="0"/>
          <w:sz w:val="24"/>
          <w:szCs w:val="24"/>
          <w:highlight w:val="none"/>
          <w:u w:val="single"/>
          <w:shd w:val="clear" w:color="auto" w:fill="FFFFFF"/>
        </w:rPr>
      </w:pPr>
      <w:r>
        <w:rPr>
          <w:rFonts w:hint="eastAsia" w:ascii="宋体" w:hAnsi="宋体" w:cs="宋体"/>
          <w:color w:val="auto"/>
          <w:sz w:val="24"/>
          <w:szCs w:val="24"/>
          <w:highlight w:val="none"/>
          <w:shd w:val="clear" w:color="auto" w:fill="FFFFFF"/>
        </w:rPr>
        <w:t>2.2.1</w:t>
      </w:r>
      <w:r>
        <w:rPr>
          <w:rFonts w:hint="eastAsia" w:ascii="宋体" w:hAnsi="宋体" w:cs="宋体"/>
          <w:b/>
          <w:color w:val="auto"/>
          <w:sz w:val="24"/>
          <w:szCs w:val="24"/>
          <w:highlight w:val="none"/>
          <w:shd w:val="clear" w:color="auto" w:fill="FFFFFF"/>
        </w:rPr>
        <w:t>标段划分</w:t>
      </w:r>
      <w:r>
        <w:rPr>
          <w:rFonts w:hint="eastAsia" w:ascii="宋体" w:hAnsi="宋体" w:cs="宋体"/>
          <w:color w:val="auto"/>
          <w:sz w:val="24"/>
          <w:szCs w:val="24"/>
          <w:highlight w:val="none"/>
          <w:shd w:val="clear" w:color="auto" w:fill="FFFFFF"/>
        </w:rPr>
        <w:t>：</w:t>
      </w:r>
      <w:r>
        <w:rPr>
          <w:rFonts w:hint="eastAsia" w:ascii="宋体" w:hAnsi="宋体" w:cs="宋体"/>
          <w:color w:val="auto"/>
          <w:kern w:val="0"/>
          <w:sz w:val="24"/>
          <w:szCs w:val="24"/>
          <w:highlight w:val="none"/>
          <w:u w:val="single"/>
          <w:shd w:val="clear" w:color="auto" w:fill="FFFFFF"/>
        </w:rPr>
        <w:t>本项目划分为1个标段。</w:t>
      </w:r>
    </w:p>
    <w:p w14:paraId="2A7041C6">
      <w:pPr>
        <w:shd w:val="clear" w:color="auto" w:fill="FFFFFF"/>
        <w:adjustRightInd w:val="0"/>
        <w:spacing w:line="360" w:lineRule="auto"/>
        <w:ind w:firstLine="480" w:firstLineChars="200"/>
        <w:rPr>
          <w:rFonts w:hint="eastAsia" w:ascii="宋体" w:hAnsi="宋体" w:cs="宋体"/>
          <w:color w:val="auto"/>
          <w:kern w:val="0"/>
          <w:sz w:val="24"/>
          <w:szCs w:val="24"/>
          <w:highlight w:val="none"/>
          <w:u w:val="single"/>
          <w:shd w:val="clear" w:color="auto" w:fill="FFFFFF"/>
        </w:rPr>
      </w:pPr>
      <w:r>
        <w:rPr>
          <w:rFonts w:hint="eastAsia" w:ascii="宋体" w:hAnsi="宋体" w:cs="宋体"/>
          <w:color w:val="auto"/>
          <w:sz w:val="24"/>
          <w:szCs w:val="24"/>
          <w:highlight w:val="none"/>
          <w:shd w:val="clear" w:color="auto" w:fill="FFFFFF"/>
        </w:rPr>
        <w:t>2.2.</w:t>
      </w:r>
      <w:r>
        <w:rPr>
          <w:rFonts w:hint="eastAsia" w:ascii="宋体" w:hAnsi="宋体" w:cs="宋体"/>
          <w:color w:val="auto"/>
          <w:kern w:val="0"/>
          <w:sz w:val="24"/>
          <w:szCs w:val="24"/>
          <w:highlight w:val="none"/>
          <w:shd w:val="clear" w:color="auto" w:fill="FFFFFF"/>
        </w:rPr>
        <w:t>2招标内容：</w:t>
      </w:r>
      <w:r>
        <w:rPr>
          <w:rFonts w:hint="eastAsia" w:ascii="宋体" w:hAnsi="宋体" w:cs="宋体"/>
          <w:color w:val="auto"/>
          <w:kern w:val="0"/>
          <w:sz w:val="24"/>
          <w:szCs w:val="24"/>
          <w:highlight w:val="none"/>
          <w:u w:val="single"/>
          <w:shd w:val="clear" w:color="auto" w:fill="FFFFFF"/>
        </w:rPr>
        <w:t>招标内容包含但不限于如下内容：</w:t>
      </w:r>
    </w:p>
    <w:p w14:paraId="2502E8C5">
      <w:pPr>
        <w:shd w:val="clear" w:color="auto" w:fill="FFFFFF"/>
        <w:adjustRightInd w:val="0"/>
        <w:spacing w:line="360" w:lineRule="auto"/>
        <w:ind w:firstLine="480" w:firstLineChars="200"/>
        <w:rPr>
          <w:rFonts w:hint="eastAsia" w:ascii="宋体" w:hAnsi="宋体" w:cs="宋体"/>
          <w:color w:val="auto"/>
          <w:kern w:val="0"/>
          <w:sz w:val="24"/>
          <w:szCs w:val="24"/>
          <w:highlight w:val="none"/>
          <w:u w:val="single"/>
          <w:shd w:val="clear" w:color="auto" w:fill="FFFFFF"/>
        </w:rPr>
      </w:pPr>
      <w:r>
        <w:rPr>
          <w:rFonts w:hint="eastAsia" w:ascii="宋体" w:hAnsi="宋体" w:cs="宋体"/>
          <w:color w:val="auto"/>
          <w:kern w:val="0"/>
          <w:sz w:val="24"/>
          <w:szCs w:val="24"/>
          <w:highlight w:val="none"/>
          <w:u w:val="single"/>
          <w:shd w:val="clear" w:color="auto" w:fill="FFFFFF"/>
        </w:rPr>
        <w:t>（1）服务内容包括招标阶段、施工阶段、结（决）算阶段的造价咨询服务及甲方要求的其他造价管理工作。</w:t>
      </w:r>
    </w:p>
    <w:p w14:paraId="348788EC">
      <w:pPr>
        <w:shd w:val="clear" w:color="auto" w:fill="FFFFFF"/>
        <w:adjustRightInd w:val="0"/>
        <w:spacing w:line="360" w:lineRule="auto"/>
        <w:ind w:firstLine="480" w:firstLineChars="200"/>
        <w:rPr>
          <w:rFonts w:ascii="宋体" w:hAnsi="宋体" w:cs="宋体"/>
          <w:color w:val="auto"/>
          <w:kern w:val="0"/>
          <w:sz w:val="24"/>
          <w:szCs w:val="24"/>
          <w:highlight w:val="none"/>
          <w:u w:val="single"/>
          <w:shd w:val="clear" w:color="auto" w:fill="FFFFFF"/>
        </w:rPr>
      </w:pPr>
      <w:r>
        <w:rPr>
          <w:rFonts w:hint="eastAsia" w:ascii="宋体" w:hAnsi="宋体" w:cs="宋体"/>
          <w:color w:val="auto"/>
          <w:kern w:val="0"/>
          <w:sz w:val="24"/>
          <w:szCs w:val="24"/>
          <w:highlight w:val="none"/>
          <w:u w:val="single"/>
          <w:shd w:val="clear" w:color="auto" w:fill="FFFFFF"/>
        </w:rPr>
        <w:t>（2）具体内容包括不限于：主要包括：1)投资控制；2）招标控制价及工程量清单编制工作；3)</w:t>
      </w:r>
      <w:r>
        <w:rPr>
          <w:rFonts w:ascii="宋体" w:hAnsi="宋体" w:cs="宋体"/>
          <w:color w:val="auto"/>
          <w:kern w:val="0"/>
          <w:sz w:val="24"/>
          <w:szCs w:val="24"/>
          <w:highlight w:val="none"/>
          <w:u w:val="single"/>
          <w:lang w:bidi="ar"/>
        </w:rPr>
        <w:t>清标(含中标阶段的中标清单与招标控制价对比的清标工作；施工图</w:t>
      </w:r>
      <w:r>
        <w:rPr>
          <w:rFonts w:hint="eastAsia" w:ascii="宋体" w:hAnsi="宋体" w:cs="宋体"/>
          <w:color w:val="auto"/>
          <w:kern w:val="0"/>
          <w:sz w:val="24"/>
          <w:szCs w:val="24"/>
          <w:highlight w:val="none"/>
          <w:u w:val="single"/>
          <w:lang w:bidi="ar"/>
        </w:rPr>
        <w:t>下发阶段施工图</w:t>
      </w:r>
      <w:r>
        <w:rPr>
          <w:rFonts w:ascii="宋体" w:hAnsi="宋体" w:cs="宋体"/>
          <w:color w:val="auto"/>
          <w:kern w:val="0"/>
          <w:sz w:val="24"/>
          <w:szCs w:val="24"/>
          <w:highlight w:val="none"/>
          <w:u w:val="single"/>
          <w:lang w:bidi="ar"/>
        </w:rPr>
        <w:t>预算与合同清单对比的清标工作</w:t>
      </w:r>
      <w:r>
        <w:rPr>
          <w:rFonts w:hint="eastAsia" w:ascii="宋体" w:hAnsi="宋体" w:cs="宋体"/>
          <w:color w:val="auto"/>
          <w:kern w:val="0"/>
          <w:sz w:val="24"/>
          <w:szCs w:val="24"/>
          <w:highlight w:val="none"/>
          <w:u w:val="single"/>
          <w:lang w:bidi="ar"/>
        </w:rPr>
        <w:t>）；4）新增</w:t>
      </w:r>
      <w:r>
        <w:rPr>
          <w:rFonts w:hint="eastAsia" w:ascii="宋体" w:hAnsi="宋体" w:cs="宋体"/>
          <w:color w:val="auto"/>
          <w:kern w:val="0"/>
          <w:sz w:val="24"/>
          <w:szCs w:val="24"/>
          <w:highlight w:val="none"/>
          <w:u w:val="single"/>
          <w:shd w:val="clear" w:color="auto" w:fill="FFFFFF"/>
        </w:rPr>
        <w:t>主材单价审核；5)检测监测</w:t>
      </w:r>
      <w:r>
        <w:rPr>
          <w:rFonts w:ascii="宋体" w:hAnsi="宋体" w:cs="宋体"/>
          <w:color w:val="auto"/>
          <w:kern w:val="0"/>
          <w:sz w:val="24"/>
          <w:szCs w:val="24"/>
          <w:highlight w:val="none"/>
          <w:u w:val="single"/>
          <w:shd w:val="clear" w:color="auto" w:fill="FFFFFF"/>
        </w:rPr>
        <w:t>等</w:t>
      </w:r>
      <w:r>
        <w:rPr>
          <w:rFonts w:hint="eastAsia" w:ascii="宋体" w:hAnsi="宋体" w:cs="宋体"/>
          <w:color w:val="auto"/>
          <w:kern w:val="0"/>
          <w:sz w:val="24"/>
          <w:szCs w:val="24"/>
          <w:highlight w:val="none"/>
          <w:u w:val="single"/>
          <w:shd w:val="clear" w:color="auto" w:fill="FFFFFF"/>
        </w:rPr>
        <w:t>费用审核；6)送审结算初步审核及评审配合；</w:t>
      </w:r>
      <w:r>
        <w:rPr>
          <w:rFonts w:hint="eastAsia" w:ascii="宋体" w:hAnsi="宋体" w:cs="宋体"/>
          <w:color w:val="auto"/>
          <w:kern w:val="0"/>
          <w:sz w:val="24"/>
          <w:szCs w:val="24"/>
          <w:highlight w:val="none"/>
          <w:u w:val="single"/>
          <w:shd w:val="clear" w:color="auto" w:fill="FFFFFF"/>
          <w:lang w:val="en-US" w:eastAsia="zh-CN"/>
        </w:rPr>
        <w:t>7</w:t>
      </w:r>
      <w:r>
        <w:rPr>
          <w:rFonts w:hint="eastAsia" w:ascii="宋体" w:hAnsi="宋体" w:cs="宋体"/>
          <w:color w:val="auto"/>
          <w:kern w:val="0"/>
          <w:sz w:val="24"/>
          <w:szCs w:val="24"/>
          <w:highlight w:val="none"/>
          <w:u w:val="single"/>
          <w:shd w:val="clear" w:color="auto" w:fill="FFFFFF"/>
        </w:rPr>
        <w:t>)广州市财局或项目业主及其主管部门不评审的合同结算评审等。</w:t>
      </w:r>
    </w:p>
    <w:tbl>
      <w:tblPr>
        <w:tblStyle w:val="7"/>
        <w:tblW w:w="0" w:type="auto"/>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108" w:type="dxa"/>
          <w:bottom w:w="0" w:type="dxa"/>
          <w:right w:w="108" w:type="dxa"/>
        </w:tblCellMar>
      </w:tblPr>
      <w:tblGrid>
        <w:gridCol w:w="664"/>
        <w:gridCol w:w="1070"/>
        <w:gridCol w:w="7122"/>
      </w:tblGrid>
      <w:tr w14:paraId="6895817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79"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1A2A9C5C">
            <w:pPr>
              <w:shd w:val="solid" w:color="FFFFFF" w:fill="auto"/>
              <w:autoSpaceDN w:val="0"/>
              <w:spacing w:line="276" w:lineRule="auto"/>
              <w:contextualSpacing/>
              <w:jc w:val="center"/>
              <w:rPr>
                <w:rFonts w:ascii="宋体" w:hAnsi="宋体" w:cs="宋体"/>
                <w:b/>
                <w:color w:val="auto"/>
                <w:szCs w:val="21"/>
                <w:highlight w:val="none"/>
                <w:shd w:val="clear" w:color="auto" w:fill="FFFFFF"/>
              </w:rPr>
            </w:pPr>
            <w:r>
              <w:rPr>
                <w:rFonts w:hint="eastAsia" w:ascii="宋体" w:hAnsi="宋体" w:cs="宋体"/>
                <w:b/>
                <w:color w:val="auto"/>
                <w:kern w:val="0"/>
                <w:szCs w:val="21"/>
                <w:highlight w:val="none"/>
                <w:shd w:val="clear" w:color="auto" w:fill="FFFFFF"/>
              </w:rPr>
              <w:t>序号</w:t>
            </w:r>
          </w:p>
        </w:tc>
        <w:tc>
          <w:tcPr>
            <w:tcW w:w="1070" w:type="dxa"/>
            <w:tcBorders>
              <w:top w:val="single" w:color="000000" w:sz="4" w:space="0"/>
              <w:left w:val="nil"/>
              <w:bottom w:val="single" w:color="000000" w:sz="4" w:space="0"/>
              <w:right w:val="single" w:color="000000" w:sz="4" w:space="0"/>
            </w:tcBorders>
            <w:noWrap w:val="0"/>
            <w:vAlign w:val="center"/>
          </w:tcPr>
          <w:p w14:paraId="12A7F080">
            <w:pPr>
              <w:shd w:val="solid" w:color="FFFFFF" w:fill="auto"/>
              <w:autoSpaceDN w:val="0"/>
              <w:spacing w:line="276" w:lineRule="auto"/>
              <w:contextualSpacing/>
              <w:jc w:val="center"/>
              <w:rPr>
                <w:rFonts w:ascii="宋体" w:hAnsi="宋体" w:cs="宋体"/>
                <w:b/>
                <w:color w:val="auto"/>
                <w:szCs w:val="21"/>
                <w:highlight w:val="none"/>
                <w:shd w:val="clear" w:color="auto" w:fill="FFFFFF"/>
              </w:rPr>
            </w:pPr>
            <w:r>
              <w:rPr>
                <w:rFonts w:hint="eastAsia" w:ascii="宋体" w:hAnsi="宋体" w:cs="宋体"/>
                <w:b/>
                <w:color w:val="auto"/>
                <w:kern w:val="0"/>
                <w:szCs w:val="21"/>
                <w:highlight w:val="none"/>
                <w:shd w:val="clear" w:color="auto" w:fill="FFFFFF"/>
              </w:rPr>
              <w:t>阶段</w:t>
            </w:r>
          </w:p>
        </w:tc>
        <w:tc>
          <w:tcPr>
            <w:tcW w:w="7122" w:type="dxa"/>
            <w:tcBorders>
              <w:top w:val="single" w:color="000000" w:sz="4" w:space="0"/>
              <w:left w:val="nil"/>
              <w:bottom w:val="single" w:color="000000" w:sz="4" w:space="0"/>
              <w:right w:val="single" w:color="000000" w:sz="4" w:space="0"/>
            </w:tcBorders>
            <w:noWrap w:val="0"/>
            <w:vAlign w:val="center"/>
          </w:tcPr>
          <w:p w14:paraId="3E20E877">
            <w:pPr>
              <w:shd w:val="solid" w:color="FFFFFF" w:fill="auto"/>
              <w:autoSpaceDN w:val="0"/>
              <w:spacing w:line="276" w:lineRule="auto"/>
              <w:contextualSpacing/>
              <w:jc w:val="center"/>
              <w:rPr>
                <w:rFonts w:ascii="宋体" w:hAnsi="宋体" w:cs="宋体"/>
                <w:b/>
                <w:color w:val="auto"/>
                <w:szCs w:val="21"/>
                <w:highlight w:val="none"/>
                <w:shd w:val="clear" w:color="auto" w:fill="FFFFFF"/>
              </w:rPr>
            </w:pPr>
            <w:r>
              <w:rPr>
                <w:rFonts w:hint="eastAsia" w:ascii="宋体" w:hAnsi="宋体" w:cs="宋体"/>
                <w:b/>
                <w:color w:val="auto"/>
                <w:kern w:val="0"/>
                <w:szCs w:val="21"/>
                <w:highlight w:val="none"/>
                <w:shd w:val="clear" w:color="auto" w:fill="FFFFFF"/>
              </w:rPr>
              <w:t>服务内容</w:t>
            </w:r>
            <w:r>
              <w:rPr>
                <w:rFonts w:ascii="宋体" w:hAnsi="宋体" w:cs="宋体"/>
                <w:b/>
                <w:color w:val="auto"/>
                <w:kern w:val="0"/>
                <w:szCs w:val="21"/>
                <w:highlight w:val="none"/>
                <w:shd w:val="clear" w:color="auto" w:fill="FFFFFF"/>
              </w:rPr>
              <w:t>（如有）</w:t>
            </w:r>
          </w:p>
        </w:tc>
      </w:tr>
      <w:tr w14:paraId="0DE7409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09283737">
            <w:pPr>
              <w:shd w:val="solid" w:color="FFFFFF" w:fill="auto"/>
              <w:autoSpaceDN w:val="0"/>
              <w:spacing w:line="276" w:lineRule="auto"/>
              <w:contextualSpacing/>
              <w:jc w:val="center"/>
              <w:rPr>
                <w:rFonts w:hint="eastAsia" w:ascii="宋体" w:hAnsi="宋体" w:cs="宋体"/>
                <w:color w:val="auto"/>
                <w:szCs w:val="21"/>
                <w:highlight w:val="none"/>
                <w:shd w:val="clear" w:color="auto" w:fill="FFFFFF"/>
              </w:rPr>
            </w:pPr>
            <w:r>
              <w:rPr>
                <w:rFonts w:hint="eastAsia" w:ascii="宋体" w:hAnsi="宋体" w:cs="宋体"/>
                <w:color w:val="auto"/>
                <w:kern w:val="0"/>
                <w:szCs w:val="21"/>
                <w:highlight w:val="none"/>
                <w:shd w:val="clear" w:color="auto" w:fill="FFFFFF"/>
              </w:rPr>
              <w:t>1</w:t>
            </w:r>
          </w:p>
        </w:tc>
        <w:tc>
          <w:tcPr>
            <w:tcW w:w="1070" w:type="dxa"/>
            <w:tcBorders>
              <w:top w:val="single" w:color="000000" w:sz="4" w:space="0"/>
              <w:left w:val="nil"/>
              <w:bottom w:val="single" w:color="000000" w:sz="4" w:space="0"/>
              <w:right w:val="single" w:color="000000" w:sz="4" w:space="0"/>
            </w:tcBorders>
            <w:noWrap w:val="0"/>
            <w:vAlign w:val="center"/>
          </w:tcPr>
          <w:p w14:paraId="4C1DAFFF">
            <w:pPr>
              <w:shd w:val="solid" w:color="FFFFFF" w:fill="auto"/>
              <w:autoSpaceDN w:val="0"/>
              <w:spacing w:line="276" w:lineRule="auto"/>
              <w:contextualSpacing/>
              <w:jc w:val="center"/>
              <w:rPr>
                <w:rFonts w:ascii="宋体" w:hAnsi="宋体" w:cs="宋体"/>
                <w:color w:val="auto"/>
                <w:szCs w:val="21"/>
                <w:highlight w:val="none"/>
                <w:shd w:val="clear" w:color="auto" w:fill="FFFFFF"/>
              </w:rPr>
            </w:pPr>
            <w:r>
              <w:rPr>
                <w:rFonts w:hint="eastAsia" w:ascii="宋体" w:hAnsi="宋体" w:cs="宋体"/>
                <w:color w:val="auto"/>
                <w:kern w:val="0"/>
                <w:szCs w:val="21"/>
                <w:highlight w:val="none"/>
              </w:rPr>
              <w:t>招标阶段</w:t>
            </w:r>
          </w:p>
        </w:tc>
        <w:tc>
          <w:tcPr>
            <w:tcW w:w="7122" w:type="dxa"/>
            <w:tcBorders>
              <w:top w:val="single" w:color="000000" w:sz="4" w:space="0"/>
              <w:left w:val="nil"/>
              <w:bottom w:val="single" w:color="000000" w:sz="4" w:space="0"/>
              <w:right w:val="single" w:color="000000" w:sz="4" w:space="0"/>
            </w:tcBorders>
            <w:noWrap w:val="0"/>
            <w:vAlign w:val="center"/>
          </w:tcPr>
          <w:p w14:paraId="0B9740F8">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（1）负责按招标人要求编制并审核招标工程量清单及招标控制价，负责进行市场调查、询价，在招标人指定地点进行对数、编制或调整等；</w:t>
            </w:r>
          </w:p>
          <w:p w14:paraId="6B9E82A8">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（2）负责根据设计单位的图纸及技术规范、用户需求书，编制设备、材料询价或采购清单；</w:t>
            </w:r>
          </w:p>
          <w:p w14:paraId="661D49CB">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3）负责对投标人等相关单位提出的造价问题的解答。按广州市建设工程造价管理站招标控制价备案要求提供造价文件（含编制说明、最高投标限价公布函、招标控制价软件版、EXCEL版、XML（cos）版、指标分析表等），并完成招标控制价备案工作；</w:t>
            </w:r>
          </w:p>
          <w:p w14:paraId="61D66DF2">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（4）负责对中标承建（服务）单位的经济标文件或报价书等进行分析和汇总，提出造价控制建议，并形成清标报告；</w:t>
            </w:r>
          </w:p>
          <w:p w14:paraId="1FCA774D">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（5）负责对合同方式和可能存在的风险因素及解决办法等提出合理化建议供招标人参考。</w:t>
            </w:r>
          </w:p>
        </w:tc>
      </w:tr>
      <w:tr w14:paraId="2BC5ABE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311"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42E8500A">
            <w:pPr>
              <w:shd w:val="solid" w:color="FFFFFF" w:fill="auto"/>
              <w:autoSpaceDN w:val="0"/>
              <w:spacing w:line="276" w:lineRule="auto"/>
              <w:contextualSpacing/>
              <w:jc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2</w:t>
            </w:r>
          </w:p>
        </w:tc>
        <w:tc>
          <w:tcPr>
            <w:tcW w:w="1070" w:type="dxa"/>
            <w:tcBorders>
              <w:top w:val="single" w:color="000000" w:sz="4" w:space="0"/>
              <w:left w:val="nil"/>
              <w:bottom w:val="single" w:color="000000" w:sz="4" w:space="0"/>
              <w:right w:val="single" w:color="000000" w:sz="4" w:space="0"/>
            </w:tcBorders>
            <w:noWrap w:val="0"/>
            <w:vAlign w:val="center"/>
          </w:tcPr>
          <w:p w14:paraId="6D6DAB9F">
            <w:pPr>
              <w:shd w:val="solid" w:color="FFFFFF" w:fill="auto"/>
              <w:autoSpaceDN w:val="0"/>
              <w:spacing w:line="276" w:lineRule="auto"/>
              <w:contextualSpacing/>
              <w:jc w:val="center"/>
              <w:rPr>
                <w:rFonts w:ascii="宋体" w:hAnsi="宋体" w:cs="宋体"/>
                <w:color w:val="auto"/>
                <w:szCs w:val="21"/>
                <w:highlight w:val="none"/>
                <w:shd w:val="clear" w:color="auto" w:fill="FFFFFF"/>
              </w:rPr>
            </w:pPr>
            <w:r>
              <w:rPr>
                <w:rFonts w:hint="eastAsia" w:ascii="宋体" w:hAnsi="宋体" w:cs="宋体"/>
                <w:color w:val="auto"/>
                <w:kern w:val="0"/>
                <w:szCs w:val="21"/>
                <w:highlight w:val="none"/>
                <w:shd w:val="clear" w:color="auto" w:fill="FFFFFF"/>
              </w:rPr>
              <w:t>施工阶段</w:t>
            </w:r>
          </w:p>
        </w:tc>
        <w:tc>
          <w:tcPr>
            <w:tcW w:w="7122" w:type="dxa"/>
            <w:tcBorders>
              <w:top w:val="single" w:color="000000" w:sz="4" w:space="0"/>
              <w:left w:val="nil"/>
              <w:bottom w:val="single" w:color="000000" w:sz="4" w:space="0"/>
              <w:right w:val="single" w:color="000000" w:sz="4" w:space="0"/>
            </w:tcBorders>
            <w:noWrap w:val="0"/>
            <w:vAlign w:val="top"/>
          </w:tcPr>
          <w:p w14:paraId="13BE46E8">
            <w:pPr>
              <w:widowControl/>
              <w:spacing w:line="276" w:lineRule="auto"/>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（1）清标工作（施工图下发阶段施工图预算与合同清单对比的清标工作）</w:t>
            </w:r>
          </w:p>
          <w:p w14:paraId="64F1DB56">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（2）负责主材单价审核，检测监测</w:t>
            </w:r>
            <w:r>
              <w:rPr>
                <w:rFonts w:ascii="宋体" w:hAnsi="宋体" w:cs="宋体"/>
                <w:color w:val="auto"/>
                <w:kern w:val="0"/>
                <w:szCs w:val="21"/>
                <w:highlight w:val="none"/>
              </w:rPr>
              <w:t>等</w:t>
            </w:r>
            <w:r>
              <w:rPr>
                <w:rFonts w:hint="eastAsia" w:ascii="宋体" w:hAnsi="宋体" w:cs="宋体"/>
                <w:color w:val="auto"/>
                <w:kern w:val="0"/>
                <w:szCs w:val="21"/>
                <w:highlight w:val="none"/>
              </w:rPr>
              <w:t>费用审核，必要时按招标人要求集中会审；</w:t>
            </w:r>
          </w:p>
          <w:p w14:paraId="796E3EF8">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（3）负责施工过程造价控制，定期召开造价控制会议，每月底提交投资控制报告，含项目整体资金使用情况、结算价预估分析、动态成本（须与目标成本对比分析偏差原因及解决方案建议）等；</w:t>
            </w:r>
          </w:p>
          <w:p w14:paraId="39387185">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 xml:space="preserve">（4）制定项目总体投资进度计划，根据实际进度与每月实际投资和计划投资作分析比较，分析成本超支的原因和修正项目投资进度计划； </w:t>
            </w:r>
          </w:p>
          <w:p w14:paraId="3E075B4D">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 xml:space="preserve">（5）负责建立合同台账、变更台账（按变更原因分类）、签证台账、新增主材单价台账、新增综合单价台账、动态投资台账等； </w:t>
            </w:r>
          </w:p>
          <w:p w14:paraId="0956428C">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（6）负责定期收集和整理有关设备材料的市场价格动态信息，对施工方案、材料选用提供成本控制建议；</w:t>
            </w:r>
          </w:p>
          <w:p w14:paraId="59DFA7A5">
            <w:pPr>
              <w:pStyle w:val="9"/>
              <w:rPr>
                <w:rFonts w:ascii="宋体" w:hAnsi="宋体" w:cs="宋体"/>
                <w:color w:val="auto"/>
                <w:kern w:val="0"/>
                <w:highlight w:val="none"/>
              </w:rPr>
            </w:pPr>
            <w:r>
              <w:rPr>
                <w:rFonts w:hint="eastAsia" w:ascii="宋体" w:hAnsi="宋体" w:cs="宋体"/>
                <w:color w:val="auto"/>
                <w:kern w:val="0"/>
                <w:highlight w:val="none"/>
              </w:rPr>
              <w:t>（7）负责协助第三方的合同索赔处理</w:t>
            </w:r>
            <w:r>
              <w:rPr>
                <w:rFonts w:ascii="宋体" w:hAnsi="宋体" w:cs="宋体"/>
                <w:color w:val="auto"/>
                <w:kern w:val="0"/>
                <w:highlight w:val="none"/>
              </w:rPr>
              <w:t>、</w:t>
            </w:r>
            <w:r>
              <w:rPr>
                <w:rFonts w:hint="eastAsia" w:ascii="宋体" w:hAnsi="宋体" w:cs="宋体"/>
                <w:color w:val="auto"/>
                <w:highlight w:val="none"/>
                <w:lang w:bidi="ar"/>
              </w:rPr>
              <w:t>工程造价争议处理</w:t>
            </w:r>
            <w:r>
              <w:rPr>
                <w:rFonts w:hint="eastAsia" w:ascii="宋体" w:hAnsi="宋体" w:cs="宋体"/>
                <w:color w:val="auto"/>
                <w:kern w:val="0"/>
                <w:highlight w:val="none"/>
              </w:rPr>
              <w:t>，参加合同变更谈判，负责处理合同变更，维护业主的合法权益。</w:t>
            </w:r>
          </w:p>
        </w:tc>
      </w:tr>
      <w:tr w14:paraId="6D371580">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311"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10850A6">
            <w:pPr>
              <w:shd w:val="solid" w:color="FFFFFF" w:fill="auto"/>
              <w:autoSpaceDN w:val="0"/>
              <w:spacing w:line="276" w:lineRule="auto"/>
              <w:contextualSpacing/>
              <w:jc w:val="center"/>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w:t>
            </w:r>
          </w:p>
        </w:tc>
        <w:tc>
          <w:tcPr>
            <w:tcW w:w="1070" w:type="dxa"/>
            <w:tcBorders>
              <w:top w:val="single" w:color="000000" w:sz="4" w:space="0"/>
              <w:left w:val="nil"/>
              <w:bottom w:val="single" w:color="000000" w:sz="4" w:space="0"/>
              <w:right w:val="single" w:color="000000" w:sz="4" w:space="0"/>
            </w:tcBorders>
            <w:noWrap w:val="0"/>
            <w:vAlign w:val="center"/>
          </w:tcPr>
          <w:p w14:paraId="0EDB8BCD">
            <w:pPr>
              <w:shd w:val="solid" w:color="FFFFFF" w:fill="auto"/>
              <w:autoSpaceDN w:val="0"/>
              <w:spacing w:line="276" w:lineRule="auto"/>
              <w:contextualSpacing/>
              <w:jc w:val="center"/>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结（决）算阶段</w:t>
            </w:r>
          </w:p>
        </w:tc>
        <w:tc>
          <w:tcPr>
            <w:tcW w:w="7122" w:type="dxa"/>
            <w:tcBorders>
              <w:top w:val="single" w:color="000000" w:sz="4" w:space="0"/>
              <w:left w:val="nil"/>
              <w:bottom w:val="single" w:color="000000" w:sz="4" w:space="0"/>
              <w:right w:val="single" w:color="000000" w:sz="4" w:space="0"/>
            </w:tcBorders>
            <w:noWrap w:val="0"/>
            <w:vAlign w:val="center"/>
          </w:tcPr>
          <w:p w14:paraId="572E1777">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（1）负责建立结算台账；</w:t>
            </w:r>
          </w:p>
          <w:p w14:paraId="074F10FB">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（2）负责收集和整理结算依据资料，负责组织过程结算；</w:t>
            </w:r>
          </w:p>
          <w:p w14:paraId="01DEF91B">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color w:val="auto"/>
                <w:szCs w:val="21"/>
                <w:highlight w:val="none"/>
              </w:rPr>
              <w:t>负责送审结算初步审核及配合评审、广州市财局或项目业主及其主管部门不评审的合同结算评审，要求收到承建（服务）单位报送的结算文件后按甲方要求的时间出具结算审核报告</w:t>
            </w:r>
            <w:r>
              <w:rPr>
                <w:rFonts w:hint="eastAsia" w:ascii="宋体" w:hAnsi="宋体"/>
                <w:color w:val="auto"/>
                <w:szCs w:val="21"/>
                <w:highlight w:val="none"/>
                <w:shd w:val="clear" w:color="auto" w:fill="FFFFFF"/>
              </w:rPr>
              <w:t>；</w:t>
            </w:r>
          </w:p>
          <w:p w14:paraId="7F84773D">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（4）配合结算定审和决算工作。</w:t>
            </w:r>
          </w:p>
        </w:tc>
      </w:tr>
      <w:tr w14:paraId="49520083">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64" w:type="dxa"/>
            <w:tcBorders>
              <w:top w:val="single" w:color="000000" w:sz="4" w:space="0"/>
              <w:left w:val="single" w:color="000000" w:sz="4" w:space="0"/>
              <w:bottom w:val="single" w:color="000000" w:sz="4" w:space="0"/>
              <w:right w:val="single" w:color="000000" w:sz="4" w:space="0"/>
            </w:tcBorders>
            <w:noWrap w:val="0"/>
            <w:vAlign w:val="center"/>
          </w:tcPr>
          <w:p w14:paraId="74D11D50">
            <w:pPr>
              <w:shd w:val="solid" w:color="FFFFFF" w:fill="auto"/>
              <w:autoSpaceDN w:val="0"/>
              <w:spacing w:line="276" w:lineRule="auto"/>
              <w:contextualSpacing/>
              <w:jc w:val="center"/>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4</w:t>
            </w:r>
          </w:p>
        </w:tc>
        <w:tc>
          <w:tcPr>
            <w:tcW w:w="1070" w:type="dxa"/>
            <w:tcBorders>
              <w:top w:val="single" w:color="000000" w:sz="4" w:space="0"/>
              <w:left w:val="nil"/>
              <w:bottom w:val="single" w:color="000000" w:sz="4" w:space="0"/>
              <w:right w:val="single" w:color="000000" w:sz="4" w:space="0"/>
            </w:tcBorders>
            <w:noWrap w:val="0"/>
            <w:vAlign w:val="center"/>
          </w:tcPr>
          <w:p w14:paraId="59DEB80D">
            <w:pPr>
              <w:shd w:val="solid" w:color="FFFFFF" w:fill="auto"/>
              <w:autoSpaceDN w:val="0"/>
              <w:spacing w:line="276" w:lineRule="auto"/>
              <w:contextualSpacing/>
              <w:jc w:val="center"/>
              <w:rPr>
                <w:rFonts w:ascii="宋体" w:hAnsi="宋体" w:cs="宋体"/>
                <w:color w:val="auto"/>
                <w:szCs w:val="21"/>
                <w:highlight w:val="none"/>
                <w:shd w:val="clear" w:color="auto" w:fill="FFFFFF"/>
              </w:rPr>
            </w:pPr>
            <w:r>
              <w:rPr>
                <w:rFonts w:hint="eastAsia" w:ascii="宋体" w:hAnsi="宋体" w:cs="宋体"/>
                <w:color w:val="auto"/>
                <w:kern w:val="0"/>
                <w:szCs w:val="21"/>
                <w:highlight w:val="none"/>
                <w:shd w:val="clear" w:color="auto" w:fill="FFFFFF"/>
              </w:rPr>
              <w:t>其他</w:t>
            </w:r>
          </w:p>
        </w:tc>
        <w:tc>
          <w:tcPr>
            <w:tcW w:w="7122" w:type="dxa"/>
            <w:tcBorders>
              <w:top w:val="single" w:color="000000" w:sz="4" w:space="0"/>
              <w:left w:val="nil"/>
              <w:bottom w:val="single" w:color="000000" w:sz="4" w:space="0"/>
              <w:right w:val="single" w:color="000000" w:sz="4" w:space="0"/>
            </w:tcBorders>
            <w:noWrap w:val="0"/>
            <w:vAlign w:val="center"/>
          </w:tcPr>
          <w:p w14:paraId="1CBD62ED">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（1）负责按招标人要求编制各类造价管理文件；</w:t>
            </w:r>
          </w:p>
          <w:p w14:paraId="650BA51C">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（2）负责委托合同价格审核；</w:t>
            </w:r>
          </w:p>
          <w:p w14:paraId="7194E101">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（3）参与设计方案论证会议、技术经济方案比选、变更论证等专题会，提出造价专业意见；督促落实各阶段、各专业工程造价限额设计量化指标；</w:t>
            </w:r>
          </w:p>
          <w:p w14:paraId="0DAB39B9">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（4）负责组织相关造价控制评审会议，包括邀请相应的经济专家。视情况邀请高级经济顾问对造价问题进行咨询把关；</w:t>
            </w:r>
          </w:p>
          <w:p w14:paraId="524C4991">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（5）配合招标人编制详细的工程成本预测和资金流量预测分析，以作为进度和成本控制的目标；随设计的深入定期分析工程成本、定期修正资金流量预测；</w:t>
            </w:r>
          </w:p>
          <w:p w14:paraId="4693EF8C">
            <w:pPr>
              <w:widowControl/>
              <w:spacing w:line="276" w:lineRule="auto"/>
              <w:contextualSpacing/>
              <w:rPr>
                <w:rFonts w:ascii="宋体" w:hAnsi="宋体" w:cs="宋体"/>
                <w:color w:val="auto"/>
                <w:kern w:val="0"/>
                <w:szCs w:val="21"/>
                <w:highlight w:val="none"/>
              </w:rPr>
            </w:pPr>
            <w:r>
              <w:rPr>
                <w:rFonts w:hint="eastAsia" w:ascii="宋体" w:hAnsi="宋体" w:cs="宋体"/>
                <w:color w:val="auto"/>
                <w:kern w:val="0"/>
                <w:szCs w:val="21"/>
                <w:highlight w:val="none"/>
              </w:rPr>
              <w:t>（6）招标人安排的其他造价管理工作，如投资匡算、培训等；</w:t>
            </w:r>
          </w:p>
          <w:p w14:paraId="39B079E9">
            <w:pPr>
              <w:widowControl/>
              <w:spacing w:line="276" w:lineRule="auto"/>
              <w:contextualSpacing/>
              <w:rPr>
                <w:rFonts w:ascii="宋体" w:hAnsi="宋体" w:cs="宋体"/>
                <w:color w:val="auto"/>
                <w:szCs w:val="21"/>
                <w:highlight w:val="none"/>
                <w:shd w:val="clear" w:color="auto" w:fill="FFFFFF"/>
              </w:rPr>
            </w:pPr>
            <w:r>
              <w:rPr>
                <w:rFonts w:hint="eastAsia" w:ascii="宋体" w:hAnsi="宋体" w:cs="宋体"/>
                <w:color w:val="auto"/>
                <w:kern w:val="0"/>
                <w:szCs w:val="21"/>
                <w:highlight w:val="none"/>
              </w:rPr>
              <w:t>（7）按要求配合项目审计工作。</w:t>
            </w:r>
          </w:p>
        </w:tc>
      </w:tr>
    </w:tbl>
    <w:p w14:paraId="7305A3A3">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2.2.</w:t>
      </w:r>
      <w:r>
        <w:rPr>
          <w:rFonts w:hint="eastAsia" w:ascii="宋体" w:hAnsi="宋体" w:cs="宋体"/>
          <w:color w:val="auto"/>
          <w:kern w:val="0"/>
          <w:sz w:val="24"/>
          <w:szCs w:val="24"/>
          <w:highlight w:val="none"/>
        </w:rPr>
        <w:t>3最高投标限价：</w:t>
      </w:r>
      <w:r>
        <w:rPr>
          <w:rFonts w:hint="default" w:ascii="宋体" w:hAnsi="宋体" w:cs="宋体"/>
          <w:color w:val="auto"/>
          <w:kern w:val="0"/>
          <w:sz w:val="24"/>
          <w:szCs w:val="24"/>
          <w:highlight w:val="none"/>
          <w:u w:val="single"/>
        </w:rPr>
        <w:t>1096519</w:t>
      </w:r>
      <w:r>
        <w:rPr>
          <w:rFonts w:hint="eastAsia" w:ascii="宋体" w:hAnsi="宋体" w:cs="宋体"/>
          <w:color w:val="auto"/>
          <w:kern w:val="0"/>
          <w:sz w:val="24"/>
          <w:szCs w:val="24"/>
          <w:highlight w:val="none"/>
          <w:u w:val="single"/>
          <w:lang w:bidi="ar"/>
        </w:rPr>
        <w:t>.00</w:t>
      </w:r>
      <w:r>
        <w:rPr>
          <w:rFonts w:hint="eastAsia" w:ascii="宋体" w:hAnsi="宋体" w:cs="宋体"/>
          <w:color w:val="auto"/>
          <w:kern w:val="0"/>
          <w:sz w:val="24"/>
          <w:szCs w:val="24"/>
          <w:highlight w:val="none"/>
          <w:u w:val="single"/>
        </w:rPr>
        <w:t>元</w:t>
      </w:r>
      <w:r>
        <w:rPr>
          <w:rFonts w:hint="eastAsia" w:ascii="宋体" w:hAnsi="宋体" w:cs="宋体"/>
          <w:color w:val="auto"/>
          <w:kern w:val="0"/>
          <w:sz w:val="24"/>
          <w:szCs w:val="24"/>
          <w:highlight w:val="none"/>
        </w:rPr>
        <w:t>。</w:t>
      </w:r>
    </w:p>
    <w:p w14:paraId="2874011C">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2.2.4服务期限：</w:t>
      </w:r>
      <w:r>
        <w:rPr>
          <w:rFonts w:hint="eastAsia" w:ascii="宋体" w:hAnsi="宋体" w:cs="宋体"/>
          <w:color w:val="auto"/>
          <w:kern w:val="0"/>
          <w:sz w:val="24"/>
          <w:szCs w:val="24"/>
          <w:highlight w:val="none"/>
          <w:u w:val="single"/>
        </w:rPr>
        <w:t>自收到招标人通知开始之日起至合同约定造价咨询服务内容全部完成止。招标人根据实际情况，有权对本项目服务期限进行适当调整。</w:t>
      </w:r>
    </w:p>
    <w:p w14:paraId="31E27932">
      <w:pPr>
        <w:pStyle w:val="3"/>
        <w:keepNext w:val="0"/>
        <w:keepLines w:val="0"/>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t>3. 投标人资格要求</w:t>
      </w:r>
    </w:p>
    <w:p w14:paraId="26306EAE">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3.1投标人</w:t>
      </w:r>
      <w:r>
        <w:rPr>
          <w:rFonts w:hint="eastAsia" w:ascii="宋体" w:hAnsi="宋体" w:cs="宋体"/>
          <w:color w:val="auto"/>
          <w:sz w:val="24"/>
          <w:szCs w:val="24"/>
          <w:highlight w:val="none"/>
          <w:u w:val="single"/>
          <w:lang w:bidi="ar"/>
        </w:rPr>
        <w:t>（若为联合体投标，指联合体各方）</w:t>
      </w:r>
      <w:r>
        <w:rPr>
          <w:rFonts w:hint="eastAsia" w:ascii="宋体" w:hAnsi="宋体" w:cs="宋体"/>
          <w:color w:val="auto"/>
          <w:sz w:val="24"/>
          <w:szCs w:val="24"/>
          <w:highlight w:val="none"/>
          <w:u w:val="single"/>
        </w:rPr>
        <w:t>均具有独立法人资格，持有工商行政管理部门核发的法人营业执照或事业单位登记管理部门核发的事业单位法人证书，按国家法律经营。</w:t>
      </w:r>
    </w:p>
    <w:p w14:paraId="32741163">
      <w:pPr>
        <w:spacing w:line="360" w:lineRule="auto"/>
        <w:ind w:firstLine="480" w:firstLineChars="200"/>
        <w:rPr>
          <w:rFonts w:ascii="宋体" w:hAnsi="宋体" w:cs="宋体"/>
          <w:color w:val="auto"/>
          <w:sz w:val="24"/>
          <w:szCs w:val="24"/>
          <w:highlight w:val="none"/>
          <w:u w:val="single"/>
        </w:rPr>
      </w:pPr>
      <w:r>
        <w:rPr>
          <w:rFonts w:hint="eastAsia" w:ascii="宋体" w:hAnsi="宋体"/>
          <w:color w:val="auto"/>
          <w:sz w:val="24"/>
          <w:highlight w:val="none"/>
          <w:u w:val="single"/>
        </w:rPr>
        <w:t>注：香港企业参加投标的，须在广东省住房和城乡建设主管部门备案且备案的业务范围为香港土木工程拓展署《工程及有关顾问公司遴选委员会顾问公司名单》的工料测量业务范围</w:t>
      </w:r>
      <w:r>
        <w:rPr>
          <w:rFonts w:hint="eastAsia" w:ascii="宋体" w:hAnsi="宋体" w:cs="宋体"/>
          <w:color w:val="auto"/>
          <w:sz w:val="24"/>
          <w:szCs w:val="24"/>
          <w:highlight w:val="none"/>
          <w:u w:val="single"/>
        </w:rPr>
        <w:t>。</w:t>
      </w:r>
    </w:p>
    <w:p w14:paraId="62EE8F7B">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3.2投标人</w:t>
      </w:r>
      <w:r>
        <w:rPr>
          <w:rFonts w:hint="eastAsia" w:ascii="宋体" w:hAnsi="宋体" w:cs="宋体"/>
          <w:color w:val="auto"/>
          <w:sz w:val="24"/>
          <w:szCs w:val="24"/>
          <w:highlight w:val="none"/>
          <w:u w:val="single"/>
          <w:lang w:bidi="ar"/>
        </w:rPr>
        <w:t>（若为联合体投标，</w:t>
      </w:r>
      <w:r>
        <w:rPr>
          <w:rFonts w:ascii="宋体" w:hAnsi="宋体" w:cs="宋体"/>
          <w:color w:val="auto"/>
          <w:sz w:val="24"/>
          <w:szCs w:val="24"/>
          <w:highlight w:val="none"/>
          <w:u w:val="single"/>
          <w:lang w:bidi="ar"/>
        </w:rPr>
        <w:t>由</w:t>
      </w:r>
      <w:r>
        <w:rPr>
          <w:rFonts w:hint="eastAsia" w:ascii="宋体" w:hAnsi="宋体" w:cs="宋体"/>
          <w:color w:val="auto"/>
          <w:sz w:val="24"/>
          <w:szCs w:val="24"/>
          <w:highlight w:val="none"/>
          <w:u w:val="single"/>
          <w:lang w:bidi="ar"/>
        </w:rPr>
        <w:t>联合体</w:t>
      </w:r>
      <w:r>
        <w:rPr>
          <w:rFonts w:ascii="宋体" w:hAnsi="宋体" w:cs="宋体"/>
          <w:color w:val="auto"/>
          <w:sz w:val="24"/>
          <w:szCs w:val="24"/>
          <w:highlight w:val="none"/>
          <w:u w:val="single"/>
          <w:lang w:bidi="ar"/>
        </w:rPr>
        <w:t>主办</w:t>
      </w:r>
      <w:r>
        <w:rPr>
          <w:rFonts w:hint="eastAsia" w:ascii="宋体" w:hAnsi="宋体" w:cs="宋体"/>
          <w:color w:val="auto"/>
          <w:sz w:val="24"/>
          <w:szCs w:val="24"/>
          <w:highlight w:val="none"/>
          <w:u w:val="single"/>
          <w:lang w:bidi="ar"/>
        </w:rPr>
        <w:t>方</w:t>
      </w:r>
      <w:r>
        <w:rPr>
          <w:rFonts w:ascii="宋体" w:hAnsi="宋体" w:cs="宋体"/>
          <w:color w:val="auto"/>
          <w:sz w:val="24"/>
          <w:szCs w:val="24"/>
          <w:highlight w:val="none"/>
          <w:u w:val="single"/>
          <w:lang w:bidi="ar"/>
        </w:rPr>
        <w:t>提供</w:t>
      </w:r>
      <w:r>
        <w:rPr>
          <w:rFonts w:hint="eastAsia" w:ascii="宋体" w:hAnsi="宋体" w:cs="宋体"/>
          <w:color w:val="auto"/>
          <w:sz w:val="24"/>
          <w:szCs w:val="24"/>
          <w:highlight w:val="none"/>
          <w:u w:val="single"/>
          <w:lang w:bidi="ar"/>
        </w:rPr>
        <w:t>）</w:t>
      </w:r>
      <w:r>
        <w:rPr>
          <w:rFonts w:hint="eastAsia" w:ascii="宋体" w:hAnsi="宋体" w:cs="宋体"/>
          <w:color w:val="auto"/>
          <w:sz w:val="24"/>
          <w:szCs w:val="24"/>
          <w:highlight w:val="none"/>
          <w:u w:val="single"/>
        </w:rPr>
        <w:t>拟派项目负责人须具备有效的注册造价工程师注册证，或注册一级造价工程师注册证（土木建筑工程专业或安装工程专业），且注册单位为本单位。</w:t>
      </w:r>
      <w:r>
        <w:rPr>
          <w:rFonts w:hint="eastAsia" w:ascii="宋体" w:hAnsi="宋体" w:cs="宋体"/>
          <w:color w:val="auto"/>
          <w:sz w:val="24"/>
          <w:szCs w:val="24"/>
          <w:highlight w:val="none"/>
          <w:u w:val="single"/>
          <w:lang w:bidi="ar"/>
        </w:rPr>
        <w:t>若拟委派的项目负责人为香港专业人士</w:t>
      </w:r>
      <w:r>
        <w:rPr>
          <w:rFonts w:hint="eastAsia" w:ascii="宋体" w:hAnsi="宋体" w:cs="宋体"/>
          <w:color w:val="auto"/>
          <w:sz w:val="24"/>
          <w:szCs w:val="24"/>
          <w:highlight w:val="none"/>
          <w:u w:val="single"/>
        </w:rPr>
        <w:t>，须在广东省住房和城乡建设主管部门备案且为香港测量师注册管理局注册的工料测量组别的专业测量师。</w:t>
      </w:r>
    </w:p>
    <w:p w14:paraId="7BAFD097">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111A6A8C">
      <w:pPr>
        <w:spacing w:line="360" w:lineRule="auto"/>
        <w:ind w:firstLine="480" w:firstLineChars="200"/>
        <w:rPr>
          <w:rFonts w:ascii="宋体" w:hAnsi="宋体"/>
          <w:color w:val="auto"/>
          <w:sz w:val="24"/>
          <w:szCs w:val="24"/>
          <w:highlight w:val="none"/>
          <w:u w:val="single"/>
        </w:rPr>
      </w:pPr>
      <w:r>
        <w:rPr>
          <w:rFonts w:hint="eastAsia" w:ascii="宋体" w:hAnsi="宋体" w:cs="宋体"/>
          <w:color w:val="auto"/>
          <w:sz w:val="24"/>
          <w:szCs w:val="24"/>
          <w:highlight w:val="none"/>
          <w:u w:val="single"/>
        </w:rPr>
        <w:t>3.3</w:t>
      </w:r>
      <w:r>
        <w:rPr>
          <w:rFonts w:hint="eastAsia" w:ascii="宋体" w:hAnsi="宋体" w:cs="宋体"/>
          <w:color w:val="auto"/>
          <w:sz w:val="24"/>
          <w:szCs w:val="24"/>
          <w:highlight w:val="none"/>
          <w:u w:val="single"/>
          <w:lang w:bidi="ar"/>
        </w:rPr>
        <w:t>投标人（若为联合体投标，</w:t>
      </w:r>
      <w:r>
        <w:rPr>
          <w:rFonts w:ascii="宋体" w:hAnsi="宋体" w:cs="宋体"/>
          <w:color w:val="auto"/>
          <w:sz w:val="24"/>
          <w:szCs w:val="24"/>
          <w:highlight w:val="none"/>
          <w:u w:val="single"/>
          <w:lang w:bidi="ar"/>
        </w:rPr>
        <w:t>由</w:t>
      </w:r>
      <w:r>
        <w:rPr>
          <w:rFonts w:hint="eastAsia" w:ascii="宋体" w:hAnsi="宋体" w:cs="宋体"/>
          <w:color w:val="auto"/>
          <w:sz w:val="24"/>
          <w:szCs w:val="24"/>
          <w:highlight w:val="none"/>
          <w:u w:val="single"/>
          <w:lang w:bidi="ar"/>
        </w:rPr>
        <w:t>联合体</w:t>
      </w:r>
      <w:r>
        <w:rPr>
          <w:rFonts w:ascii="宋体" w:hAnsi="宋体" w:cs="宋体"/>
          <w:color w:val="auto"/>
          <w:sz w:val="24"/>
          <w:szCs w:val="24"/>
          <w:highlight w:val="none"/>
          <w:u w:val="single"/>
          <w:lang w:bidi="ar"/>
        </w:rPr>
        <w:t>主办</w:t>
      </w:r>
      <w:r>
        <w:rPr>
          <w:rFonts w:hint="eastAsia" w:ascii="宋体" w:hAnsi="宋体" w:cs="宋体"/>
          <w:color w:val="auto"/>
          <w:sz w:val="24"/>
          <w:szCs w:val="24"/>
          <w:highlight w:val="none"/>
          <w:u w:val="single"/>
          <w:lang w:bidi="ar"/>
        </w:rPr>
        <w:t>方</w:t>
      </w:r>
      <w:r>
        <w:rPr>
          <w:rFonts w:ascii="宋体" w:hAnsi="宋体" w:cs="宋体"/>
          <w:color w:val="auto"/>
          <w:sz w:val="24"/>
          <w:szCs w:val="24"/>
          <w:highlight w:val="none"/>
          <w:u w:val="single"/>
          <w:lang w:bidi="ar"/>
        </w:rPr>
        <w:t>提供</w:t>
      </w:r>
      <w:r>
        <w:rPr>
          <w:rFonts w:hint="eastAsia" w:ascii="宋体" w:hAnsi="宋体" w:cs="宋体"/>
          <w:color w:val="auto"/>
          <w:sz w:val="24"/>
          <w:szCs w:val="24"/>
          <w:highlight w:val="none"/>
          <w:u w:val="single"/>
          <w:lang w:bidi="ar"/>
        </w:rPr>
        <w:t>）自2020年1月1日至今承接过类似项目业绩（类似项目是指工程投资总额2亿元（或以上）的房屋建筑工程类</w:t>
      </w:r>
      <w:r>
        <w:rPr>
          <w:rFonts w:ascii="宋体" w:hAnsi="宋体" w:cs="宋体"/>
          <w:color w:val="auto"/>
          <w:sz w:val="24"/>
          <w:szCs w:val="24"/>
          <w:highlight w:val="none"/>
          <w:u w:val="single"/>
          <w:lang w:bidi="ar"/>
        </w:rPr>
        <w:t>造价咨询服务</w:t>
      </w:r>
      <w:r>
        <w:rPr>
          <w:rFonts w:hint="eastAsia" w:ascii="宋体" w:hAnsi="宋体" w:cs="宋体"/>
          <w:color w:val="auto"/>
          <w:sz w:val="24"/>
          <w:szCs w:val="24"/>
          <w:highlight w:val="none"/>
          <w:u w:val="single"/>
          <w:lang w:bidi="ar"/>
        </w:rPr>
        <w:t>业绩）。</w:t>
      </w:r>
    </w:p>
    <w:p w14:paraId="1EA1E94B">
      <w:pPr>
        <w:spacing w:line="360" w:lineRule="auto"/>
        <w:ind w:firstLine="480" w:firstLineChars="200"/>
        <w:rPr>
          <w:rFonts w:hint="eastAsia" w:ascii="宋体" w:hAnsi="宋体" w:cs="宋体"/>
          <w:color w:val="auto"/>
          <w:sz w:val="24"/>
          <w:szCs w:val="24"/>
          <w:highlight w:val="none"/>
          <w:u w:val="single"/>
          <w:lang w:bidi="ar"/>
        </w:rPr>
      </w:pPr>
      <w:r>
        <w:rPr>
          <w:rFonts w:hint="eastAsia" w:ascii="宋体" w:hAnsi="宋体" w:cs="宋体"/>
          <w:color w:val="auto"/>
          <w:sz w:val="24"/>
          <w:szCs w:val="24"/>
          <w:highlight w:val="none"/>
          <w:u w:val="single"/>
          <w:lang w:bidi="ar"/>
        </w:rPr>
        <w:t>注：①“</w:t>
      </w:r>
      <w:r>
        <w:rPr>
          <w:rFonts w:ascii="宋体" w:hAnsi="宋体" w:cs="宋体"/>
          <w:color w:val="auto"/>
          <w:sz w:val="24"/>
          <w:highlight w:val="none"/>
          <w:u w:val="single"/>
          <w:lang w:bidi="ar"/>
        </w:rPr>
        <w:t>造价咨询服务</w:t>
      </w:r>
      <w:r>
        <w:rPr>
          <w:rFonts w:hint="eastAsia" w:ascii="宋体" w:hAnsi="宋体" w:cs="宋体"/>
          <w:color w:val="auto"/>
          <w:sz w:val="24"/>
          <w:szCs w:val="24"/>
          <w:highlight w:val="none"/>
          <w:u w:val="single"/>
          <w:lang w:bidi="ar"/>
        </w:rPr>
        <w:t>”指造价咨询服务内容至少包括估算阶段、概算阶段、施工图预算阶段、招标阶段（或发承包阶段）、施工阶段（或实施阶段）、结（决）算中的两个阶段，其中必须包含招标阶段（或发承包阶段），服务内容以合同列明工作内容为准</w:t>
      </w:r>
      <w:r>
        <w:rPr>
          <w:rFonts w:ascii="宋体" w:hAnsi="宋体" w:cs="宋体"/>
          <w:color w:val="auto"/>
          <w:sz w:val="24"/>
          <w:szCs w:val="24"/>
          <w:highlight w:val="none"/>
          <w:u w:val="single"/>
          <w:lang w:bidi="ar"/>
        </w:rPr>
        <w:t>(如服务内容与上述名称不同，但表达的意思一致也视为满足该项条件)</w:t>
      </w:r>
      <w:r>
        <w:rPr>
          <w:rFonts w:hint="eastAsia" w:ascii="宋体" w:hAnsi="宋体" w:cs="宋体"/>
          <w:color w:val="auto"/>
          <w:sz w:val="24"/>
          <w:szCs w:val="24"/>
          <w:highlight w:val="none"/>
          <w:u w:val="single"/>
          <w:lang w:bidi="ar"/>
        </w:rPr>
        <w:t>。</w:t>
      </w:r>
    </w:p>
    <w:p w14:paraId="1C2860E3">
      <w:pPr>
        <w:spacing w:line="360" w:lineRule="auto"/>
        <w:ind w:firstLine="480" w:firstLineChars="200"/>
        <w:rPr>
          <w:rFonts w:hint="eastAsia" w:ascii="宋体" w:hAnsi="宋体" w:cs="宋体"/>
          <w:color w:val="auto"/>
          <w:sz w:val="24"/>
          <w:szCs w:val="24"/>
          <w:highlight w:val="none"/>
          <w:u w:val="single"/>
          <w:lang w:bidi="ar"/>
        </w:rPr>
      </w:pPr>
      <w:r>
        <w:rPr>
          <w:rFonts w:hint="eastAsia" w:ascii="宋体" w:hAnsi="宋体" w:cs="宋体"/>
          <w:color w:val="auto"/>
          <w:sz w:val="24"/>
          <w:szCs w:val="24"/>
          <w:highlight w:val="none"/>
          <w:u w:val="single"/>
          <w:lang w:bidi="ar"/>
        </w:rPr>
        <w:t>②业绩证明材料需提供咨询合同、中标通知书（如有），提供的业绩证明材料需能清晰反映投资规模等有关特征和必要信息。否则还需提供咨询成果证明文件或委托人证明。咨询成果文件可以是服务内容中一项或多项成果文件，需提供经委托人确认的咨询报告或定案表或委托人出具的相关履约情况证明文件等。</w:t>
      </w:r>
    </w:p>
    <w:p w14:paraId="2A19B41D">
      <w:pPr>
        <w:spacing w:line="360" w:lineRule="auto"/>
        <w:ind w:firstLine="480" w:firstLineChars="200"/>
        <w:rPr>
          <w:rFonts w:hint="eastAsia" w:ascii="宋体" w:hAnsi="宋体" w:cs="宋体"/>
          <w:color w:val="auto"/>
          <w:sz w:val="24"/>
          <w:szCs w:val="24"/>
          <w:highlight w:val="none"/>
          <w:u w:val="single"/>
          <w:lang w:bidi="ar"/>
        </w:rPr>
      </w:pPr>
      <w:r>
        <w:rPr>
          <w:rFonts w:hint="eastAsia" w:ascii="宋体" w:hAnsi="宋体" w:cs="宋体"/>
          <w:color w:val="auto"/>
          <w:sz w:val="24"/>
          <w:szCs w:val="24"/>
          <w:highlight w:val="none"/>
          <w:u w:val="single"/>
          <w:lang w:bidi="ar"/>
        </w:rPr>
        <w:t>③业绩时间及工程投资总额均以造价咨询合同为准；如造价咨询合同没有列明工程投资总额，则工程投资总额以咨询成果为准。</w:t>
      </w:r>
    </w:p>
    <w:p w14:paraId="542F50E9">
      <w:pPr>
        <w:spacing w:line="360" w:lineRule="auto"/>
        <w:ind w:firstLine="480" w:firstLineChars="200"/>
        <w:rPr>
          <w:rFonts w:hint="eastAsia" w:ascii="宋体" w:hAnsi="宋体" w:cs="宋体"/>
          <w:color w:val="auto"/>
          <w:sz w:val="24"/>
          <w:szCs w:val="24"/>
          <w:highlight w:val="none"/>
          <w:u w:val="single"/>
          <w:lang w:bidi="ar"/>
        </w:rPr>
      </w:pPr>
      <w:r>
        <w:rPr>
          <w:rFonts w:hint="eastAsia" w:ascii="宋体" w:hAnsi="宋体" w:cs="宋体"/>
          <w:color w:val="auto"/>
          <w:sz w:val="24"/>
          <w:szCs w:val="24"/>
          <w:highlight w:val="none"/>
          <w:u w:val="single"/>
          <w:lang w:bidi="ar"/>
        </w:rPr>
        <w:t>④同一咨询合同（或同一中标通知书）如包含不同标段（或子项工程）的，工程投资额可以累加。</w:t>
      </w:r>
    </w:p>
    <w:p w14:paraId="3AEAE8BA">
      <w:pPr>
        <w:tabs>
          <w:tab w:val="left" w:pos="7513"/>
        </w:tabs>
        <w:spacing w:line="360" w:lineRule="auto"/>
        <w:ind w:firstLine="480" w:firstLineChars="200"/>
        <w:rPr>
          <w:rFonts w:ascii="宋体" w:hAnsi="宋体" w:cs="宋体"/>
          <w:dstrike/>
          <w:color w:val="auto"/>
          <w:sz w:val="24"/>
          <w:szCs w:val="24"/>
          <w:highlight w:val="none"/>
          <w:u w:val="single"/>
        </w:rPr>
      </w:pPr>
      <w:r>
        <w:rPr>
          <w:rFonts w:hint="eastAsia" w:ascii="宋体" w:hAnsi="宋体" w:cs="宋体"/>
          <w:color w:val="auto"/>
          <w:sz w:val="24"/>
          <w:szCs w:val="24"/>
          <w:highlight w:val="none"/>
          <w:u w:val="single"/>
          <w:lang w:bidi="ar"/>
        </w:rPr>
        <w:t>⑤造价咨询合同的委托人必须是项目的建设方或政府部门，建设方可以为建设项目的投资人或项目建设管理单位，即造价咨询合同所对应工程施工合同的发包方。</w:t>
      </w:r>
    </w:p>
    <w:p w14:paraId="7866687F">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3.4本次招标接受联合体投标，</w:t>
      </w:r>
      <w:r>
        <w:rPr>
          <w:rFonts w:ascii="宋体" w:hAnsi="宋体" w:cs="宋体"/>
          <w:color w:val="auto"/>
          <w:sz w:val="24"/>
          <w:szCs w:val="24"/>
          <w:highlight w:val="none"/>
          <w:u w:val="single"/>
          <w:lang w:bidi="ar"/>
        </w:rPr>
        <w:t>最多只接受两家单位组成联合体</w:t>
      </w:r>
      <w:r>
        <w:rPr>
          <w:rFonts w:hint="eastAsia" w:ascii="宋体" w:hAnsi="宋体" w:cs="宋体"/>
          <w:color w:val="auto"/>
          <w:sz w:val="24"/>
          <w:szCs w:val="24"/>
          <w:highlight w:val="none"/>
          <w:u w:val="single"/>
        </w:rPr>
        <w:t>。</w:t>
      </w:r>
      <w:bookmarkStart w:id="0" w:name="_Hlk148714397"/>
      <w:r>
        <w:rPr>
          <w:rFonts w:ascii="宋体" w:hAnsi="宋体" w:cs="宋体"/>
          <w:color w:val="auto"/>
          <w:sz w:val="24"/>
          <w:szCs w:val="24"/>
          <w:highlight w:val="none"/>
          <w:u w:val="single"/>
          <w:lang w:bidi="ar"/>
        </w:rPr>
        <w:t>联合体投标的，</w:t>
      </w:r>
      <w:bookmarkEnd w:id="0"/>
      <w:r>
        <w:rPr>
          <w:rFonts w:ascii="宋体" w:hAnsi="宋体" w:cs="宋体"/>
          <w:color w:val="auto"/>
          <w:sz w:val="24"/>
          <w:szCs w:val="24"/>
          <w:highlight w:val="none"/>
          <w:u w:val="single"/>
          <w:lang w:bidi="ar"/>
        </w:rPr>
        <w:t>需</w:t>
      </w:r>
      <w:r>
        <w:rPr>
          <w:rFonts w:hint="eastAsia" w:ascii="宋体" w:hAnsi="宋体" w:cs="宋体"/>
          <w:color w:val="auto"/>
          <w:sz w:val="24"/>
          <w:szCs w:val="24"/>
          <w:highlight w:val="none"/>
          <w:u w:val="single"/>
          <w:lang w:bidi="ar"/>
        </w:rPr>
        <w:t>签订联合体共同投标协议书（格式详见招标公告附件</w:t>
      </w:r>
      <w:r>
        <w:rPr>
          <w:rFonts w:ascii="宋体" w:hAnsi="宋体" w:cs="宋体"/>
          <w:color w:val="auto"/>
          <w:sz w:val="24"/>
          <w:szCs w:val="24"/>
          <w:highlight w:val="none"/>
          <w:u w:val="single"/>
          <w:lang w:bidi="ar"/>
        </w:rPr>
        <w:t>三</w:t>
      </w:r>
      <w:r>
        <w:rPr>
          <w:rFonts w:hint="eastAsia" w:ascii="宋体" w:hAnsi="宋体" w:cs="宋体"/>
          <w:color w:val="auto"/>
          <w:sz w:val="24"/>
          <w:szCs w:val="24"/>
          <w:highlight w:val="none"/>
          <w:u w:val="single"/>
          <w:lang w:bidi="ar"/>
        </w:rPr>
        <w:t>），联合体共同投标协议书应明确联合体主办方以及约定各方拟承担的工作和责任。联合体各方不得再以自己名义单独或加入其他联合体参加本项目的投标。</w:t>
      </w:r>
    </w:p>
    <w:p w14:paraId="1C8F1C9B">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3.5其他资格要求：</w:t>
      </w:r>
    </w:p>
    <w:p w14:paraId="35D5F20B">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①投标人已按规定格式签名盖章《投标人声明》（格式见招标公告附件一）；</w:t>
      </w:r>
    </w:p>
    <w:p w14:paraId="6FF3C960">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②投标人</w:t>
      </w:r>
      <w:r>
        <w:rPr>
          <w:rFonts w:hint="eastAsia" w:ascii="宋体" w:hAnsi="宋体" w:cs="宋体"/>
          <w:color w:val="auto"/>
          <w:sz w:val="24"/>
          <w:szCs w:val="24"/>
          <w:highlight w:val="none"/>
          <w:u w:val="single"/>
          <w:lang w:bidi="ar"/>
        </w:rPr>
        <w:t>（若为联合体投标，指联合体各方）</w:t>
      </w:r>
      <w:r>
        <w:rPr>
          <w:rFonts w:hint="eastAsia" w:ascii="宋体" w:hAnsi="宋体" w:cs="宋体"/>
          <w:color w:val="auto"/>
          <w:sz w:val="24"/>
          <w:szCs w:val="24"/>
          <w:highlight w:val="none"/>
          <w:u w:val="single"/>
        </w:rPr>
        <w:t>未在以往工程中因不充分履约行为被本项目招标人书面拒绝投标的。（名单详见招标公告附件二）；</w:t>
      </w:r>
    </w:p>
    <w:p w14:paraId="3BDE7F77">
      <w:pPr>
        <w:wordWrap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③投标登记前，投标人</w:t>
      </w:r>
      <w:r>
        <w:rPr>
          <w:rFonts w:hint="eastAsia" w:ascii="宋体" w:hAnsi="宋体" w:cs="宋体"/>
          <w:color w:val="auto"/>
          <w:sz w:val="24"/>
          <w:szCs w:val="24"/>
          <w:highlight w:val="none"/>
          <w:u w:val="single"/>
          <w:lang w:bidi="ar"/>
        </w:rPr>
        <w:t>（若为联合体投标，指联合体各方）</w:t>
      </w:r>
      <w:r>
        <w:rPr>
          <w:rFonts w:hint="eastAsia" w:ascii="宋体" w:hAnsi="宋体" w:cs="宋体"/>
          <w:color w:val="auto"/>
          <w:sz w:val="24"/>
          <w:szCs w:val="24"/>
          <w:highlight w:val="none"/>
          <w:u w:val="single"/>
        </w:rPr>
        <w:t>须已在广州市住房和城乡建设局建立了企业信用档案，拟委派的项目负责人为本企业信用档案在册人员。（提供网页截图）（信用档案办理详见《广州市住建行业信用管理平台工程造价咨询企业信息录入指引》http://zfcj.gz.gov.cn/zwgk/zsdwxxgkzl/gzsjzyglfwzx/bszy/content/post_8073925.html）；</w:t>
      </w:r>
    </w:p>
    <w:p w14:paraId="2A3F752B">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④投标人参加投标的意思表达清楚，投标人代表被授权有效；</w:t>
      </w:r>
    </w:p>
    <w:p w14:paraId="7F41C02E">
      <w:pPr>
        <w:spacing w:line="360" w:lineRule="auto"/>
        <w:ind w:firstLine="480" w:firstLineChars="200"/>
        <w:rPr>
          <w:rFonts w:ascii="宋体" w:hAnsi="宋体" w:cs="宋体"/>
          <w:color w:val="auto"/>
          <w:sz w:val="24"/>
          <w:szCs w:val="24"/>
          <w:highlight w:val="none"/>
          <w:u w:val="single"/>
        </w:rPr>
      </w:pPr>
      <w:r>
        <w:rPr>
          <w:rFonts w:hint="eastAsia" w:ascii="宋体" w:hAnsi="宋体"/>
          <w:color w:val="auto"/>
          <w:sz w:val="24"/>
          <w:highlight w:val="none"/>
          <w:u w:val="single"/>
        </w:rPr>
        <w:t>⑤投标人</w:t>
      </w:r>
      <w:r>
        <w:rPr>
          <w:rFonts w:hint="eastAsia" w:ascii="宋体" w:hAnsi="宋体" w:cs="宋体"/>
          <w:color w:val="auto"/>
          <w:sz w:val="24"/>
          <w:szCs w:val="24"/>
          <w:highlight w:val="none"/>
          <w:u w:val="single"/>
          <w:lang w:bidi="ar"/>
        </w:rPr>
        <w:t>（若为联合体投标，指联合体各方）</w:t>
      </w:r>
      <w:r>
        <w:rPr>
          <w:rFonts w:hint="eastAsia" w:ascii="宋体" w:hAnsi="宋体"/>
          <w:color w:val="auto"/>
          <w:sz w:val="24"/>
          <w:highlight w:val="none"/>
          <w:u w:val="single"/>
        </w:rPr>
        <w:t>未被列入拖欠农民工工资失信联合惩戒对象名单（投标人无需提供资料，按投标截止时间广州公共资源交易中心交易系统比对结果进行评审）</w:t>
      </w:r>
      <w:r>
        <w:rPr>
          <w:rFonts w:hint="eastAsia" w:ascii="宋体" w:hAnsi="宋体" w:cs="宋体"/>
          <w:color w:val="auto"/>
          <w:sz w:val="24"/>
          <w:szCs w:val="24"/>
          <w:highlight w:val="none"/>
          <w:u w:val="single"/>
        </w:rPr>
        <w:t>。</w:t>
      </w:r>
    </w:p>
    <w:p w14:paraId="038D57B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注：未在招标公告第3条单列的资审合格条件，不作为资审不合格的依据。</w:t>
      </w:r>
    </w:p>
    <w:p w14:paraId="1DF98577">
      <w:pPr>
        <w:pStyle w:val="3"/>
        <w:keepNext w:val="0"/>
        <w:keepLines w:val="0"/>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t>4. 招标文件的获取</w:t>
      </w:r>
    </w:p>
    <w:p w14:paraId="4C215E38">
      <w:pPr>
        <w:spacing w:line="360" w:lineRule="auto"/>
        <w:ind w:left="359" w:leftChars="171"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4.1 凡有意参加投标者，请于</w:t>
      </w:r>
      <w:r>
        <w:rPr>
          <w:rFonts w:hint="eastAsia" w:ascii="宋体" w:hAnsi="宋体" w:cs="宋体"/>
          <w:color w:val="auto"/>
          <w:sz w:val="24"/>
          <w:szCs w:val="24"/>
          <w:highlight w:val="none"/>
          <w:u w:val="single"/>
        </w:rPr>
        <w:t>2025</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月</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日</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时</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分</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lang w:bidi="ar"/>
        </w:rPr>
        <w:t>2025</w:t>
      </w:r>
      <w:r>
        <w:rPr>
          <w:rFonts w:hint="eastAsia" w:ascii="宋体" w:hAnsi="宋体" w:cs="宋体"/>
          <w:color w:val="auto"/>
          <w:sz w:val="24"/>
          <w:szCs w:val="24"/>
          <w:highlight w:val="none"/>
          <w:lang w:bidi="ar"/>
        </w:rPr>
        <w:t>年</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月</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日</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时</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分</w:t>
      </w:r>
      <w:r>
        <w:rPr>
          <w:rFonts w:hint="eastAsia" w:ascii="宋体" w:hAnsi="宋体" w:cs="宋体"/>
          <w:color w:val="auto"/>
          <w:sz w:val="24"/>
          <w:szCs w:val="24"/>
          <w:highlight w:val="none"/>
        </w:rPr>
        <w:t>(北京时间，下同)，登录</w:t>
      </w:r>
      <w:r>
        <w:rPr>
          <w:rFonts w:hint="eastAsia" w:ascii="宋体" w:hAnsi="宋体" w:cs="宋体"/>
          <w:color w:val="auto"/>
          <w:sz w:val="24"/>
          <w:szCs w:val="24"/>
          <w:highlight w:val="none"/>
          <w:u w:val="single"/>
        </w:rPr>
        <w:t>广州公共资源交易中心网站（http//www.gzggzy.cn）</w:t>
      </w:r>
      <w:r>
        <w:rPr>
          <w:rFonts w:hint="eastAsia" w:ascii="宋体" w:hAnsi="宋体" w:cs="宋体"/>
          <w:color w:val="auto"/>
          <w:sz w:val="24"/>
          <w:szCs w:val="24"/>
          <w:highlight w:val="none"/>
        </w:rPr>
        <w:t>下载电子招标文件。</w:t>
      </w:r>
    </w:p>
    <w:p w14:paraId="5AD2648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 本项目采用资格后审方式。</w:t>
      </w:r>
    </w:p>
    <w:p w14:paraId="4594E47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4.3 招标公告发布时间</w:t>
      </w:r>
    </w:p>
    <w:p w14:paraId="26FA74D5">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发布招标公告开始日期（含本日）为：</w:t>
      </w:r>
      <w:r>
        <w:rPr>
          <w:rFonts w:hint="eastAsia" w:ascii="宋体" w:hAnsi="宋体" w:cs="宋体"/>
          <w:color w:val="auto"/>
          <w:sz w:val="24"/>
          <w:szCs w:val="24"/>
          <w:highlight w:val="none"/>
          <w:u w:val="single"/>
          <w:lang w:bidi="ar"/>
        </w:rPr>
        <w:t>2025</w:t>
      </w:r>
      <w:r>
        <w:rPr>
          <w:rFonts w:hint="eastAsia" w:ascii="宋体" w:hAnsi="宋体" w:cs="宋体"/>
          <w:color w:val="auto"/>
          <w:sz w:val="24"/>
          <w:szCs w:val="24"/>
          <w:highlight w:val="none"/>
          <w:lang w:bidi="ar"/>
        </w:rPr>
        <w:t>年</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月</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日</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时</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分</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lang w:bidi="ar"/>
        </w:rPr>
        <w:t xml:space="preserve"> 2025</w:t>
      </w:r>
      <w:r>
        <w:rPr>
          <w:rFonts w:hint="eastAsia" w:ascii="宋体" w:hAnsi="宋体" w:cs="宋体"/>
          <w:color w:val="auto"/>
          <w:sz w:val="24"/>
          <w:szCs w:val="24"/>
          <w:highlight w:val="none"/>
          <w:lang w:bidi="ar"/>
        </w:rPr>
        <w:t>年</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月</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日</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时</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分</w:t>
      </w:r>
      <w:r>
        <w:rPr>
          <w:rFonts w:hint="eastAsia" w:ascii="宋体" w:hAnsi="宋体" w:cs="宋体"/>
          <w:color w:val="auto"/>
          <w:sz w:val="24"/>
          <w:szCs w:val="24"/>
          <w:highlight w:val="none"/>
        </w:rPr>
        <w:t>；</w:t>
      </w:r>
    </w:p>
    <w:p w14:paraId="2E2951C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02FE8CD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（1）发布招标公告的时间为招标公告发出之日起至递交投标文件截止时间止。</w:t>
      </w:r>
    </w:p>
    <w:p w14:paraId="21C9B7B3">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（2）本公告发布之日起发布招标文件，并从招标公告发布之日起开始计算备标时间。</w:t>
      </w:r>
    </w:p>
    <w:p w14:paraId="31C8E9B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投标人应在递交投标文件截止时间前，登录广州公共资源交易中心交易平台网站办理网上投标登记手续。按照交易平台关于全流程电子化项目的相关指南进行操作。详见广州公共资源交易中心网站（网址：http://www.gzggzy.cn）。</w:t>
      </w:r>
    </w:p>
    <w:p w14:paraId="1EDF231E">
      <w:pPr>
        <w:pStyle w:val="3"/>
        <w:keepNext w:val="0"/>
        <w:keepLines w:val="0"/>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t>5. 投标文件的递交</w:t>
      </w:r>
    </w:p>
    <w:p w14:paraId="2BCD023C">
      <w:pPr>
        <w:spacing w:line="360" w:lineRule="auto"/>
        <w:ind w:left="344" w:leftChars="164" w:firstLine="120" w:firstLineChars="50"/>
        <w:contextualSpacing/>
        <w:rPr>
          <w:rFonts w:ascii="宋体" w:hAnsi="宋体" w:cs="宋体"/>
          <w:color w:val="auto"/>
          <w:sz w:val="24"/>
          <w:szCs w:val="24"/>
          <w:highlight w:val="none"/>
        </w:rPr>
      </w:pPr>
      <w:r>
        <w:rPr>
          <w:rFonts w:hint="eastAsia" w:ascii="宋体" w:hAnsi="宋体" w:cs="宋体"/>
          <w:color w:val="auto"/>
          <w:sz w:val="24"/>
          <w:szCs w:val="24"/>
          <w:highlight w:val="none"/>
        </w:rPr>
        <w:t>5.1 投标文件递交的截止时间（投标截止时间，下同）为</w:t>
      </w:r>
      <w:r>
        <w:rPr>
          <w:rFonts w:hint="eastAsia" w:ascii="宋体" w:hAnsi="宋体" w:cs="宋体"/>
          <w:color w:val="auto"/>
          <w:sz w:val="24"/>
          <w:szCs w:val="24"/>
          <w:highlight w:val="none"/>
          <w:u w:val="single"/>
          <w:lang w:bidi="ar"/>
        </w:rPr>
        <w:t xml:space="preserve"> 2025</w:t>
      </w:r>
      <w:r>
        <w:rPr>
          <w:rFonts w:hint="eastAsia" w:ascii="宋体" w:hAnsi="宋体" w:cs="宋体"/>
          <w:color w:val="auto"/>
          <w:sz w:val="24"/>
          <w:szCs w:val="24"/>
          <w:highlight w:val="none"/>
          <w:lang w:bidi="ar"/>
        </w:rPr>
        <w:t>年</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月</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日</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时</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分</w:t>
      </w:r>
      <w:r>
        <w:rPr>
          <w:rFonts w:hint="eastAsia" w:ascii="宋体" w:hAnsi="宋体" w:cs="宋体"/>
          <w:color w:val="auto"/>
          <w:sz w:val="24"/>
          <w:szCs w:val="24"/>
          <w:highlight w:val="none"/>
        </w:rPr>
        <w:t>，投标人应在截止时间前通过</w:t>
      </w:r>
      <w:r>
        <w:rPr>
          <w:rFonts w:hint="eastAsia" w:ascii="宋体" w:hAnsi="宋体" w:cs="宋体"/>
          <w:color w:val="auto"/>
          <w:sz w:val="24"/>
          <w:szCs w:val="24"/>
          <w:highlight w:val="none"/>
          <w:u w:val="single"/>
        </w:rPr>
        <w:t>广州公共资源交易中心数字交易平台（网址：http://www.gzggzy.cn）</w:t>
      </w:r>
      <w:r>
        <w:rPr>
          <w:rFonts w:hint="eastAsia" w:ascii="宋体" w:hAnsi="宋体" w:cs="宋体"/>
          <w:color w:val="auto"/>
          <w:sz w:val="24"/>
          <w:szCs w:val="24"/>
          <w:highlight w:val="none"/>
        </w:rPr>
        <w:t>递交电子投标文件。</w:t>
      </w:r>
    </w:p>
    <w:p w14:paraId="7AF0F44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5.2 递交备用投标文件电子光盘的规定：时间为：</w:t>
      </w:r>
      <w:r>
        <w:rPr>
          <w:rFonts w:hint="eastAsia" w:ascii="宋体" w:hAnsi="宋体" w:cs="宋体"/>
          <w:color w:val="auto"/>
          <w:sz w:val="24"/>
          <w:szCs w:val="24"/>
          <w:highlight w:val="none"/>
          <w:u w:val="single"/>
          <w:lang w:bidi="ar"/>
        </w:rPr>
        <w:t xml:space="preserve"> 2025</w:t>
      </w:r>
      <w:r>
        <w:rPr>
          <w:rFonts w:hint="eastAsia" w:ascii="宋体" w:hAnsi="宋体" w:cs="宋体"/>
          <w:color w:val="auto"/>
          <w:sz w:val="24"/>
          <w:szCs w:val="24"/>
          <w:highlight w:val="none"/>
          <w:lang w:bidi="ar"/>
        </w:rPr>
        <w:t>年</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月</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日</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时</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分</w:t>
      </w:r>
      <w:r>
        <w:rPr>
          <w:rFonts w:hint="eastAsia" w:ascii="宋体" w:hAnsi="宋体" w:cs="宋体"/>
          <w:color w:val="auto"/>
          <w:sz w:val="24"/>
          <w:szCs w:val="24"/>
          <w:highlight w:val="none"/>
        </w:rPr>
        <w:t>至</w:t>
      </w:r>
      <w:r>
        <w:rPr>
          <w:rFonts w:hint="eastAsia" w:ascii="宋体" w:hAnsi="宋体" w:cs="宋体"/>
          <w:color w:val="auto"/>
          <w:sz w:val="24"/>
          <w:szCs w:val="24"/>
          <w:highlight w:val="none"/>
          <w:u w:val="single"/>
          <w:lang w:bidi="ar"/>
        </w:rPr>
        <w:t>2025</w:t>
      </w:r>
      <w:r>
        <w:rPr>
          <w:rFonts w:hint="eastAsia" w:ascii="宋体" w:hAnsi="宋体" w:cs="宋体"/>
          <w:color w:val="auto"/>
          <w:sz w:val="24"/>
          <w:szCs w:val="24"/>
          <w:highlight w:val="none"/>
          <w:lang w:bidi="ar"/>
        </w:rPr>
        <w:t>年</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月</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日</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时</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分</w:t>
      </w:r>
      <w:r>
        <w:rPr>
          <w:rFonts w:hint="eastAsia" w:ascii="宋体" w:hAnsi="宋体" w:cs="宋体"/>
          <w:color w:val="auto"/>
          <w:sz w:val="24"/>
          <w:szCs w:val="24"/>
          <w:highlight w:val="none"/>
        </w:rPr>
        <w:t>；地点：广州公共资源交易中心</w:t>
      </w:r>
      <w:r>
        <w:rPr>
          <w:rFonts w:hint="eastAsia" w:ascii="宋体" w:hAnsi="宋体" w:cs="宋体"/>
          <w:color w:val="auto"/>
          <w:sz w:val="24"/>
          <w:szCs w:val="24"/>
          <w:highlight w:val="none"/>
          <w:u w:val="single"/>
        </w:rPr>
        <w:t>第  开标室</w:t>
      </w:r>
      <w:r>
        <w:rPr>
          <w:rFonts w:hint="eastAsia" w:ascii="宋体" w:hAnsi="宋体" w:cs="宋体"/>
          <w:color w:val="auto"/>
          <w:sz w:val="24"/>
          <w:szCs w:val="24"/>
          <w:highlight w:val="none"/>
        </w:rPr>
        <w:t>。（</w:t>
      </w:r>
      <w:r>
        <w:rPr>
          <w:rFonts w:hint="eastAsia" w:ascii="宋体" w:hAnsi="宋体"/>
          <w:color w:val="auto"/>
          <w:sz w:val="24"/>
          <w:szCs w:val="24"/>
          <w:highlight w:val="none"/>
        </w:rPr>
        <w:t>注：投标人应凭法定代表人证明书及法定代表人授权委托书（如适用）递交投标文件备用光盘。</w:t>
      </w:r>
      <w:r>
        <w:rPr>
          <w:rFonts w:hint="eastAsia" w:ascii="宋体" w:hAnsi="宋体" w:cs="宋体"/>
          <w:color w:val="auto"/>
          <w:sz w:val="24"/>
          <w:szCs w:val="24"/>
          <w:highlight w:val="none"/>
        </w:rPr>
        <w:t>电子光盘需按规定封装。投标人在将数据刻录到光盘之后，投标前自行检查文件是否可以读取）</w:t>
      </w:r>
    </w:p>
    <w:p w14:paraId="378481A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5.3 逾期送达的投标文件，电子招标投标交易平台将予以拒收。</w:t>
      </w:r>
    </w:p>
    <w:p w14:paraId="3CFD598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5.4 投标人完成电子投标上传后，电子招标投标交易平台即时向投标人发出递交回执通知。递交时间以递交回执通知载明的传输时间为准。</w:t>
      </w:r>
    </w:p>
    <w:p w14:paraId="3AF2EE33">
      <w:pPr>
        <w:pStyle w:val="3"/>
        <w:keepNext w:val="0"/>
        <w:keepLines w:val="0"/>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t>6. 发布公告的媒介</w:t>
      </w:r>
    </w:p>
    <w:p w14:paraId="04D43FBE">
      <w:pPr>
        <w:spacing w:line="360" w:lineRule="auto"/>
        <w:ind w:firstLine="480" w:firstLineChars="200"/>
        <w:contextualSpacing/>
        <w:jc w:val="distribute"/>
        <w:rPr>
          <w:rFonts w:ascii="宋体" w:hAnsi="宋体" w:cs="宋体"/>
          <w:color w:val="auto"/>
          <w:sz w:val="24"/>
          <w:szCs w:val="24"/>
          <w:highlight w:val="none"/>
          <w:u w:val="single"/>
        </w:rPr>
      </w:pPr>
      <w:r>
        <w:rPr>
          <w:rFonts w:hint="eastAsia" w:ascii="宋体" w:hAnsi="宋体" w:cs="宋体"/>
          <w:color w:val="auto"/>
          <w:sz w:val="24"/>
          <w:szCs w:val="24"/>
          <w:highlight w:val="none"/>
        </w:rPr>
        <w:t>本次招标公告同时在</w:t>
      </w:r>
      <w:r>
        <w:rPr>
          <w:rFonts w:hint="eastAsia" w:ascii="宋体" w:hAnsi="宋体" w:cs="宋体"/>
          <w:color w:val="auto"/>
          <w:sz w:val="24"/>
          <w:szCs w:val="24"/>
          <w:highlight w:val="none"/>
          <w:u w:val="single"/>
        </w:rPr>
        <w:t>广州公共资源交易网（网址：http://www.gzggzy.cn）、广东省招标投标监管网（网址：http://zbtb.gd.gov.cn）和中国招标投标公共服务平台（网址：</w:t>
      </w:r>
      <w:r>
        <w:rPr>
          <w:color w:val="auto"/>
          <w:highlight w:val="none"/>
        </w:rPr>
        <w:fldChar w:fldCharType="begin"/>
      </w:r>
      <w:r>
        <w:rPr>
          <w:color w:val="auto"/>
          <w:highlight w:val="none"/>
        </w:rPr>
        <w:instrText xml:space="preserve"> HYPERLINK "http://www.cebpubservice.com/）发布，本公告的修改、补充，在广州公共资源交易中心网站上发布。" </w:instrText>
      </w:r>
      <w:r>
        <w:rPr>
          <w:color w:val="auto"/>
          <w:highlight w:val="none"/>
        </w:rPr>
        <w:fldChar w:fldCharType="separate"/>
      </w:r>
      <w:r>
        <w:rPr>
          <w:rFonts w:hint="eastAsia" w:ascii="宋体" w:hAnsi="宋体" w:cs="宋体"/>
          <w:color w:val="auto"/>
          <w:sz w:val="24"/>
          <w:szCs w:val="24"/>
          <w:highlight w:val="none"/>
          <w:u w:val="single"/>
        </w:rPr>
        <w:t>http://www.cebpubservice.com/）发布，本公告的修改、补充，在广州公共资源交易中心网站</w:t>
      </w:r>
      <w:r>
        <w:rPr>
          <w:rFonts w:hint="eastAsia" w:ascii="宋体" w:hAnsi="宋体" w:cs="宋体"/>
          <w:color w:val="auto"/>
          <w:sz w:val="24"/>
          <w:szCs w:val="24"/>
          <w:highlight w:val="none"/>
        </w:rPr>
        <w:t>上发布。</w:t>
      </w:r>
      <w:r>
        <w:rPr>
          <w:rFonts w:hint="eastAsia" w:ascii="宋体" w:hAnsi="宋体" w:cs="宋体"/>
          <w:color w:val="auto"/>
          <w:sz w:val="24"/>
          <w:szCs w:val="24"/>
          <w:highlight w:val="none"/>
        </w:rPr>
        <w:fldChar w:fldCharType="end"/>
      </w:r>
    </w:p>
    <w:p w14:paraId="6BAF75F2">
      <w:pPr>
        <w:pStyle w:val="3"/>
        <w:keepNext w:val="0"/>
        <w:keepLines w:val="0"/>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t>7. 异议受理</w:t>
      </w:r>
    </w:p>
    <w:p w14:paraId="25E95BD1">
      <w:pPr>
        <w:shd w:val="clear" w:color="auto" w:fill="FFFFFF"/>
        <w:spacing w:line="360" w:lineRule="auto"/>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潜在投标人或利害关系人对本招标公告及招标文件有异议的，应当在投标截止时间10日前向招标人书面提出。</w:t>
      </w:r>
    </w:p>
    <w:p w14:paraId="46EC5E4D">
      <w:pPr>
        <w:widowControl/>
        <w:shd w:val="clear" w:color="auto" w:fill="FFFFFF"/>
        <w:adjustRightInd w:val="0"/>
        <w:snapToGrid w:val="0"/>
        <w:spacing w:line="360" w:lineRule="auto"/>
        <w:ind w:firstLine="480" w:firstLineChars="200"/>
        <w:rPr>
          <w:rFonts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异议受理部门：</w:t>
      </w:r>
      <w:r>
        <w:rPr>
          <w:rFonts w:hint="eastAsia" w:ascii="宋体" w:hAnsi="宋体" w:cs="宋体"/>
          <w:color w:val="auto"/>
          <w:kern w:val="0"/>
          <w:sz w:val="24"/>
          <w:szCs w:val="24"/>
          <w:highlight w:val="none"/>
          <w:u w:val="single"/>
          <w:shd w:val="clear" w:color="auto" w:fill="FFFFFF"/>
        </w:rPr>
        <w:t>广州市重点公共建设项目管理中心</w:t>
      </w:r>
    </w:p>
    <w:p w14:paraId="70408271">
      <w:pPr>
        <w:widowControl/>
        <w:adjustRightInd w:val="0"/>
        <w:snapToGri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异议受理电话：</w:t>
      </w:r>
      <w:r>
        <w:rPr>
          <w:rFonts w:hint="eastAsia" w:ascii="宋体" w:hAnsi="宋体" w:cs="宋体"/>
          <w:color w:val="auto"/>
          <w:kern w:val="0"/>
          <w:sz w:val="24"/>
          <w:szCs w:val="24"/>
          <w:highlight w:val="none"/>
          <w:u w:val="single"/>
        </w:rPr>
        <w:t>020-22905682</w:t>
      </w:r>
    </w:p>
    <w:p w14:paraId="0BF89760">
      <w:pPr>
        <w:widowControl/>
        <w:adjustRightInd w:val="0"/>
        <w:snapToGri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kern w:val="0"/>
          <w:sz w:val="24"/>
          <w:szCs w:val="24"/>
          <w:highlight w:val="none"/>
          <w:u w:val="single"/>
        </w:rPr>
        <w:t>广州大学城内环东星运路1号</w:t>
      </w:r>
    </w:p>
    <w:p w14:paraId="6C21E4DD">
      <w:pPr>
        <w:widowControl/>
        <w:adjustRightInd w:val="0"/>
        <w:snapToGri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7B4A76B9">
      <w:pPr>
        <w:pStyle w:val="3"/>
        <w:keepNext w:val="0"/>
        <w:keepLines w:val="0"/>
        <w:spacing w:before="0" w:after="0" w:line="360" w:lineRule="auto"/>
        <w:rPr>
          <w:rFonts w:ascii="宋体" w:hAnsi="宋体" w:eastAsia="宋体" w:cs="宋体"/>
          <w:color w:val="auto"/>
          <w:highlight w:val="none"/>
        </w:rPr>
      </w:pPr>
      <w:r>
        <w:rPr>
          <w:rFonts w:hint="eastAsia" w:ascii="宋体" w:hAnsi="宋体" w:eastAsia="宋体" w:cs="宋体"/>
          <w:color w:val="auto"/>
          <w:highlight w:val="none"/>
        </w:rPr>
        <w:t>8. 联系方式</w:t>
      </w:r>
    </w:p>
    <w:p w14:paraId="4341E03D">
      <w:pPr>
        <w:widowControl/>
        <w:adjustRightInd w:val="0"/>
        <w:snapToGrid w:val="0"/>
        <w:spacing w:line="400" w:lineRule="exact"/>
        <w:jc w:val="left"/>
        <w:outlineLvl w:val="1"/>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招标人：</w:t>
      </w:r>
      <w:r>
        <w:rPr>
          <w:rFonts w:hint="eastAsia" w:ascii="宋体" w:hAnsi="宋体" w:cs="宋体"/>
          <w:color w:val="auto"/>
          <w:kern w:val="0"/>
          <w:sz w:val="24"/>
          <w:szCs w:val="24"/>
          <w:highlight w:val="none"/>
          <w:u w:val="single"/>
        </w:rPr>
        <w:t>广州市重点公共建设项目管理中心</w:t>
      </w:r>
    </w:p>
    <w:p w14:paraId="63A5490B">
      <w:pPr>
        <w:widowControl/>
        <w:adjustRightInd w:val="0"/>
        <w:snapToGrid w:val="0"/>
        <w:spacing w:line="400" w:lineRule="exact"/>
        <w:jc w:val="lef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联系人：</w:t>
      </w:r>
      <w:r>
        <w:rPr>
          <w:rFonts w:hint="eastAsia" w:ascii="宋体" w:hAnsi="宋体" w:cs="宋体"/>
          <w:color w:val="auto"/>
          <w:kern w:val="0"/>
          <w:sz w:val="24"/>
          <w:szCs w:val="24"/>
          <w:highlight w:val="none"/>
          <w:u w:val="single"/>
        </w:rPr>
        <w:t>李工</w:t>
      </w:r>
      <w:r>
        <w:rPr>
          <w:rFonts w:hint="eastAsia" w:ascii="宋体" w:hAnsi="宋体" w:cs="宋体"/>
          <w:color w:val="auto"/>
          <w:kern w:val="0"/>
          <w:sz w:val="24"/>
          <w:szCs w:val="24"/>
          <w:highlight w:val="none"/>
        </w:rPr>
        <w:t xml:space="preserve">       联系电话：</w:t>
      </w:r>
      <w:r>
        <w:rPr>
          <w:rFonts w:hint="eastAsia" w:ascii="宋体" w:hAnsi="宋体" w:cs="宋体"/>
          <w:color w:val="auto"/>
          <w:kern w:val="0"/>
          <w:sz w:val="24"/>
          <w:szCs w:val="24"/>
          <w:highlight w:val="none"/>
          <w:u w:val="single"/>
        </w:rPr>
        <w:t>020-22905682</w:t>
      </w:r>
    </w:p>
    <w:p w14:paraId="1D89B524">
      <w:pPr>
        <w:widowControl/>
        <w:adjustRightInd w:val="0"/>
        <w:snapToGrid w:val="0"/>
        <w:spacing w:line="400" w:lineRule="exact"/>
        <w:jc w:val="left"/>
        <w:rPr>
          <w:rFonts w:ascii="宋体" w:hAnsi="宋体" w:cs="宋体"/>
          <w:color w:val="auto"/>
          <w:sz w:val="24"/>
          <w:szCs w:val="24"/>
          <w:highlight w:val="none"/>
          <w:u w:val="single"/>
        </w:rPr>
      </w:pPr>
      <w:r>
        <w:rPr>
          <w:rFonts w:hint="eastAsia" w:ascii="宋体" w:hAnsi="宋体" w:cs="宋体"/>
          <w:color w:val="auto"/>
          <w:kern w:val="0"/>
          <w:sz w:val="24"/>
          <w:szCs w:val="24"/>
          <w:highlight w:val="none"/>
        </w:rPr>
        <w:t>地址：</w:t>
      </w:r>
      <w:r>
        <w:rPr>
          <w:rFonts w:hint="eastAsia" w:ascii="宋体" w:hAnsi="宋体" w:cs="宋体"/>
          <w:color w:val="auto"/>
          <w:sz w:val="24"/>
          <w:szCs w:val="24"/>
          <w:highlight w:val="none"/>
          <w:u w:val="single"/>
        </w:rPr>
        <w:t>广州大学城内环东星运路1号</w:t>
      </w:r>
    </w:p>
    <w:p w14:paraId="27E9CCC6">
      <w:pPr>
        <w:widowControl/>
        <w:adjustRightInd w:val="0"/>
        <w:snapToGrid w:val="0"/>
        <w:spacing w:line="400" w:lineRule="exact"/>
        <w:jc w:val="left"/>
        <w:rPr>
          <w:rFonts w:ascii="宋体" w:hAnsi="宋体" w:cs="宋体"/>
          <w:color w:val="auto"/>
          <w:kern w:val="0"/>
          <w:sz w:val="24"/>
          <w:szCs w:val="24"/>
          <w:highlight w:val="none"/>
        </w:rPr>
      </w:pPr>
    </w:p>
    <w:p w14:paraId="398A3775">
      <w:pPr>
        <w:widowControl/>
        <w:adjustRightInd w:val="0"/>
        <w:snapToGrid w:val="0"/>
        <w:spacing w:line="400" w:lineRule="exact"/>
        <w:jc w:val="left"/>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rPr>
        <w:t>招标代理机构：</w:t>
      </w:r>
      <w:r>
        <w:rPr>
          <w:rFonts w:hint="eastAsia" w:ascii="宋体" w:hAnsi="宋体" w:cs="宋体"/>
          <w:color w:val="auto"/>
          <w:kern w:val="0"/>
          <w:sz w:val="24"/>
          <w:szCs w:val="24"/>
          <w:highlight w:val="none"/>
          <w:u w:val="single"/>
        </w:rPr>
        <w:t>北京中交建设工程咨询有限公司</w:t>
      </w:r>
    </w:p>
    <w:p w14:paraId="249A429E">
      <w:pPr>
        <w:widowControl/>
        <w:adjustRightInd w:val="0"/>
        <w:snapToGrid w:val="0"/>
        <w:spacing w:line="400" w:lineRule="exact"/>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联系人：</w:t>
      </w:r>
      <w:r>
        <w:rPr>
          <w:rFonts w:hint="eastAsia" w:ascii="宋体" w:hAnsi="宋体" w:cs="宋体"/>
          <w:color w:val="auto"/>
          <w:kern w:val="0"/>
          <w:sz w:val="24"/>
          <w:szCs w:val="24"/>
          <w:highlight w:val="none"/>
          <w:u w:val="single"/>
        </w:rPr>
        <w:t xml:space="preserve">李工  </w:t>
      </w:r>
      <w:r>
        <w:rPr>
          <w:rFonts w:hint="eastAsia" w:ascii="宋体" w:hAnsi="宋体" w:cs="宋体"/>
          <w:color w:val="auto"/>
          <w:kern w:val="0"/>
          <w:sz w:val="24"/>
          <w:szCs w:val="24"/>
          <w:highlight w:val="none"/>
        </w:rPr>
        <w:t xml:space="preserve">     联系电话：</w:t>
      </w:r>
      <w:r>
        <w:rPr>
          <w:rFonts w:hint="eastAsia" w:ascii="宋体" w:hAnsi="宋体" w:cs="宋体"/>
          <w:color w:val="auto"/>
          <w:kern w:val="0"/>
          <w:sz w:val="24"/>
          <w:szCs w:val="24"/>
          <w:highlight w:val="none"/>
          <w:u w:val="single"/>
        </w:rPr>
        <w:t>020-87575800-811</w:t>
      </w:r>
    </w:p>
    <w:p w14:paraId="4CA8D4DB">
      <w:pPr>
        <w:topLinePunct/>
        <w:spacing w:line="400" w:lineRule="exact"/>
        <w:ind w:left="120" w:right="360" w:hanging="120" w:hangingChars="50"/>
        <w:contextualSpacing/>
        <w:jc w:val="left"/>
        <w:rPr>
          <w:rFonts w:ascii="宋体" w:hAnsi="宋体" w:cs="宋体"/>
          <w:color w:val="auto"/>
          <w:sz w:val="24"/>
          <w:szCs w:val="24"/>
          <w:highlight w:val="none"/>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u w:val="single"/>
        </w:rPr>
        <w:t>广州市天河区黄埔大道西159号富星商贸大厦西塔7楼</w:t>
      </w:r>
    </w:p>
    <w:p w14:paraId="16B1F59A">
      <w:pPr>
        <w:rPr>
          <w:rFonts w:ascii="宋体" w:hAnsi="宋体" w:cs="宋体"/>
          <w:color w:val="auto"/>
          <w:szCs w:val="21"/>
          <w:highlight w:val="none"/>
        </w:rPr>
      </w:pPr>
    </w:p>
    <w:p w14:paraId="4D212C29">
      <w:pPr>
        <w:widowControl/>
        <w:adjustRightInd w:val="0"/>
        <w:snapToGrid w:val="0"/>
        <w:spacing w:line="400" w:lineRule="exact"/>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招标监督机构：</w:t>
      </w:r>
      <w:r>
        <w:rPr>
          <w:rFonts w:hint="eastAsia" w:ascii="宋体" w:hAnsi="宋体" w:cs="宋体"/>
          <w:color w:val="auto"/>
          <w:kern w:val="0"/>
          <w:sz w:val="24"/>
          <w:szCs w:val="24"/>
          <w:highlight w:val="none"/>
          <w:u w:val="single"/>
        </w:rPr>
        <w:t>广州市重点公共建设项目管理中心</w:t>
      </w:r>
    </w:p>
    <w:p w14:paraId="0FD1782D">
      <w:pPr>
        <w:widowControl/>
        <w:adjustRightInd w:val="0"/>
        <w:snapToGrid w:val="0"/>
        <w:spacing w:line="400" w:lineRule="exact"/>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监管电话：</w:t>
      </w:r>
      <w:r>
        <w:rPr>
          <w:rFonts w:hint="eastAsia" w:ascii="宋体" w:hAnsi="宋体" w:cs="宋体"/>
          <w:color w:val="auto"/>
          <w:kern w:val="0"/>
          <w:sz w:val="24"/>
          <w:szCs w:val="24"/>
          <w:highlight w:val="none"/>
          <w:u w:val="single"/>
        </w:rPr>
        <w:t>020-22905682</w:t>
      </w:r>
    </w:p>
    <w:p w14:paraId="0348766C">
      <w:pPr>
        <w:widowControl/>
        <w:adjustRightInd w:val="0"/>
        <w:snapToGrid w:val="0"/>
        <w:spacing w:line="400" w:lineRule="exact"/>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地    址：</w:t>
      </w:r>
      <w:r>
        <w:rPr>
          <w:rFonts w:hint="eastAsia" w:ascii="宋体" w:hAnsi="宋体" w:cs="宋体"/>
          <w:color w:val="auto"/>
          <w:sz w:val="24"/>
          <w:szCs w:val="24"/>
          <w:highlight w:val="none"/>
          <w:u w:val="single"/>
        </w:rPr>
        <w:t>广州大学城内环东星运路1号</w:t>
      </w:r>
    </w:p>
    <w:p w14:paraId="23D3AA8C">
      <w:pPr>
        <w:ind w:firstLine="344" w:firstLineChars="164"/>
        <w:rPr>
          <w:rFonts w:ascii="宋体" w:hAnsi="宋体" w:cs="宋体"/>
          <w:color w:val="auto"/>
          <w:szCs w:val="21"/>
          <w:highlight w:val="none"/>
        </w:rPr>
      </w:pPr>
    </w:p>
    <w:p w14:paraId="1EC6D2F2">
      <w:pPr>
        <w:shd w:val="clear" w:color="auto" w:fill="FFFFFF"/>
        <w:topLinePunct/>
        <w:snapToGrid w:val="0"/>
        <w:spacing w:line="360" w:lineRule="auto"/>
        <w:rPr>
          <w:rFonts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br w:type="page"/>
      </w:r>
      <w:r>
        <w:rPr>
          <w:rFonts w:hint="eastAsia" w:ascii="宋体" w:hAnsi="宋体" w:cs="宋体"/>
          <w:color w:val="auto"/>
          <w:kern w:val="0"/>
          <w:sz w:val="24"/>
          <w:szCs w:val="24"/>
          <w:highlight w:val="none"/>
          <w:shd w:val="clear" w:color="auto" w:fill="FFFFFF"/>
        </w:rPr>
        <w:t>附件一：</w:t>
      </w:r>
    </w:p>
    <w:p w14:paraId="6BCB6017">
      <w:pPr>
        <w:spacing w:line="500" w:lineRule="exact"/>
        <w:jc w:val="center"/>
        <w:rPr>
          <w:rFonts w:ascii="宋体" w:hAnsi="宋体" w:cs="宋体"/>
          <w:b/>
          <w:color w:val="auto"/>
          <w:sz w:val="44"/>
          <w:szCs w:val="44"/>
          <w:highlight w:val="none"/>
        </w:rPr>
      </w:pPr>
      <w:r>
        <w:rPr>
          <w:rFonts w:hint="eastAsia" w:ascii="宋体" w:hAnsi="宋体" w:cs="宋体"/>
          <w:b/>
          <w:color w:val="auto"/>
          <w:kern w:val="0"/>
          <w:sz w:val="44"/>
          <w:szCs w:val="44"/>
          <w:highlight w:val="none"/>
        </w:rPr>
        <w:t>投标人</w:t>
      </w:r>
      <w:r>
        <w:rPr>
          <w:rFonts w:hint="eastAsia" w:ascii="宋体" w:hAnsi="宋体" w:cs="宋体"/>
          <w:b/>
          <w:color w:val="auto"/>
          <w:sz w:val="44"/>
          <w:szCs w:val="44"/>
          <w:highlight w:val="none"/>
        </w:rPr>
        <w:t>声明</w:t>
      </w:r>
    </w:p>
    <w:p w14:paraId="3D1AFD7C">
      <w:pPr>
        <w:spacing w:line="500" w:lineRule="exact"/>
        <w:jc w:val="center"/>
        <w:rPr>
          <w:rFonts w:ascii="宋体" w:hAnsi="宋体" w:cs="宋体"/>
          <w:b/>
          <w:color w:val="auto"/>
          <w:sz w:val="44"/>
          <w:szCs w:val="44"/>
          <w:highlight w:val="none"/>
        </w:rPr>
      </w:pPr>
    </w:p>
    <w:p w14:paraId="1F64455B">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广州市住房和城乡建设局、本招标项目招标人及招标监管机构：</w:t>
      </w:r>
    </w:p>
    <w:p w14:paraId="6D307C6E">
      <w:pPr>
        <w:pStyle w:val="10"/>
        <w:widowControl/>
        <w:ind w:firstLine="480" w:firstLineChars="200"/>
        <w:contextualSpacing/>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本公司就参加</w:t>
      </w:r>
      <w:r>
        <w:rPr>
          <w:rFonts w:ascii="宋体" w:hAnsi="宋体" w:eastAsia="宋体" w:cs="宋体"/>
          <w:color w:val="auto"/>
          <w:sz w:val="24"/>
          <w:szCs w:val="24"/>
          <w:highlight w:val="none"/>
          <w:u w:val="single"/>
        </w:rPr>
        <w:t xml:space="preserve"> （项目名称） </w:t>
      </w:r>
      <w:r>
        <w:rPr>
          <w:rFonts w:ascii="宋体" w:hAnsi="宋体" w:eastAsia="宋体" w:cs="宋体"/>
          <w:color w:val="auto"/>
          <w:sz w:val="24"/>
          <w:szCs w:val="24"/>
          <w:highlight w:val="none"/>
        </w:rPr>
        <w:t>项目投标工作，作出郑重声明：</w:t>
      </w:r>
    </w:p>
    <w:p w14:paraId="56845D74">
      <w:pPr>
        <w:pStyle w:val="10"/>
        <w:widowControl/>
        <w:ind w:firstLine="480" w:firstLineChars="200"/>
        <w:contextualSpacing/>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321F324D">
      <w:pPr>
        <w:pStyle w:val="10"/>
        <w:widowControl/>
        <w:ind w:firstLine="480" w:firstLineChars="200"/>
        <w:contextualSpacing/>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二、本公司保证不与其他单位围标、串标，不出让投标资格，不向招标人或评标委员会成员行贿。</w:t>
      </w:r>
    </w:p>
    <w:p w14:paraId="1A98012C">
      <w:pPr>
        <w:pStyle w:val="10"/>
        <w:widowControl/>
        <w:ind w:firstLine="480" w:firstLineChars="200"/>
        <w:contextualSpacing/>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三、本公司不存在招标文件第二章投标人须知第1.4.3项所规定的任何一种情形。</w:t>
      </w:r>
    </w:p>
    <w:p w14:paraId="7C0EA2E4">
      <w:pPr>
        <w:pStyle w:val="10"/>
        <w:widowControl/>
        <w:ind w:firstLine="480" w:firstLineChars="200"/>
        <w:contextualSpacing/>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四、本公司及其有隶属关系的机构，没有参加本项目招标文件的编写工作。</w:t>
      </w:r>
    </w:p>
    <w:p w14:paraId="77C43736">
      <w:pPr>
        <w:pStyle w:val="10"/>
        <w:widowControl/>
        <w:ind w:firstLine="480" w:firstLineChars="200"/>
        <w:contextualSpacing/>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五、本公司承诺，中标后严格执行安全生产相关管理规定。</w:t>
      </w:r>
    </w:p>
    <w:p w14:paraId="7FCB61C4">
      <w:pPr>
        <w:pStyle w:val="10"/>
        <w:widowControl/>
        <w:ind w:firstLine="480" w:firstLineChars="200"/>
        <w:contextualSpacing/>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本公司违反上述保证，或本声明陈述与事实不符，经查实，本公司愿意接受公开通报，承担由此带来的法律后果，并自愿停止参加广州市行政辖区内的招标投标活动三个月。</w:t>
      </w:r>
    </w:p>
    <w:p w14:paraId="36649B55">
      <w:pPr>
        <w:pStyle w:val="10"/>
        <w:widowControl/>
        <w:ind w:firstLine="480" w:firstLineChars="200"/>
        <w:contextualSpacing/>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特此声明。</w:t>
      </w:r>
    </w:p>
    <w:p w14:paraId="797B038D">
      <w:pPr>
        <w:pStyle w:val="10"/>
        <w:widowControl/>
        <w:ind w:firstLine="480" w:firstLineChars="200"/>
        <w:contextualSpacing/>
        <w:rPr>
          <w:rFonts w:hint="default" w:ascii="宋体" w:hAnsi="宋体" w:eastAsia="宋体" w:cs="宋体"/>
          <w:color w:val="auto"/>
          <w:sz w:val="24"/>
          <w:szCs w:val="24"/>
          <w:highlight w:val="none"/>
        </w:rPr>
      </w:pPr>
    </w:p>
    <w:p w14:paraId="49EAF0BD">
      <w:pPr>
        <w:pStyle w:val="10"/>
        <w:widowControl/>
        <w:ind w:firstLine="0"/>
        <w:contextualSpacing/>
        <w:jc w:val="righ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声明企业：            （企业公章）</w:t>
      </w:r>
    </w:p>
    <w:p w14:paraId="652855EE">
      <w:pPr>
        <w:pStyle w:val="10"/>
        <w:widowControl/>
        <w:ind w:firstLine="0"/>
        <w:contextualSpacing/>
        <w:jc w:val="right"/>
        <w:rPr>
          <w:rFonts w:hint="default" w:ascii="宋体" w:hAnsi="宋体" w:eastAsia="宋体" w:cs="宋体"/>
          <w:color w:val="auto"/>
          <w:sz w:val="24"/>
          <w:szCs w:val="24"/>
          <w:highlight w:val="none"/>
        </w:rPr>
      </w:pPr>
    </w:p>
    <w:p w14:paraId="6A0B1590">
      <w:pPr>
        <w:pStyle w:val="10"/>
        <w:widowControl/>
        <w:ind w:right="1818" w:firstLine="0"/>
        <w:contextualSpacing/>
        <w:jc w:val="righ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法定代表人</w:t>
      </w:r>
      <w:r>
        <w:rPr>
          <w:rFonts w:ascii="宋体" w:hAnsi="宋体" w:eastAsia="宋体" w:cs="宋体"/>
          <w:color w:val="auto"/>
          <w:kern w:val="2"/>
          <w:sz w:val="24"/>
          <w:szCs w:val="24"/>
          <w:highlight w:val="none"/>
        </w:rPr>
        <w:t>（签字或盖章）</w:t>
      </w:r>
      <w:r>
        <w:rPr>
          <w:rFonts w:ascii="宋体" w:hAnsi="宋体" w:eastAsia="宋体" w:cs="宋体"/>
          <w:color w:val="auto"/>
          <w:sz w:val="24"/>
          <w:szCs w:val="24"/>
          <w:highlight w:val="none"/>
        </w:rPr>
        <w:t>：</w:t>
      </w:r>
    </w:p>
    <w:p w14:paraId="4567672F">
      <w:pPr>
        <w:pStyle w:val="10"/>
        <w:widowControl/>
        <w:ind w:right="1818" w:firstLine="0"/>
        <w:contextualSpacing/>
        <w:jc w:val="right"/>
        <w:rPr>
          <w:rFonts w:hint="default" w:ascii="宋体" w:hAnsi="宋体" w:eastAsia="宋体" w:cs="宋体"/>
          <w:color w:val="auto"/>
          <w:sz w:val="24"/>
          <w:szCs w:val="24"/>
          <w:highlight w:val="none"/>
        </w:rPr>
      </w:pPr>
    </w:p>
    <w:p w14:paraId="2A84FC91">
      <w:pPr>
        <w:pStyle w:val="10"/>
        <w:widowControl/>
        <w:ind w:right="1458" w:firstLine="0"/>
        <w:contextualSpacing/>
        <w:jc w:val="right"/>
        <w:rPr>
          <w:rFonts w:hint="default" w:ascii="宋体" w:hAnsi="宋体" w:eastAsia="宋体" w:cs="宋体"/>
          <w:color w:val="auto"/>
          <w:sz w:val="24"/>
          <w:szCs w:val="24"/>
          <w:highlight w:val="none"/>
        </w:rPr>
      </w:pPr>
      <w:r>
        <w:rPr>
          <w:rFonts w:ascii="宋体" w:hAnsi="宋体" w:eastAsia="宋体" w:cs="宋体"/>
          <w:color w:val="auto"/>
          <w:kern w:val="2"/>
          <w:sz w:val="24"/>
          <w:szCs w:val="24"/>
          <w:highlight w:val="none"/>
        </w:rPr>
        <w:t>项目负责人（签字或盖章）：</w:t>
      </w:r>
    </w:p>
    <w:p w14:paraId="7EDF9E1A">
      <w:pPr>
        <w:pStyle w:val="10"/>
        <w:widowControl/>
        <w:ind w:firstLine="0"/>
        <w:contextualSpacing/>
        <w:jc w:val="right"/>
        <w:rPr>
          <w:rFonts w:hint="default" w:ascii="宋体" w:hAnsi="宋体" w:eastAsia="宋体" w:cs="宋体"/>
          <w:color w:val="auto"/>
          <w:sz w:val="24"/>
          <w:szCs w:val="24"/>
          <w:highlight w:val="none"/>
        </w:rPr>
      </w:pPr>
    </w:p>
    <w:p w14:paraId="1BC4C4D6">
      <w:pPr>
        <w:widowControl/>
        <w:adjustRightInd w:val="0"/>
        <w:snapToGrid w:val="0"/>
        <w:spacing w:line="400" w:lineRule="exact"/>
        <w:ind w:right="480" w:firstLine="4680" w:firstLineChars="1950"/>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5182778F">
      <w:pPr>
        <w:widowControl/>
        <w:rPr>
          <w:rFonts w:ascii="宋体" w:hAnsi="宋体" w:cs="宋体"/>
          <w:color w:val="auto"/>
          <w:kern w:val="0"/>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kern w:val="0"/>
          <w:sz w:val="24"/>
          <w:szCs w:val="24"/>
          <w:highlight w:val="none"/>
        </w:rPr>
        <w:t>附件二：《被本项目招标人书面拒绝投标的的企业名单》</w:t>
      </w:r>
    </w:p>
    <w:p w14:paraId="4D0F21CA">
      <w:pPr>
        <w:rPr>
          <w:rFonts w:ascii="宋体" w:hAnsi="宋体" w:cs="宋体"/>
          <w:color w:val="auto"/>
          <w:szCs w:val="21"/>
          <w:highlight w:val="none"/>
        </w:rPr>
      </w:pPr>
    </w:p>
    <w:p w14:paraId="1882BF58">
      <w:pPr>
        <w:widowControl/>
        <w:shd w:val="clear" w:color="auto" w:fill="FFFFFF"/>
        <w:spacing w:line="480" w:lineRule="auto"/>
        <w:jc w:val="left"/>
        <w:rPr>
          <w:rFonts w:ascii="宋体" w:hAnsi="宋体" w:cs="宋体"/>
          <w:color w:val="auto"/>
          <w:kern w:val="0"/>
          <w:sz w:val="24"/>
          <w:szCs w:val="24"/>
          <w:highlight w:val="none"/>
          <w:shd w:val="clear" w:color="auto" w:fill="FFFFFF"/>
        </w:rPr>
      </w:pPr>
    </w:p>
    <w:p w14:paraId="29E80148">
      <w:pPr>
        <w:widowControl/>
        <w:shd w:val="clear" w:color="auto" w:fill="FFFFFF"/>
        <w:spacing w:beforeAutospacing="1" w:line="264" w:lineRule="auto"/>
        <w:jc w:val="center"/>
        <w:rPr>
          <w:rFonts w:ascii="宋体" w:hAnsi="宋体" w:cs="宋体"/>
          <w:b/>
          <w:color w:val="auto"/>
          <w:kern w:val="0"/>
          <w:sz w:val="24"/>
          <w:szCs w:val="24"/>
          <w:highlight w:val="none"/>
          <w:shd w:val="clear" w:color="auto" w:fill="FFFFFF"/>
        </w:rPr>
      </w:pPr>
      <w:r>
        <w:rPr>
          <w:rFonts w:hint="eastAsia" w:ascii="宋体" w:hAnsi="宋体" w:cs="宋体"/>
          <w:b/>
          <w:color w:val="auto"/>
          <w:kern w:val="0"/>
          <w:sz w:val="24"/>
          <w:szCs w:val="24"/>
          <w:highlight w:val="none"/>
          <w:shd w:val="clear" w:color="auto" w:fill="FFFFFF"/>
        </w:rPr>
        <w:t>被本项目招标人书面拒绝投标的的企业名单</w:t>
      </w:r>
    </w:p>
    <w:p w14:paraId="355FD7B2">
      <w:pPr>
        <w:widowControl/>
        <w:shd w:val="clear" w:color="auto" w:fill="FFFFFF"/>
        <w:spacing w:beforeAutospacing="1" w:line="264" w:lineRule="auto"/>
        <w:jc w:val="left"/>
        <w:rPr>
          <w:rFonts w:ascii="宋体" w:hAnsi="宋体" w:cs="宋体"/>
          <w:b/>
          <w:color w:val="auto"/>
          <w:kern w:val="0"/>
          <w:sz w:val="24"/>
          <w:szCs w:val="24"/>
          <w:highlight w:val="none"/>
          <w:shd w:val="clear" w:color="auto" w:fill="FFFFFF"/>
        </w:rPr>
      </w:pPr>
    </w:p>
    <w:tbl>
      <w:tblPr>
        <w:tblStyle w:val="7"/>
        <w:tblW w:w="0" w:type="auto"/>
        <w:jc w:val="center"/>
        <w:tblLayout w:type="fixed"/>
        <w:tblCellMar>
          <w:top w:w="0" w:type="dxa"/>
          <w:left w:w="0" w:type="dxa"/>
          <w:bottom w:w="0" w:type="dxa"/>
          <w:right w:w="0" w:type="dxa"/>
        </w:tblCellMar>
      </w:tblPr>
      <w:tblGrid>
        <w:gridCol w:w="1148"/>
        <w:gridCol w:w="5812"/>
      </w:tblGrid>
      <w:tr w14:paraId="5AB1E46E">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1EDD258">
            <w:pPr>
              <w:widowControl/>
              <w:spacing w:line="360" w:lineRule="auto"/>
              <w:jc w:val="center"/>
              <w:rPr>
                <w:rFonts w:eastAsia="Times New Roman" w:cs="Times New Roman"/>
                <w:color w:val="auto"/>
                <w:szCs w:val="24"/>
                <w:highlight w:val="none"/>
              </w:rPr>
            </w:pPr>
            <w:r>
              <w:rPr>
                <w:rFonts w:ascii="宋体" w:cs="Times New Roman"/>
                <w:b/>
                <w:bCs/>
                <w:color w:val="auto"/>
                <w:szCs w:val="24"/>
                <w:highlight w:val="none"/>
              </w:rPr>
              <w:t> </w:t>
            </w:r>
            <w:r>
              <w:rPr>
                <w:rFonts w:hint="eastAsia" w:ascii="宋体" w:hAnsi="宋体" w:cs="宋体"/>
                <w:b/>
                <w:bCs/>
                <w:color w:val="auto"/>
                <w:szCs w:val="24"/>
                <w:highlight w:val="none"/>
              </w:rPr>
              <w:t>序号</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3B45877F">
            <w:pPr>
              <w:widowControl/>
              <w:spacing w:line="360" w:lineRule="auto"/>
              <w:jc w:val="center"/>
              <w:rPr>
                <w:rFonts w:eastAsia="Times New Roman" w:cs="Times New Roman"/>
                <w:color w:val="auto"/>
                <w:szCs w:val="24"/>
                <w:highlight w:val="none"/>
              </w:rPr>
            </w:pPr>
            <w:r>
              <w:rPr>
                <w:rFonts w:hint="eastAsia" w:ascii="宋体" w:hAnsi="宋体" w:cs="宋体"/>
                <w:b/>
                <w:bCs/>
                <w:color w:val="auto"/>
                <w:szCs w:val="24"/>
                <w:highlight w:val="none"/>
              </w:rPr>
              <w:t>企业名称</w:t>
            </w:r>
          </w:p>
        </w:tc>
      </w:tr>
      <w:tr w14:paraId="00FD0E7B">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28F414">
            <w:pPr>
              <w:widowControl/>
              <w:spacing w:line="360" w:lineRule="auto"/>
              <w:jc w:val="center"/>
              <w:rPr>
                <w:rFonts w:ascii="宋体" w:hAnsi="宋体" w:cs="宋体"/>
                <w:b/>
                <w:bCs/>
                <w:color w:val="auto"/>
                <w:szCs w:val="24"/>
                <w:highlight w:val="none"/>
              </w:rPr>
            </w:pPr>
            <w:r>
              <w:rPr>
                <w:rFonts w:ascii="宋体" w:hAnsi="宋体" w:cs="宋体"/>
                <w:b/>
                <w:bCs/>
                <w:color w:val="auto"/>
                <w:szCs w:val="24"/>
                <w:highlight w:val="none"/>
              </w:rPr>
              <w:t>1</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DCDB3F7">
            <w:pPr>
              <w:widowControl/>
              <w:spacing w:line="360" w:lineRule="auto"/>
              <w:jc w:val="center"/>
              <w:rPr>
                <w:rFonts w:ascii="宋体" w:hAnsi="宋体" w:cs="宋体"/>
                <w:b/>
                <w:bCs/>
                <w:color w:val="auto"/>
                <w:szCs w:val="24"/>
                <w:highlight w:val="none"/>
              </w:rPr>
            </w:pPr>
            <w:r>
              <w:rPr>
                <w:rFonts w:hint="eastAsia" w:ascii="宋体" w:hAnsi="宋体" w:cs="宋体"/>
                <w:b/>
                <w:bCs/>
                <w:color w:val="auto"/>
                <w:szCs w:val="24"/>
                <w:highlight w:val="none"/>
              </w:rPr>
              <w:t>广东电白二建集团有限公司</w:t>
            </w:r>
          </w:p>
        </w:tc>
      </w:tr>
      <w:tr w14:paraId="51432898">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CB2063">
            <w:pPr>
              <w:widowControl/>
              <w:spacing w:line="360" w:lineRule="auto"/>
              <w:jc w:val="center"/>
              <w:rPr>
                <w:rFonts w:ascii="宋体" w:hAnsi="宋体" w:cs="宋体"/>
                <w:b/>
                <w:bCs/>
                <w:color w:val="auto"/>
                <w:szCs w:val="24"/>
                <w:highlight w:val="none"/>
              </w:rPr>
            </w:pPr>
            <w:r>
              <w:rPr>
                <w:rFonts w:hint="eastAsia" w:ascii="宋体" w:hAnsi="宋体" w:cs="宋体"/>
                <w:b/>
                <w:bCs/>
                <w:color w:val="auto"/>
                <w:szCs w:val="24"/>
                <w:highlight w:val="none"/>
              </w:rPr>
              <w:t>2</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0EF6481">
            <w:pPr>
              <w:widowControl/>
              <w:spacing w:line="360" w:lineRule="auto"/>
              <w:jc w:val="center"/>
              <w:rPr>
                <w:rFonts w:ascii="宋体" w:hAnsi="宋体" w:cs="宋体"/>
                <w:b/>
                <w:bCs/>
                <w:color w:val="auto"/>
                <w:szCs w:val="24"/>
                <w:highlight w:val="none"/>
              </w:rPr>
            </w:pPr>
            <w:r>
              <w:rPr>
                <w:rFonts w:hint="eastAsia" w:ascii="宋体" w:hAnsi="宋体" w:cs="宋体"/>
                <w:b/>
                <w:bCs/>
                <w:color w:val="auto"/>
                <w:szCs w:val="24"/>
                <w:highlight w:val="none"/>
              </w:rPr>
              <w:t>广州金辉建设集团有限公司</w:t>
            </w:r>
          </w:p>
        </w:tc>
      </w:tr>
      <w:tr w14:paraId="77502C3E">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33769B2">
            <w:pPr>
              <w:widowControl/>
              <w:spacing w:line="360" w:lineRule="auto"/>
              <w:jc w:val="center"/>
              <w:rPr>
                <w:rFonts w:ascii="宋体" w:hAnsi="宋体" w:cs="宋体"/>
                <w:b/>
                <w:bCs/>
                <w:color w:val="auto"/>
                <w:szCs w:val="24"/>
                <w:highlight w:val="none"/>
              </w:rPr>
            </w:pPr>
            <w:r>
              <w:rPr>
                <w:rFonts w:hint="eastAsia" w:ascii="宋体" w:hAnsi="宋体" w:cs="宋体"/>
                <w:b/>
                <w:bCs/>
                <w:color w:val="auto"/>
                <w:szCs w:val="24"/>
                <w:highlight w:val="none"/>
              </w:rPr>
              <w:t>3</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059C64C9">
            <w:pPr>
              <w:widowControl/>
              <w:spacing w:line="360" w:lineRule="auto"/>
              <w:jc w:val="center"/>
              <w:rPr>
                <w:rFonts w:ascii="宋体" w:hAnsi="宋体" w:cs="宋体"/>
                <w:b/>
                <w:bCs/>
                <w:color w:val="auto"/>
                <w:szCs w:val="24"/>
                <w:highlight w:val="none"/>
              </w:rPr>
            </w:pPr>
            <w:r>
              <w:rPr>
                <w:rFonts w:hint="eastAsia" w:ascii="宋体" w:hAnsi="宋体" w:cs="宋体"/>
                <w:b/>
                <w:bCs/>
                <w:color w:val="auto"/>
                <w:szCs w:val="24"/>
                <w:highlight w:val="none"/>
              </w:rPr>
              <w:t>广州市裕建工程有限公司</w:t>
            </w:r>
          </w:p>
        </w:tc>
      </w:tr>
      <w:tr w14:paraId="4D03CB8B">
        <w:tblPrEx>
          <w:tblCellMar>
            <w:top w:w="0" w:type="dxa"/>
            <w:left w:w="0" w:type="dxa"/>
            <w:bottom w:w="0" w:type="dxa"/>
            <w:right w:w="0" w:type="dxa"/>
          </w:tblCellMar>
        </w:tblPrEx>
        <w:trPr>
          <w:trHeight w:val="602" w:hRule="atLeast"/>
          <w:jc w:val="center"/>
        </w:trPr>
        <w:tc>
          <w:tcPr>
            <w:tcW w:w="1148"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AB312B">
            <w:pPr>
              <w:widowControl/>
              <w:spacing w:line="360" w:lineRule="auto"/>
              <w:jc w:val="center"/>
              <w:rPr>
                <w:rFonts w:ascii="宋体" w:hAnsi="宋体" w:cs="宋体"/>
                <w:b/>
                <w:bCs/>
                <w:color w:val="auto"/>
                <w:szCs w:val="24"/>
                <w:highlight w:val="none"/>
              </w:rPr>
            </w:pPr>
            <w:r>
              <w:rPr>
                <w:rFonts w:hint="eastAsia" w:ascii="宋体" w:hAnsi="宋体" w:cs="宋体"/>
                <w:b/>
                <w:bCs/>
                <w:color w:val="auto"/>
                <w:szCs w:val="24"/>
                <w:highlight w:val="none"/>
              </w:rPr>
              <w:t>4</w:t>
            </w:r>
          </w:p>
        </w:tc>
        <w:tc>
          <w:tcPr>
            <w:tcW w:w="5812"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7A770C1">
            <w:pPr>
              <w:widowControl/>
              <w:spacing w:line="360" w:lineRule="auto"/>
              <w:jc w:val="center"/>
              <w:rPr>
                <w:rFonts w:ascii="宋体" w:hAnsi="宋体" w:cs="宋体"/>
                <w:b/>
                <w:bCs/>
                <w:color w:val="auto"/>
                <w:szCs w:val="24"/>
                <w:highlight w:val="none"/>
              </w:rPr>
            </w:pPr>
            <w:r>
              <w:rPr>
                <w:rFonts w:hint="eastAsia" w:ascii="宋体" w:hAnsi="宋体" w:cs="宋体"/>
                <w:b/>
                <w:bCs/>
                <w:color w:val="auto"/>
                <w:szCs w:val="24"/>
                <w:highlight w:val="none"/>
              </w:rPr>
              <w:t>广州市水电建设工程有限公司</w:t>
            </w:r>
          </w:p>
        </w:tc>
      </w:tr>
    </w:tbl>
    <w:p w14:paraId="37F9FDD6">
      <w:pPr>
        <w:rPr>
          <w:color w:val="auto"/>
          <w:highlight w:val="none"/>
        </w:rPr>
      </w:pPr>
    </w:p>
    <w:p w14:paraId="2C9F545A">
      <w:pPr>
        <w:widowControl/>
        <w:rPr>
          <w:rFonts w:ascii="宋体" w:hAnsi="宋体" w:cs="宋体"/>
          <w:color w:val="auto"/>
          <w:kern w:val="0"/>
          <w:sz w:val="24"/>
          <w:szCs w:val="24"/>
          <w:highlight w:val="none"/>
          <w:shd w:val="clear" w:color="auto" w:fill="FFFFFF"/>
        </w:rPr>
      </w:pPr>
      <w:r>
        <w:rPr>
          <w:color w:val="auto"/>
          <w:highlight w:val="none"/>
        </w:rPr>
        <w:br w:type="page"/>
      </w:r>
      <w:r>
        <w:rPr>
          <w:rFonts w:hint="eastAsia" w:ascii="宋体" w:hAnsi="宋体" w:cs="宋体"/>
          <w:color w:val="auto"/>
          <w:kern w:val="0"/>
          <w:sz w:val="24"/>
          <w:szCs w:val="24"/>
          <w:highlight w:val="none"/>
          <w:shd w:val="clear" w:color="auto" w:fill="FFFFFF"/>
          <w:lang w:bidi="ar"/>
        </w:rPr>
        <w:t>附件</w:t>
      </w:r>
      <w:r>
        <w:rPr>
          <w:rFonts w:ascii="宋体" w:hAnsi="宋体" w:cs="宋体"/>
          <w:color w:val="auto"/>
          <w:kern w:val="0"/>
          <w:sz w:val="24"/>
          <w:szCs w:val="24"/>
          <w:highlight w:val="none"/>
          <w:shd w:val="clear" w:color="auto" w:fill="FFFFFF"/>
          <w:lang w:bidi="ar"/>
        </w:rPr>
        <w:t>三</w:t>
      </w:r>
      <w:r>
        <w:rPr>
          <w:rFonts w:hint="eastAsia" w:ascii="宋体" w:hAnsi="宋体" w:cs="宋体"/>
          <w:color w:val="auto"/>
          <w:kern w:val="0"/>
          <w:sz w:val="24"/>
          <w:szCs w:val="24"/>
          <w:highlight w:val="none"/>
          <w:shd w:val="clear" w:color="auto" w:fill="FFFFFF"/>
          <w:lang w:bidi="ar"/>
        </w:rPr>
        <w:t>：《</w:t>
      </w:r>
      <w:bookmarkStart w:id="1" w:name="_Toc2310"/>
      <w:bookmarkStart w:id="2" w:name="_Toc436060980"/>
      <w:bookmarkStart w:id="3" w:name="_Toc436056489"/>
      <w:bookmarkStart w:id="4" w:name="_Toc436058013"/>
      <w:bookmarkStart w:id="5" w:name="_Toc436058601"/>
      <w:bookmarkStart w:id="6" w:name="_Toc436061852"/>
      <w:bookmarkStart w:id="7" w:name="_Toc436057359"/>
      <w:bookmarkStart w:id="8" w:name="_Toc436057797"/>
      <w:r>
        <w:rPr>
          <w:rFonts w:hint="eastAsia" w:ascii="宋体" w:hAnsi="宋体" w:cs="宋体"/>
          <w:color w:val="auto"/>
          <w:kern w:val="0"/>
          <w:sz w:val="24"/>
          <w:szCs w:val="24"/>
          <w:highlight w:val="none"/>
          <w:shd w:val="clear" w:color="auto" w:fill="FFFFFF"/>
          <w:lang w:bidi="ar"/>
        </w:rPr>
        <w:t>联合体共同投标协议书</w:t>
      </w:r>
      <w:bookmarkEnd w:id="1"/>
      <w:bookmarkEnd w:id="2"/>
      <w:bookmarkEnd w:id="3"/>
      <w:bookmarkEnd w:id="4"/>
      <w:bookmarkEnd w:id="5"/>
      <w:bookmarkEnd w:id="6"/>
      <w:bookmarkEnd w:id="7"/>
      <w:bookmarkEnd w:id="8"/>
      <w:r>
        <w:rPr>
          <w:rFonts w:hint="eastAsia" w:ascii="宋体" w:hAnsi="宋体" w:cs="宋体"/>
          <w:color w:val="auto"/>
          <w:kern w:val="0"/>
          <w:sz w:val="24"/>
          <w:szCs w:val="24"/>
          <w:highlight w:val="none"/>
          <w:shd w:val="clear" w:color="auto" w:fill="FFFFFF"/>
          <w:lang w:bidi="ar"/>
        </w:rPr>
        <w:t>》</w:t>
      </w:r>
      <w:r>
        <w:rPr>
          <w:rFonts w:ascii="宋体" w:hAnsi="宋体" w:cs="宋体"/>
          <w:color w:val="auto"/>
          <w:kern w:val="0"/>
          <w:sz w:val="24"/>
          <w:szCs w:val="24"/>
          <w:highlight w:val="none"/>
          <w:shd w:val="clear" w:color="auto" w:fill="FFFFFF"/>
          <w:lang w:bidi="ar"/>
        </w:rPr>
        <w:t>（参考格式）</w:t>
      </w:r>
    </w:p>
    <w:p w14:paraId="6B071739">
      <w:pPr>
        <w:pStyle w:val="2"/>
        <w:spacing w:before="0" w:after="0"/>
        <w:jc w:val="center"/>
        <w:rPr>
          <w:color w:val="auto"/>
          <w:highlight w:val="none"/>
          <w:shd w:val="clear" w:color="auto" w:fill="FFFFFF"/>
          <w:lang w:bidi="ar"/>
        </w:rPr>
      </w:pPr>
      <w:r>
        <w:rPr>
          <w:rFonts w:hint="eastAsia"/>
          <w:color w:val="auto"/>
          <w:highlight w:val="none"/>
          <w:shd w:val="clear" w:color="auto" w:fill="FFFFFF"/>
          <w:lang w:bidi="ar"/>
        </w:rPr>
        <w:t>联合体共同投标协议书</w:t>
      </w:r>
    </w:p>
    <w:p w14:paraId="76E93A67">
      <w:pPr>
        <w:topLinePunct/>
        <w:spacing w:line="379"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u w:val="single"/>
          <w:lang w:bidi="ar"/>
        </w:rPr>
        <w:t xml:space="preserve">                         </w:t>
      </w:r>
      <w:r>
        <w:rPr>
          <w:rFonts w:ascii="宋体" w:hAnsi="宋体" w:cs="宋体"/>
          <w:color w:val="auto"/>
          <w:sz w:val="24"/>
          <w:szCs w:val="24"/>
          <w:highlight w:val="none"/>
          <w:lang w:bidi="ar"/>
        </w:rPr>
        <w:t>[主办方单位名称、成员方单位名称]自愿组成联合体，共同参加</w:t>
      </w:r>
      <w:r>
        <w:rPr>
          <w:rFonts w:ascii="宋体" w:hAnsi="宋体" w:cs="宋体"/>
          <w:color w:val="auto"/>
          <w:sz w:val="24"/>
          <w:szCs w:val="24"/>
          <w:highlight w:val="none"/>
          <w:u w:val="single"/>
          <w:lang w:bidi="ar"/>
        </w:rPr>
        <w:t xml:space="preserve">       （项目名称）     </w:t>
      </w:r>
      <w:r>
        <w:rPr>
          <w:rFonts w:hint="eastAsia" w:ascii="宋体" w:hAnsi="宋体" w:cs="宋体"/>
          <w:color w:val="auto"/>
          <w:sz w:val="24"/>
          <w:szCs w:val="24"/>
          <w:highlight w:val="none"/>
          <w:lang w:bidi="ar"/>
        </w:rPr>
        <w:t>投标。我方授权委托本协议主办方代表联合体各成员参加投标、签署投标资料、提交投标文件，负责整个合同实施阶段的协调工作。若中标，联合体各成员向招标人承担连带责任。现就联合体投标事宜订立如下协议。</w:t>
      </w:r>
    </w:p>
    <w:p w14:paraId="77BCB83A">
      <w:pPr>
        <w:topLinePunct/>
        <w:spacing w:line="379"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lang w:bidi="ar"/>
        </w:rPr>
        <w:t>1、</w:t>
      </w:r>
      <w:r>
        <w:rPr>
          <w:rFonts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（主办方单位名称）为联合体主办方。负责</w:t>
      </w:r>
      <w:r>
        <w:rPr>
          <w:rFonts w:ascii="宋体" w:hAnsi="宋体" w:cs="宋体"/>
          <w:color w:val="auto"/>
          <w:sz w:val="24"/>
          <w:szCs w:val="24"/>
          <w:highlight w:val="none"/>
          <w:lang w:bidi="ar"/>
        </w:rPr>
        <w:t>项目的整体</w:t>
      </w:r>
      <w:r>
        <w:rPr>
          <w:rFonts w:hint="eastAsia" w:ascii="宋体" w:hAnsi="宋体" w:cs="宋体"/>
          <w:color w:val="auto"/>
          <w:sz w:val="24"/>
          <w:szCs w:val="24"/>
          <w:highlight w:val="none"/>
          <w:lang w:bidi="ar"/>
        </w:rPr>
        <w:t>管理职责。联合体其他相关方违约时，主办方应承担连带责任。</w:t>
      </w:r>
    </w:p>
    <w:p w14:paraId="661B7E1C">
      <w:pPr>
        <w:topLinePunct/>
        <w:spacing w:line="379"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lang w:bidi="ar"/>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1A34CC63">
      <w:pPr>
        <w:topLinePunct/>
        <w:spacing w:line="379"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lang w:bidi="ar"/>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3D98D3A7">
      <w:pPr>
        <w:topLinePunct/>
        <w:spacing w:line="379"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lang w:bidi="ar"/>
        </w:rPr>
        <w:t>4、联合体各成员单位内部的职责分工如下：</w:t>
      </w:r>
    </w:p>
    <w:p w14:paraId="0480DE5F">
      <w:pPr>
        <w:pStyle w:val="4"/>
        <w:widowControl/>
        <w:spacing w:line="379" w:lineRule="exact"/>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4.1</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w:t>
      </w:r>
      <w:r>
        <w:rPr>
          <w:rFonts w:hint="default" w:ascii="宋体" w:hAnsi="宋体" w:eastAsia="宋体" w:cs="宋体"/>
          <w:color w:val="auto"/>
          <w:sz w:val="24"/>
          <w:szCs w:val="24"/>
          <w:highlight w:val="none"/>
        </w:rPr>
        <w:t>主办</w:t>
      </w:r>
      <w:r>
        <w:rPr>
          <w:rFonts w:ascii="宋体" w:hAnsi="宋体" w:eastAsia="宋体" w:cs="宋体"/>
          <w:color w:val="auto"/>
          <w:sz w:val="24"/>
          <w:szCs w:val="24"/>
          <w:highlight w:val="none"/>
        </w:rPr>
        <w:t>方单位名称）：主要负责</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，具体按</w:t>
      </w:r>
      <w:r>
        <w:rPr>
          <w:rFonts w:hint="default" w:ascii="宋体" w:hAnsi="宋体" w:eastAsia="宋体" w:cs="宋体"/>
          <w:color w:val="auto"/>
          <w:sz w:val="24"/>
          <w:szCs w:val="24"/>
          <w:highlight w:val="none"/>
        </w:rPr>
        <w:t>招标文件及</w:t>
      </w:r>
      <w:r>
        <w:rPr>
          <w:rFonts w:ascii="宋体" w:hAnsi="宋体" w:eastAsia="宋体" w:cs="宋体"/>
          <w:color w:val="auto"/>
          <w:sz w:val="24"/>
          <w:szCs w:val="24"/>
          <w:highlight w:val="none"/>
        </w:rPr>
        <w:t>合同要求。</w:t>
      </w:r>
    </w:p>
    <w:p w14:paraId="2D2E537D">
      <w:pPr>
        <w:pStyle w:val="4"/>
        <w:widowControl/>
        <w:spacing w:line="379" w:lineRule="exact"/>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4.2</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w:t>
      </w:r>
      <w:r>
        <w:rPr>
          <w:rFonts w:hint="default" w:ascii="宋体" w:hAnsi="宋体" w:eastAsia="宋体" w:cs="宋体"/>
          <w:color w:val="auto"/>
          <w:sz w:val="24"/>
          <w:szCs w:val="24"/>
          <w:highlight w:val="none"/>
        </w:rPr>
        <w:t>成员</w:t>
      </w:r>
      <w:r>
        <w:rPr>
          <w:rFonts w:ascii="宋体" w:hAnsi="宋体" w:eastAsia="宋体" w:cs="宋体"/>
          <w:color w:val="auto"/>
          <w:sz w:val="24"/>
          <w:szCs w:val="24"/>
          <w:highlight w:val="none"/>
        </w:rPr>
        <w:t>方单位名称）：主要负责</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，具体按招标文件及合同要求。</w:t>
      </w:r>
    </w:p>
    <w:p w14:paraId="0516C4C9">
      <w:pPr>
        <w:spacing w:line="379" w:lineRule="exact"/>
        <w:rPr>
          <w:color w:val="auto"/>
          <w:highlight w:val="none"/>
        </w:rPr>
      </w:pPr>
    </w:p>
    <w:p w14:paraId="636079AE">
      <w:pPr>
        <w:pStyle w:val="4"/>
        <w:widowControl/>
        <w:spacing w:line="379" w:lineRule="exact"/>
        <w:ind w:firstLine="480" w:firstLineChars="20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5</w:t>
      </w:r>
      <w:r>
        <w:rPr>
          <w:rFonts w:ascii="宋体" w:hAnsi="宋体" w:eastAsia="宋体" w:cs="宋体"/>
          <w:color w:val="auto"/>
          <w:sz w:val="24"/>
          <w:szCs w:val="24"/>
          <w:highlight w:val="none"/>
        </w:rPr>
        <w:t>、本协议书自签署盖章之日起生效，合同履行完毕后自动失效。</w:t>
      </w:r>
    </w:p>
    <w:p w14:paraId="27E4BC7F">
      <w:pPr>
        <w:topLinePunct/>
        <w:spacing w:line="379" w:lineRule="exact"/>
        <w:ind w:firstLine="480" w:firstLineChars="200"/>
        <w:rPr>
          <w:rFonts w:ascii="宋体" w:hAnsi="宋体" w:cs="宋体"/>
          <w:color w:val="auto"/>
          <w:sz w:val="24"/>
          <w:szCs w:val="24"/>
          <w:highlight w:val="none"/>
        </w:rPr>
      </w:pPr>
    </w:p>
    <w:p w14:paraId="20AC595D">
      <w:pPr>
        <w:topLinePunct/>
        <w:spacing w:line="379"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主办方名称：</w:t>
      </w:r>
      <w:r>
        <w:rPr>
          <w:rFonts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（盖单位章）</w:t>
      </w:r>
    </w:p>
    <w:p w14:paraId="144E65BF">
      <w:pPr>
        <w:topLinePunct/>
        <w:spacing w:line="379"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法定代表人或其委托代理人：</w:t>
      </w:r>
      <w:r>
        <w:rPr>
          <w:rFonts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（签字或盖章）</w:t>
      </w:r>
    </w:p>
    <w:p w14:paraId="71083800">
      <w:pPr>
        <w:topLinePunct/>
        <w:spacing w:line="379"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成员方名称：</w:t>
      </w:r>
      <w:r>
        <w:rPr>
          <w:rFonts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（盖单位章）</w:t>
      </w:r>
    </w:p>
    <w:p w14:paraId="28E6B643">
      <w:pPr>
        <w:topLinePunct/>
        <w:spacing w:line="379"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bidi="ar"/>
        </w:rPr>
        <w:t>法定代表人或其委托代理人：</w:t>
      </w:r>
      <w:r>
        <w:rPr>
          <w:rFonts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lang w:bidi="ar"/>
        </w:rPr>
        <w:t>（签字或盖章）</w:t>
      </w:r>
    </w:p>
    <w:p w14:paraId="4B7CAB54">
      <w:pPr>
        <w:pStyle w:val="4"/>
        <w:widowControl/>
        <w:spacing w:line="379" w:lineRule="exact"/>
        <w:jc w:val="right"/>
        <w:rPr>
          <w:rFonts w:hint="default" w:ascii="宋体" w:hAnsi="宋体" w:eastAsia="宋体" w:cs="宋体"/>
          <w:color w:val="auto"/>
          <w:sz w:val="24"/>
          <w:szCs w:val="24"/>
          <w:highlight w:val="none"/>
        </w:rPr>
      </w:pPr>
    </w:p>
    <w:p w14:paraId="559CB96D">
      <w:pPr>
        <w:pStyle w:val="4"/>
        <w:widowControl/>
        <w:spacing w:line="379" w:lineRule="exact"/>
        <w:jc w:val="righ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年</w:t>
      </w:r>
      <w:r>
        <w:rPr>
          <w:rFonts w:hint="default" w:ascii="宋体" w:hAnsi="宋体" w:eastAsia="宋体" w:cs="宋体"/>
          <w:color w:val="auto"/>
          <w:sz w:val="24"/>
          <w:szCs w:val="24"/>
          <w:highlight w:val="none"/>
        </w:rPr>
        <w:t xml:space="preserve">   </w:t>
      </w:r>
      <w:r>
        <w:rPr>
          <w:rFonts w:ascii="宋体" w:hAnsi="宋体" w:eastAsia="宋体" w:cs="宋体"/>
          <w:color w:val="auto"/>
          <w:sz w:val="24"/>
          <w:szCs w:val="24"/>
          <w:highlight w:val="none"/>
        </w:rPr>
        <w:t>月</w:t>
      </w:r>
      <w:r>
        <w:rPr>
          <w:rFonts w:hint="default" w:ascii="宋体" w:hAnsi="宋体" w:eastAsia="宋体" w:cs="宋体"/>
          <w:color w:val="auto"/>
          <w:sz w:val="24"/>
          <w:szCs w:val="24"/>
          <w:highlight w:val="none"/>
        </w:rPr>
        <w:t xml:space="preserve">   </w:t>
      </w:r>
      <w:r>
        <w:rPr>
          <w:rFonts w:ascii="宋体" w:hAnsi="宋体" w:eastAsia="宋体" w:cs="宋体"/>
          <w:color w:val="auto"/>
          <w:sz w:val="24"/>
          <w:szCs w:val="24"/>
          <w:highlight w:val="none"/>
        </w:rPr>
        <w:t>日</w:t>
      </w:r>
    </w:p>
    <w:p w14:paraId="2B871494">
      <w:pPr>
        <w:spacing w:line="379" w:lineRule="exact"/>
        <w:rPr>
          <w:rFonts w:hint="eastAsia" w:ascii="宋体" w:hAnsi="宋体" w:cs="宋体"/>
          <w:b/>
          <w:color w:val="auto"/>
          <w:kern w:val="0"/>
          <w:sz w:val="24"/>
          <w:szCs w:val="24"/>
          <w:highlight w:val="none"/>
          <w:lang w:bidi="ar"/>
        </w:rPr>
      </w:pPr>
    </w:p>
    <w:p w14:paraId="1B594F2E">
      <w:pPr>
        <w:rPr>
          <w:color w:val="auto"/>
          <w:highlight w:val="none"/>
        </w:rPr>
      </w:pPr>
      <w:r>
        <w:rPr>
          <w:rFonts w:hint="eastAsia" w:ascii="宋体" w:hAnsi="宋体" w:cs="宋体"/>
          <w:b/>
          <w:color w:val="auto"/>
          <w:kern w:val="0"/>
          <w:sz w:val="24"/>
          <w:szCs w:val="24"/>
          <w:highlight w:val="none"/>
          <w:lang w:bidi="ar"/>
        </w:rPr>
        <w:t>注：单独投标的，无需提交本协议。联合体投标的，本协议需填妥并由联合体各方按格式共同盖章和签字后提交。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7583D">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3A61A">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45729"/>
    <w:rsid w:val="001B31BB"/>
    <w:rsid w:val="5040074E"/>
    <w:rsid w:val="59145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ascii="Times New Roman" w:hAnsi="Times New Roman" w:eastAsia="宋体" w:cs="Times New Roman"/>
      <w:b/>
      <w:kern w:val="44"/>
      <w:sz w:val="44"/>
      <w:szCs w:val="44"/>
    </w:rPr>
  </w:style>
  <w:style w:type="paragraph" w:styleId="3">
    <w:name w:val="heading 2"/>
    <w:basedOn w:val="1"/>
    <w:next w:val="1"/>
    <w:qFormat/>
    <w:uiPriority w:val="9"/>
    <w:pPr>
      <w:keepNext/>
      <w:keepLines/>
      <w:spacing w:before="260" w:after="260" w:line="410" w:lineRule="auto"/>
      <w:outlineLvl w:val="1"/>
    </w:pPr>
    <w:rPr>
      <w:rFonts w:ascii="Arial" w:hAnsi="Arial" w:eastAsia="黑体" w:cs="Times New Roman"/>
      <w:b/>
      <w:kern w:val="0"/>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Plain Text"/>
    <w:basedOn w:val="1"/>
    <w:next w:val="1"/>
    <w:qFormat/>
    <w:uiPriority w:val="0"/>
    <w:pPr>
      <w:spacing w:after="0"/>
    </w:pPr>
    <w:rPr>
      <w:rFonts w:hint="eastAsia" w:ascii="等线" w:hAnsi="Courier New" w:eastAsia="等线"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_Style 3"/>
    <w:basedOn w:val="1"/>
    <w:qFormat/>
    <w:uiPriority w:val="0"/>
    <w:rPr>
      <w:rFonts w:ascii="Times New Roman" w:hAnsi="Times New Roman" w:cs="Times New Roman"/>
      <w:szCs w:val="21"/>
    </w:rPr>
  </w:style>
  <w:style w:type="paragraph" w:customStyle="1" w:styleId="10">
    <w:name w:val="公文正文"/>
    <w:basedOn w:val="1"/>
    <w:qFormat/>
    <w:uiPriority w:val="0"/>
    <w:pPr>
      <w:spacing w:line="360" w:lineRule="auto"/>
      <w:ind w:firstLine="629"/>
    </w:pPr>
    <w:rPr>
      <w:rFonts w:hint="eastAsia" w:ascii="仿宋_GB2312" w:hAnsi="Calisto MT" w:eastAsia="仿宋_GB2312" w:cs="Times New Roman"/>
      <w:color w:val="000000"/>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11</Pages>
  <Words>5832</Words>
  <Characters>6271</Characters>
  <DocSecurity>0</DocSecurity>
  <Lines>0</Lines>
  <Paragraphs>0</Paragraphs>
  <ScaleCrop>false</ScaleCrop>
  <LinksUpToDate>false</LinksUpToDate>
  <CharactersWithSpaces>6638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2025-08-20T06:26:00Z</dcterms:created>
  <dcterms:modified xsi:type="dcterms:W3CDTF">2025-08-20T06:33:04Z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3289FEA2DA6D484B8FE87F754CBF9B2A_11</vt:lpwstr>
  </property>
  <property fmtid="{D5CDD505-2E9C-101B-9397-08002B2CF9AE}" pid="4" name="KSOTemplateDocerSaveRecord">
    <vt:lpwstr>eyJoZGlkIjoiOTM4Mzc5NjE1NWI2M2E4ODc4Mjk5MDcxYjVmYTM5MzYiLCJ1c2VySWQiOiIxNjAxMzk4MzU5In0=</vt:lpwstr>
  </property>
</Properties>
</file>