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1DDD63">
      <w:pPr>
        <w:jc w:val="center"/>
        <w:rPr>
          <w:rFonts w:hint="eastAsia" w:ascii="宋体" w:hAnsi="宋体" w:eastAsia="宋体" w:cs="宋体"/>
          <w:b/>
          <w:bCs/>
          <w:color w:val="auto"/>
          <w:sz w:val="52"/>
          <w:szCs w:val="52"/>
          <w:highlight w:val="none"/>
          <w:u w:val="single"/>
        </w:rPr>
      </w:pPr>
      <w:bookmarkStart w:id="0" w:name="_Toc247527534"/>
      <w:bookmarkStart w:id="1" w:name="_Toc247513933"/>
      <w:bookmarkStart w:id="2" w:name="_Toc3523"/>
      <w:bookmarkStart w:id="3" w:name="_Toc19439"/>
      <w:bookmarkStart w:id="4" w:name="_Toc24404"/>
      <w:bookmarkStart w:id="5" w:name="_Toc26883"/>
      <w:bookmarkStart w:id="6" w:name="_Toc7983"/>
      <w:bookmarkStart w:id="7" w:name="_Toc18135"/>
      <w:bookmarkStart w:id="8" w:name="_Toc30405"/>
      <w:bookmarkStart w:id="9" w:name="_Toc9660"/>
      <w:bookmarkStart w:id="10" w:name="_Toc6275"/>
      <w:bookmarkStart w:id="11" w:name="_Toc24592"/>
      <w:bookmarkStart w:id="12" w:name="_Toc27786"/>
      <w:bookmarkStart w:id="13" w:name="_Toc15600"/>
    </w:p>
    <w:p w14:paraId="64483C71">
      <w:pPr>
        <w:jc w:val="center"/>
        <w:rPr>
          <w:rFonts w:hint="eastAsia" w:ascii="宋体" w:hAnsi="宋体" w:eastAsia="宋体" w:cs="宋体"/>
          <w:color w:val="auto"/>
          <w:sz w:val="44"/>
          <w:szCs w:val="44"/>
          <w:highlight w:val="none"/>
          <w:u w:val="none"/>
          <w:lang w:eastAsia="zh-CN"/>
        </w:rPr>
      </w:pPr>
      <w:r>
        <w:rPr>
          <w:rFonts w:hint="eastAsia" w:ascii="宋体" w:hAnsi="宋体" w:eastAsia="宋体" w:cs="宋体"/>
          <w:color w:val="auto"/>
          <w:sz w:val="44"/>
          <w:szCs w:val="44"/>
          <w:highlight w:val="none"/>
          <w:u w:val="none"/>
          <w:lang w:eastAsia="zh-CN"/>
        </w:rPr>
        <w:t>文冲街文冲(渡头、文元、江北片)旧村全面改造项目代建市政道路（①、⑤、⑥、⑦号路）项目监理服务</w:t>
      </w:r>
    </w:p>
    <w:p w14:paraId="37D3B6FF">
      <w:pPr>
        <w:rPr>
          <w:rFonts w:hint="eastAsia" w:ascii="宋体" w:hAnsi="宋体" w:eastAsia="宋体" w:cs="宋体"/>
          <w:color w:val="auto"/>
          <w:sz w:val="52"/>
          <w:szCs w:val="52"/>
          <w:highlight w:val="none"/>
        </w:rPr>
      </w:pPr>
    </w:p>
    <w:p w14:paraId="1DC80FEA">
      <w:pPr>
        <w:rPr>
          <w:rFonts w:hint="eastAsia" w:ascii="宋体" w:hAnsi="宋体" w:eastAsia="宋体" w:cs="宋体"/>
          <w:color w:val="auto"/>
          <w:sz w:val="52"/>
          <w:szCs w:val="52"/>
          <w:highlight w:val="none"/>
        </w:rPr>
      </w:pPr>
    </w:p>
    <w:p w14:paraId="249D592B">
      <w:pPr>
        <w:pStyle w:val="4"/>
        <w:rPr>
          <w:rFonts w:hint="eastAsia"/>
          <w:highlight w:val="none"/>
        </w:rPr>
      </w:pPr>
    </w:p>
    <w:p w14:paraId="1610870F">
      <w:pPr>
        <w:jc w:val="center"/>
        <w:rPr>
          <w:rFonts w:hint="eastAsia" w:ascii="宋体" w:hAnsi="宋体" w:eastAsia="宋体" w:cs="宋体"/>
          <w:b/>
          <w:bCs/>
          <w:color w:val="auto"/>
          <w:sz w:val="52"/>
          <w:szCs w:val="52"/>
          <w:highlight w:val="none"/>
        </w:rPr>
      </w:pPr>
      <w:r>
        <w:rPr>
          <w:rFonts w:hint="eastAsia" w:ascii="宋体" w:hAnsi="宋体" w:eastAsia="宋体" w:cs="宋体"/>
          <w:b/>
          <w:bCs/>
          <w:color w:val="auto"/>
          <w:spacing w:val="81"/>
          <w:kern w:val="0"/>
          <w:sz w:val="96"/>
          <w:szCs w:val="52"/>
          <w:highlight w:val="none"/>
        </w:rPr>
        <w:t>招标公</w:t>
      </w:r>
      <w:r>
        <w:rPr>
          <w:rFonts w:hint="eastAsia" w:ascii="宋体" w:hAnsi="宋体" w:eastAsia="宋体" w:cs="宋体"/>
          <w:b/>
          <w:bCs/>
          <w:color w:val="auto"/>
          <w:spacing w:val="-1"/>
          <w:kern w:val="0"/>
          <w:sz w:val="96"/>
          <w:szCs w:val="52"/>
          <w:highlight w:val="none"/>
        </w:rPr>
        <w:t>告</w:t>
      </w:r>
    </w:p>
    <w:p w14:paraId="15447496">
      <w:pPr>
        <w:spacing w:line="400" w:lineRule="exact"/>
        <w:rPr>
          <w:rFonts w:hint="eastAsia" w:ascii="宋体" w:hAnsi="宋体" w:eastAsia="宋体" w:cs="宋体"/>
          <w:color w:val="auto"/>
          <w:szCs w:val="21"/>
          <w:highlight w:val="none"/>
        </w:rPr>
      </w:pPr>
    </w:p>
    <w:p w14:paraId="25024B50">
      <w:pPr>
        <w:spacing w:line="400" w:lineRule="exact"/>
        <w:rPr>
          <w:rFonts w:hint="eastAsia" w:ascii="宋体" w:hAnsi="宋体" w:eastAsia="宋体" w:cs="宋体"/>
          <w:color w:val="auto"/>
          <w:szCs w:val="21"/>
          <w:highlight w:val="none"/>
        </w:rPr>
      </w:pPr>
    </w:p>
    <w:p w14:paraId="5AA0FCA0">
      <w:pPr>
        <w:spacing w:line="400" w:lineRule="exact"/>
        <w:rPr>
          <w:rFonts w:hint="eastAsia" w:ascii="宋体" w:hAnsi="宋体" w:eastAsia="宋体" w:cs="宋体"/>
          <w:color w:val="auto"/>
          <w:szCs w:val="21"/>
          <w:highlight w:val="none"/>
        </w:rPr>
      </w:pPr>
    </w:p>
    <w:p w14:paraId="02AABF72">
      <w:pPr>
        <w:spacing w:line="400" w:lineRule="exact"/>
        <w:rPr>
          <w:rFonts w:hint="eastAsia" w:ascii="宋体" w:hAnsi="宋体" w:eastAsia="宋体" w:cs="宋体"/>
          <w:color w:val="auto"/>
          <w:szCs w:val="21"/>
          <w:highlight w:val="none"/>
        </w:rPr>
      </w:pPr>
    </w:p>
    <w:p w14:paraId="27958224">
      <w:pPr>
        <w:pStyle w:val="4"/>
        <w:rPr>
          <w:rFonts w:hint="eastAsia"/>
          <w:highlight w:val="none"/>
        </w:rPr>
      </w:pPr>
    </w:p>
    <w:p w14:paraId="523C1E1A">
      <w:pPr>
        <w:spacing w:line="400" w:lineRule="exact"/>
        <w:rPr>
          <w:rFonts w:hint="eastAsia" w:ascii="宋体" w:hAnsi="宋体" w:eastAsia="宋体" w:cs="宋体"/>
          <w:color w:val="auto"/>
          <w:szCs w:val="21"/>
          <w:highlight w:val="none"/>
        </w:rPr>
      </w:pPr>
    </w:p>
    <w:p w14:paraId="6112DBEE">
      <w:pPr>
        <w:spacing w:line="400" w:lineRule="exact"/>
        <w:rPr>
          <w:rFonts w:hint="eastAsia" w:ascii="宋体" w:hAnsi="宋体" w:eastAsia="宋体" w:cs="宋体"/>
          <w:color w:val="auto"/>
          <w:szCs w:val="21"/>
          <w:highlight w:val="none"/>
        </w:rPr>
      </w:pPr>
    </w:p>
    <w:p w14:paraId="0F0386EB">
      <w:pPr>
        <w:spacing w:line="400" w:lineRule="exact"/>
        <w:rPr>
          <w:rFonts w:hint="eastAsia" w:ascii="宋体" w:hAnsi="宋体" w:eastAsia="宋体" w:cs="宋体"/>
          <w:color w:val="auto"/>
          <w:szCs w:val="21"/>
          <w:highlight w:val="none"/>
        </w:rPr>
      </w:pPr>
    </w:p>
    <w:p w14:paraId="13F0EFE6">
      <w:pPr>
        <w:spacing w:line="400" w:lineRule="exact"/>
        <w:rPr>
          <w:rFonts w:hint="eastAsia" w:ascii="宋体" w:hAnsi="宋体" w:eastAsia="宋体" w:cs="宋体"/>
          <w:color w:val="auto"/>
          <w:szCs w:val="21"/>
          <w:highlight w:val="none"/>
        </w:rPr>
      </w:pPr>
    </w:p>
    <w:p w14:paraId="29E61D31">
      <w:pPr>
        <w:spacing w:line="276"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招</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标</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人：</w:t>
      </w:r>
      <w:r>
        <w:rPr>
          <w:rFonts w:hint="eastAsia" w:ascii="宋体" w:hAnsi="宋体" w:eastAsia="宋体" w:cs="宋体"/>
          <w:color w:val="auto"/>
          <w:sz w:val="28"/>
          <w:szCs w:val="28"/>
          <w:highlight w:val="none"/>
          <w:u w:val="single"/>
          <w:lang w:eastAsia="zh-CN"/>
        </w:rPr>
        <w:t>广州黄埔文冲东片投资有限公司</w:t>
      </w:r>
      <w:r>
        <w:rPr>
          <w:rFonts w:hint="eastAsia" w:ascii="宋体" w:hAnsi="宋体" w:eastAsia="宋体" w:cs="宋体"/>
          <w:color w:val="auto"/>
          <w:sz w:val="28"/>
          <w:szCs w:val="28"/>
          <w:highlight w:val="none"/>
        </w:rPr>
        <w:t>（盖单位章）</w:t>
      </w:r>
    </w:p>
    <w:p w14:paraId="44943A99">
      <w:pPr>
        <w:spacing w:line="276"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招标代理：</w:t>
      </w:r>
      <w:r>
        <w:rPr>
          <w:rFonts w:hint="eastAsia" w:ascii="宋体" w:hAnsi="宋体" w:eastAsia="宋体" w:cs="宋体"/>
          <w:color w:val="auto"/>
          <w:sz w:val="28"/>
          <w:szCs w:val="28"/>
          <w:highlight w:val="none"/>
          <w:u w:val="single"/>
          <w:lang w:eastAsia="zh-CN"/>
        </w:rPr>
        <w:t>广州名都建设项目管理有限公司</w:t>
      </w:r>
      <w:r>
        <w:rPr>
          <w:rFonts w:hint="eastAsia" w:ascii="宋体" w:hAnsi="宋体" w:eastAsia="宋体" w:cs="宋体"/>
          <w:color w:val="auto"/>
          <w:sz w:val="28"/>
          <w:szCs w:val="28"/>
          <w:highlight w:val="none"/>
        </w:rPr>
        <w:t>（盖单位章）</w:t>
      </w:r>
    </w:p>
    <w:p w14:paraId="3832370F">
      <w:pPr>
        <w:spacing w:line="276"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日期：</w:t>
      </w:r>
      <w:r>
        <w:rPr>
          <w:rFonts w:hint="eastAsia" w:ascii="宋体" w:hAnsi="宋体" w:eastAsia="宋体" w:cs="宋体"/>
          <w:color w:val="auto"/>
          <w:sz w:val="28"/>
          <w:szCs w:val="28"/>
          <w:highlight w:val="none"/>
          <w:u w:val="single"/>
          <w:lang w:eastAsia="zh-CN"/>
        </w:rPr>
        <w:t>2025</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lang w:val="en-US" w:eastAsia="zh-CN"/>
        </w:rPr>
        <w:t xml:space="preserve"> 8 </w:t>
      </w:r>
      <w:r>
        <w:rPr>
          <w:rFonts w:hint="eastAsia" w:ascii="宋体" w:hAnsi="宋体" w:eastAsia="宋体" w:cs="宋体"/>
          <w:color w:val="auto"/>
          <w:sz w:val="28"/>
          <w:szCs w:val="28"/>
          <w:highlight w:val="none"/>
        </w:rPr>
        <w:t>月</w:t>
      </w:r>
    </w:p>
    <w:bookmarkEnd w:id="0"/>
    <w:bookmarkEnd w:id="1"/>
    <w:bookmarkEnd w:id="2"/>
    <w:p w14:paraId="3E517895">
      <w:pPr>
        <w:bidi w:val="0"/>
        <w:jc w:val="center"/>
        <w:rPr>
          <w:rStyle w:val="12"/>
          <w:rFonts w:hint="eastAsia" w:ascii="宋体" w:hAnsi="宋体" w:eastAsia="宋体" w:cs="宋体"/>
          <w:highlight w:val="none"/>
          <w:lang w:eastAsia="zh-CN"/>
        </w:rPr>
        <w:sectPr>
          <w:footerReference r:id="rId3" w:type="default"/>
          <w:pgSz w:w="11906" w:h="16838"/>
          <w:pgMar w:top="1440" w:right="1800" w:bottom="1440" w:left="1800" w:header="851" w:footer="992" w:gutter="0"/>
          <w:cols w:space="425" w:num="1"/>
          <w:docGrid w:type="lines" w:linePitch="312" w:charSpace="0"/>
        </w:sectPr>
      </w:pPr>
    </w:p>
    <w:p w14:paraId="235C22E3">
      <w:pPr>
        <w:bidi w:val="0"/>
        <w:jc w:val="center"/>
        <w:rPr>
          <w:rStyle w:val="12"/>
          <w:rFonts w:hint="eastAsia" w:ascii="宋体" w:hAnsi="宋体" w:eastAsia="宋体" w:cs="宋体"/>
          <w:highlight w:val="none"/>
        </w:rPr>
      </w:pPr>
      <w:r>
        <w:rPr>
          <w:rStyle w:val="12"/>
          <w:rFonts w:hint="eastAsia" w:ascii="宋体" w:hAnsi="宋体" w:eastAsia="宋体" w:cs="宋体"/>
          <w:highlight w:val="none"/>
          <w:lang w:eastAsia="zh-CN"/>
        </w:rPr>
        <w:t>文冲街文冲(渡头、文元、江北片)旧村全面改造项目代建市政道路（①、⑤、⑥、⑦号路）项目监理服务</w:t>
      </w:r>
      <w:r>
        <w:rPr>
          <w:rStyle w:val="12"/>
          <w:rFonts w:hint="eastAsia" w:ascii="宋体" w:hAnsi="宋体" w:eastAsia="宋体" w:cs="宋体"/>
          <w:highlight w:val="none"/>
        </w:rPr>
        <w:t>招标公告</w:t>
      </w:r>
      <w:bookmarkEnd w:id="3"/>
      <w:bookmarkEnd w:id="4"/>
      <w:bookmarkEnd w:id="5"/>
      <w:bookmarkEnd w:id="6"/>
      <w:bookmarkEnd w:id="7"/>
      <w:bookmarkEnd w:id="8"/>
      <w:bookmarkEnd w:id="9"/>
      <w:bookmarkEnd w:id="10"/>
      <w:bookmarkEnd w:id="11"/>
      <w:bookmarkEnd w:id="12"/>
      <w:bookmarkEnd w:id="13"/>
    </w:p>
    <w:p w14:paraId="7490D411">
      <w:pPr>
        <w:pStyle w:val="4"/>
        <w:spacing w:line="240" w:lineRule="auto"/>
        <w:outlineLvl w:val="9"/>
        <w:rPr>
          <w:rFonts w:ascii="Times New Roman" w:hAnsi="Times New Roman"/>
          <w:highlight w:val="none"/>
        </w:rPr>
      </w:pPr>
      <w:bookmarkStart w:id="14" w:name="_Toc8669"/>
      <w:bookmarkStart w:id="15" w:name="_Toc492300546"/>
      <w:bookmarkStart w:id="16" w:name="_Toc14321"/>
      <w:bookmarkStart w:id="17" w:name="_Toc13816"/>
      <w:bookmarkStart w:id="18" w:name="_Toc19438"/>
      <w:bookmarkStart w:id="19" w:name="_Toc12249"/>
      <w:bookmarkStart w:id="20" w:name="_Toc6984"/>
      <w:bookmarkStart w:id="21" w:name="_Toc4607"/>
    </w:p>
    <w:p w14:paraId="18169823">
      <w:pPr>
        <w:pStyle w:val="5"/>
        <w:bidi w:val="0"/>
        <w:rPr>
          <w:rFonts w:hint="eastAsia"/>
          <w:highlight w:val="none"/>
        </w:rPr>
      </w:pPr>
      <w:bookmarkStart w:id="22" w:name="_Toc19309"/>
      <w:bookmarkStart w:id="23" w:name="_Toc29260"/>
      <w:bookmarkStart w:id="24" w:name="_Toc7616"/>
      <w:r>
        <w:rPr>
          <w:rFonts w:hint="eastAsia"/>
          <w:highlight w:val="none"/>
        </w:rPr>
        <w:t>1.招标条件</w:t>
      </w:r>
      <w:bookmarkEnd w:id="14"/>
      <w:bookmarkEnd w:id="15"/>
      <w:bookmarkEnd w:id="16"/>
      <w:bookmarkEnd w:id="17"/>
      <w:bookmarkEnd w:id="18"/>
      <w:bookmarkEnd w:id="19"/>
      <w:bookmarkEnd w:id="20"/>
      <w:bookmarkEnd w:id="21"/>
      <w:bookmarkEnd w:id="22"/>
      <w:bookmarkEnd w:id="23"/>
      <w:bookmarkEnd w:id="24"/>
    </w:p>
    <w:p w14:paraId="19059092">
      <w:pPr>
        <w:spacing w:line="400" w:lineRule="exact"/>
        <w:ind w:firstLine="420" w:firstLineChars="200"/>
        <w:rPr>
          <w:rFonts w:ascii="Times New Roman" w:hAnsi="Times New Roman"/>
          <w:highlight w:val="none"/>
        </w:rPr>
      </w:pPr>
      <w:r>
        <w:rPr>
          <w:color w:val="auto"/>
          <w:highlight w:val="none"/>
        </w:rPr>
        <w:t>本招标项目</w:t>
      </w:r>
      <w:r>
        <w:rPr>
          <w:rFonts w:hint="eastAsia" w:ascii="宋体" w:hAnsi="宋体" w:eastAsia="宋体" w:cs="宋体"/>
          <w:color w:val="auto"/>
          <w:szCs w:val="21"/>
          <w:highlight w:val="none"/>
          <w:u w:val="single"/>
        </w:rPr>
        <w:t>文冲街文冲（渡头、文元、江北片）旧村全面改造项目</w:t>
      </w:r>
      <w:r>
        <w:rPr>
          <w:color w:val="auto"/>
          <w:highlight w:val="none"/>
        </w:rPr>
        <w:t>已</w:t>
      </w:r>
      <w:r>
        <w:rPr>
          <w:color w:val="auto"/>
          <w:spacing w:val="-1"/>
          <w:highlight w:val="none"/>
        </w:rPr>
        <w:t>由</w:t>
      </w:r>
      <w:r>
        <w:rPr>
          <w:rFonts w:hint="eastAsia" w:ascii="宋体" w:hAnsi="宋体" w:eastAsia="宋体" w:cs="宋体"/>
          <w:color w:val="auto"/>
          <w:szCs w:val="21"/>
          <w:highlight w:val="none"/>
          <w:u w:val="single"/>
        </w:rPr>
        <w:t>广东省企业投资项目备案证</w:t>
      </w:r>
      <w:r>
        <w:rPr>
          <w:rFonts w:ascii="宋体" w:hAnsi="宋体" w:eastAsia="宋体" w:cs="宋体"/>
          <w:color w:val="auto"/>
          <w:szCs w:val="21"/>
          <w:highlight w:val="none"/>
          <w:u w:val="single"/>
        </w:rPr>
        <w:t>(</w:t>
      </w:r>
      <w:r>
        <w:rPr>
          <w:rFonts w:hint="eastAsia" w:ascii="宋体" w:hAnsi="宋体" w:eastAsia="宋体" w:cs="宋体"/>
          <w:color w:val="auto"/>
          <w:szCs w:val="21"/>
          <w:highlight w:val="none"/>
          <w:u w:val="single"/>
          <w:lang w:eastAsia="zh-CN"/>
        </w:rPr>
        <w:t>2112-440112-04-01-407218</w:t>
      </w:r>
      <w:r>
        <w:rPr>
          <w:rFonts w:ascii="宋体" w:hAnsi="宋体" w:eastAsia="宋体" w:cs="宋体"/>
          <w:color w:val="auto"/>
          <w:szCs w:val="21"/>
          <w:highlight w:val="none"/>
          <w:u w:val="single"/>
        </w:rPr>
        <w:t>)</w:t>
      </w:r>
      <w:r>
        <w:rPr>
          <w:color w:val="auto"/>
          <w:spacing w:val="-3"/>
          <w:highlight w:val="none"/>
        </w:rPr>
        <w:t>批</w:t>
      </w:r>
      <w:r>
        <w:rPr>
          <w:color w:val="auto"/>
          <w:highlight w:val="none"/>
        </w:rPr>
        <w:t>准建</w:t>
      </w:r>
      <w:r>
        <w:rPr>
          <w:color w:val="auto"/>
          <w:spacing w:val="-3"/>
          <w:highlight w:val="none"/>
        </w:rPr>
        <w:t>设</w:t>
      </w:r>
      <w:r>
        <w:rPr>
          <w:color w:val="auto"/>
          <w:spacing w:val="-17"/>
          <w:highlight w:val="none"/>
        </w:rPr>
        <w:t>，</w:t>
      </w:r>
      <w:r>
        <w:rPr>
          <w:color w:val="auto"/>
          <w:highlight w:val="none"/>
        </w:rPr>
        <w:t>项</w:t>
      </w:r>
      <w:r>
        <w:rPr>
          <w:color w:val="auto"/>
          <w:spacing w:val="-3"/>
          <w:highlight w:val="none"/>
        </w:rPr>
        <w:t>目</w:t>
      </w:r>
      <w:r>
        <w:rPr>
          <w:color w:val="auto"/>
          <w:highlight w:val="none"/>
        </w:rPr>
        <w:t>业</w:t>
      </w:r>
      <w:r>
        <w:rPr>
          <w:color w:val="auto"/>
          <w:spacing w:val="-3"/>
          <w:highlight w:val="none"/>
        </w:rPr>
        <w:t>主</w:t>
      </w:r>
      <w:r>
        <w:rPr>
          <w:color w:val="auto"/>
          <w:spacing w:val="-1"/>
          <w:highlight w:val="none"/>
        </w:rPr>
        <w:t>为</w:t>
      </w:r>
      <w:r>
        <w:rPr>
          <w:rFonts w:hint="eastAsia" w:ascii="Times New Roman" w:hAnsi="Times New Roman"/>
          <w:highlight w:val="none"/>
          <w:u w:val="single"/>
          <w:lang w:eastAsia="zh-CN"/>
        </w:rPr>
        <w:t>广州黄埔文冲东片投资有限公司</w:t>
      </w:r>
      <w:r>
        <w:rPr>
          <w:color w:val="auto"/>
          <w:spacing w:val="-17"/>
          <w:highlight w:val="none"/>
        </w:rPr>
        <w:t>，</w:t>
      </w:r>
      <w:r>
        <w:rPr>
          <w:color w:val="auto"/>
          <w:highlight w:val="none"/>
        </w:rPr>
        <w:t>建</w:t>
      </w:r>
      <w:r>
        <w:rPr>
          <w:color w:val="auto"/>
          <w:spacing w:val="-3"/>
          <w:highlight w:val="none"/>
        </w:rPr>
        <w:t>设</w:t>
      </w:r>
      <w:r>
        <w:rPr>
          <w:color w:val="auto"/>
          <w:highlight w:val="none"/>
        </w:rPr>
        <w:t>资</w:t>
      </w:r>
      <w:r>
        <w:rPr>
          <w:color w:val="auto"/>
          <w:spacing w:val="-3"/>
          <w:highlight w:val="none"/>
        </w:rPr>
        <w:t>金</w:t>
      </w:r>
      <w:r>
        <w:rPr>
          <w:color w:val="auto"/>
          <w:highlight w:val="none"/>
        </w:rPr>
        <w:t>来</w:t>
      </w:r>
      <w:r>
        <w:rPr>
          <w:color w:val="auto"/>
          <w:spacing w:val="-1"/>
          <w:highlight w:val="none"/>
        </w:rPr>
        <w:t>自</w:t>
      </w:r>
      <w:r>
        <w:rPr>
          <w:rFonts w:hint="eastAsia" w:ascii="宋体" w:hAnsi="宋体" w:eastAsia="宋体" w:cs="宋体"/>
          <w:color w:val="auto"/>
          <w:szCs w:val="21"/>
          <w:highlight w:val="none"/>
          <w:u w:val="single"/>
        </w:rPr>
        <w:t>企业自筹</w:t>
      </w:r>
      <w:r>
        <w:rPr>
          <w:rFonts w:hint="eastAsia" w:ascii="Times New Roman" w:hAnsi="Times New Roman"/>
          <w:color w:val="auto"/>
          <w:highlight w:val="none"/>
          <w:u w:val="none"/>
          <w:lang w:eastAsia="zh-CN"/>
        </w:rPr>
        <w:t>，</w:t>
      </w:r>
      <w:r>
        <w:rPr>
          <w:color w:val="auto"/>
          <w:highlight w:val="none"/>
        </w:rPr>
        <w:t>出</w:t>
      </w:r>
      <w:r>
        <w:rPr>
          <w:color w:val="auto"/>
          <w:spacing w:val="-3"/>
          <w:highlight w:val="none"/>
        </w:rPr>
        <w:t>资</w:t>
      </w:r>
      <w:r>
        <w:rPr>
          <w:color w:val="auto"/>
          <w:highlight w:val="none"/>
        </w:rPr>
        <w:t>比</w:t>
      </w:r>
      <w:r>
        <w:rPr>
          <w:color w:val="auto"/>
          <w:spacing w:val="-3"/>
          <w:highlight w:val="none"/>
        </w:rPr>
        <w:t>例</w:t>
      </w:r>
      <w:r>
        <w:rPr>
          <w:color w:val="auto"/>
          <w:highlight w:val="none"/>
        </w:rPr>
        <w:t>为</w:t>
      </w:r>
      <w:r>
        <w:rPr>
          <w:rFonts w:hint="eastAsia"/>
          <w:color w:val="auto"/>
          <w:highlight w:val="none"/>
          <w:lang w:val="en-US" w:eastAsia="zh-CN"/>
        </w:rPr>
        <w:t>100%</w:t>
      </w:r>
      <w:r>
        <w:rPr>
          <w:color w:val="auto"/>
          <w:spacing w:val="-20"/>
          <w:highlight w:val="none"/>
        </w:rPr>
        <w:t>，</w:t>
      </w:r>
      <w:r>
        <w:rPr>
          <w:color w:val="auto"/>
          <w:highlight w:val="none"/>
        </w:rPr>
        <w:t>招</w:t>
      </w:r>
      <w:r>
        <w:rPr>
          <w:color w:val="auto"/>
          <w:spacing w:val="-3"/>
          <w:highlight w:val="none"/>
        </w:rPr>
        <w:t>标</w:t>
      </w:r>
      <w:r>
        <w:rPr>
          <w:color w:val="auto"/>
          <w:highlight w:val="none"/>
        </w:rPr>
        <w:t>人</w:t>
      </w:r>
      <w:r>
        <w:rPr>
          <w:color w:val="auto"/>
          <w:spacing w:val="-3"/>
          <w:highlight w:val="none"/>
        </w:rPr>
        <w:t>为</w:t>
      </w:r>
      <w:r>
        <w:rPr>
          <w:rFonts w:hint="eastAsia" w:ascii="Times New Roman" w:hAnsi="Times New Roman"/>
          <w:highlight w:val="none"/>
          <w:u w:val="single"/>
          <w:lang w:eastAsia="zh-CN"/>
        </w:rPr>
        <w:t>广州黄埔文冲东片投资有限公司</w:t>
      </w:r>
      <w:r>
        <w:rPr>
          <w:color w:val="auto"/>
          <w:spacing w:val="-22"/>
          <w:highlight w:val="none"/>
        </w:rPr>
        <w:t>。</w:t>
      </w:r>
      <w:r>
        <w:rPr>
          <w:color w:val="auto"/>
          <w:highlight w:val="none"/>
        </w:rPr>
        <w:t>项目</w:t>
      </w:r>
      <w:r>
        <w:rPr>
          <w:color w:val="auto"/>
          <w:spacing w:val="-3"/>
          <w:highlight w:val="none"/>
        </w:rPr>
        <w:t>已</w:t>
      </w:r>
      <w:r>
        <w:rPr>
          <w:color w:val="auto"/>
          <w:highlight w:val="none"/>
        </w:rPr>
        <w:t>具</w:t>
      </w:r>
      <w:r>
        <w:rPr>
          <w:color w:val="auto"/>
          <w:spacing w:val="-3"/>
          <w:highlight w:val="none"/>
        </w:rPr>
        <w:t>备招</w:t>
      </w:r>
      <w:r>
        <w:rPr>
          <w:color w:val="auto"/>
          <w:highlight w:val="none"/>
        </w:rPr>
        <w:t>标条件</w:t>
      </w:r>
      <w:r>
        <w:rPr>
          <w:rFonts w:hint="eastAsia" w:ascii="Times New Roman" w:hAnsi="Times New Roman"/>
          <w:highlight w:val="none"/>
        </w:rPr>
        <w:t>，现对该项目的监理进行公开招标。</w:t>
      </w:r>
    </w:p>
    <w:p w14:paraId="431CD6FD">
      <w:pPr>
        <w:pStyle w:val="5"/>
        <w:bidi w:val="0"/>
        <w:rPr>
          <w:rFonts w:hint="eastAsia"/>
          <w:highlight w:val="none"/>
        </w:rPr>
      </w:pPr>
      <w:bookmarkStart w:id="25" w:name="_Toc23202"/>
      <w:bookmarkStart w:id="26" w:name="_Toc15996"/>
      <w:bookmarkStart w:id="27" w:name="_Toc492300547"/>
      <w:bookmarkStart w:id="28" w:name="_Toc17994"/>
      <w:bookmarkStart w:id="29" w:name="_Toc8135"/>
      <w:bookmarkStart w:id="30" w:name="_Toc20915"/>
      <w:bookmarkStart w:id="31" w:name="_Toc26461"/>
      <w:bookmarkStart w:id="32" w:name="_Toc9097"/>
      <w:bookmarkStart w:id="33" w:name="_Toc12610"/>
      <w:bookmarkStart w:id="34" w:name="_Toc16756"/>
      <w:bookmarkStart w:id="35" w:name="_Toc5569"/>
    </w:p>
    <w:p w14:paraId="03C84899">
      <w:pPr>
        <w:pStyle w:val="5"/>
        <w:bidi w:val="0"/>
        <w:rPr>
          <w:rFonts w:hint="eastAsia"/>
          <w:highlight w:val="none"/>
        </w:rPr>
      </w:pPr>
      <w:r>
        <w:rPr>
          <w:rFonts w:hint="eastAsia"/>
          <w:highlight w:val="none"/>
        </w:rPr>
        <w:t>2.项目概况与招标范围</w:t>
      </w:r>
      <w:bookmarkEnd w:id="25"/>
      <w:bookmarkEnd w:id="26"/>
      <w:bookmarkEnd w:id="27"/>
      <w:bookmarkEnd w:id="28"/>
      <w:bookmarkEnd w:id="29"/>
      <w:bookmarkEnd w:id="30"/>
      <w:bookmarkEnd w:id="31"/>
      <w:bookmarkEnd w:id="32"/>
      <w:bookmarkEnd w:id="33"/>
      <w:bookmarkEnd w:id="34"/>
      <w:bookmarkEnd w:id="35"/>
    </w:p>
    <w:p w14:paraId="2C000C9C">
      <w:pPr>
        <w:keepNext w:val="0"/>
        <w:keepLines w:val="0"/>
        <w:pageBreakBefore w:val="0"/>
        <w:widowControl w:val="0"/>
        <w:tabs>
          <w:tab w:val="left" w:pos="7513"/>
        </w:tabs>
        <w:kinsoku/>
        <w:wordWrap/>
        <w:overflowPunct/>
        <w:topLinePunct w:val="0"/>
        <w:autoSpaceDE w:val="0"/>
        <w:autoSpaceDN w:val="0"/>
        <w:bidi w:val="0"/>
        <w:adjustRightInd w:val="0"/>
        <w:snapToGrid/>
        <w:spacing w:line="360" w:lineRule="auto"/>
        <w:textAlignment w:val="auto"/>
        <w:rPr>
          <w:rFonts w:hint="default" w:ascii="宋体" w:hAnsi="宋体" w:eastAsia="宋体" w:cs="Times New Roman"/>
          <w:color w:val="auto"/>
          <w:sz w:val="21"/>
          <w:szCs w:val="21"/>
          <w:highlight w:val="none"/>
          <w:lang w:val="en-US" w:eastAsia="zh-CN"/>
        </w:rPr>
      </w:pPr>
      <w:bookmarkStart w:id="36" w:name="_Toc17345"/>
      <w:r>
        <w:rPr>
          <w:rFonts w:hint="default" w:ascii="宋体" w:hAnsi="宋体" w:eastAsia="宋体" w:cs="Times New Roman"/>
          <w:color w:val="auto"/>
          <w:sz w:val="21"/>
          <w:szCs w:val="21"/>
          <w:highlight w:val="none"/>
          <w:lang w:val="en-US" w:eastAsia="zh-CN"/>
        </w:rPr>
        <w:t>2.1</w:t>
      </w:r>
      <w:r>
        <w:rPr>
          <w:rFonts w:hint="eastAsia" w:ascii="宋体" w:hAnsi="宋体" w:eastAsia="宋体" w:cs="Times New Roman"/>
          <w:color w:val="auto"/>
          <w:sz w:val="21"/>
          <w:szCs w:val="21"/>
          <w:highlight w:val="none"/>
          <w:lang w:val="en-US" w:eastAsia="zh-CN"/>
        </w:rPr>
        <w:t xml:space="preserve"> </w:t>
      </w:r>
      <w:r>
        <w:rPr>
          <w:rFonts w:hint="default" w:ascii="宋体" w:hAnsi="宋体" w:eastAsia="宋体" w:cs="Times New Roman"/>
          <w:color w:val="auto"/>
          <w:sz w:val="21"/>
          <w:szCs w:val="21"/>
          <w:highlight w:val="none"/>
          <w:lang w:val="en-US" w:eastAsia="zh-CN"/>
        </w:rPr>
        <w:t>招标项目概况</w:t>
      </w:r>
      <w:bookmarkEnd w:id="36"/>
    </w:p>
    <w:p w14:paraId="0D43E186">
      <w:pPr>
        <w:keepNext w:val="0"/>
        <w:keepLines w:val="0"/>
        <w:pageBreakBefore w:val="0"/>
        <w:widowControl w:val="0"/>
        <w:tabs>
          <w:tab w:val="left" w:pos="7513"/>
        </w:tabs>
        <w:kinsoku/>
        <w:overflowPunct/>
        <w:topLinePunct w:val="0"/>
        <w:autoSpaceDE w:val="0"/>
        <w:autoSpaceDN w:val="0"/>
        <w:bidi w:val="0"/>
        <w:snapToGrid/>
        <w:spacing w:line="360" w:lineRule="auto"/>
        <w:ind w:firstLine="371" w:firstLineChars="177"/>
        <w:jc w:val="both"/>
        <w:textAlignment w:val="auto"/>
        <w:rPr>
          <w:rFonts w:hint="default" w:ascii="宋体" w:hAnsi="宋体"/>
          <w:color w:val="auto"/>
          <w:sz w:val="21"/>
          <w:szCs w:val="21"/>
          <w:highlight w:val="none"/>
          <w:u w:val="single"/>
          <w:lang w:val="en-US" w:eastAsia="zh-CN"/>
        </w:rPr>
      </w:pPr>
      <w:bookmarkStart w:id="37" w:name="_Toc13481"/>
      <w:r>
        <w:rPr>
          <w:rFonts w:hint="default" w:ascii="宋体" w:hAnsi="宋体" w:eastAsia="宋体"/>
          <w:color w:val="auto"/>
          <w:sz w:val="21"/>
          <w:szCs w:val="21"/>
          <w:highlight w:val="none"/>
        </w:rPr>
        <w:t>2.1.</w:t>
      </w:r>
      <w:r>
        <w:rPr>
          <w:rFonts w:hint="eastAsia" w:ascii="宋体" w:hAnsi="宋体"/>
          <w:color w:val="auto"/>
          <w:sz w:val="21"/>
          <w:szCs w:val="21"/>
          <w:highlight w:val="none"/>
          <w:lang w:val="en-US" w:eastAsia="zh-CN"/>
        </w:rPr>
        <w:t>1 招标项目固定资产投资项目代码：</w:t>
      </w:r>
      <w:r>
        <w:rPr>
          <w:rFonts w:hint="eastAsia" w:ascii="宋体" w:hAnsi="宋体" w:eastAsia="宋体" w:cs="宋体"/>
          <w:color w:val="auto"/>
          <w:szCs w:val="21"/>
          <w:highlight w:val="none"/>
          <w:u w:val="single"/>
          <w:lang w:eastAsia="zh-CN"/>
        </w:rPr>
        <w:t>2112-440112-04-01-407218</w:t>
      </w:r>
    </w:p>
    <w:p w14:paraId="75A68353">
      <w:pPr>
        <w:keepNext w:val="0"/>
        <w:keepLines w:val="0"/>
        <w:pageBreakBefore w:val="0"/>
        <w:widowControl w:val="0"/>
        <w:tabs>
          <w:tab w:val="left" w:pos="7513"/>
        </w:tabs>
        <w:kinsoku/>
        <w:overflowPunct/>
        <w:topLinePunct w:val="0"/>
        <w:autoSpaceDE w:val="0"/>
        <w:autoSpaceDN w:val="0"/>
        <w:bidi w:val="0"/>
        <w:snapToGrid/>
        <w:spacing w:line="360" w:lineRule="auto"/>
        <w:ind w:firstLine="371" w:firstLineChars="177"/>
        <w:jc w:val="both"/>
        <w:textAlignment w:val="auto"/>
        <w:rPr>
          <w:rFonts w:hint="default" w:ascii="宋体" w:hAnsi="宋体"/>
          <w:color w:val="auto"/>
          <w:sz w:val="21"/>
          <w:szCs w:val="21"/>
          <w:highlight w:val="none"/>
          <w:u w:val="single"/>
          <w:lang w:val="en-US" w:eastAsia="zh-CN"/>
        </w:rPr>
      </w:pPr>
      <w:r>
        <w:rPr>
          <w:rFonts w:hint="eastAsia" w:ascii="宋体" w:hAnsi="宋体"/>
          <w:color w:val="auto"/>
          <w:sz w:val="21"/>
          <w:szCs w:val="21"/>
          <w:highlight w:val="none"/>
          <w:lang w:val="en-US" w:eastAsia="zh-CN"/>
        </w:rPr>
        <w:t>2.1.2 招标项目名称：</w:t>
      </w:r>
      <w:r>
        <w:rPr>
          <w:rFonts w:hint="eastAsia" w:ascii="宋体" w:hAnsi="宋体"/>
          <w:color w:val="auto"/>
          <w:sz w:val="21"/>
          <w:szCs w:val="21"/>
          <w:highlight w:val="none"/>
          <w:u w:val="single"/>
          <w:lang w:val="en-US" w:eastAsia="zh-CN"/>
        </w:rPr>
        <w:t>文冲街文冲(渡头、文元、江北片)旧村全面改造项目代建市政道路（①、⑤、⑥、⑦号路）项目监理服务</w:t>
      </w:r>
    </w:p>
    <w:p w14:paraId="2E7EEB69">
      <w:pPr>
        <w:keepNext w:val="0"/>
        <w:keepLines w:val="0"/>
        <w:pageBreakBefore w:val="0"/>
        <w:widowControl w:val="0"/>
        <w:tabs>
          <w:tab w:val="left" w:pos="7513"/>
        </w:tabs>
        <w:kinsoku/>
        <w:overflowPunct/>
        <w:topLinePunct w:val="0"/>
        <w:autoSpaceDE w:val="0"/>
        <w:autoSpaceDN w:val="0"/>
        <w:bidi w:val="0"/>
        <w:snapToGrid/>
        <w:spacing w:line="360" w:lineRule="auto"/>
        <w:ind w:firstLine="371" w:firstLineChars="177"/>
        <w:jc w:val="both"/>
        <w:textAlignment w:val="auto"/>
        <w:rPr>
          <w:rFonts w:hint="default" w:ascii="宋体" w:hAnsi="宋体" w:eastAsia="宋体" w:cs="宋体"/>
          <w:color w:val="auto"/>
          <w:sz w:val="21"/>
          <w:szCs w:val="21"/>
          <w:highlight w:val="none"/>
          <w:lang w:eastAsia="zh-CN"/>
        </w:rPr>
      </w:pPr>
      <w:r>
        <w:rPr>
          <w:rFonts w:hint="eastAsia" w:ascii="宋体" w:hAnsi="宋体"/>
          <w:color w:val="auto"/>
          <w:sz w:val="21"/>
          <w:szCs w:val="21"/>
          <w:highlight w:val="none"/>
          <w:lang w:val="en-US" w:eastAsia="zh-CN"/>
        </w:rPr>
        <w:t xml:space="preserve">2.1.3 </w:t>
      </w:r>
      <w:r>
        <w:rPr>
          <w:rFonts w:hint="default" w:ascii="宋体" w:hAnsi="宋体" w:eastAsia="宋体"/>
          <w:color w:val="auto"/>
          <w:sz w:val="21"/>
          <w:szCs w:val="21"/>
          <w:highlight w:val="none"/>
        </w:rPr>
        <w:t>工程建设地点：</w:t>
      </w:r>
      <w:r>
        <w:rPr>
          <w:rFonts w:hint="eastAsia" w:ascii="宋体" w:hAnsi="宋体" w:eastAsia="宋体" w:cs="宋体"/>
          <w:color w:val="auto"/>
          <w:szCs w:val="21"/>
          <w:highlight w:val="none"/>
          <w:u w:val="single"/>
        </w:rPr>
        <w:t>项目位于广园快速路以南，石化路、黄埔东路两侧，紧邻文冲地铁站，在万科城市花园以东，广州航海学院以西，状元谷以南、文冲船厂以北</w:t>
      </w:r>
      <w:r>
        <w:rPr>
          <w:rFonts w:hint="eastAsia" w:ascii="宋体" w:hAnsi="宋体" w:eastAsia="宋体" w:cs="宋体"/>
          <w:color w:val="auto"/>
          <w:szCs w:val="21"/>
          <w:highlight w:val="none"/>
          <w:u w:val="single"/>
          <w:lang w:eastAsia="zh-CN"/>
        </w:rPr>
        <w:t>。</w:t>
      </w:r>
      <w:r>
        <w:rPr>
          <w:rFonts w:hint="default" w:ascii="宋体" w:hAnsi="宋体" w:eastAsia="宋体"/>
          <w:color w:val="auto"/>
          <w:sz w:val="21"/>
          <w:szCs w:val="21"/>
          <w:highlight w:val="none"/>
          <w:lang w:val="en-US" w:eastAsia="zh-CN"/>
        </w:rPr>
        <w:t xml:space="preserve"> </w:t>
      </w:r>
    </w:p>
    <w:p w14:paraId="5D7D73EB">
      <w:pPr>
        <w:keepNext w:val="0"/>
        <w:keepLines w:val="0"/>
        <w:pageBreakBefore w:val="0"/>
        <w:widowControl w:val="0"/>
        <w:tabs>
          <w:tab w:val="left" w:pos="7513"/>
        </w:tabs>
        <w:kinsoku/>
        <w:overflowPunct/>
        <w:topLinePunct w:val="0"/>
        <w:autoSpaceDE w:val="0"/>
        <w:autoSpaceDN w:val="0"/>
        <w:bidi w:val="0"/>
        <w:snapToGrid/>
        <w:spacing w:line="360" w:lineRule="auto"/>
        <w:ind w:firstLine="371" w:firstLineChars="177"/>
        <w:jc w:val="both"/>
        <w:textAlignment w:val="auto"/>
        <w:rPr>
          <w:rFonts w:hint="default"/>
          <w:color w:val="auto"/>
          <w:sz w:val="21"/>
          <w:szCs w:val="21"/>
          <w:highlight w:val="none"/>
          <w:u w:val="single"/>
          <w:lang w:val="en-US" w:eastAsia="zh-CN"/>
        </w:rPr>
      </w:pPr>
      <w:r>
        <w:rPr>
          <w:rFonts w:hint="default" w:ascii="宋体" w:hAnsi="宋体" w:eastAsia="宋体"/>
          <w:color w:val="auto"/>
          <w:sz w:val="21"/>
          <w:szCs w:val="21"/>
          <w:highlight w:val="none"/>
        </w:rPr>
        <w:t>2.1.</w:t>
      </w:r>
      <w:r>
        <w:rPr>
          <w:rFonts w:hint="eastAsia" w:ascii="宋体" w:hAnsi="宋体"/>
          <w:color w:val="auto"/>
          <w:sz w:val="21"/>
          <w:szCs w:val="21"/>
          <w:highlight w:val="none"/>
          <w:lang w:val="en-US" w:eastAsia="zh-CN"/>
        </w:rPr>
        <w:t xml:space="preserve">4 </w:t>
      </w:r>
      <w:r>
        <w:rPr>
          <w:rFonts w:hint="default" w:ascii="宋体" w:hAnsi="宋体" w:eastAsia="宋体"/>
          <w:color w:val="auto"/>
          <w:sz w:val="21"/>
          <w:szCs w:val="21"/>
          <w:highlight w:val="none"/>
        </w:rPr>
        <w:t>工程建设规模</w:t>
      </w:r>
      <w:r>
        <w:rPr>
          <w:rFonts w:hint="default" w:ascii="宋体" w:hAnsi="Times New Roman" w:eastAsia="宋体"/>
          <w:color w:val="auto"/>
          <w:sz w:val="21"/>
          <w:szCs w:val="21"/>
          <w:highlight w:val="none"/>
        </w:rPr>
        <w:t>：</w:t>
      </w:r>
      <w:r>
        <w:rPr>
          <w:rFonts w:hint="eastAsia" w:ascii="宋体" w:hAnsi="宋体" w:eastAsia="宋体" w:cs="宋体"/>
          <w:color w:val="auto"/>
          <w:szCs w:val="21"/>
          <w:highlight w:val="none"/>
          <w:u w:val="single"/>
        </w:rPr>
        <w:t>本次代建城市道路项目一期工程包含</w:t>
      </w:r>
      <w:r>
        <w:rPr>
          <w:rFonts w:hint="eastAsia" w:ascii="宋体" w:hAnsi="宋体" w:eastAsia="宋体" w:cs="宋体"/>
          <w:color w:val="auto"/>
          <w:szCs w:val="21"/>
          <w:highlight w:val="none"/>
          <w:u w:val="single"/>
          <w:lang w:val="en-US" w:eastAsia="zh-CN"/>
        </w:rPr>
        <w:t>4</w:t>
      </w:r>
      <w:r>
        <w:rPr>
          <w:rFonts w:hint="eastAsia" w:ascii="宋体" w:hAnsi="宋体" w:eastAsia="宋体" w:cs="宋体"/>
          <w:color w:val="auto"/>
          <w:szCs w:val="21"/>
          <w:highlight w:val="none"/>
          <w:u w:val="single"/>
        </w:rPr>
        <w:t>条市政道路，道路总长</w:t>
      </w:r>
      <w:r>
        <w:rPr>
          <w:rFonts w:hint="eastAsia" w:ascii="宋体" w:hAnsi="宋体" w:eastAsia="宋体" w:cs="宋体"/>
          <w:color w:val="auto"/>
          <w:szCs w:val="21"/>
          <w:highlight w:val="none"/>
          <w:u w:val="single"/>
          <w:lang w:val="en-US" w:eastAsia="zh-CN"/>
        </w:rPr>
        <w:t>1970.313</w:t>
      </w:r>
      <w:r>
        <w:rPr>
          <w:rFonts w:hint="eastAsia" w:ascii="宋体" w:hAnsi="宋体" w:eastAsia="宋体" w:cs="宋体"/>
          <w:color w:val="auto"/>
          <w:szCs w:val="21"/>
          <w:highlight w:val="none"/>
          <w:u w:val="single"/>
        </w:rPr>
        <w:t>m，其中</w:t>
      </w:r>
      <w:r>
        <w:rPr>
          <w:rFonts w:hint="eastAsia" w:ascii="宋体" w:hAnsi="宋体" w:eastAsia="宋体" w:cs="宋体"/>
          <w:color w:val="auto"/>
          <w:szCs w:val="21"/>
          <w:highlight w:val="none"/>
          <w:u w:val="single"/>
          <w:lang w:val="en-US" w:eastAsia="zh-CN"/>
        </w:rPr>
        <w:t>1</w:t>
      </w:r>
      <w:r>
        <w:rPr>
          <w:rFonts w:hint="eastAsia" w:ascii="宋体" w:hAnsi="宋体" w:eastAsia="宋体" w:cs="宋体"/>
          <w:color w:val="auto"/>
          <w:szCs w:val="21"/>
          <w:highlight w:val="none"/>
          <w:u w:val="single"/>
        </w:rPr>
        <w:t>号路</w:t>
      </w:r>
      <w:r>
        <w:rPr>
          <w:rFonts w:hint="eastAsia" w:ascii="宋体" w:hAnsi="宋体" w:eastAsia="宋体" w:cs="宋体"/>
          <w:color w:val="auto"/>
          <w:szCs w:val="21"/>
          <w:highlight w:val="none"/>
          <w:u w:val="single"/>
          <w:lang w:val="en-US" w:eastAsia="zh-CN"/>
        </w:rPr>
        <w:t>道路长度487.391m</w:t>
      </w:r>
      <w:r>
        <w:rPr>
          <w:rFonts w:hint="eastAsia" w:ascii="宋体" w:hAnsi="宋体" w:eastAsia="宋体" w:cs="宋体"/>
          <w:color w:val="auto"/>
          <w:szCs w:val="21"/>
          <w:highlight w:val="none"/>
          <w:u w:val="single"/>
        </w:rPr>
        <w:t>、5号路</w:t>
      </w:r>
      <w:r>
        <w:rPr>
          <w:rFonts w:hint="eastAsia" w:ascii="宋体" w:hAnsi="宋体" w:eastAsia="宋体" w:cs="宋体"/>
          <w:color w:val="auto"/>
          <w:szCs w:val="21"/>
          <w:highlight w:val="none"/>
          <w:u w:val="single"/>
          <w:lang w:val="en-US" w:eastAsia="zh-CN"/>
        </w:rPr>
        <w:t>道路长度510.733m，</w:t>
      </w:r>
      <w:r>
        <w:rPr>
          <w:rFonts w:hint="eastAsia" w:ascii="宋体" w:hAnsi="宋体" w:eastAsia="宋体" w:cs="宋体"/>
          <w:color w:val="auto"/>
          <w:szCs w:val="21"/>
          <w:highlight w:val="none"/>
          <w:u w:val="single"/>
        </w:rPr>
        <w:t>红线</w:t>
      </w:r>
      <w:r>
        <w:rPr>
          <w:rFonts w:hint="eastAsia" w:ascii="宋体" w:hAnsi="宋体" w:eastAsia="宋体" w:cs="宋体"/>
          <w:color w:val="auto"/>
          <w:szCs w:val="21"/>
          <w:highlight w:val="none"/>
          <w:u w:val="single"/>
          <w:lang w:val="en-US" w:eastAsia="zh-CN"/>
        </w:rPr>
        <w:t>宽度均为</w:t>
      </w:r>
      <w:r>
        <w:rPr>
          <w:rFonts w:hint="eastAsia" w:ascii="宋体" w:hAnsi="宋体" w:eastAsia="宋体" w:cs="宋体"/>
          <w:color w:val="auto"/>
          <w:szCs w:val="21"/>
          <w:highlight w:val="none"/>
          <w:u w:val="single"/>
        </w:rPr>
        <w:t>15m，道路等级</w:t>
      </w:r>
      <w:r>
        <w:rPr>
          <w:rFonts w:hint="eastAsia" w:ascii="宋体" w:hAnsi="宋体" w:eastAsia="宋体" w:cs="宋体"/>
          <w:color w:val="auto"/>
          <w:szCs w:val="21"/>
          <w:highlight w:val="none"/>
          <w:u w:val="single"/>
          <w:lang w:val="en-US" w:eastAsia="zh-CN"/>
        </w:rPr>
        <w:t>均</w:t>
      </w:r>
      <w:r>
        <w:rPr>
          <w:rFonts w:hint="eastAsia" w:ascii="宋体" w:hAnsi="宋体" w:eastAsia="宋体" w:cs="宋体"/>
          <w:color w:val="auto"/>
          <w:szCs w:val="21"/>
          <w:highlight w:val="none"/>
          <w:u w:val="single"/>
        </w:rPr>
        <w:t>为城市支路</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6号</w:t>
      </w:r>
      <w:r>
        <w:rPr>
          <w:rFonts w:hint="eastAsia" w:ascii="宋体" w:hAnsi="宋体" w:eastAsia="宋体" w:cs="宋体"/>
          <w:color w:val="auto"/>
          <w:szCs w:val="21"/>
          <w:highlight w:val="none"/>
          <w:u w:val="single"/>
          <w:lang w:val="en-US" w:eastAsia="zh-CN"/>
        </w:rPr>
        <w:t>路道路长度829.327m，</w:t>
      </w:r>
      <w:r>
        <w:rPr>
          <w:rFonts w:hint="eastAsia" w:ascii="宋体" w:hAnsi="宋体" w:eastAsia="宋体" w:cs="宋体"/>
          <w:color w:val="auto"/>
          <w:szCs w:val="21"/>
          <w:highlight w:val="none"/>
          <w:u w:val="single"/>
        </w:rPr>
        <w:t>红线</w:t>
      </w:r>
      <w:r>
        <w:rPr>
          <w:rFonts w:hint="eastAsia" w:ascii="宋体" w:hAnsi="宋体" w:eastAsia="宋体" w:cs="宋体"/>
          <w:color w:val="auto"/>
          <w:szCs w:val="21"/>
          <w:highlight w:val="none"/>
          <w:u w:val="single"/>
          <w:lang w:val="en-US" w:eastAsia="zh-CN"/>
        </w:rPr>
        <w:t>宽度为</w:t>
      </w:r>
      <w:r>
        <w:rPr>
          <w:rFonts w:hint="eastAsia" w:ascii="宋体" w:hAnsi="宋体" w:eastAsia="宋体" w:cs="宋体"/>
          <w:color w:val="auto"/>
          <w:szCs w:val="21"/>
          <w:highlight w:val="none"/>
          <w:u w:val="single"/>
        </w:rPr>
        <w:t>30m，道路等级为城市次干路；7 号路</w:t>
      </w:r>
      <w:r>
        <w:rPr>
          <w:rFonts w:hint="eastAsia" w:ascii="宋体" w:hAnsi="宋体" w:eastAsia="宋体" w:cs="宋体"/>
          <w:color w:val="auto"/>
          <w:szCs w:val="21"/>
          <w:highlight w:val="none"/>
          <w:u w:val="single"/>
          <w:lang w:val="en-US" w:eastAsia="zh-CN"/>
        </w:rPr>
        <w:t>道路长度142.862m，</w:t>
      </w:r>
      <w:r>
        <w:rPr>
          <w:rFonts w:hint="eastAsia" w:ascii="宋体" w:hAnsi="宋体" w:eastAsia="宋体" w:cs="宋体"/>
          <w:color w:val="auto"/>
          <w:szCs w:val="21"/>
          <w:highlight w:val="none"/>
          <w:u w:val="single"/>
        </w:rPr>
        <w:t>红线</w:t>
      </w:r>
      <w:r>
        <w:rPr>
          <w:rFonts w:hint="eastAsia" w:ascii="宋体" w:hAnsi="宋体" w:eastAsia="宋体" w:cs="宋体"/>
          <w:color w:val="auto"/>
          <w:szCs w:val="21"/>
          <w:highlight w:val="none"/>
          <w:u w:val="single"/>
          <w:lang w:val="en-US" w:eastAsia="zh-CN"/>
        </w:rPr>
        <w:t>宽度为20</w:t>
      </w:r>
      <w:r>
        <w:rPr>
          <w:rFonts w:hint="eastAsia" w:ascii="宋体" w:hAnsi="宋体" w:eastAsia="宋体" w:cs="宋体"/>
          <w:color w:val="auto"/>
          <w:szCs w:val="21"/>
          <w:highlight w:val="none"/>
          <w:u w:val="single"/>
        </w:rPr>
        <w:t>m，道路等级为城市支路。建设内容包含</w:t>
      </w:r>
      <w:r>
        <w:rPr>
          <w:rFonts w:hint="eastAsia" w:ascii="宋体" w:hAnsi="宋体" w:eastAsia="宋体" w:cs="宋体"/>
          <w:color w:val="auto"/>
          <w:szCs w:val="21"/>
          <w:highlight w:val="none"/>
          <w:u w:val="single"/>
          <w:lang w:val="en-US" w:eastAsia="zh-CN"/>
        </w:rPr>
        <w:t>但不限于</w:t>
      </w:r>
      <w:r>
        <w:rPr>
          <w:rFonts w:hint="eastAsia" w:ascii="宋体" w:hAnsi="宋体" w:eastAsia="宋体" w:cs="宋体"/>
          <w:color w:val="auto"/>
          <w:szCs w:val="21"/>
          <w:highlight w:val="none"/>
          <w:u w:val="single"/>
        </w:rPr>
        <w:t>道路工程、交通工程（包含信号、监控及智慧城市）、桥（涵）隧工程、给水工程（含消火栓系统）、排水工程（雨污及管线综合）、照明工程、绿化工程、电力管沟工程、通信管沟工程、道路交通组织、交通信号及监控（智慧城市）、消火栓系统、燃气工程</w:t>
      </w:r>
      <w:r>
        <w:rPr>
          <w:rFonts w:hint="eastAsia" w:ascii="宋体" w:hAnsi="宋体" w:eastAsia="宋体" w:cs="宋体"/>
          <w:color w:val="auto"/>
          <w:szCs w:val="21"/>
          <w:highlight w:val="none"/>
          <w:u w:val="single"/>
          <w:lang w:val="en-US" w:eastAsia="zh-CN"/>
        </w:rPr>
        <w:t>等</w:t>
      </w:r>
      <w:r>
        <w:rPr>
          <w:rFonts w:hint="eastAsia" w:ascii="宋体" w:hAnsi="宋体" w:eastAsia="宋体" w:cs="宋体"/>
          <w:color w:val="auto"/>
          <w:szCs w:val="21"/>
          <w:highlight w:val="none"/>
          <w:u w:val="single"/>
        </w:rPr>
        <w:t>。（具体详见施工图纸等资料）</w:t>
      </w:r>
    </w:p>
    <w:p w14:paraId="0642587A">
      <w:pPr>
        <w:keepNext w:val="0"/>
        <w:keepLines w:val="0"/>
        <w:pageBreakBefore w:val="0"/>
        <w:widowControl w:val="0"/>
        <w:tabs>
          <w:tab w:val="left" w:pos="7513"/>
        </w:tabs>
        <w:kinsoku/>
        <w:overflowPunct/>
        <w:topLinePunct w:val="0"/>
        <w:autoSpaceDE w:val="0"/>
        <w:autoSpaceDN w:val="0"/>
        <w:bidi w:val="0"/>
        <w:snapToGrid/>
        <w:spacing w:line="360" w:lineRule="auto"/>
        <w:ind w:firstLine="371" w:firstLineChars="177"/>
        <w:jc w:val="both"/>
        <w:textAlignment w:val="auto"/>
        <w:rPr>
          <w:rFonts w:hint="default"/>
          <w:color w:val="auto"/>
          <w:sz w:val="21"/>
          <w:szCs w:val="21"/>
          <w:highlight w:val="none"/>
          <w:u w:val="single"/>
          <w:lang w:val="en-US" w:eastAsia="zh-CN"/>
        </w:rPr>
      </w:pPr>
      <w:r>
        <w:rPr>
          <w:rFonts w:hint="default" w:ascii="宋体" w:hAnsi="宋体" w:eastAsia="宋体"/>
          <w:color w:val="auto"/>
          <w:sz w:val="21"/>
          <w:szCs w:val="21"/>
          <w:highlight w:val="none"/>
        </w:rPr>
        <w:t>2.1.</w:t>
      </w:r>
      <w:r>
        <w:rPr>
          <w:rFonts w:hint="eastAsia" w:ascii="宋体" w:hAnsi="宋体" w:eastAsia="宋体"/>
          <w:color w:val="auto"/>
          <w:sz w:val="21"/>
          <w:szCs w:val="21"/>
          <w:highlight w:val="none"/>
          <w:lang w:val="en-US" w:eastAsia="zh-CN"/>
        </w:rPr>
        <w:t xml:space="preserve">5 </w:t>
      </w:r>
      <w:r>
        <w:rPr>
          <w:rFonts w:hint="default" w:ascii="宋体" w:hAnsi="宋体" w:eastAsia="宋体"/>
          <w:color w:val="auto"/>
          <w:sz w:val="21"/>
          <w:szCs w:val="22"/>
          <w:highlight w:val="none"/>
        </w:rPr>
        <w:t>工程</w:t>
      </w:r>
      <w:r>
        <w:rPr>
          <w:rFonts w:hint="eastAsia" w:ascii="宋体" w:hAnsi="宋体" w:eastAsia="宋体"/>
          <w:color w:val="auto"/>
          <w:sz w:val="21"/>
          <w:szCs w:val="22"/>
          <w:highlight w:val="none"/>
          <w:lang w:val="en-US" w:eastAsia="zh-CN"/>
        </w:rPr>
        <w:t>预</w:t>
      </w:r>
      <w:r>
        <w:rPr>
          <w:rFonts w:hint="eastAsia" w:ascii="宋体" w:hAnsi="宋体" w:eastAsia="宋体"/>
          <w:color w:val="auto"/>
          <w:sz w:val="21"/>
          <w:szCs w:val="22"/>
          <w:highlight w:val="none"/>
          <w:lang w:eastAsia="zh-CN"/>
        </w:rPr>
        <w:t>算</w:t>
      </w:r>
      <w:r>
        <w:rPr>
          <w:rFonts w:hint="default" w:ascii="宋体" w:hAnsi="宋体" w:eastAsia="宋体"/>
          <w:color w:val="auto"/>
          <w:sz w:val="21"/>
          <w:szCs w:val="22"/>
          <w:highlight w:val="none"/>
        </w:rPr>
        <w:t>建筑安装工程费</w:t>
      </w:r>
      <w:r>
        <w:rPr>
          <w:rFonts w:hint="default" w:ascii="宋体" w:hAnsi="Times New Roman" w:eastAsia="宋体"/>
          <w:color w:val="auto"/>
          <w:sz w:val="21"/>
          <w:szCs w:val="21"/>
          <w:highlight w:val="none"/>
        </w:rPr>
        <w:t>：</w:t>
      </w:r>
      <w:r>
        <w:rPr>
          <w:rFonts w:hint="eastAsia" w:ascii="宋体" w:hAnsi="Times New Roman"/>
          <w:color w:val="auto"/>
          <w:sz w:val="21"/>
          <w:szCs w:val="21"/>
          <w:highlight w:val="none"/>
          <w:u w:val="single"/>
          <w:lang w:val="en-US" w:eastAsia="zh-CN"/>
        </w:rPr>
        <w:t>5212.5</w:t>
      </w:r>
      <w:r>
        <w:rPr>
          <w:rFonts w:hint="default"/>
          <w:color w:val="auto"/>
          <w:sz w:val="21"/>
          <w:szCs w:val="21"/>
          <w:highlight w:val="none"/>
          <w:u w:val="single"/>
          <w:lang w:val="en-US" w:eastAsia="zh-CN"/>
        </w:rPr>
        <w:t>万元。</w:t>
      </w:r>
    </w:p>
    <w:p w14:paraId="278887B9">
      <w:pPr>
        <w:tabs>
          <w:tab w:val="left" w:pos="7513"/>
        </w:tabs>
        <w:spacing w:line="360" w:lineRule="auto"/>
        <w:rPr>
          <w:rFonts w:hint="default" w:ascii="宋体" w:hAnsi="宋体" w:eastAsia="宋体" w:cs="Times New Roman"/>
          <w:color w:val="auto"/>
          <w:sz w:val="21"/>
          <w:szCs w:val="21"/>
          <w:highlight w:val="none"/>
          <w:lang w:val="en-US" w:eastAsia="zh-CN"/>
        </w:rPr>
      </w:pPr>
    </w:p>
    <w:p w14:paraId="01A7BD48">
      <w:pPr>
        <w:tabs>
          <w:tab w:val="left" w:pos="7513"/>
        </w:tabs>
        <w:spacing w:line="360" w:lineRule="auto"/>
        <w:rPr>
          <w:rFonts w:hint="default" w:ascii="宋体" w:hAnsi="宋体" w:eastAsia="宋体" w:cs="Times New Roman"/>
          <w:color w:val="auto"/>
          <w:sz w:val="21"/>
          <w:szCs w:val="21"/>
          <w:highlight w:val="none"/>
          <w:lang w:val="en-US" w:eastAsia="zh-CN"/>
        </w:rPr>
      </w:pPr>
      <w:r>
        <w:rPr>
          <w:rFonts w:hint="default" w:ascii="宋体" w:hAnsi="宋体" w:eastAsia="宋体" w:cs="Times New Roman"/>
          <w:color w:val="auto"/>
          <w:sz w:val="21"/>
          <w:szCs w:val="21"/>
          <w:highlight w:val="none"/>
          <w:lang w:val="en-US" w:eastAsia="zh-CN"/>
        </w:rPr>
        <w:t>2.2</w:t>
      </w:r>
      <w:r>
        <w:rPr>
          <w:rFonts w:hint="eastAsia" w:ascii="宋体" w:hAnsi="宋体" w:eastAsia="宋体" w:cs="Times New Roman"/>
          <w:color w:val="auto"/>
          <w:sz w:val="21"/>
          <w:szCs w:val="21"/>
          <w:highlight w:val="none"/>
          <w:lang w:val="en-US" w:eastAsia="zh-CN"/>
        </w:rPr>
        <w:t xml:space="preserve"> </w:t>
      </w:r>
      <w:r>
        <w:rPr>
          <w:rFonts w:hint="default" w:ascii="宋体" w:hAnsi="宋体" w:eastAsia="宋体" w:cs="Times New Roman"/>
          <w:color w:val="auto"/>
          <w:sz w:val="21"/>
          <w:szCs w:val="21"/>
          <w:highlight w:val="none"/>
          <w:lang w:val="en-US" w:eastAsia="zh-CN"/>
        </w:rPr>
        <w:t>招标范围</w:t>
      </w:r>
      <w:bookmarkEnd w:id="37"/>
    </w:p>
    <w:p w14:paraId="13CFA51E">
      <w:pPr>
        <w:tabs>
          <w:tab w:val="left" w:pos="7513"/>
        </w:tabs>
        <w:spacing w:line="360" w:lineRule="auto"/>
        <w:ind w:firstLine="420" w:firstLineChars="200"/>
        <w:rPr>
          <w:rFonts w:hint="default" w:ascii="宋体" w:hAnsi="宋体" w:eastAsia="宋体" w:cs="宋体"/>
          <w:color w:val="auto"/>
          <w:sz w:val="21"/>
          <w:szCs w:val="21"/>
          <w:highlight w:val="none"/>
          <w:lang w:val="en-US"/>
        </w:rPr>
      </w:pPr>
      <w:r>
        <w:rPr>
          <w:rFonts w:hint="default" w:ascii="宋体" w:hAnsi="宋体" w:eastAsia="宋体"/>
          <w:color w:val="auto"/>
          <w:sz w:val="21"/>
          <w:szCs w:val="21"/>
          <w:highlight w:val="none"/>
        </w:rPr>
        <w:t>2.2.1</w:t>
      </w:r>
      <w:r>
        <w:rPr>
          <w:rFonts w:hint="eastAsia" w:ascii="宋体" w:hAnsi="宋体"/>
          <w:color w:val="auto"/>
          <w:sz w:val="21"/>
          <w:szCs w:val="21"/>
          <w:highlight w:val="none"/>
          <w:lang w:eastAsia="zh-CN"/>
        </w:rPr>
        <w:t>监理</w:t>
      </w:r>
      <w:r>
        <w:rPr>
          <w:rFonts w:hint="default" w:ascii="宋体" w:hAnsi="Times New Roman" w:eastAsia="宋体"/>
          <w:color w:val="auto"/>
          <w:sz w:val="21"/>
          <w:szCs w:val="21"/>
          <w:highlight w:val="none"/>
        </w:rPr>
        <w:t>标段划分：</w:t>
      </w:r>
      <w:r>
        <w:rPr>
          <w:rFonts w:hint="default"/>
          <w:color w:val="auto"/>
          <w:sz w:val="21"/>
          <w:szCs w:val="21"/>
          <w:highlight w:val="none"/>
          <w:u w:val="single"/>
          <w:lang w:val="en-US" w:eastAsia="zh-CN"/>
        </w:rPr>
        <w:t>本项目设1个标段。</w:t>
      </w:r>
      <w:r>
        <w:rPr>
          <w:rFonts w:hint="default"/>
          <w:color w:val="auto"/>
          <w:sz w:val="21"/>
          <w:szCs w:val="21"/>
          <w:highlight w:val="none"/>
          <w:lang w:val="en-US" w:eastAsia="zh-CN"/>
        </w:rPr>
        <w:t xml:space="preserve">     </w:t>
      </w:r>
    </w:p>
    <w:p w14:paraId="00CADB0B">
      <w:pPr>
        <w:tabs>
          <w:tab w:val="left" w:pos="7513"/>
        </w:tabs>
        <w:spacing w:line="360" w:lineRule="auto"/>
        <w:ind w:firstLine="420" w:firstLineChars="200"/>
        <w:rPr>
          <w:rFonts w:hint="default" w:ascii="宋体" w:hAnsi="宋体" w:eastAsia="宋体"/>
          <w:color w:val="auto"/>
          <w:sz w:val="21"/>
          <w:szCs w:val="21"/>
          <w:highlight w:val="none"/>
          <w:u w:val="single"/>
          <w:lang w:val="en-US" w:eastAsia="zh-CN"/>
        </w:rPr>
      </w:pPr>
      <w:r>
        <w:rPr>
          <w:rFonts w:hint="default" w:ascii="宋体" w:hAnsi="宋体" w:eastAsia="宋体"/>
          <w:color w:val="auto"/>
          <w:sz w:val="21"/>
          <w:szCs w:val="21"/>
          <w:highlight w:val="none"/>
        </w:rPr>
        <w:t>2.2.2</w:t>
      </w:r>
      <w:r>
        <w:rPr>
          <w:rFonts w:hint="eastAsia" w:ascii="宋体" w:hAnsi="宋体" w:eastAsia="宋体"/>
          <w:color w:val="auto"/>
          <w:sz w:val="21"/>
          <w:szCs w:val="21"/>
          <w:highlight w:val="none"/>
          <w:lang w:eastAsia="zh-CN"/>
        </w:rPr>
        <w:t>招标</w:t>
      </w:r>
      <w:r>
        <w:rPr>
          <w:rFonts w:hint="default" w:ascii="宋体" w:hAnsi="宋体" w:eastAsia="宋体"/>
          <w:color w:val="auto"/>
          <w:sz w:val="21"/>
          <w:szCs w:val="21"/>
          <w:highlight w:val="none"/>
        </w:rPr>
        <w:t>范围：</w:t>
      </w:r>
      <w:r>
        <w:rPr>
          <w:rFonts w:hint="default" w:ascii="宋体" w:hAnsi="宋体" w:eastAsia="宋体"/>
          <w:color w:val="auto"/>
          <w:sz w:val="21"/>
          <w:szCs w:val="21"/>
          <w:highlight w:val="none"/>
          <w:u w:val="single"/>
        </w:rPr>
        <w:t>监理内容包括但不限于以下内容：工程前期准备阶段、工程施工及保修阶段全过程监理，包含前期准备阶段、施工阶段、竣工验收阶段和工程保修阶段的所有一切监理工作，以及在工程实施过程中工程规模的调整、各种工程变更及配合工程竣工结算审计及竣工决算。详细服务范围及工作内容详见合同条款约定。</w:t>
      </w:r>
      <w:r>
        <w:rPr>
          <w:rFonts w:hint="default" w:ascii="宋体" w:hAnsi="宋体" w:eastAsia="宋体"/>
          <w:color w:val="auto"/>
          <w:sz w:val="21"/>
          <w:szCs w:val="21"/>
          <w:highlight w:val="none"/>
          <w:u w:val="single"/>
          <w:lang w:val="en-US" w:eastAsia="zh-CN"/>
        </w:rPr>
        <w:t xml:space="preserve"> </w:t>
      </w:r>
    </w:p>
    <w:p w14:paraId="54C71068">
      <w:pPr>
        <w:tabs>
          <w:tab w:val="left" w:pos="7513"/>
        </w:tabs>
        <w:spacing w:line="360" w:lineRule="auto"/>
        <w:ind w:firstLine="420" w:firstLineChars="200"/>
        <w:rPr>
          <w:rFonts w:hint="default" w:ascii="宋体" w:hAnsi="宋体" w:eastAsia="宋体"/>
          <w:color w:val="auto"/>
          <w:sz w:val="21"/>
          <w:szCs w:val="21"/>
          <w:highlight w:val="none"/>
          <w:u w:val="single"/>
        </w:rPr>
      </w:pPr>
      <w:r>
        <w:rPr>
          <w:rFonts w:hint="default" w:ascii="宋体" w:hAnsi="宋体" w:eastAsia="宋体"/>
          <w:color w:val="auto"/>
          <w:sz w:val="21"/>
          <w:szCs w:val="21"/>
          <w:highlight w:val="none"/>
        </w:rPr>
        <w:t>2.2.3监理服务期：</w:t>
      </w:r>
      <w:r>
        <w:rPr>
          <w:rFonts w:hint="eastAsia" w:ascii="宋体" w:hAnsi="宋体"/>
          <w:color w:val="auto"/>
          <w:sz w:val="21"/>
          <w:szCs w:val="21"/>
          <w:highlight w:val="none"/>
          <w:u w:val="single"/>
          <w:lang w:val="en-US" w:eastAsia="zh-CN"/>
        </w:rPr>
        <w:t>前期</w:t>
      </w:r>
      <w:r>
        <w:rPr>
          <w:rFonts w:hint="default" w:ascii="宋体" w:hAnsi="宋体" w:eastAsia="宋体"/>
          <w:color w:val="auto"/>
          <w:sz w:val="21"/>
          <w:szCs w:val="21"/>
          <w:highlight w:val="none"/>
          <w:u w:val="single"/>
        </w:rPr>
        <w:t>工作阶段、施工阶段、缺陷责任期阶段和竣工结算</w:t>
      </w:r>
      <w:r>
        <w:rPr>
          <w:rFonts w:hint="eastAsia" w:ascii="宋体" w:hAnsi="宋体"/>
          <w:color w:val="auto"/>
          <w:sz w:val="21"/>
          <w:szCs w:val="21"/>
          <w:highlight w:val="none"/>
          <w:u w:val="single"/>
          <w:lang w:val="en-US" w:eastAsia="zh-CN"/>
        </w:rPr>
        <w:t>阶段</w:t>
      </w:r>
      <w:r>
        <w:rPr>
          <w:rFonts w:hint="default" w:ascii="宋体" w:hAnsi="宋体" w:eastAsia="宋体"/>
          <w:color w:val="auto"/>
          <w:sz w:val="21"/>
          <w:szCs w:val="21"/>
          <w:highlight w:val="none"/>
          <w:u w:val="single"/>
        </w:rPr>
        <w:t>的监理服务。</w:t>
      </w:r>
    </w:p>
    <w:p w14:paraId="68C12A1A">
      <w:pPr>
        <w:tabs>
          <w:tab w:val="left" w:pos="7513"/>
        </w:tabs>
        <w:spacing w:line="360" w:lineRule="auto"/>
        <w:ind w:firstLine="420" w:firstLineChars="200"/>
        <w:rPr>
          <w:rFonts w:hint="default" w:ascii="宋体" w:hAnsi="宋体" w:eastAsia="宋体"/>
          <w:color w:val="auto"/>
          <w:sz w:val="21"/>
          <w:szCs w:val="21"/>
          <w:highlight w:val="none"/>
        </w:rPr>
      </w:pPr>
      <w:r>
        <w:rPr>
          <w:rFonts w:hint="default" w:ascii="宋体" w:hAnsi="宋体" w:eastAsia="宋体"/>
          <w:color w:val="auto"/>
          <w:sz w:val="21"/>
          <w:szCs w:val="21"/>
          <w:highlight w:val="none"/>
        </w:rPr>
        <w:t>2.2.</w:t>
      </w:r>
      <w:r>
        <w:rPr>
          <w:rFonts w:hint="eastAsia" w:ascii="宋体" w:hAnsi="宋体" w:eastAsia="宋体"/>
          <w:color w:val="auto"/>
          <w:sz w:val="21"/>
          <w:szCs w:val="21"/>
          <w:highlight w:val="none"/>
          <w:lang w:val="en-US" w:eastAsia="zh-CN"/>
        </w:rPr>
        <w:t>4</w:t>
      </w:r>
      <w:r>
        <w:rPr>
          <w:rFonts w:hint="default" w:ascii="宋体" w:hAnsi="宋体" w:eastAsia="宋体"/>
          <w:color w:val="auto"/>
          <w:sz w:val="21"/>
          <w:szCs w:val="21"/>
          <w:highlight w:val="none"/>
        </w:rPr>
        <w:t>监理服务</w:t>
      </w:r>
      <w:r>
        <w:rPr>
          <w:rFonts w:hint="eastAsia" w:ascii="宋体" w:hAnsi="宋体" w:eastAsia="宋体"/>
          <w:color w:val="auto"/>
          <w:sz w:val="21"/>
          <w:szCs w:val="21"/>
          <w:highlight w:val="none"/>
          <w:lang w:eastAsia="zh-CN"/>
        </w:rPr>
        <w:t>阶段</w:t>
      </w:r>
      <w:r>
        <w:rPr>
          <w:rFonts w:hint="default" w:ascii="宋体" w:hAnsi="宋体" w:eastAsia="宋体"/>
          <w:color w:val="auto"/>
          <w:sz w:val="21"/>
          <w:szCs w:val="21"/>
          <w:highlight w:val="none"/>
        </w:rPr>
        <w:t>：</w:t>
      </w:r>
    </w:p>
    <w:p w14:paraId="4E19CAF1">
      <w:pPr>
        <w:tabs>
          <w:tab w:val="left" w:pos="7513"/>
        </w:tabs>
        <w:spacing w:line="360" w:lineRule="auto"/>
        <w:ind w:firstLine="420" w:firstLineChars="200"/>
        <w:rPr>
          <w:rFonts w:hint="default" w:ascii="宋体" w:hAnsi="宋体" w:eastAsia="宋体"/>
          <w:color w:val="auto"/>
          <w:sz w:val="21"/>
          <w:szCs w:val="21"/>
          <w:highlight w:val="none"/>
          <w:u w:val="single"/>
        </w:rPr>
      </w:pPr>
      <w:r>
        <w:rPr>
          <w:rFonts w:hint="eastAsia" w:ascii="宋体" w:hAnsi="宋体"/>
          <w:color w:val="auto"/>
          <w:sz w:val="21"/>
          <w:szCs w:val="21"/>
          <w:highlight w:val="none"/>
          <w:u w:val="single"/>
          <w:lang w:val="en-US" w:eastAsia="zh-CN"/>
        </w:rPr>
        <w:t>前期</w:t>
      </w:r>
      <w:r>
        <w:rPr>
          <w:rFonts w:hint="default" w:ascii="宋体" w:hAnsi="宋体" w:eastAsia="宋体"/>
          <w:color w:val="auto"/>
          <w:sz w:val="21"/>
          <w:szCs w:val="21"/>
          <w:highlight w:val="none"/>
          <w:u w:val="single"/>
        </w:rPr>
        <w:t>工作阶段：从合同签订之日到前期工作完成之日；</w:t>
      </w:r>
    </w:p>
    <w:p w14:paraId="268B4FBE">
      <w:pPr>
        <w:tabs>
          <w:tab w:val="left" w:pos="7513"/>
        </w:tabs>
        <w:spacing w:line="360" w:lineRule="auto"/>
        <w:ind w:firstLine="420" w:firstLineChars="200"/>
        <w:rPr>
          <w:rFonts w:hint="default" w:ascii="宋体" w:hAnsi="宋体" w:eastAsia="宋体"/>
          <w:color w:val="auto"/>
          <w:sz w:val="21"/>
          <w:szCs w:val="21"/>
          <w:highlight w:val="none"/>
          <w:u w:val="single"/>
        </w:rPr>
      </w:pPr>
      <w:r>
        <w:rPr>
          <w:rFonts w:hint="default" w:ascii="宋体" w:hAnsi="宋体" w:eastAsia="宋体"/>
          <w:color w:val="auto"/>
          <w:sz w:val="21"/>
          <w:szCs w:val="21"/>
          <w:highlight w:val="none"/>
          <w:u w:val="single"/>
        </w:rPr>
        <w:t>施工阶段：从下达开工令或开工报告审批之日起至施工项目全部完工并办理竣工验收、竣工结算、备案管理为止；</w:t>
      </w:r>
    </w:p>
    <w:p w14:paraId="6AC26C73">
      <w:pPr>
        <w:tabs>
          <w:tab w:val="left" w:pos="7513"/>
        </w:tabs>
        <w:spacing w:line="360" w:lineRule="auto"/>
        <w:ind w:firstLine="420" w:firstLineChars="200"/>
        <w:rPr>
          <w:rFonts w:hint="default" w:ascii="宋体" w:hAnsi="宋体" w:eastAsia="宋体"/>
          <w:color w:val="auto"/>
          <w:sz w:val="21"/>
          <w:szCs w:val="21"/>
          <w:highlight w:val="none"/>
          <w:u w:val="single"/>
        </w:rPr>
      </w:pPr>
      <w:r>
        <w:rPr>
          <w:rFonts w:hint="default" w:ascii="宋体" w:hAnsi="宋体" w:eastAsia="宋体"/>
          <w:color w:val="auto"/>
          <w:sz w:val="21"/>
          <w:szCs w:val="21"/>
          <w:highlight w:val="none"/>
          <w:u w:val="single"/>
        </w:rPr>
        <w:t>缺陷责任期阶段：从工程竣工验收合格、备案管理完成之日起2年。</w:t>
      </w:r>
    </w:p>
    <w:p w14:paraId="6316DDED">
      <w:pPr>
        <w:tabs>
          <w:tab w:val="left" w:pos="7513"/>
        </w:tabs>
        <w:spacing w:line="360" w:lineRule="auto"/>
        <w:ind w:firstLine="420" w:firstLineChars="200"/>
        <w:rPr>
          <w:rFonts w:hint="default" w:ascii="宋体" w:hAnsi="宋体" w:eastAsia="宋体"/>
          <w:color w:val="auto"/>
          <w:sz w:val="21"/>
          <w:szCs w:val="21"/>
          <w:highlight w:val="none"/>
          <w:lang w:val="en-US" w:eastAsia="zh-CN"/>
        </w:rPr>
      </w:pPr>
      <w:r>
        <w:rPr>
          <w:rFonts w:hint="default" w:ascii="宋体" w:hAnsi="宋体" w:eastAsia="宋体"/>
          <w:color w:val="auto"/>
          <w:sz w:val="21"/>
          <w:szCs w:val="21"/>
          <w:highlight w:val="none"/>
          <w:u w:val="single"/>
        </w:rPr>
        <w:t>竣工结算阶段：从结算送审到结算终审。</w:t>
      </w:r>
      <w:r>
        <w:rPr>
          <w:rFonts w:hint="default" w:ascii="宋体" w:hAnsi="宋体" w:eastAsia="宋体"/>
          <w:color w:val="auto"/>
          <w:sz w:val="21"/>
          <w:szCs w:val="21"/>
          <w:highlight w:val="none"/>
          <w:lang w:val="en-US" w:eastAsia="zh-CN"/>
        </w:rPr>
        <w:t xml:space="preserve">      </w:t>
      </w:r>
    </w:p>
    <w:p w14:paraId="2A4305B3">
      <w:pPr>
        <w:tabs>
          <w:tab w:val="left" w:pos="7513"/>
        </w:tabs>
        <w:spacing w:line="360" w:lineRule="auto"/>
        <w:ind w:firstLine="420" w:firstLineChars="200"/>
        <w:rPr>
          <w:rFonts w:hint="default" w:ascii="宋体" w:hAnsi="宋体" w:eastAsia="宋体"/>
          <w:color w:val="auto"/>
          <w:sz w:val="21"/>
          <w:szCs w:val="21"/>
          <w:highlight w:val="none"/>
        </w:rPr>
      </w:pPr>
      <w:r>
        <w:rPr>
          <w:rFonts w:hint="eastAsia" w:ascii="宋体" w:hAnsi="宋体" w:eastAsia="宋体"/>
          <w:color w:val="auto"/>
          <w:sz w:val="21"/>
          <w:szCs w:val="21"/>
          <w:highlight w:val="none"/>
          <w:u w:val="none"/>
          <w:lang w:val="en-US" w:eastAsia="zh-CN"/>
        </w:rPr>
        <w:t>2.2.5</w:t>
      </w:r>
      <w:r>
        <w:rPr>
          <w:rFonts w:hint="default" w:ascii="宋体" w:hAnsi="宋体" w:eastAsia="宋体"/>
          <w:color w:val="auto"/>
          <w:sz w:val="21"/>
          <w:szCs w:val="21"/>
          <w:highlight w:val="none"/>
        </w:rPr>
        <w:t>监理服务最高投标限价：</w:t>
      </w:r>
      <w:bookmarkStart w:id="38" w:name="OLE_LINK1"/>
      <w:r>
        <w:rPr>
          <w:rFonts w:hint="eastAsia" w:ascii="宋体" w:hAnsi="宋体"/>
          <w:color w:val="auto"/>
          <w:sz w:val="21"/>
          <w:szCs w:val="21"/>
          <w:highlight w:val="none"/>
          <w:u w:val="single"/>
          <w:lang w:val="en-US" w:eastAsia="zh-CN"/>
        </w:rPr>
        <w:t>600000.00</w:t>
      </w:r>
      <w:r>
        <w:rPr>
          <w:rFonts w:hint="default" w:ascii="宋体" w:hAnsi="宋体" w:eastAsia="宋体"/>
          <w:color w:val="auto"/>
          <w:sz w:val="21"/>
          <w:szCs w:val="21"/>
          <w:highlight w:val="none"/>
          <w:u w:val="single"/>
          <w:lang w:val="en-US" w:eastAsia="zh-CN"/>
        </w:rPr>
        <w:t>元。</w:t>
      </w:r>
      <w:r>
        <w:rPr>
          <w:rFonts w:hint="default" w:ascii="宋体" w:hAnsi="宋体" w:eastAsia="宋体" w:cs="宋体"/>
          <w:color w:val="auto"/>
          <w:sz w:val="21"/>
          <w:szCs w:val="21"/>
          <w:highlight w:val="none"/>
          <w:lang w:val="en-US" w:eastAsia="zh-CN" w:bidi="ar"/>
        </w:rPr>
        <w:t xml:space="preserve">       </w:t>
      </w:r>
      <w:bookmarkEnd w:id="38"/>
    </w:p>
    <w:p w14:paraId="791905B5">
      <w:pPr>
        <w:spacing w:line="360" w:lineRule="auto"/>
        <w:ind w:firstLine="420" w:firstLineChars="200"/>
        <w:rPr>
          <w:rFonts w:hint="eastAsia" w:ascii="楷体_GB2312" w:hAnsi="楷体_GB2312" w:eastAsia="楷体_GB2312" w:cs="楷体_GB2312"/>
          <w:color w:val="auto"/>
          <w:kern w:val="2"/>
          <w:sz w:val="21"/>
          <w:szCs w:val="21"/>
          <w:highlight w:val="none"/>
          <w:lang w:val="en-US" w:eastAsia="zh-CN" w:bidi="ar-SA"/>
        </w:rPr>
      </w:pPr>
      <w:r>
        <w:rPr>
          <w:rFonts w:hint="eastAsia" w:ascii="楷体_GB2312" w:hAnsi="楷体_GB2312" w:eastAsia="楷体_GB2312" w:cs="楷体_GB2312"/>
          <w:strike/>
          <w:color w:val="auto"/>
          <w:kern w:val="2"/>
          <w:sz w:val="21"/>
          <w:szCs w:val="21"/>
          <w:highlight w:val="none"/>
          <w:lang w:val="en-US" w:eastAsia="zh-CN" w:bidi="ar-SA"/>
        </w:rPr>
        <w:t>注：两个或两个以上标段的，需明确允许兼中或不兼中，明确对总监理工程师的数量要求。对于包含两个或两个以上专业的招标项目，应分别明确各专业对应的招标内容、规模和最高投标限价的专业组成费用。</w:t>
      </w:r>
    </w:p>
    <w:p w14:paraId="5F2B5E7B">
      <w:pPr>
        <w:pStyle w:val="6"/>
        <w:rPr>
          <w:rFonts w:hint="eastAsia"/>
          <w:highlight w:val="none"/>
          <w:lang w:val="en-US" w:eastAsia="zh-CN"/>
        </w:rPr>
      </w:pPr>
    </w:p>
    <w:p w14:paraId="46D9718D">
      <w:pPr>
        <w:pStyle w:val="5"/>
        <w:bidi w:val="0"/>
        <w:rPr>
          <w:rFonts w:hint="eastAsia"/>
          <w:highlight w:val="none"/>
        </w:rPr>
      </w:pPr>
      <w:bookmarkStart w:id="39" w:name="_Toc29683"/>
      <w:bookmarkStart w:id="40" w:name="_Toc13318"/>
      <w:bookmarkStart w:id="41" w:name="_Toc11352"/>
      <w:bookmarkStart w:id="42" w:name="_Toc26825"/>
      <w:bookmarkStart w:id="43" w:name="_Toc14304"/>
      <w:bookmarkStart w:id="44" w:name="_Toc20643"/>
      <w:r>
        <w:rPr>
          <w:rFonts w:hint="eastAsia"/>
          <w:highlight w:val="none"/>
        </w:rPr>
        <w:t>3.投标人资格要求</w:t>
      </w:r>
      <w:bookmarkEnd w:id="39"/>
      <w:bookmarkEnd w:id="40"/>
      <w:bookmarkEnd w:id="41"/>
      <w:bookmarkEnd w:id="42"/>
      <w:bookmarkEnd w:id="43"/>
      <w:bookmarkEnd w:id="44"/>
    </w:p>
    <w:p w14:paraId="26D572B3">
      <w:pPr>
        <w:pStyle w:val="3"/>
        <w:keepNext w:val="0"/>
        <w:keepLines w:val="0"/>
        <w:pageBreakBefore w:val="0"/>
        <w:widowControl w:val="0"/>
        <w:tabs>
          <w:tab w:val="left" w:pos="4500"/>
          <w:tab w:val="left" w:pos="6415"/>
        </w:tabs>
        <w:kinsoku w:val="0"/>
        <w:wordWrap/>
        <w:overflowPunct w:val="0"/>
        <w:topLinePunct w:val="0"/>
        <w:autoSpaceDE w:val="0"/>
        <w:autoSpaceDN w:val="0"/>
        <w:bidi w:val="0"/>
        <w:adjustRightInd/>
        <w:snapToGrid/>
        <w:spacing w:line="360" w:lineRule="auto"/>
        <w:ind w:left="0" w:leftChars="0" w:right="214"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highlight w:val="none"/>
        </w:rPr>
        <w:t>3.1</w:t>
      </w:r>
      <w:r>
        <w:rPr>
          <w:rFonts w:hint="eastAsia" w:eastAsia="宋体" w:cs="宋体"/>
          <w:color w:val="auto"/>
          <w:highlight w:val="none"/>
          <w:lang w:val="en-US" w:eastAsia="zh-CN"/>
        </w:rPr>
        <w:t xml:space="preserve">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人参加投标的意思表达清楚，投标人代表被授权有效。</w:t>
      </w:r>
    </w:p>
    <w:p w14:paraId="3D7CF39E">
      <w:pPr>
        <w:keepNext w:val="0"/>
        <w:keepLines w:val="0"/>
        <w:pageBreakBefore w:val="0"/>
        <w:widowControl w:val="0"/>
        <w:wordWrap/>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highlight w:val="none"/>
          <w:u w:val="none"/>
        </w:rPr>
      </w:pPr>
      <w:r>
        <w:rPr>
          <w:rFonts w:hint="eastAsia" w:ascii="宋体" w:hAnsi="宋体" w:eastAsia="宋体" w:cs="宋体"/>
          <w:color w:val="auto"/>
          <w:highlight w:val="none"/>
          <w:u w:val="none"/>
        </w:rPr>
        <w:t>3.</w:t>
      </w:r>
      <w:r>
        <w:rPr>
          <w:rFonts w:hint="eastAsia" w:ascii="宋体" w:hAnsi="宋体" w:eastAsia="宋体" w:cs="宋体"/>
          <w:color w:val="auto"/>
          <w:highlight w:val="none"/>
          <w:u w:val="none"/>
          <w:lang w:val="en-US" w:eastAsia="zh-CN"/>
        </w:rPr>
        <w:t>2</w:t>
      </w:r>
      <w:r>
        <w:rPr>
          <w:rFonts w:hint="eastAsia" w:ascii="宋体" w:hAnsi="宋体" w:eastAsia="宋体" w:cs="宋体"/>
          <w:szCs w:val="21"/>
          <w:highlight w:val="none"/>
          <w:u w:val="none"/>
        </w:rPr>
        <w:t>投标人</w:t>
      </w:r>
      <w:r>
        <w:rPr>
          <w:rFonts w:hint="eastAsia" w:ascii="宋体" w:hAnsi="宋体" w:eastAsia="宋体" w:cs="宋体"/>
          <w:color w:val="auto"/>
          <w:sz w:val="21"/>
          <w:szCs w:val="21"/>
          <w:highlight w:val="none"/>
        </w:rPr>
        <w:t>是法人或其他组织</w:t>
      </w:r>
      <w:r>
        <w:rPr>
          <w:rFonts w:hint="eastAsia" w:ascii="宋体" w:hAnsi="宋体" w:eastAsia="宋体" w:cs="宋体"/>
          <w:szCs w:val="21"/>
          <w:highlight w:val="none"/>
          <w:u w:val="none"/>
        </w:rPr>
        <w:t>，按国家法律经营</w:t>
      </w:r>
      <w:r>
        <w:rPr>
          <w:rFonts w:hint="eastAsia" w:ascii="宋体" w:hAnsi="宋体" w:eastAsia="宋体" w:cs="宋体"/>
          <w:color w:val="auto"/>
          <w:szCs w:val="21"/>
          <w:highlight w:val="none"/>
          <w:u w:val="none"/>
        </w:rPr>
        <w:t>；</w:t>
      </w:r>
    </w:p>
    <w:p w14:paraId="007CF2FA">
      <w:pPr>
        <w:pStyle w:val="3"/>
        <w:keepNext w:val="0"/>
        <w:keepLines w:val="0"/>
        <w:pageBreakBefore w:val="0"/>
        <w:widowControl w:val="0"/>
        <w:tabs>
          <w:tab w:val="left" w:pos="4500"/>
          <w:tab w:val="left" w:pos="6415"/>
        </w:tabs>
        <w:kinsoku w:val="0"/>
        <w:wordWrap/>
        <w:overflowPunct w:val="0"/>
        <w:topLinePunct w:val="0"/>
        <w:autoSpaceDE/>
        <w:autoSpaceDN/>
        <w:bidi w:val="0"/>
        <w:adjustRightInd/>
        <w:snapToGrid/>
        <w:spacing w:after="0" w:line="360" w:lineRule="auto"/>
        <w:ind w:right="213" w:firstLine="420" w:firstLineChars="200"/>
        <w:jc w:val="both"/>
        <w:textAlignment w:val="auto"/>
        <w:rPr>
          <w:rFonts w:hint="eastAsia" w:eastAsia="宋体" w:cs="宋体"/>
          <w:color w:val="auto"/>
          <w:highlight w:val="none"/>
          <w:lang w:eastAsia="zh-CN"/>
        </w:rPr>
      </w:pPr>
      <w:r>
        <w:rPr>
          <w:rFonts w:hint="eastAsia" w:ascii="宋体" w:hAnsi="宋体" w:cs="宋体"/>
          <w:strike w:val="0"/>
          <w:sz w:val="21"/>
          <w:highlight w:val="none"/>
          <w:lang w:val="en-US" w:eastAsia="zh-CN"/>
        </w:rPr>
        <w:t>3.3</w:t>
      </w:r>
      <w:r>
        <w:rPr>
          <w:rFonts w:hint="eastAsia" w:ascii="宋体" w:hAnsi="宋体" w:cs="宋体"/>
          <w:strike w:val="0"/>
          <w:spacing w:val="2"/>
          <w:sz w:val="21"/>
          <w:highlight w:val="none"/>
        </w:rPr>
        <w:t>投</w:t>
      </w:r>
      <w:r>
        <w:rPr>
          <w:rFonts w:hint="eastAsia" w:ascii="宋体" w:hAnsi="宋体" w:cs="宋体"/>
          <w:strike w:val="0"/>
          <w:sz w:val="21"/>
          <w:highlight w:val="none"/>
        </w:rPr>
        <w:t>标人须</w:t>
      </w:r>
      <w:r>
        <w:rPr>
          <w:rFonts w:hint="eastAsia" w:ascii="宋体" w:hAnsi="宋体" w:cs="宋体"/>
          <w:strike w:val="0"/>
          <w:spacing w:val="2"/>
          <w:sz w:val="21"/>
          <w:highlight w:val="none"/>
        </w:rPr>
        <w:t>具</w:t>
      </w:r>
      <w:r>
        <w:rPr>
          <w:rFonts w:hint="eastAsia" w:ascii="宋体" w:hAnsi="宋体" w:cs="宋体"/>
          <w:strike w:val="0"/>
          <w:spacing w:val="1"/>
          <w:sz w:val="21"/>
          <w:highlight w:val="none"/>
        </w:rPr>
        <w:t>备</w:t>
      </w:r>
      <w:r>
        <w:rPr>
          <w:rFonts w:hint="eastAsia" w:eastAsia="宋体" w:cs="宋体"/>
          <w:color w:val="auto"/>
          <w:spacing w:val="1"/>
          <w:highlight w:val="none"/>
          <w:lang w:eastAsia="zh-CN"/>
        </w:rPr>
        <w:t>建设行政主管部门颁发的</w:t>
      </w:r>
      <w:r>
        <w:rPr>
          <w:rFonts w:hint="eastAsia" w:ascii="宋体" w:hAnsi="宋体" w:eastAsia="宋体" w:cs="宋体"/>
          <w:color w:val="auto"/>
          <w:highlight w:val="none"/>
          <w:u w:val="single"/>
          <w:lang w:val="en-US" w:eastAsia="zh-CN"/>
        </w:rPr>
        <w:t>工程监理综合资质或市政公用工程监理乙级（或以上）资质。香港企业参加投标的，须在广东省住房和城乡建设主管部门备案且备案的业务范围满足本项目资质要求。</w:t>
      </w:r>
    </w:p>
    <w:p w14:paraId="42D6DDA0">
      <w:pPr>
        <w:pStyle w:val="3"/>
        <w:keepNext w:val="0"/>
        <w:keepLines w:val="0"/>
        <w:pageBreakBefore w:val="0"/>
        <w:widowControl w:val="0"/>
        <w:tabs>
          <w:tab w:val="left" w:pos="4500"/>
          <w:tab w:val="left" w:pos="6415"/>
        </w:tabs>
        <w:kinsoku w:val="0"/>
        <w:wordWrap/>
        <w:overflowPunct w:val="0"/>
        <w:topLinePunct w:val="0"/>
        <w:autoSpaceDE w:val="0"/>
        <w:autoSpaceDN w:val="0"/>
        <w:bidi w:val="0"/>
        <w:adjustRightInd/>
        <w:snapToGrid/>
        <w:spacing w:line="360" w:lineRule="auto"/>
        <w:ind w:left="0" w:leftChars="0" w:right="214" w:firstLine="420" w:firstLineChars="200"/>
        <w:jc w:val="both"/>
        <w:textAlignment w:val="auto"/>
        <w:rPr>
          <w:rFonts w:hint="eastAsia" w:eastAsia="宋体" w:cs="宋体"/>
          <w:color w:val="auto"/>
          <w:highlight w:val="none"/>
          <w:lang w:val="en-US" w:eastAsia="zh-CN"/>
        </w:rPr>
      </w:pPr>
      <w:r>
        <w:rPr>
          <w:rFonts w:hint="eastAsia" w:eastAsia="宋体" w:cs="宋体"/>
          <w:color w:val="auto"/>
          <w:highlight w:val="none"/>
          <w:lang w:val="en-US" w:eastAsia="zh-CN"/>
        </w:rPr>
        <w:t>对应所设置资质要求的规模指标：</w:t>
      </w:r>
    </w:p>
    <w:p w14:paraId="1D2D36E8">
      <w:pPr>
        <w:pStyle w:val="3"/>
        <w:keepNext w:val="0"/>
        <w:keepLines w:val="0"/>
        <w:pageBreakBefore w:val="0"/>
        <w:widowControl w:val="0"/>
        <w:tabs>
          <w:tab w:val="left" w:pos="4500"/>
          <w:tab w:val="left" w:pos="6415"/>
        </w:tabs>
        <w:kinsoku w:val="0"/>
        <w:wordWrap/>
        <w:overflowPunct w:val="0"/>
        <w:topLinePunct w:val="0"/>
        <w:autoSpaceDE w:val="0"/>
        <w:autoSpaceDN w:val="0"/>
        <w:bidi w:val="0"/>
        <w:adjustRightInd/>
        <w:snapToGrid/>
        <w:spacing w:line="360" w:lineRule="auto"/>
        <w:ind w:left="0" w:leftChars="0" w:right="214" w:firstLine="420" w:firstLineChars="200"/>
        <w:jc w:val="both"/>
        <w:textAlignment w:val="auto"/>
        <w:rPr>
          <w:rFonts w:hint="eastAsia" w:eastAsia="宋体" w:cs="宋体"/>
          <w:color w:val="auto"/>
          <w:highlight w:val="none"/>
          <w:lang w:val="en-US" w:eastAsia="zh-CN"/>
        </w:rPr>
      </w:pPr>
      <w:r>
        <w:rPr>
          <w:rFonts w:hint="eastAsia"/>
          <w:color w:val="auto"/>
          <w:sz w:val="21"/>
          <w:szCs w:val="21"/>
          <w:highlight w:val="none"/>
          <w:u w:val="single"/>
          <w:lang w:eastAsia="zh-CN"/>
        </w:rPr>
        <w:t>具体由招标人根据招标项目实际情况对照建设工程工程监理企业资质有关管理规定进行填写（</w:t>
      </w:r>
      <w:r>
        <w:rPr>
          <w:rFonts w:hint="eastAsia"/>
          <w:color w:val="auto"/>
          <w:sz w:val="21"/>
          <w:szCs w:val="21"/>
          <w:highlight w:val="none"/>
          <w:u w:val="single"/>
          <w:lang w:val="en-US" w:eastAsia="zh-CN"/>
        </w:rPr>
        <w:t xml:space="preserve"> </w:t>
      </w:r>
      <w:r>
        <w:rPr>
          <w:rFonts w:hint="eastAsia"/>
          <w:color w:val="auto"/>
          <w:sz w:val="21"/>
          <w:szCs w:val="21"/>
          <w:highlight w:val="none"/>
          <w:u w:val="single"/>
          <w:lang w:eastAsia="zh-CN"/>
        </w:rPr>
        <w:t>☑城市次干路</w:t>
      </w:r>
      <w:r>
        <w:rPr>
          <w:rFonts w:hint="eastAsia"/>
          <w:color w:val="auto"/>
          <w:sz w:val="21"/>
          <w:szCs w:val="21"/>
          <w:highlight w:val="none"/>
          <w:u w:val="single"/>
          <w:lang w:val="en-US" w:eastAsia="zh-CN"/>
        </w:rPr>
        <w:t xml:space="preserve"> ）</w:t>
      </w:r>
    </w:p>
    <w:p w14:paraId="7C49666A">
      <w:pPr>
        <w:pStyle w:val="3"/>
        <w:keepNext w:val="0"/>
        <w:keepLines w:val="0"/>
        <w:pageBreakBefore w:val="0"/>
        <w:widowControl w:val="0"/>
        <w:tabs>
          <w:tab w:val="left" w:pos="4500"/>
          <w:tab w:val="left" w:pos="6415"/>
        </w:tabs>
        <w:kinsoku w:val="0"/>
        <w:wordWrap/>
        <w:overflowPunct w:val="0"/>
        <w:topLinePunct w:val="0"/>
        <w:autoSpaceDE/>
        <w:autoSpaceDN/>
        <w:bidi w:val="0"/>
        <w:adjustRightInd/>
        <w:snapToGrid/>
        <w:spacing w:after="0" w:line="360" w:lineRule="auto"/>
        <w:ind w:right="213" w:firstLine="420" w:firstLineChars="200"/>
        <w:jc w:val="both"/>
        <w:textAlignment w:val="auto"/>
        <w:rPr>
          <w:rFonts w:hint="eastAsia" w:ascii="楷体_GB2312" w:hAnsi="楷体_GB2312" w:eastAsia="楷体_GB2312" w:cs="楷体_GB2312"/>
          <w:color w:val="auto"/>
          <w:kern w:val="2"/>
          <w:sz w:val="21"/>
          <w:szCs w:val="21"/>
          <w:highlight w:val="none"/>
          <w:lang w:val="en-US" w:eastAsia="zh-CN" w:bidi="ar-SA"/>
        </w:rPr>
      </w:pPr>
      <w:r>
        <w:rPr>
          <w:rFonts w:hint="eastAsia" w:ascii="楷体_GB2312" w:hAnsi="楷体_GB2312" w:eastAsia="楷体_GB2312" w:cs="楷体_GB2312"/>
          <w:color w:val="auto"/>
          <w:kern w:val="2"/>
          <w:sz w:val="21"/>
          <w:szCs w:val="21"/>
          <w:highlight w:val="none"/>
          <w:lang w:val="en-US" w:eastAsia="zh-CN" w:bidi="ar-SA"/>
        </w:rPr>
        <w:t>注：（1）香港企业参加投标的，须已在广东省住房和城乡建设主管部门备案且备案的业务范围满足本项目招标文件要求。香港企业备案的业务范围依据《广东省住房和城乡建设厅关于印发香港工程建设咨询企业和专业人士在粤港澳大湾区内地城市开业执业试点管理暂行办法的通知》（粤建规范[2020]1号</w:t>
      </w:r>
      <w:r>
        <w:rPr>
          <w:rFonts w:hint="eastAsia" w:ascii="楷体_GB2312" w:hAnsi="楷体_GB2312" w:eastAsia="楷体_GB2312" w:cs="楷体_GB2312"/>
          <w:color w:val="auto"/>
          <w:sz w:val="20"/>
          <w:szCs w:val="21"/>
          <w:highlight w:val="none"/>
        </w:rPr>
        <w:t>，详见链接：</w:t>
      </w:r>
      <w:r>
        <w:rPr>
          <w:rFonts w:hint="eastAsia" w:ascii="楷体_GB2312" w:hAnsi="楷体_GB2312" w:eastAsia="楷体_GB2312" w:cs="楷体_GB2312"/>
          <w:color w:val="auto"/>
          <w:sz w:val="20"/>
          <w:szCs w:val="21"/>
          <w:highlight w:val="none"/>
        </w:rPr>
        <w:fldChar w:fldCharType="begin"/>
      </w:r>
      <w:r>
        <w:rPr>
          <w:rFonts w:hint="eastAsia" w:ascii="楷体_GB2312" w:hAnsi="楷体_GB2312" w:eastAsia="楷体_GB2312" w:cs="楷体_GB2312"/>
          <w:color w:val="auto"/>
          <w:sz w:val="20"/>
          <w:szCs w:val="21"/>
          <w:highlight w:val="none"/>
        </w:rPr>
        <w:instrText xml:space="preserve"> HYPERLINK "http://zfcxjst.gd.gov.cn/xxgk/wjtz/content/post_3137220.html）确定。香港企业须提供满足招标文件要求的相应资质证书及备案证明资料扫描件。" </w:instrText>
      </w:r>
      <w:r>
        <w:rPr>
          <w:rFonts w:hint="eastAsia" w:ascii="楷体_GB2312" w:hAnsi="楷体_GB2312" w:eastAsia="楷体_GB2312" w:cs="楷体_GB2312"/>
          <w:color w:val="auto"/>
          <w:sz w:val="20"/>
          <w:szCs w:val="21"/>
          <w:highlight w:val="none"/>
        </w:rPr>
        <w:fldChar w:fldCharType="separate"/>
      </w:r>
      <w:r>
        <w:rPr>
          <w:rFonts w:hint="eastAsia" w:ascii="楷体_GB2312" w:hAnsi="楷体_GB2312" w:eastAsia="楷体_GB2312" w:cs="楷体_GB2312"/>
          <w:color w:val="auto"/>
          <w:sz w:val="20"/>
          <w:szCs w:val="21"/>
          <w:highlight w:val="none"/>
        </w:rPr>
        <w:t>http://zfcxjst.gd.gov.cn/xxgk/wjtz/content/post_3137220.html）确定。香港企业须提供满足招标文件要求的相应资质证书及备案证明资料扫描件。</w:t>
      </w:r>
      <w:r>
        <w:rPr>
          <w:rFonts w:hint="eastAsia" w:ascii="楷体_GB2312" w:hAnsi="楷体_GB2312" w:eastAsia="楷体_GB2312" w:cs="楷体_GB2312"/>
          <w:color w:val="auto"/>
          <w:sz w:val="20"/>
          <w:szCs w:val="21"/>
          <w:highlight w:val="none"/>
        </w:rPr>
        <w:fldChar w:fldCharType="end"/>
      </w:r>
      <w:r>
        <w:rPr>
          <w:rFonts w:hint="eastAsia" w:ascii="楷体_GB2312" w:hAnsi="楷体_GB2312" w:eastAsia="楷体_GB2312" w:cs="楷体_GB2312"/>
          <w:color w:val="auto"/>
          <w:kern w:val="2"/>
          <w:sz w:val="21"/>
          <w:szCs w:val="21"/>
          <w:highlight w:val="none"/>
          <w:lang w:val="en-US" w:eastAsia="zh-CN" w:bidi="ar-SA"/>
        </w:rPr>
        <w:t>（2）工程监理企业资质的要求和证书有效期按《工程监理企业资质管理规定》（中华人民共和国建设部令第158号）、《住房城乡建设部关于简化建筑业企业资质标准部分指标的通知》(建市〔2016〕226号)、《住房和城乡建设部关于印发建设工程企业资质管理制度改革方案的通知》（建市〔2020〕94号）、《住房和城乡建设部办公厅关于做好建筑业“证照分离”改革衔接有关工作的通知》（建办市〔2021〕30号）、</w:t>
      </w:r>
      <w:r>
        <w:rPr>
          <w:rFonts w:hint="eastAsia" w:ascii="楷体_GB2312" w:hAnsi="楷体_GB2312" w:eastAsia="楷体_GB2312" w:cs="楷体_GB2312"/>
          <w:color w:val="auto"/>
          <w:sz w:val="20"/>
          <w:szCs w:val="21"/>
          <w:highlight w:val="none"/>
        </w:rPr>
        <w:t>《住房和城乡建设部办公厅关于建设工程企业资质统一延续有关事项的通知》（建办市函〔2021〕510号）</w:t>
      </w:r>
      <w:r>
        <w:rPr>
          <w:rFonts w:hint="eastAsia" w:ascii="楷体_GB2312" w:hAnsi="楷体_GB2312" w:eastAsia="楷体_GB2312" w:cs="楷体_GB2312"/>
          <w:color w:val="auto"/>
          <w:sz w:val="20"/>
          <w:szCs w:val="21"/>
          <w:highlight w:val="none"/>
          <w:lang w:eastAsia="zh-CN"/>
        </w:rPr>
        <w:t>、</w:t>
      </w:r>
      <w:r>
        <w:rPr>
          <w:rFonts w:hint="eastAsia" w:ascii="楷体_GB2312" w:hAnsi="楷体_GB2312" w:eastAsia="楷体_GB2312" w:cs="楷体_GB2312"/>
          <w:color w:val="auto"/>
          <w:sz w:val="20"/>
          <w:szCs w:val="21"/>
          <w:highlight w:val="none"/>
        </w:rPr>
        <w:t>《广东省住房和城乡建设厅关于建设工程企业资质有效期延期的通知》（粤建许函〔2021〕849号）</w:t>
      </w:r>
      <w:r>
        <w:rPr>
          <w:rFonts w:hint="eastAsia" w:ascii="楷体_GB2312" w:hAnsi="楷体_GB2312" w:eastAsia="楷体_GB2312" w:cs="楷体_GB2312"/>
          <w:color w:val="auto"/>
          <w:sz w:val="20"/>
          <w:szCs w:val="21"/>
          <w:highlight w:val="none"/>
          <w:lang w:eastAsia="zh-CN"/>
        </w:rPr>
        <w:t>、</w:t>
      </w:r>
      <w:r>
        <w:rPr>
          <w:rFonts w:hint="eastAsia" w:ascii="楷体_GB2312" w:hAnsi="楷体_GB2312" w:eastAsia="楷体_GB2312" w:cs="楷体_GB2312"/>
          <w:color w:val="auto"/>
          <w:kern w:val="2"/>
          <w:sz w:val="21"/>
          <w:szCs w:val="21"/>
          <w:highlight w:val="none"/>
          <w:lang w:val="en-US" w:eastAsia="zh-CN" w:bidi="ar-SA"/>
        </w:rPr>
        <w:t>《住房和城乡建设部办公厅关于建设工程企业资质有关事宜的通知》（建办市函〔2022〕361号）、《广东省住房和城乡建设厅关于建设工程企业资质有关事宜的通知》（粤建许函〔2022〕846号）、</w:t>
      </w:r>
      <w:r>
        <w:rPr>
          <w:rFonts w:hint="eastAsia" w:ascii="楷体_GB2312" w:hAnsi="楷体_GB2312" w:eastAsia="楷体_GB2312" w:cs="楷体_GB2312"/>
          <w:color w:val="auto"/>
          <w:sz w:val="20"/>
          <w:szCs w:val="21"/>
          <w:highlight w:val="none"/>
          <w:lang w:eastAsia="zh-CN"/>
        </w:rPr>
        <w:t>《住房和城乡建设部关于进一步加强建设工程企业资质审批管理工作的通知》（建市规</w:t>
      </w:r>
      <w:r>
        <w:rPr>
          <w:rFonts w:hint="eastAsia" w:ascii="楷体_GB2312" w:hAnsi="楷体_GB2312" w:eastAsia="楷体_GB2312" w:cs="楷体_GB2312"/>
          <w:color w:val="auto"/>
          <w:sz w:val="20"/>
          <w:szCs w:val="21"/>
          <w:highlight w:val="none"/>
        </w:rPr>
        <w:t>〔20</w:t>
      </w:r>
      <w:r>
        <w:rPr>
          <w:rFonts w:hint="eastAsia" w:ascii="楷体_GB2312" w:hAnsi="楷体_GB2312" w:eastAsia="楷体_GB2312" w:cs="楷体_GB2312"/>
          <w:color w:val="auto"/>
          <w:sz w:val="20"/>
          <w:szCs w:val="21"/>
          <w:highlight w:val="none"/>
          <w:lang w:val="en-US" w:eastAsia="zh-CN"/>
        </w:rPr>
        <w:t>23</w:t>
      </w:r>
      <w:r>
        <w:rPr>
          <w:rFonts w:hint="eastAsia" w:ascii="楷体_GB2312" w:hAnsi="楷体_GB2312" w:eastAsia="楷体_GB2312" w:cs="楷体_GB2312"/>
          <w:color w:val="auto"/>
          <w:sz w:val="20"/>
          <w:szCs w:val="21"/>
          <w:highlight w:val="none"/>
        </w:rPr>
        <w:t>〕</w:t>
      </w:r>
      <w:r>
        <w:rPr>
          <w:rFonts w:hint="eastAsia" w:ascii="楷体_GB2312" w:hAnsi="楷体_GB2312" w:eastAsia="楷体_GB2312" w:cs="楷体_GB2312"/>
          <w:color w:val="auto"/>
          <w:sz w:val="20"/>
          <w:szCs w:val="21"/>
          <w:highlight w:val="none"/>
          <w:lang w:val="en-US" w:eastAsia="zh-CN"/>
        </w:rPr>
        <w:t>3号）</w:t>
      </w:r>
      <w:r>
        <w:rPr>
          <w:rFonts w:hint="eastAsia" w:ascii="楷体_GB2312" w:hAnsi="楷体_GB2312" w:eastAsia="楷体_GB2312" w:cs="楷体_GB2312"/>
          <w:color w:val="auto"/>
          <w:kern w:val="2"/>
          <w:sz w:val="21"/>
          <w:szCs w:val="21"/>
          <w:highlight w:val="none"/>
          <w:lang w:val="en-US" w:eastAsia="zh-CN" w:bidi="ar-SA"/>
        </w:rPr>
        <w:t>、《住房城乡建设部办公厅关于做好有关建设工程企业资质证书换领和延续工作的通知》（建办市〔2023〕47号）</w:t>
      </w:r>
      <w:r>
        <w:rPr>
          <w:rFonts w:hint="eastAsia" w:ascii="楷体_GB2312" w:hAnsi="楷体_GB2312" w:eastAsia="楷体_GB2312" w:cs="楷体_GB2312"/>
          <w:color w:val="auto"/>
          <w:sz w:val="20"/>
          <w:szCs w:val="21"/>
          <w:highlight w:val="none"/>
          <w:lang w:val="en-US" w:eastAsia="zh-CN"/>
        </w:rPr>
        <w:t>、</w:t>
      </w:r>
      <w:r>
        <w:rPr>
          <w:rFonts w:hint="eastAsia" w:ascii="楷体_GB2312" w:hAnsi="楷体_GB2312" w:eastAsia="楷体_GB2312" w:cs="楷体_GB2312"/>
          <w:color w:val="auto"/>
          <w:kern w:val="2"/>
          <w:sz w:val="21"/>
          <w:szCs w:val="21"/>
          <w:highlight w:val="none"/>
          <w:lang w:val="en-US" w:eastAsia="zh-CN" w:bidi="ar-SA"/>
        </w:rPr>
        <w:t>《广东省住房和城乡建设厅关于建设工程企业资质延续有关事项的通知》（粤建许函〔2023〕820号）、《住房城乡建设部建筑市场监管司关于建设工程企业资质延续有关事项的通知》（建司局函市〔2023〕116号）、《广东省住房和城乡建设厅关于做好有关建设工程企业资质证书换领工作的通知》（粤建许函〔2024〕124号）等相关文件执行。根据上述文件的要求，投标人需办理企业资质有效期延续的，应当按照相关规定及时办理。招标期间如行政主管部门对建设工程企业资质有效期发布新规定的，按新规定相应调整执行。</w:t>
      </w:r>
    </w:p>
    <w:p w14:paraId="217CF2C6">
      <w:pPr>
        <w:keepNext w:val="0"/>
        <w:keepLines w:val="0"/>
        <w:pageBreakBefore w:val="0"/>
        <w:widowControl w:val="0"/>
        <w:wordWrap/>
        <w:topLinePunct w:val="0"/>
        <w:autoSpaceDE/>
        <w:autoSpaceDN/>
        <w:bidi w:val="0"/>
        <w:adjustRightInd/>
        <w:snapToGrid/>
        <w:spacing w:line="360" w:lineRule="auto"/>
        <w:ind w:firstLine="420" w:firstLineChars="200"/>
        <w:jc w:val="both"/>
        <w:textAlignment w:val="auto"/>
        <w:rPr>
          <w:rFonts w:hint="eastAsia" w:ascii="宋体" w:hAnsi="宋体" w:eastAsia="宋体" w:cs="宋体"/>
          <w:highlight w:val="none"/>
          <w:u w:val="single"/>
          <w:lang w:val="en" w:eastAsia="zh-CN"/>
        </w:rPr>
      </w:pPr>
      <w:r>
        <w:rPr>
          <w:rFonts w:hint="eastAsia" w:ascii="宋体" w:hAnsi="宋体" w:eastAsia="宋体" w:cs="宋体"/>
          <w:szCs w:val="21"/>
          <w:highlight w:val="none"/>
        </w:rPr>
        <w:t>3.</w:t>
      </w:r>
      <w:r>
        <w:rPr>
          <w:rFonts w:hint="eastAsia" w:ascii="宋体" w:hAnsi="宋体" w:eastAsia="宋体" w:cs="宋体"/>
          <w:szCs w:val="21"/>
          <w:highlight w:val="none"/>
          <w:lang w:val="en-US" w:eastAsia="zh-CN"/>
        </w:rPr>
        <w:t>4</w:t>
      </w:r>
      <w:r>
        <w:rPr>
          <w:rFonts w:hint="eastAsia" w:ascii="宋体" w:hAnsi="宋体" w:eastAsia="宋体" w:cs="宋体"/>
          <w:highlight w:val="none"/>
        </w:rPr>
        <w:t>拟</w:t>
      </w:r>
      <w:r>
        <w:rPr>
          <w:rFonts w:hint="eastAsia" w:ascii="宋体" w:hAnsi="宋体" w:eastAsia="宋体" w:cs="宋体"/>
          <w:highlight w:val="none"/>
          <w:lang w:eastAsia="zh-CN"/>
        </w:rPr>
        <w:t>委</w:t>
      </w:r>
      <w:r>
        <w:rPr>
          <w:rFonts w:hint="eastAsia" w:ascii="宋体" w:hAnsi="宋体" w:eastAsia="宋体" w:cs="宋体"/>
          <w:highlight w:val="none"/>
        </w:rPr>
        <w:t>派总监理工程师须具备</w:t>
      </w:r>
      <w:r>
        <w:rPr>
          <w:rFonts w:hint="default" w:ascii="宋体" w:hAnsi="宋体" w:eastAsia="宋体" w:cs="宋体"/>
          <w:highlight w:val="none"/>
          <w:u w:val="single"/>
          <w:lang w:val="en"/>
        </w:rPr>
        <w:t>建设部2006年4月1日后颁发的中华人民共和国注册监理工程师注册执业证书，且其注册证书专业为市政公用工程</w:t>
      </w:r>
      <w:r>
        <w:rPr>
          <w:rFonts w:hint="eastAsia" w:ascii="宋体" w:hAnsi="宋体" w:eastAsia="宋体" w:cs="宋体"/>
          <w:highlight w:val="none"/>
          <w:u w:val="single"/>
          <w:lang w:val="en-US" w:eastAsia="zh-CN"/>
        </w:rPr>
        <w:t>，注册执业单位为本公司，并具备大学本科学历</w:t>
      </w:r>
      <w:r>
        <w:rPr>
          <w:rFonts w:hint="eastAsia" w:ascii="宋体" w:hAnsi="宋体" w:eastAsia="宋体" w:cs="宋体"/>
          <w:highlight w:val="none"/>
          <w:u w:val="single"/>
          <w:lang w:val="en" w:eastAsia="zh-CN"/>
        </w:rPr>
        <w:t>。</w:t>
      </w:r>
      <w:r>
        <w:rPr>
          <w:rFonts w:hint="eastAsia" w:ascii="宋体" w:hAnsi="宋体" w:cs="宋体"/>
          <w:szCs w:val="21"/>
          <w:highlight w:val="none"/>
          <w:u w:val="single"/>
        </w:rPr>
        <w:t>需提供离投标截止时间最近的至少1个月（2025年7月）在本单位（含非独立法人分支机构）缴纳的社保证明文件</w:t>
      </w:r>
      <w:r>
        <w:rPr>
          <w:rFonts w:hint="eastAsia" w:ascii="宋体" w:hAnsi="宋体" w:eastAsia="宋体" w:cs="宋体"/>
          <w:highlight w:val="none"/>
          <w:u w:val="single"/>
          <w:lang w:val="en" w:eastAsia="zh-CN"/>
        </w:rPr>
        <w:t>。</w:t>
      </w:r>
    </w:p>
    <w:p w14:paraId="5A18E94A">
      <w:pPr>
        <w:pStyle w:val="3"/>
        <w:keepNext w:val="0"/>
        <w:keepLines w:val="0"/>
        <w:pageBreakBefore w:val="0"/>
        <w:widowControl w:val="0"/>
        <w:tabs>
          <w:tab w:val="left" w:pos="4500"/>
          <w:tab w:val="left" w:pos="6415"/>
        </w:tabs>
        <w:kinsoku w:val="0"/>
        <w:wordWrap/>
        <w:overflowPunct w:val="0"/>
        <w:topLinePunct w:val="0"/>
        <w:autoSpaceDE/>
        <w:autoSpaceDN/>
        <w:bidi w:val="0"/>
        <w:adjustRightInd/>
        <w:snapToGrid/>
        <w:spacing w:after="0" w:line="360" w:lineRule="auto"/>
        <w:ind w:right="213" w:firstLine="400" w:firstLineChars="200"/>
        <w:jc w:val="both"/>
        <w:textAlignment w:val="auto"/>
        <w:rPr>
          <w:rFonts w:hint="eastAsia" w:ascii="楷体_GB2312" w:hAnsi="楷体_GB2312" w:eastAsia="楷体_GB2312" w:cs="楷体_GB2312"/>
          <w:color w:val="auto"/>
          <w:sz w:val="20"/>
          <w:szCs w:val="21"/>
          <w:highlight w:val="none"/>
          <w:lang w:val="en-US" w:eastAsia="zh-CN"/>
        </w:rPr>
      </w:pPr>
      <w:r>
        <w:rPr>
          <w:rFonts w:hint="eastAsia" w:ascii="楷体_GB2312" w:hAnsi="楷体_GB2312" w:eastAsia="楷体_GB2312" w:cs="楷体_GB2312"/>
          <w:color w:val="auto"/>
          <w:sz w:val="20"/>
          <w:szCs w:val="21"/>
          <w:highlight w:val="none"/>
          <w:lang w:val="en-US" w:eastAsia="zh-CN"/>
        </w:rPr>
        <w:t>注：若拟委派的项目负责人（</w:t>
      </w:r>
      <w:r>
        <w:rPr>
          <w:rFonts w:hint="eastAsia" w:ascii="楷体_GB2312" w:hAnsi="楷体_GB2312" w:eastAsia="楷体_GB2312" w:cs="楷体_GB2312"/>
          <w:color w:val="auto"/>
          <w:sz w:val="20"/>
          <w:szCs w:val="21"/>
          <w:highlight w:val="none"/>
          <w:lang w:eastAsia="zh-CN"/>
        </w:rPr>
        <w:t>总监理工程师</w:t>
      </w:r>
      <w:r>
        <w:rPr>
          <w:rFonts w:hint="eastAsia" w:ascii="楷体_GB2312" w:hAnsi="楷体_GB2312" w:eastAsia="楷体_GB2312" w:cs="楷体_GB2312"/>
          <w:color w:val="auto"/>
          <w:sz w:val="20"/>
          <w:szCs w:val="21"/>
          <w:highlight w:val="none"/>
          <w:lang w:val="en-US" w:eastAsia="zh-CN"/>
        </w:rPr>
        <w:t>）为香港专业人士，须已在广东省住房和城乡建设主管部门备案且备案的业务范围相当于注册监理工程师的香港专业人士[香港专业人士的备案业务范围依据《广东省住房和城乡建设厅关于印发香港工程建设咨询企业和专业人士在粤港澳大湾区内地城市开业执业试点管理暂行办法的通知》（粤建规范[2020]1号）确定]。</w:t>
      </w:r>
    </w:p>
    <w:p w14:paraId="4A6B89C3">
      <w:pPr>
        <w:pStyle w:val="3"/>
        <w:keepNext w:val="0"/>
        <w:keepLines w:val="0"/>
        <w:pageBreakBefore w:val="0"/>
        <w:widowControl w:val="0"/>
        <w:tabs>
          <w:tab w:val="left" w:pos="4500"/>
          <w:tab w:val="left" w:pos="6415"/>
        </w:tabs>
        <w:kinsoku w:val="0"/>
        <w:wordWrap/>
        <w:overflowPunct w:val="0"/>
        <w:topLinePunct w:val="0"/>
        <w:autoSpaceDE/>
        <w:autoSpaceDN/>
        <w:bidi w:val="0"/>
        <w:adjustRightInd/>
        <w:snapToGrid/>
        <w:spacing w:after="0" w:line="360" w:lineRule="auto"/>
        <w:ind w:right="213"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kern w:val="2"/>
          <w:sz w:val="21"/>
          <w:szCs w:val="22"/>
          <w:highlight w:val="none"/>
          <w:lang w:val="en-US" w:eastAsia="zh-CN" w:bidi="ar-SA"/>
        </w:rPr>
        <w:t>3.5 投标申请人业绩要求（</w:t>
      </w:r>
      <w:r>
        <w:rPr>
          <w:rFonts w:hint="eastAsia" w:ascii="宋体" w:hAnsi="宋体" w:eastAsia="宋体" w:cs="宋体"/>
          <w:kern w:val="2"/>
          <w:sz w:val="21"/>
          <w:szCs w:val="22"/>
          <w:highlight w:val="none"/>
          <w:lang w:val="en-US" w:eastAsia="zh-CN" w:bidi="ar-SA"/>
        </w:rPr>
        <w:sym w:font="Wingdings 2" w:char="00A3"/>
      </w:r>
      <w:r>
        <w:rPr>
          <w:rFonts w:hint="eastAsia" w:ascii="宋体" w:hAnsi="宋体" w:eastAsia="宋体" w:cs="宋体"/>
          <w:kern w:val="2"/>
          <w:sz w:val="21"/>
          <w:szCs w:val="22"/>
          <w:highlight w:val="none"/>
          <w:lang w:val="en-US" w:eastAsia="zh-CN" w:bidi="ar-SA"/>
        </w:rPr>
        <w:t>需要 /</w:t>
      </w:r>
      <w:r>
        <w:rPr>
          <w:rFonts w:hint="eastAsia" w:ascii="宋体" w:hAnsi="宋体" w:cs="宋体"/>
          <w:kern w:val="2"/>
          <w:sz w:val="21"/>
          <w:szCs w:val="22"/>
          <w:highlight w:val="none"/>
          <w:lang w:val="en-US" w:eastAsia="zh-CN" w:bidi="ar-SA"/>
        </w:rPr>
        <w:t>☑</w:t>
      </w:r>
      <w:r>
        <w:rPr>
          <w:rFonts w:hint="eastAsia" w:ascii="宋体" w:hAnsi="宋体" w:eastAsia="宋体" w:cs="宋体"/>
          <w:kern w:val="2"/>
          <w:sz w:val="21"/>
          <w:szCs w:val="22"/>
          <w:highlight w:val="none"/>
          <w:lang w:val="en-US" w:eastAsia="zh-CN" w:bidi="ar-SA"/>
        </w:rPr>
        <w:t>不需要）：</w:t>
      </w:r>
    </w:p>
    <w:p w14:paraId="26F45BEB">
      <w:pPr>
        <w:spacing w:line="360" w:lineRule="auto"/>
        <w:ind w:left="0" w:leftChars="0"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strike w:val="0"/>
          <w:color w:val="auto"/>
          <w:sz w:val="21"/>
          <w:szCs w:val="21"/>
          <w:highlight w:val="none"/>
        </w:rPr>
        <w:t>3</w:t>
      </w:r>
      <w:r>
        <w:rPr>
          <w:rFonts w:hint="eastAsia" w:ascii="宋体" w:hAnsi="宋体" w:eastAsia="宋体" w:cs="宋体"/>
          <w:strike w:val="0"/>
          <w:sz w:val="21"/>
          <w:highlight w:val="none"/>
        </w:rPr>
        <w:t>.</w:t>
      </w:r>
      <w:r>
        <w:rPr>
          <w:rFonts w:hint="eastAsia" w:ascii="宋体" w:hAnsi="宋体" w:eastAsia="宋体" w:cs="宋体"/>
          <w:strike w:val="0"/>
          <w:sz w:val="21"/>
          <w:highlight w:val="none"/>
          <w:lang w:val="en-US" w:eastAsia="zh-CN"/>
        </w:rPr>
        <w:t>6</w:t>
      </w:r>
      <w:r>
        <w:rPr>
          <w:rFonts w:hint="eastAsia" w:ascii="宋体" w:hAnsi="宋体" w:eastAsia="宋体" w:cs="宋体"/>
          <w:color w:val="auto"/>
          <w:sz w:val="21"/>
          <w:szCs w:val="21"/>
          <w:highlight w:val="none"/>
        </w:rPr>
        <w:t>关于联合体投标：</w:t>
      </w:r>
    </w:p>
    <w:p w14:paraId="6A616302">
      <w:pPr>
        <w:spacing w:line="360" w:lineRule="auto"/>
        <w:ind w:firstLine="420" w:firstLineChars="200"/>
        <w:jc w:val="left"/>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lang w:val="en-US" w:eastAsia="zh-CN"/>
        </w:rPr>
        <w:t>3.6.1</w:t>
      </w:r>
      <w:r>
        <w:rPr>
          <w:rFonts w:hint="eastAsia" w:ascii="宋体" w:hAnsi="宋体" w:eastAsia="宋体" w:cs="宋体"/>
          <w:color w:val="auto"/>
          <w:sz w:val="21"/>
          <w:szCs w:val="21"/>
          <w:highlight w:val="none"/>
        </w:rPr>
        <w:t>本次招标</w:t>
      </w:r>
      <w:r>
        <w:rPr>
          <w:rFonts w:hint="eastAsia" w:ascii="宋体" w:hAnsi="宋体" w:eastAsia="宋体" w:cs="宋体"/>
          <w:color w:val="auto"/>
          <w:sz w:val="21"/>
          <w:szCs w:val="21"/>
          <w:highlight w:val="none"/>
          <w:lang w:eastAsia="zh-CN"/>
        </w:rPr>
        <w:t>（</w:t>
      </w:r>
      <w:r>
        <w:rPr>
          <w:rFonts w:hint="eastAsia"/>
          <w:color w:val="auto"/>
          <w:sz w:val="21"/>
          <w:szCs w:val="21"/>
          <w:highlight w:val="none"/>
          <w:u w:val="none"/>
        </w:rPr>
        <w:sym w:font="Wingdings 2" w:char="00A3"/>
      </w:r>
      <w:r>
        <w:rPr>
          <w:rFonts w:hint="eastAsia"/>
          <w:color w:val="auto"/>
          <w:sz w:val="21"/>
          <w:szCs w:val="21"/>
          <w:highlight w:val="none"/>
          <w:u w:val="none"/>
          <w:lang w:eastAsia="zh-CN"/>
        </w:rPr>
        <w:t>接受</w:t>
      </w:r>
      <w:r>
        <w:rPr>
          <w:rFonts w:hint="eastAsia" w:ascii="宋体" w:hAnsi="宋体" w:eastAsia="宋体" w:cs="宋体"/>
          <w:color w:val="auto"/>
          <w:sz w:val="21"/>
          <w:highlight w:val="none"/>
          <w:lang w:val="en-US" w:eastAsia="zh-CN" w:bidi="ar-SA"/>
        </w:rPr>
        <w:t xml:space="preserve"> /</w:t>
      </w:r>
      <w:r>
        <w:rPr>
          <w:rFonts w:hint="eastAsia"/>
          <w:color w:val="auto"/>
          <w:sz w:val="21"/>
          <w:szCs w:val="21"/>
          <w:highlight w:val="none"/>
          <w:u w:val="none"/>
          <w:lang w:eastAsia="zh-CN"/>
        </w:rPr>
        <w:t>☑</w:t>
      </w:r>
      <w:r>
        <w:rPr>
          <w:rFonts w:hint="eastAsia" w:ascii="宋体" w:hAnsi="宋体" w:eastAsia="宋体" w:cs="宋体"/>
          <w:color w:val="auto"/>
          <w:sz w:val="21"/>
          <w:highlight w:val="none"/>
          <w:lang w:val="en-US" w:eastAsia="zh-CN" w:bidi="ar-SA"/>
        </w:rPr>
        <w:t>不接受）</w:t>
      </w:r>
      <w:r>
        <w:rPr>
          <w:rFonts w:hint="eastAsia" w:ascii="宋体" w:hAnsi="宋体" w:eastAsia="宋体" w:cs="宋体"/>
          <w:color w:val="auto"/>
          <w:sz w:val="21"/>
          <w:szCs w:val="21"/>
          <w:highlight w:val="none"/>
        </w:rPr>
        <w:t>联合体投标</w:t>
      </w:r>
      <w:r>
        <w:rPr>
          <w:rFonts w:hint="eastAsia" w:ascii="宋体" w:hAnsi="宋体" w:eastAsia="宋体" w:cs="宋体"/>
          <w:color w:val="auto"/>
          <w:sz w:val="21"/>
          <w:szCs w:val="21"/>
          <w:highlight w:val="none"/>
          <w:lang w:eastAsia="zh-CN"/>
        </w:rPr>
        <w:t>。</w:t>
      </w:r>
    </w:p>
    <w:p w14:paraId="0A58996B">
      <w:pPr>
        <w:keepNext w:val="0"/>
        <w:keepLines w:val="0"/>
        <w:pageBreakBefore w:val="0"/>
        <w:widowControl w:val="0"/>
        <w:wordWrap/>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Cs w:val="21"/>
          <w:highlight w:val="none"/>
          <w:u w:val="none"/>
          <w:lang w:eastAsia="zh-CN"/>
        </w:rPr>
      </w:pPr>
      <w:r>
        <w:rPr>
          <w:rFonts w:hint="eastAsia" w:ascii="宋体" w:hAnsi="宋体" w:eastAsia="宋体" w:cs="宋体"/>
          <w:color w:val="auto"/>
          <w:szCs w:val="21"/>
          <w:highlight w:val="none"/>
          <w:u w:val="none"/>
          <w:lang w:eastAsia="zh-CN"/>
        </w:rPr>
        <w:t>3.</w:t>
      </w:r>
      <w:r>
        <w:rPr>
          <w:rFonts w:hint="eastAsia" w:ascii="宋体" w:hAnsi="宋体" w:eastAsia="宋体" w:cs="宋体"/>
          <w:color w:val="auto"/>
          <w:szCs w:val="21"/>
          <w:highlight w:val="none"/>
          <w:u w:val="none"/>
          <w:lang w:val="en-US" w:eastAsia="zh-CN"/>
        </w:rPr>
        <w:t>7</w:t>
      </w:r>
      <w:r>
        <w:rPr>
          <w:rFonts w:hint="eastAsia" w:ascii="宋体" w:hAnsi="宋体" w:cs="宋体"/>
          <w:szCs w:val="21"/>
          <w:highlight w:val="none"/>
          <w:u w:val="single"/>
        </w:rPr>
        <w:t>资格审查前，投标人须在广州交易集团有限公司（广州公共资源交易中心）办理企业信息登记及拟担任本工程总监理工程师须是本企业在广州交易集团有限公司（广州公共资源交易中心）企业信息登记信息中的在册人员。投标人须在资格审查前及时维护、更新本企业信息，及时上传相关证件，确保拟委派的总监理工程师等相关信息、证件等能有效且被使用，因投标人未及时维护、更新在广州交易集团有限公司（广州公共资源交易中心）企业信息库内的信息，造成其资格审查不合格或不通过的，后果由投标人自行承担。投标人无需提交相关资料。企业信息取自投标截止时间投标人在广州交易集团有限公司（广州公共资源交易中心）企业库内登记的信息，若招标人延长递交投标文件截止时间的，企业信息的评审时点也相应延长。（企业信息登记办理详见《监理类企业信息登记办事指引》，网址：https://www.gzggzy.cn/qyxxd1/945451.jhtml）</w:t>
      </w:r>
    </w:p>
    <w:p w14:paraId="6D6591A6">
      <w:pPr>
        <w:keepNext w:val="0"/>
        <w:keepLines w:val="0"/>
        <w:pageBreakBefore w:val="0"/>
        <w:widowControl w:val="0"/>
        <w:wordWrap/>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u w:val="none"/>
          <w:lang w:eastAsia="zh-CN"/>
        </w:rPr>
        <w:t>3</w:t>
      </w:r>
      <w:r>
        <w:rPr>
          <w:rFonts w:hint="eastAsia" w:ascii="宋体" w:hAnsi="宋体" w:eastAsia="宋体" w:cs="宋体"/>
          <w:color w:val="auto"/>
          <w:szCs w:val="21"/>
          <w:highlight w:val="none"/>
          <w:u w:val="none"/>
          <w:lang w:val="en-US" w:eastAsia="zh-CN"/>
        </w:rPr>
        <w:t>.8投标人未出现招标文件第二章投标人须知第1.4.3项所规定的任何一种情形，并已按规定格式签名盖章《投标人声明》（按投标人提供的《投标人声明》内容进行评审）。</w:t>
      </w:r>
    </w:p>
    <w:p w14:paraId="4F99585A">
      <w:pPr>
        <w:spacing w:line="360" w:lineRule="auto"/>
        <w:ind w:firstLine="420" w:firstLineChars="200"/>
        <w:rPr>
          <w:rFonts w:hint="eastAsia" w:ascii="宋体" w:hAnsi="宋体" w:cs="宋体"/>
          <w:szCs w:val="21"/>
          <w:highlight w:val="none"/>
          <w:lang w:eastAsia="zh-CN"/>
        </w:rPr>
      </w:pPr>
      <w:r>
        <w:rPr>
          <w:rFonts w:hint="eastAsia" w:ascii="宋体" w:hAnsi="宋体" w:eastAsia="宋体" w:cs="宋体"/>
          <w:color w:val="auto"/>
          <w:szCs w:val="21"/>
          <w:highlight w:val="none"/>
          <w:u w:val="none"/>
          <w:lang w:val="en-US" w:eastAsia="zh-CN"/>
        </w:rPr>
        <w:t>3.9</w:t>
      </w:r>
      <w:r>
        <w:rPr>
          <w:rFonts w:hint="eastAsia" w:ascii="宋体" w:hAnsi="宋体" w:cs="宋体"/>
          <w:szCs w:val="21"/>
          <w:highlight w:val="none"/>
        </w:rPr>
        <w:t>在投标截止时间前，投标人未被列入拖欠农民工工资失信联合惩戒对象名单（本项评审投标人无需提供资料，按</w:t>
      </w:r>
      <w:r>
        <w:rPr>
          <w:rFonts w:hint="eastAsia" w:ascii="宋体" w:hAnsi="宋体" w:cs="宋体"/>
          <w:szCs w:val="21"/>
          <w:highlight w:val="none"/>
          <w:lang w:val="en-US" w:eastAsia="zh-CN"/>
        </w:rPr>
        <w:t>投标截止</w:t>
      </w:r>
      <w:r>
        <w:rPr>
          <w:rFonts w:hint="eastAsia" w:ascii="宋体" w:hAnsi="宋体" w:cs="宋体"/>
          <w:szCs w:val="21"/>
          <w:highlight w:val="none"/>
        </w:rPr>
        <w:t>时广州交易集团有限公司（广州公共资源交易中心)交易系统比对的结果进行评审）</w:t>
      </w:r>
      <w:r>
        <w:rPr>
          <w:rFonts w:hint="eastAsia" w:ascii="宋体" w:hAnsi="宋体" w:cs="宋体"/>
          <w:szCs w:val="21"/>
          <w:highlight w:val="none"/>
          <w:lang w:eastAsia="zh-CN"/>
        </w:rPr>
        <w:t>。</w:t>
      </w:r>
    </w:p>
    <w:p w14:paraId="0B742E87">
      <w:pPr>
        <w:spacing w:line="360" w:lineRule="auto"/>
        <w:ind w:firstLine="420" w:firstLineChars="200"/>
        <w:jc w:val="left"/>
        <w:rPr>
          <w:rFonts w:hint="eastAsia" w:ascii="宋体" w:hAnsi="宋体" w:eastAsia="宋体" w:cs="宋体"/>
          <w:color w:val="auto"/>
          <w:sz w:val="21"/>
          <w:szCs w:val="20"/>
          <w:highlight w:val="none"/>
          <w:lang w:val="en-US" w:eastAsia="zh-CN" w:bidi="ar-SA"/>
        </w:rPr>
      </w:pPr>
      <w:r>
        <w:rPr>
          <w:rFonts w:hint="eastAsia" w:ascii="宋体" w:hAnsi="宋体" w:cs="宋体"/>
          <w:szCs w:val="21"/>
          <w:highlight w:val="none"/>
        </w:rPr>
        <w:t>3.1</w:t>
      </w:r>
      <w:r>
        <w:rPr>
          <w:rFonts w:hint="eastAsia" w:ascii="宋体" w:hAnsi="宋体" w:cs="宋体"/>
          <w:szCs w:val="21"/>
          <w:highlight w:val="none"/>
          <w:lang w:val="en-US" w:eastAsia="zh-CN"/>
        </w:rPr>
        <w:t>0</w:t>
      </w:r>
      <w:r>
        <w:rPr>
          <w:rFonts w:hint="eastAsia" w:ascii="宋体" w:hAnsi="宋体" w:cs="宋体"/>
          <w:szCs w:val="21"/>
          <w:highlight w:val="none"/>
        </w:rPr>
        <w:t>其他要求：</w:t>
      </w:r>
      <w:r>
        <w:rPr>
          <w:rFonts w:hint="eastAsia" w:ascii="宋体" w:hAnsi="宋体" w:cs="宋体"/>
          <w:szCs w:val="21"/>
          <w:highlight w:val="none"/>
          <w:u w:val="single"/>
        </w:rPr>
        <w:t xml:space="preserve">            /               </w:t>
      </w:r>
    </w:p>
    <w:p w14:paraId="4165E870">
      <w:pPr>
        <w:pStyle w:val="5"/>
        <w:bidi w:val="0"/>
        <w:rPr>
          <w:rFonts w:hint="eastAsia"/>
          <w:highlight w:val="none"/>
        </w:rPr>
      </w:pPr>
      <w:bookmarkStart w:id="45" w:name="_Toc31269"/>
      <w:bookmarkStart w:id="46" w:name="_Toc25355"/>
      <w:bookmarkStart w:id="47" w:name="_Toc492300549"/>
      <w:bookmarkStart w:id="48" w:name="_Toc7384"/>
      <w:bookmarkStart w:id="49" w:name="_Toc21595"/>
      <w:bookmarkStart w:id="50" w:name="_Toc5034"/>
      <w:bookmarkStart w:id="51" w:name="_Toc32692"/>
      <w:bookmarkStart w:id="52" w:name="_Toc17136"/>
      <w:bookmarkStart w:id="53" w:name="_Toc2300"/>
      <w:bookmarkStart w:id="54" w:name="_Toc1349"/>
      <w:bookmarkStart w:id="55" w:name="_Toc10789"/>
      <w:r>
        <w:rPr>
          <w:rFonts w:hint="eastAsia"/>
          <w:highlight w:val="none"/>
        </w:rPr>
        <w:t>4.招标文件的获取</w:t>
      </w:r>
      <w:bookmarkEnd w:id="45"/>
      <w:bookmarkEnd w:id="46"/>
      <w:bookmarkEnd w:id="47"/>
      <w:bookmarkEnd w:id="48"/>
      <w:bookmarkEnd w:id="49"/>
      <w:bookmarkEnd w:id="50"/>
      <w:bookmarkEnd w:id="51"/>
      <w:bookmarkEnd w:id="52"/>
      <w:bookmarkEnd w:id="53"/>
      <w:bookmarkEnd w:id="54"/>
      <w:bookmarkEnd w:id="55"/>
    </w:p>
    <w:p w14:paraId="1443A5F2">
      <w:pPr>
        <w:keepNext w:val="0"/>
        <w:keepLines w:val="0"/>
        <w:pageBreakBefore w:val="0"/>
        <w:widowControl w:val="0"/>
        <w:tabs>
          <w:tab w:val="left" w:pos="360"/>
        </w:tabs>
        <w:wordWrap/>
        <w:topLinePunct w:val="0"/>
        <w:autoSpaceDE/>
        <w:autoSpaceDN/>
        <w:bidi w:val="0"/>
        <w:adjustRightInd/>
        <w:snapToGrid/>
        <w:spacing w:line="360" w:lineRule="auto"/>
        <w:ind w:firstLine="420" w:firstLineChars="200"/>
        <w:jc w:val="left"/>
        <w:textAlignment w:val="auto"/>
        <w:rPr>
          <w:rFonts w:hint="eastAsia" w:ascii="Times New Roman" w:hAnsi="Times New Roman"/>
          <w:szCs w:val="21"/>
          <w:highlight w:val="none"/>
        </w:rPr>
      </w:pPr>
      <w:r>
        <w:rPr>
          <w:rFonts w:ascii="Times New Roman" w:hAnsi="Times New Roman"/>
          <w:color w:val="000000"/>
          <w:szCs w:val="21"/>
          <w:highlight w:val="none"/>
        </w:rPr>
        <w:t>4.1</w:t>
      </w:r>
      <w:r>
        <w:rPr>
          <w:rFonts w:hint="eastAsia" w:ascii="Times New Roman" w:hAnsi="Times New Roman"/>
          <w:szCs w:val="21"/>
          <w:highlight w:val="none"/>
        </w:rPr>
        <w:t>凡有意参加投标者，请于</w:t>
      </w:r>
      <w:r>
        <w:rPr>
          <w:rFonts w:hint="eastAsia" w:ascii="Times New Roman" w:hAnsi="Times New Roman"/>
          <w:szCs w:val="21"/>
          <w:highlight w:val="none"/>
          <w:u w:val="single"/>
          <w:lang w:val="en-US" w:eastAsia="zh-CN"/>
        </w:rPr>
        <w:t xml:space="preserve">  </w:t>
      </w:r>
      <w:r>
        <w:rPr>
          <w:rFonts w:hint="eastAsia" w:ascii="Times New Roman" w:hAnsi="Times New Roman"/>
          <w:szCs w:val="21"/>
          <w:highlight w:val="none"/>
        </w:rPr>
        <w:t>年</w:t>
      </w:r>
      <w:r>
        <w:rPr>
          <w:rFonts w:ascii="Times New Roman" w:hAnsi="Times New Roman"/>
          <w:szCs w:val="21"/>
          <w:highlight w:val="none"/>
          <w:u w:val="single"/>
        </w:rPr>
        <w:t xml:space="preserve">  </w:t>
      </w:r>
      <w:r>
        <w:rPr>
          <w:rFonts w:hint="eastAsia" w:ascii="Times New Roman" w:hAnsi="Times New Roman"/>
          <w:szCs w:val="21"/>
          <w:highlight w:val="none"/>
        </w:rPr>
        <w:t>月</w:t>
      </w:r>
      <w:r>
        <w:rPr>
          <w:rFonts w:ascii="Times New Roman" w:hAnsi="Times New Roman"/>
          <w:szCs w:val="21"/>
          <w:highlight w:val="none"/>
          <w:u w:val="single"/>
        </w:rPr>
        <w:t xml:space="preserve">  </w:t>
      </w:r>
      <w:r>
        <w:rPr>
          <w:rFonts w:hint="eastAsia" w:ascii="Times New Roman" w:hAnsi="Times New Roman"/>
          <w:szCs w:val="21"/>
          <w:highlight w:val="none"/>
        </w:rPr>
        <w:t>日</w:t>
      </w:r>
      <w:r>
        <w:rPr>
          <w:rFonts w:ascii="Times New Roman" w:hAnsi="Times New Roman"/>
          <w:szCs w:val="21"/>
          <w:highlight w:val="none"/>
          <w:u w:val="single"/>
        </w:rPr>
        <w:t xml:space="preserve">  </w:t>
      </w:r>
      <w:r>
        <w:rPr>
          <w:rFonts w:hint="eastAsia" w:ascii="Times New Roman" w:hAnsi="Times New Roman"/>
          <w:szCs w:val="21"/>
          <w:highlight w:val="none"/>
        </w:rPr>
        <w:t>时至</w:t>
      </w:r>
      <w:r>
        <w:rPr>
          <w:rFonts w:hint="eastAsia" w:ascii="Times New Roman" w:hAnsi="Times New Roman"/>
          <w:szCs w:val="21"/>
          <w:highlight w:val="none"/>
          <w:u w:val="single"/>
          <w:lang w:val="en-US" w:eastAsia="zh-CN"/>
        </w:rPr>
        <w:t xml:space="preserve">  </w:t>
      </w:r>
      <w:r>
        <w:rPr>
          <w:rFonts w:hint="eastAsia" w:ascii="Times New Roman" w:hAnsi="Times New Roman"/>
          <w:szCs w:val="21"/>
          <w:highlight w:val="none"/>
        </w:rPr>
        <w:t>年</w:t>
      </w:r>
      <w:r>
        <w:rPr>
          <w:rFonts w:ascii="Times New Roman" w:hAnsi="Times New Roman"/>
          <w:szCs w:val="21"/>
          <w:highlight w:val="none"/>
          <w:u w:val="single"/>
        </w:rPr>
        <w:t xml:space="preserve">  </w:t>
      </w:r>
      <w:r>
        <w:rPr>
          <w:rFonts w:hint="eastAsia" w:ascii="Times New Roman" w:hAnsi="Times New Roman"/>
          <w:szCs w:val="21"/>
          <w:highlight w:val="none"/>
        </w:rPr>
        <w:t>月</w:t>
      </w:r>
      <w:r>
        <w:rPr>
          <w:rFonts w:ascii="Times New Roman" w:hAnsi="Times New Roman"/>
          <w:szCs w:val="21"/>
          <w:highlight w:val="none"/>
          <w:u w:val="single"/>
        </w:rPr>
        <w:t xml:space="preserve"> </w:t>
      </w:r>
      <w:r>
        <w:rPr>
          <w:rFonts w:hint="eastAsia" w:ascii="Times New Roman" w:hAnsi="Times New Roman"/>
          <w:szCs w:val="21"/>
          <w:highlight w:val="none"/>
        </w:rPr>
        <w:t>日</w:t>
      </w:r>
      <w:r>
        <w:rPr>
          <w:rFonts w:ascii="Times New Roman" w:hAnsi="Times New Roman"/>
          <w:szCs w:val="21"/>
          <w:highlight w:val="none"/>
          <w:u w:val="single"/>
        </w:rPr>
        <w:t xml:space="preserve">  </w:t>
      </w:r>
      <w:r>
        <w:rPr>
          <w:rFonts w:hint="eastAsia" w:ascii="Times New Roman" w:hAnsi="Times New Roman"/>
          <w:szCs w:val="21"/>
          <w:highlight w:val="none"/>
        </w:rPr>
        <w:t>时</w:t>
      </w:r>
      <w:r>
        <w:rPr>
          <w:rFonts w:ascii="Times New Roman" w:hAnsi="Times New Roman"/>
          <w:szCs w:val="21"/>
          <w:highlight w:val="none"/>
        </w:rPr>
        <w:t>(</w:t>
      </w:r>
      <w:r>
        <w:rPr>
          <w:rFonts w:hint="eastAsia" w:ascii="Times New Roman" w:hAnsi="Times New Roman"/>
          <w:szCs w:val="21"/>
          <w:highlight w:val="none"/>
        </w:rPr>
        <w:t>北京时间，下同</w:t>
      </w:r>
      <w:r>
        <w:rPr>
          <w:rFonts w:ascii="Times New Roman" w:hAnsi="Times New Roman"/>
          <w:szCs w:val="21"/>
          <w:highlight w:val="none"/>
        </w:rPr>
        <w:t>)</w:t>
      </w:r>
      <w:r>
        <w:rPr>
          <w:rFonts w:hint="eastAsia" w:ascii="Times New Roman" w:hAnsi="Times New Roman"/>
          <w:szCs w:val="21"/>
          <w:highlight w:val="none"/>
        </w:rPr>
        <w:t>，登录</w:t>
      </w:r>
      <w:r>
        <w:rPr>
          <w:rFonts w:hint="eastAsia" w:ascii="Times New Roman" w:hAnsi="Times New Roman"/>
          <w:szCs w:val="21"/>
          <w:highlight w:val="none"/>
          <w:lang w:val="en"/>
        </w:rPr>
        <w:t>广州交易集团有限公司（广州公共资源交易中心）网</w:t>
      </w:r>
      <w:r>
        <w:rPr>
          <w:rFonts w:hint="eastAsia" w:ascii="Times New Roman" w:hAnsi="Times New Roman"/>
          <w:szCs w:val="21"/>
          <w:highlight w:val="none"/>
          <w:lang w:val="en-US" w:eastAsia="zh-CN"/>
        </w:rPr>
        <w:t>站</w:t>
      </w:r>
      <w:r>
        <w:rPr>
          <w:rFonts w:hint="eastAsia" w:ascii="Times New Roman" w:hAnsi="Times New Roman"/>
          <w:szCs w:val="21"/>
          <w:highlight w:val="none"/>
          <w:lang w:val="en"/>
        </w:rPr>
        <w:t>（网址：http://www.gzggzy.cn）</w:t>
      </w:r>
      <w:r>
        <w:rPr>
          <w:rFonts w:hint="eastAsia" w:ascii="Times New Roman" w:hAnsi="Times New Roman"/>
          <w:szCs w:val="21"/>
          <w:highlight w:val="none"/>
        </w:rPr>
        <w:t>下载电子招标文件。</w:t>
      </w:r>
    </w:p>
    <w:p w14:paraId="4CDF54B5">
      <w:pPr>
        <w:keepNext w:val="0"/>
        <w:keepLines w:val="0"/>
        <w:pageBreakBefore w:val="0"/>
        <w:widowControl w:val="0"/>
        <w:wordWrap/>
        <w:topLinePunct w:val="0"/>
        <w:autoSpaceDE/>
        <w:autoSpaceDN/>
        <w:bidi w:val="0"/>
        <w:adjustRightInd/>
        <w:snapToGrid/>
        <w:spacing w:line="360" w:lineRule="auto"/>
        <w:ind w:firstLine="420" w:firstLineChars="200"/>
        <w:textAlignment w:val="auto"/>
        <w:rPr>
          <w:rFonts w:hint="eastAsia" w:ascii="Times New Roman" w:hAnsi="Times New Roman"/>
          <w:szCs w:val="21"/>
          <w:highlight w:val="none"/>
        </w:rPr>
      </w:pPr>
      <w:r>
        <w:rPr>
          <w:rFonts w:hint="eastAsia" w:ascii="Times New Roman" w:hAnsi="Times New Roman"/>
          <w:szCs w:val="21"/>
          <w:highlight w:val="none"/>
        </w:rPr>
        <w:t>4.2发布招标公告时间（含本日）：</w:t>
      </w:r>
      <w:r>
        <w:rPr>
          <w:rFonts w:hint="eastAsia" w:ascii="Times New Roman" w:hAnsi="Times New Roman"/>
          <w:szCs w:val="21"/>
          <w:highlight w:val="none"/>
          <w:u w:val="single"/>
          <w:lang w:val="en-US" w:eastAsia="zh-CN"/>
        </w:rPr>
        <w:t xml:space="preserve">  </w:t>
      </w:r>
      <w:r>
        <w:rPr>
          <w:rFonts w:hint="eastAsia" w:ascii="Times New Roman" w:hAnsi="Times New Roman"/>
          <w:szCs w:val="21"/>
          <w:highlight w:val="none"/>
        </w:rPr>
        <w:t>年</w:t>
      </w:r>
      <w:r>
        <w:rPr>
          <w:rFonts w:ascii="Times New Roman" w:hAnsi="Times New Roman"/>
          <w:szCs w:val="21"/>
          <w:highlight w:val="none"/>
          <w:u w:val="single"/>
        </w:rPr>
        <w:t xml:space="preserve"> </w:t>
      </w:r>
      <w:r>
        <w:rPr>
          <w:rFonts w:hint="eastAsia" w:ascii="Times New Roman" w:hAnsi="Times New Roman"/>
          <w:szCs w:val="21"/>
          <w:highlight w:val="none"/>
        </w:rPr>
        <w:t>月</w:t>
      </w:r>
      <w:r>
        <w:rPr>
          <w:rFonts w:ascii="Times New Roman" w:hAnsi="Times New Roman"/>
          <w:szCs w:val="21"/>
          <w:highlight w:val="none"/>
          <w:u w:val="single"/>
        </w:rPr>
        <w:t xml:space="preserve">  </w:t>
      </w:r>
      <w:r>
        <w:rPr>
          <w:rFonts w:hint="eastAsia" w:ascii="Times New Roman" w:hAnsi="Times New Roman"/>
          <w:szCs w:val="21"/>
          <w:highlight w:val="none"/>
        </w:rPr>
        <w:t>日</w:t>
      </w:r>
      <w:r>
        <w:rPr>
          <w:rFonts w:ascii="Times New Roman" w:hAnsi="Times New Roman"/>
          <w:szCs w:val="21"/>
          <w:highlight w:val="none"/>
          <w:u w:val="single"/>
        </w:rPr>
        <w:t xml:space="preserve">  </w:t>
      </w:r>
      <w:r>
        <w:rPr>
          <w:rFonts w:hint="eastAsia" w:ascii="Times New Roman" w:hAnsi="Times New Roman"/>
          <w:szCs w:val="21"/>
          <w:highlight w:val="none"/>
        </w:rPr>
        <w:t>时</w:t>
      </w:r>
      <w:r>
        <w:rPr>
          <w:rFonts w:ascii="Times New Roman" w:hAnsi="Times New Roman"/>
          <w:szCs w:val="21"/>
          <w:highlight w:val="none"/>
          <w:u w:val="single"/>
        </w:rPr>
        <w:t xml:space="preserve">  </w:t>
      </w:r>
      <w:r>
        <w:rPr>
          <w:rFonts w:hint="eastAsia" w:ascii="Times New Roman" w:hAnsi="Times New Roman"/>
          <w:szCs w:val="21"/>
          <w:highlight w:val="none"/>
        </w:rPr>
        <w:t>分至</w:t>
      </w:r>
      <w:r>
        <w:rPr>
          <w:rFonts w:hint="eastAsia" w:ascii="Times New Roman" w:hAnsi="Times New Roman"/>
          <w:szCs w:val="21"/>
          <w:highlight w:val="none"/>
          <w:lang w:val="en-US" w:eastAsia="zh-CN"/>
        </w:rPr>
        <w:t xml:space="preserve">  </w:t>
      </w:r>
      <w:r>
        <w:rPr>
          <w:rFonts w:hint="eastAsia" w:ascii="Times New Roman" w:hAnsi="Times New Roman"/>
          <w:szCs w:val="21"/>
          <w:highlight w:val="none"/>
        </w:rPr>
        <w:t>年</w:t>
      </w:r>
      <w:r>
        <w:rPr>
          <w:rFonts w:hint="eastAsia" w:ascii="Times New Roman" w:hAnsi="Times New Roman"/>
          <w:szCs w:val="21"/>
          <w:highlight w:val="none"/>
          <w:u w:val="single"/>
        </w:rPr>
        <w:t xml:space="preserve">  </w:t>
      </w:r>
      <w:r>
        <w:rPr>
          <w:rFonts w:hint="eastAsia" w:ascii="Times New Roman" w:hAnsi="Times New Roman"/>
          <w:szCs w:val="21"/>
          <w:highlight w:val="none"/>
        </w:rPr>
        <w:t>月</w:t>
      </w:r>
      <w:r>
        <w:rPr>
          <w:rFonts w:ascii="Times New Roman" w:hAnsi="Times New Roman"/>
          <w:szCs w:val="21"/>
          <w:highlight w:val="none"/>
          <w:u w:val="single"/>
        </w:rPr>
        <w:t xml:space="preserve">  </w:t>
      </w:r>
      <w:r>
        <w:rPr>
          <w:rFonts w:hint="eastAsia" w:ascii="Times New Roman" w:hAnsi="Times New Roman"/>
          <w:szCs w:val="21"/>
          <w:highlight w:val="none"/>
        </w:rPr>
        <w:t>日</w:t>
      </w:r>
      <w:r>
        <w:rPr>
          <w:rFonts w:ascii="Times New Roman" w:hAnsi="Times New Roman"/>
          <w:szCs w:val="21"/>
          <w:highlight w:val="none"/>
          <w:u w:val="single"/>
        </w:rPr>
        <w:t xml:space="preserve">  </w:t>
      </w:r>
      <w:r>
        <w:rPr>
          <w:rFonts w:hint="eastAsia" w:ascii="Times New Roman" w:hAnsi="Times New Roman"/>
          <w:szCs w:val="21"/>
          <w:highlight w:val="none"/>
        </w:rPr>
        <w:t>时</w:t>
      </w:r>
      <w:r>
        <w:rPr>
          <w:rFonts w:ascii="Times New Roman" w:hAnsi="Times New Roman"/>
          <w:szCs w:val="21"/>
          <w:highlight w:val="none"/>
          <w:u w:val="single"/>
        </w:rPr>
        <w:t xml:space="preserve">   </w:t>
      </w:r>
      <w:r>
        <w:rPr>
          <w:rFonts w:hint="eastAsia" w:ascii="Times New Roman" w:hAnsi="Times New Roman"/>
          <w:szCs w:val="21"/>
          <w:highlight w:val="none"/>
        </w:rPr>
        <w:t>分</w:t>
      </w:r>
    </w:p>
    <w:p w14:paraId="01C15FCC">
      <w:pPr>
        <w:keepNext w:val="0"/>
        <w:keepLines w:val="0"/>
        <w:pageBreakBefore w:val="0"/>
        <w:widowControl w:val="0"/>
        <w:wordWrap/>
        <w:topLinePunct w:val="0"/>
        <w:autoSpaceDE/>
        <w:autoSpaceDN/>
        <w:bidi w:val="0"/>
        <w:adjustRightInd/>
        <w:snapToGrid/>
        <w:spacing w:line="360" w:lineRule="auto"/>
        <w:ind w:firstLine="420" w:firstLineChars="200"/>
        <w:textAlignment w:val="auto"/>
        <w:rPr>
          <w:rFonts w:hint="eastAsia" w:ascii="楷体_GB2312" w:hAnsi="楷体_GB2312" w:eastAsia="楷体_GB2312" w:cs="楷体_GB2312"/>
          <w:color w:val="auto"/>
          <w:kern w:val="2"/>
          <w:sz w:val="21"/>
          <w:szCs w:val="21"/>
          <w:highlight w:val="none"/>
          <w:lang w:val="en-US" w:eastAsia="zh-CN" w:bidi="ar-SA"/>
        </w:rPr>
      </w:pPr>
      <w:r>
        <w:rPr>
          <w:rFonts w:hint="eastAsia" w:ascii="楷体_GB2312" w:hAnsi="楷体_GB2312" w:eastAsia="楷体_GB2312" w:cs="楷体_GB2312"/>
          <w:color w:val="auto"/>
          <w:kern w:val="2"/>
          <w:sz w:val="21"/>
          <w:szCs w:val="21"/>
          <w:highlight w:val="none"/>
          <w:lang w:val="en-US" w:eastAsia="zh-CN" w:bidi="ar-SA"/>
        </w:rPr>
        <w:t>注：本公告发布之日起开始发布招标文件，发布招标公告的时间为招标公告发出之日起至递交投标文件截止时间止,并从招标公告发布之日起开始计算备标时间。</w:t>
      </w:r>
    </w:p>
    <w:p w14:paraId="3AD67860">
      <w:pPr>
        <w:keepNext w:val="0"/>
        <w:keepLines w:val="0"/>
        <w:pageBreakBefore w:val="0"/>
        <w:widowControl w:val="0"/>
        <w:wordWrap/>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bidi="ar-SA"/>
        </w:rPr>
      </w:pPr>
      <w:r>
        <w:rPr>
          <w:rFonts w:hint="eastAsia" w:ascii="Times New Roman" w:hAnsi="Times New Roman"/>
          <w:szCs w:val="21"/>
          <w:highlight w:val="none"/>
          <w:u w:val="none"/>
        </w:rPr>
        <w:t>4.3</w:t>
      </w:r>
      <w:r>
        <w:rPr>
          <w:rFonts w:hint="eastAsia" w:ascii="宋体" w:hAnsi="宋体" w:eastAsia="宋体" w:cs="宋体"/>
          <w:color w:val="auto"/>
          <w:sz w:val="21"/>
          <w:szCs w:val="21"/>
          <w:highlight w:val="none"/>
          <w:lang w:val="en-US" w:eastAsia="zh-CN" w:bidi="ar-SA"/>
        </w:rPr>
        <w:t>本项目招标文件随招标公告一并在</w:t>
      </w:r>
      <w:r>
        <w:rPr>
          <w:rFonts w:hint="eastAsia" w:ascii="宋体" w:hAnsi="宋体" w:eastAsia="宋体" w:cs="宋体"/>
          <w:color w:val="auto"/>
          <w:sz w:val="21"/>
          <w:szCs w:val="21"/>
          <w:highlight w:val="none"/>
          <w:u w:val="single"/>
          <w:lang w:val="en-US" w:eastAsia="zh-CN" w:bidi="ar-SA"/>
        </w:rPr>
        <w:t>广州交易集团有限公司（广州公共资源交易中心）</w:t>
      </w:r>
      <w:r>
        <w:rPr>
          <w:rFonts w:hint="eastAsia" w:ascii="宋体" w:hAnsi="宋体" w:eastAsia="宋体" w:cs="宋体"/>
          <w:color w:val="auto"/>
          <w:sz w:val="21"/>
          <w:szCs w:val="21"/>
          <w:highlight w:val="none"/>
          <w:lang w:val="en-US" w:eastAsia="zh-CN" w:bidi="ar-SA"/>
        </w:rPr>
        <w:t>网站交易平台发布。招标文件一经在交易平台发布，视为发出给投标人，招标文件由投标人自行在交易平台下载。</w:t>
      </w:r>
    </w:p>
    <w:p w14:paraId="6F34D6B0">
      <w:pPr>
        <w:pStyle w:val="6"/>
        <w:rPr>
          <w:rFonts w:hint="eastAsia"/>
          <w:highlight w:val="none"/>
        </w:rPr>
      </w:pPr>
    </w:p>
    <w:p w14:paraId="72B12CEB">
      <w:pPr>
        <w:pStyle w:val="5"/>
        <w:bidi w:val="0"/>
        <w:rPr>
          <w:rFonts w:hint="eastAsia"/>
          <w:highlight w:val="none"/>
        </w:rPr>
      </w:pPr>
      <w:bookmarkStart w:id="56" w:name="_Toc30270"/>
      <w:bookmarkStart w:id="57" w:name="_Toc3884"/>
      <w:bookmarkStart w:id="58" w:name="_Toc492300550"/>
      <w:bookmarkStart w:id="59" w:name="_Toc14445"/>
      <w:bookmarkStart w:id="60" w:name="_Toc30981"/>
      <w:bookmarkStart w:id="61" w:name="_Toc22166"/>
      <w:bookmarkStart w:id="62" w:name="_Toc3582"/>
      <w:bookmarkStart w:id="63" w:name="_Toc16837"/>
      <w:bookmarkStart w:id="64" w:name="_Toc6915"/>
      <w:bookmarkStart w:id="65" w:name="_Toc13305"/>
      <w:bookmarkStart w:id="66" w:name="_Toc18670"/>
      <w:r>
        <w:rPr>
          <w:rFonts w:hint="eastAsia"/>
          <w:highlight w:val="none"/>
        </w:rPr>
        <w:t>5.投标文件的递交</w:t>
      </w:r>
      <w:bookmarkEnd w:id="56"/>
      <w:bookmarkEnd w:id="57"/>
      <w:bookmarkEnd w:id="58"/>
      <w:bookmarkEnd w:id="59"/>
      <w:bookmarkEnd w:id="60"/>
      <w:bookmarkEnd w:id="61"/>
      <w:bookmarkEnd w:id="62"/>
      <w:bookmarkEnd w:id="63"/>
      <w:bookmarkEnd w:id="64"/>
      <w:bookmarkEnd w:id="65"/>
      <w:bookmarkEnd w:id="66"/>
    </w:p>
    <w:p w14:paraId="097CDD1F">
      <w:pPr>
        <w:tabs>
          <w:tab w:val="left" w:pos="360"/>
        </w:tabs>
        <w:spacing w:line="400" w:lineRule="exact"/>
        <w:ind w:firstLine="420" w:firstLineChars="200"/>
        <w:jc w:val="both"/>
        <w:rPr>
          <w:rFonts w:hint="eastAsia" w:ascii="宋体" w:hAnsi="宋体" w:eastAsia="宋体" w:cs="宋体"/>
          <w:color w:val="auto"/>
          <w:sz w:val="21"/>
          <w:szCs w:val="21"/>
          <w:highlight w:val="none"/>
        </w:rPr>
      </w:pPr>
      <w:bookmarkStart w:id="67" w:name="_Toc5954"/>
      <w:bookmarkStart w:id="68" w:name="_Toc996"/>
      <w:bookmarkStart w:id="69" w:name="_Toc5148"/>
      <w:bookmarkStart w:id="70" w:name="_Toc9454"/>
      <w:bookmarkStart w:id="71" w:name="_Toc3643"/>
      <w:bookmarkStart w:id="72" w:name="_Toc8942"/>
      <w:bookmarkStart w:id="73" w:name="_Toc28330"/>
      <w:bookmarkStart w:id="74" w:name="_Toc25776"/>
      <w:bookmarkStart w:id="75" w:name="_Toc492300551"/>
      <w:bookmarkStart w:id="76" w:name="_Toc14276"/>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投标文件递交的截止时间（投标截止时间，下同）为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分，投标人应在截止时间前通过</w:t>
      </w:r>
      <w:r>
        <w:rPr>
          <w:rFonts w:hint="eastAsia" w:ascii="宋体" w:hAnsi="宋体" w:eastAsia="宋体" w:cs="宋体"/>
          <w:color w:val="auto"/>
          <w:sz w:val="21"/>
          <w:szCs w:val="21"/>
          <w:highlight w:val="none"/>
          <w:u w:val="single"/>
          <w:lang w:val="en-US" w:eastAsia="zh-CN"/>
        </w:rPr>
        <w:t>广州交易集团有限公司（广州公共资源交易中心）网站交易平台</w:t>
      </w:r>
      <w:r>
        <w:rPr>
          <w:rFonts w:hint="eastAsia" w:ascii="宋体" w:hAnsi="宋体" w:eastAsia="宋体" w:cs="宋体"/>
          <w:color w:val="auto"/>
          <w:sz w:val="21"/>
          <w:szCs w:val="21"/>
          <w:highlight w:val="none"/>
        </w:rPr>
        <w:t>递交电子投标文件。</w:t>
      </w:r>
      <w:r>
        <w:rPr>
          <w:rFonts w:hint="eastAsia" w:ascii="宋体" w:hAnsi="宋体" w:eastAsia="宋体" w:cs="宋体"/>
          <w:color w:val="auto"/>
          <w:sz w:val="21"/>
          <w:szCs w:val="21"/>
          <w:highlight w:val="none"/>
          <w:lang w:eastAsia="zh-CN"/>
        </w:rPr>
        <w:t>投标人</w:t>
      </w:r>
      <w:r>
        <w:rPr>
          <w:rFonts w:hint="eastAsia" w:ascii="宋体" w:hAnsi="宋体" w:cs="宋体"/>
          <w:color w:val="auto"/>
          <w:sz w:val="21"/>
          <w:szCs w:val="21"/>
          <w:highlight w:val="none"/>
        </w:rPr>
        <w:t>完成</w:t>
      </w:r>
      <w:r>
        <w:rPr>
          <w:rFonts w:hint="eastAsia" w:ascii="宋体" w:hAnsi="宋体" w:cs="宋体"/>
          <w:color w:val="auto"/>
          <w:sz w:val="21"/>
          <w:szCs w:val="21"/>
          <w:highlight w:val="none"/>
          <w:lang w:eastAsia="zh-CN"/>
        </w:rPr>
        <w:t>电子</w:t>
      </w:r>
      <w:r>
        <w:rPr>
          <w:rFonts w:hint="eastAsia" w:ascii="宋体" w:hAnsi="宋体" w:cs="宋体"/>
          <w:color w:val="auto"/>
          <w:sz w:val="21"/>
          <w:szCs w:val="21"/>
          <w:highlight w:val="none"/>
        </w:rPr>
        <w:t>投标文件上传</w:t>
      </w:r>
      <w:r>
        <w:rPr>
          <w:rFonts w:hint="eastAsia" w:ascii="宋体" w:hAnsi="宋体" w:eastAsia="宋体" w:cs="宋体"/>
          <w:color w:val="auto"/>
          <w:sz w:val="21"/>
          <w:szCs w:val="21"/>
          <w:highlight w:val="none"/>
          <w:lang w:eastAsia="zh-CN"/>
        </w:rPr>
        <w:t>后</w:t>
      </w:r>
      <w:r>
        <w:rPr>
          <w:rFonts w:hint="eastAsia" w:ascii="宋体" w:hAnsi="宋体" w:cs="宋体"/>
          <w:color w:val="auto"/>
          <w:sz w:val="21"/>
          <w:szCs w:val="21"/>
          <w:highlight w:val="none"/>
        </w:rPr>
        <w:t>，</w:t>
      </w:r>
      <w:r>
        <w:rPr>
          <w:rFonts w:hint="eastAsia" w:ascii="宋体" w:hAnsi="宋体" w:eastAsia="宋体" w:cs="宋体"/>
          <w:color w:val="auto"/>
          <w:sz w:val="21"/>
          <w:szCs w:val="21"/>
          <w:highlight w:val="none"/>
          <w:lang w:eastAsia="zh-CN"/>
        </w:rPr>
        <w:t>交易平台即时向投标人发出递交</w:t>
      </w:r>
      <w:r>
        <w:rPr>
          <w:rFonts w:hint="eastAsia" w:ascii="宋体" w:hAnsi="宋体" w:cs="宋体"/>
          <w:color w:val="auto"/>
          <w:sz w:val="21"/>
          <w:szCs w:val="21"/>
          <w:highlight w:val="none"/>
        </w:rPr>
        <w:t>回执</w:t>
      </w:r>
      <w:r>
        <w:rPr>
          <w:rFonts w:hint="eastAsia" w:ascii="宋体" w:hAnsi="宋体" w:eastAsia="宋体" w:cs="宋体"/>
          <w:color w:val="auto"/>
          <w:sz w:val="21"/>
          <w:szCs w:val="21"/>
          <w:highlight w:val="none"/>
          <w:lang w:eastAsia="zh-CN"/>
        </w:rPr>
        <w:t>通知</w:t>
      </w:r>
      <w:r>
        <w:rPr>
          <w:rFonts w:hint="eastAsia" w:ascii="宋体" w:hAnsi="宋体" w:cs="宋体"/>
          <w:color w:val="auto"/>
          <w:sz w:val="21"/>
          <w:szCs w:val="21"/>
          <w:highlight w:val="none"/>
          <w:lang w:eastAsia="zh-CN"/>
        </w:rPr>
        <w:t>。递交时间以递交回执通知载明的传输完成时间为准。</w:t>
      </w:r>
    </w:p>
    <w:p w14:paraId="63C64190">
      <w:pPr>
        <w:keepNext w:val="0"/>
        <w:keepLines w:val="0"/>
        <w:pageBreakBefore w:val="0"/>
        <w:widowControl/>
        <w:kinsoku/>
        <w:wordWrap/>
        <w:overflowPunct/>
        <w:topLinePunct/>
        <w:autoSpaceDE/>
        <w:autoSpaceDN/>
        <w:bidi w:val="0"/>
        <w:adjustRightInd/>
        <w:snapToGrid w:val="0"/>
        <w:spacing w:line="400" w:lineRule="exact"/>
        <w:ind w:left="0" w:leftChars="0" w:firstLine="420" w:firstLineChars="200"/>
        <w:jc w:val="both"/>
        <w:textAlignment w:val="auto"/>
        <w:rPr>
          <w:rFonts w:hint="eastAsia" w:ascii="宋体" w:hAnsi="宋体" w:eastAsia="宋体" w:cs="宋体"/>
          <w:color w:val="auto"/>
          <w:w w:val="100"/>
          <w:sz w:val="21"/>
          <w:szCs w:val="21"/>
          <w:highlight w:val="none"/>
        </w:rPr>
      </w:pPr>
      <w:r>
        <w:rPr>
          <w:rFonts w:hint="eastAsia" w:ascii="宋体" w:hAnsi="宋体" w:eastAsia="宋体" w:cs="宋体"/>
          <w:color w:val="auto"/>
          <w:w w:val="100"/>
          <w:sz w:val="21"/>
          <w:szCs w:val="21"/>
          <w:highlight w:val="none"/>
        </w:rPr>
        <w:t>在投标截止时间后</w:t>
      </w:r>
      <w:r>
        <w:rPr>
          <w:rFonts w:hint="eastAsia" w:ascii="宋体" w:hAnsi="宋体" w:eastAsia="宋体" w:cs="宋体"/>
          <w:color w:val="auto"/>
          <w:w w:val="100"/>
          <w:sz w:val="21"/>
          <w:szCs w:val="21"/>
          <w:highlight w:val="none"/>
          <w:u w:val="single"/>
          <w:lang w:eastAsia="zh-CN"/>
        </w:rPr>
        <w:t>一</w:t>
      </w:r>
      <w:r>
        <w:rPr>
          <w:rFonts w:hint="eastAsia" w:ascii="宋体" w:hAnsi="宋体" w:eastAsia="宋体" w:cs="宋体"/>
          <w:color w:val="auto"/>
          <w:w w:val="100"/>
          <w:sz w:val="21"/>
          <w:szCs w:val="21"/>
          <w:highlight w:val="none"/>
        </w:rPr>
        <w:t>小时内，投标人通过</w:t>
      </w:r>
      <w:r>
        <w:rPr>
          <w:rFonts w:hint="eastAsia" w:ascii="宋体" w:hAnsi="宋体" w:eastAsia="宋体" w:cs="宋体"/>
          <w:color w:val="auto"/>
          <w:w w:val="100"/>
          <w:sz w:val="21"/>
          <w:szCs w:val="21"/>
          <w:highlight w:val="none"/>
          <w:u w:val="single"/>
          <w:lang w:val="en-US" w:eastAsia="zh-CN"/>
        </w:rPr>
        <w:t>广州交易集团有限公司（广州公共资源交易中心）</w:t>
      </w:r>
      <w:r>
        <w:rPr>
          <w:rFonts w:hint="eastAsia" w:ascii="宋体" w:hAnsi="宋体" w:eastAsia="宋体" w:cs="宋体"/>
          <w:color w:val="auto"/>
          <w:w w:val="100"/>
          <w:sz w:val="21"/>
          <w:szCs w:val="21"/>
          <w:highlight w:val="none"/>
          <w:lang w:eastAsia="zh-CN"/>
        </w:rPr>
        <w:t>网站</w:t>
      </w:r>
      <w:r>
        <w:rPr>
          <w:rFonts w:hint="eastAsia" w:ascii="宋体" w:hAnsi="宋体" w:eastAsia="宋体" w:cs="宋体"/>
          <w:color w:val="auto"/>
          <w:w w:val="100"/>
          <w:sz w:val="21"/>
          <w:szCs w:val="21"/>
          <w:highlight w:val="none"/>
        </w:rPr>
        <w:t>对已递交的电子投标文件进行解密。</w:t>
      </w:r>
    </w:p>
    <w:p w14:paraId="1141C0EE">
      <w:pPr>
        <w:pStyle w:val="3"/>
        <w:keepNext w:val="0"/>
        <w:keepLines w:val="0"/>
        <w:pageBreakBefore w:val="0"/>
        <w:widowControl w:val="0"/>
        <w:tabs>
          <w:tab w:val="left" w:pos="3492"/>
          <w:tab w:val="left" w:pos="7063"/>
        </w:tabs>
        <w:kinsoku w:val="0"/>
        <w:wordWrap/>
        <w:overflowPunct w:val="0"/>
        <w:topLinePunct w:val="0"/>
        <w:autoSpaceDE w:val="0"/>
        <w:autoSpaceDN w:val="0"/>
        <w:bidi w:val="0"/>
        <w:adjustRightInd/>
        <w:snapToGrid/>
        <w:spacing w:beforeLines="0" w:afterLines="0" w:line="360" w:lineRule="auto"/>
        <w:ind w:left="0" w:right="113" w:firstLine="424" w:firstLineChars="202"/>
        <w:jc w:val="both"/>
        <w:textAlignment w:val="auto"/>
        <w:rPr>
          <w:rFonts w:hint="eastAsia" w:ascii="Times New Roman" w:hAnsi="Times New Roman"/>
          <w:color w:val="auto"/>
          <w:szCs w:val="21"/>
          <w:highlight w:val="none"/>
          <w:u w:val="single"/>
        </w:rPr>
      </w:pPr>
      <w:r>
        <w:rPr>
          <w:rFonts w:hint="eastAsia" w:ascii="宋体" w:hAnsi="宋体" w:eastAsia="宋体" w:cs="宋体"/>
          <w:color w:val="auto"/>
          <w:sz w:val="21"/>
          <w:szCs w:val="21"/>
          <w:highlight w:val="none"/>
          <w:lang w:val="en-US" w:eastAsia="zh-CN" w:bidi="ar-SA"/>
        </w:rPr>
        <w:t>5.2 投标人应在递交投标文件截止时间前，登录</w:t>
      </w:r>
      <w:r>
        <w:rPr>
          <w:rFonts w:hint="eastAsia" w:ascii="宋体" w:hAnsi="宋体" w:eastAsia="宋体" w:cs="宋体"/>
          <w:color w:val="auto"/>
          <w:sz w:val="21"/>
          <w:szCs w:val="21"/>
          <w:highlight w:val="none"/>
          <w:u w:val="single"/>
          <w:lang w:val="en-US" w:eastAsia="zh-CN" w:bidi="ar-SA"/>
        </w:rPr>
        <w:t>广州交易集团有限公司（广州公共资源交易中心）</w:t>
      </w:r>
      <w:r>
        <w:rPr>
          <w:rFonts w:hint="eastAsia" w:ascii="宋体" w:hAnsi="宋体" w:eastAsia="宋体" w:cs="宋体"/>
          <w:color w:val="auto"/>
          <w:sz w:val="21"/>
          <w:szCs w:val="21"/>
          <w:highlight w:val="none"/>
          <w:lang w:val="en-US" w:eastAsia="zh-CN" w:bidi="ar-SA"/>
        </w:rPr>
        <w:t>网站交易平台办理网上投标登记手续；投标登记时间（含本日）</w:t>
      </w:r>
      <w:r>
        <w:rPr>
          <w:rFonts w:hint="eastAsia" w:ascii="Times New Roman" w:hAnsi="Times New Roman"/>
          <w:color w:val="auto"/>
          <w:szCs w:val="21"/>
          <w:highlight w:val="none"/>
        </w:rPr>
        <w:t>：</w:t>
      </w:r>
      <w:r>
        <w:rPr>
          <w:rFonts w:hint="eastAsia" w:ascii="宋体" w:hAnsi="宋体" w:eastAsia="宋体" w:cs="宋体"/>
          <w:color w:val="auto"/>
          <w:highlight w:val="none"/>
          <w:u w:val="single"/>
          <w:lang w:val="en-US" w:eastAsia="zh-CN"/>
        </w:rPr>
        <w:t xml:space="preserve">     </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年</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lang w:val="en-US" w:eastAsia="zh-CN"/>
        </w:rPr>
        <w:t xml:space="preserve"> </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lang w:val="en-US" w:eastAsia="zh-CN"/>
        </w:rPr>
        <w:t xml:space="preserve"> </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rPr>
        <w:t>月</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lang w:val="en-US" w:eastAsia="zh-CN"/>
        </w:rPr>
        <w:t xml:space="preserve"> </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rPr>
        <w:t>日</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rPr>
        <w:t>时</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rPr>
        <w:t>分至</w:t>
      </w:r>
      <w:r>
        <w:rPr>
          <w:rFonts w:hint="eastAsia" w:ascii="宋体" w:hAnsi="宋体" w:eastAsia="宋体" w:cs="宋体"/>
          <w:color w:val="auto"/>
          <w:highlight w:val="none"/>
          <w:u w:val="single"/>
          <w:lang w:val="en-US" w:eastAsia="zh-CN"/>
        </w:rPr>
        <w:t xml:space="preserve">     </w:t>
      </w:r>
      <w:r>
        <w:rPr>
          <w:rFonts w:hint="eastAsia" w:ascii="Times New Roman" w:hAnsi="Times New Roman"/>
          <w:color w:val="auto"/>
          <w:szCs w:val="21"/>
          <w:highlight w:val="none"/>
        </w:rPr>
        <w:t>年</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u w:val="single"/>
          <w:lang w:val="en-US" w:eastAsia="zh-CN"/>
        </w:rPr>
        <w:t xml:space="preserve"> </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月</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rPr>
        <w:t>日</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rPr>
        <w:t>时</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lang w:eastAsia="zh-CN"/>
        </w:rPr>
        <w:t>分</w:t>
      </w:r>
      <w:r>
        <w:rPr>
          <w:rFonts w:hint="eastAsia" w:ascii="Times New Roman" w:hAnsi="Times New Roman"/>
          <w:color w:val="auto"/>
          <w:szCs w:val="21"/>
          <w:highlight w:val="none"/>
        </w:rPr>
        <w:t>。</w:t>
      </w:r>
    </w:p>
    <w:p w14:paraId="48CB19AF">
      <w:pPr>
        <w:pStyle w:val="3"/>
        <w:keepNext w:val="0"/>
        <w:keepLines w:val="0"/>
        <w:pageBreakBefore w:val="0"/>
        <w:widowControl w:val="0"/>
        <w:tabs>
          <w:tab w:val="left" w:pos="3492"/>
          <w:tab w:val="left" w:pos="7063"/>
        </w:tabs>
        <w:kinsoku w:val="0"/>
        <w:wordWrap/>
        <w:overflowPunct w:val="0"/>
        <w:topLinePunct w:val="0"/>
        <w:autoSpaceDE w:val="0"/>
        <w:autoSpaceDN w:val="0"/>
        <w:bidi w:val="0"/>
        <w:adjustRightInd/>
        <w:snapToGrid/>
        <w:spacing w:beforeLines="0" w:afterLines="0" w:line="360" w:lineRule="auto"/>
        <w:ind w:left="0" w:right="113" w:firstLine="424" w:firstLineChars="202"/>
        <w:jc w:val="both"/>
        <w:textAlignment w:val="auto"/>
        <w:rPr>
          <w:rFonts w:hint="eastAsia" w:ascii="楷体_GB2312" w:hAnsi="楷体_GB2312" w:eastAsia="楷体_GB2312" w:cs="楷体_GB2312"/>
          <w:color w:val="auto"/>
          <w:kern w:val="2"/>
          <w:sz w:val="21"/>
          <w:szCs w:val="21"/>
          <w:highlight w:val="none"/>
          <w:lang w:val="en-US" w:eastAsia="zh-CN" w:bidi="ar-SA"/>
        </w:rPr>
      </w:pPr>
      <w:r>
        <w:rPr>
          <w:rFonts w:hint="eastAsia" w:ascii="楷体_GB2312" w:hAnsi="楷体_GB2312" w:eastAsia="楷体_GB2312" w:cs="楷体_GB2312"/>
          <w:color w:val="auto"/>
          <w:kern w:val="2"/>
          <w:sz w:val="21"/>
          <w:szCs w:val="21"/>
          <w:highlight w:val="none"/>
          <w:lang w:val="en-US" w:eastAsia="zh-CN" w:bidi="ar-SA"/>
        </w:rPr>
        <w:t>注：详见电子招标投标交易平台网站发布的最新版操作指引。</w:t>
      </w:r>
    </w:p>
    <w:p w14:paraId="3D52EC6D">
      <w:pPr>
        <w:tabs>
          <w:tab w:val="left" w:pos="360"/>
        </w:tabs>
        <w:spacing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3 </w:t>
      </w:r>
      <w:r>
        <w:rPr>
          <w:rFonts w:hint="eastAsia" w:ascii="宋体" w:hAnsi="宋体" w:eastAsia="宋体" w:cs="宋体"/>
          <w:color w:val="auto"/>
          <w:sz w:val="21"/>
          <w:szCs w:val="21"/>
          <w:highlight w:val="none"/>
        </w:rPr>
        <w:t>开标开始时间：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分；地点：广州交易集团有限公司（广州公共资源交易中心）</w:t>
      </w:r>
      <w:r>
        <w:rPr>
          <w:rFonts w:hint="eastAsia" w:ascii="宋体" w:hAnsi="宋体" w:eastAsia="宋体" w:cs="宋体"/>
          <w:color w:val="auto"/>
          <w:sz w:val="21"/>
          <w:szCs w:val="21"/>
          <w:highlight w:val="none"/>
          <w:lang w:val="en-US" w:eastAsia="zh-CN"/>
        </w:rPr>
        <w:t>指定</w:t>
      </w:r>
      <w:r>
        <w:rPr>
          <w:rFonts w:hint="eastAsia" w:ascii="宋体" w:hAnsi="宋体" w:eastAsia="宋体" w:cs="宋体"/>
          <w:color w:val="auto"/>
          <w:sz w:val="21"/>
          <w:szCs w:val="21"/>
          <w:highlight w:val="none"/>
        </w:rPr>
        <w:t>开标室。</w:t>
      </w:r>
    </w:p>
    <w:p w14:paraId="2429ABA0">
      <w:pPr>
        <w:tabs>
          <w:tab w:val="left" w:pos="360"/>
        </w:tabs>
        <w:spacing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4 </w:t>
      </w:r>
      <w:r>
        <w:rPr>
          <w:rFonts w:hint="eastAsia" w:ascii="宋体" w:hAnsi="宋体" w:eastAsia="宋体" w:cs="宋体"/>
          <w:color w:val="auto"/>
          <w:sz w:val="21"/>
          <w:szCs w:val="21"/>
          <w:highlight w:val="none"/>
        </w:rPr>
        <w:t>投标文件光盘（备用）递交时间：</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分至</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分；地点：广州交易集团有限公司（广州公共资源交易中心）</w:t>
      </w:r>
      <w:r>
        <w:rPr>
          <w:rFonts w:hint="eastAsia" w:ascii="宋体" w:hAnsi="宋体" w:eastAsia="宋体" w:cs="宋体"/>
          <w:color w:val="auto"/>
          <w:sz w:val="21"/>
          <w:szCs w:val="21"/>
          <w:highlight w:val="none"/>
          <w:lang w:val="en-US" w:eastAsia="zh-CN"/>
        </w:rPr>
        <w:t>指定</w:t>
      </w:r>
      <w:r>
        <w:rPr>
          <w:rFonts w:hint="eastAsia" w:ascii="宋体" w:hAnsi="宋体" w:eastAsia="宋体" w:cs="宋体"/>
          <w:color w:val="auto"/>
          <w:sz w:val="21"/>
          <w:szCs w:val="21"/>
          <w:highlight w:val="none"/>
        </w:rPr>
        <w:t>开标室。（投标人自行决定是否递交备用电子光盘，若提交电子光盘需则按规定封装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投标人将数据刻录到光盘之后，投标前自行检查文件是否可以读取）。</w:t>
      </w:r>
      <w:r>
        <w:rPr>
          <w:rFonts w:hint="eastAsia" w:ascii="宋体" w:hAnsi="宋体" w:eastAsia="宋体" w:cs="宋体"/>
          <w:color w:val="auto"/>
          <w:sz w:val="21"/>
          <w:szCs w:val="21"/>
          <w:highlight w:val="none"/>
          <w:lang w:eastAsia="zh-CN"/>
        </w:rPr>
        <w:t>逾期送达的投标文件光盘（备用），招标人将予以拒收。</w:t>
      </w:r>
    </w:p>
    <w:p w14:paraId="20E1B82A">
      <w:pPr>
        <w:tabs>
          <w:tab w:val="left" w:pos="360"/>
        </w:tabs>
        <w:spacing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5 </w:t>
      </w:r>
      <w:r>
        <w:rPr>
          <w:rFonts w:hint="eastAsia" w:ascii="宋体" w:hAnsi="宋体" w:eastAsia="宋体" w:cs="宋体"/>
          <w:color w:val="auto"/>
          <w:sz w:val="21"/>
          <w:szCs w:val="21"/>
          <w:highlight w:val="none"/>
        </w:rPr>
        <w:t>投标文件解密时间为：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分至</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分，投标人应在截止时间前通过</w:t>
      </w:r>
      <w:r>
        <w:rPr>
          <w:rFonts w:hint="eastAsia" w:ascii="宋体" w:hAnsi="宋体" w:eastAsia="宋体" w:cs="宋体"/>
          <w:color w:val="auto"/>
          <w:sz w:val="21"/>
          <w:szCs w:val="21"/>
          <w:highlight w:val="none"/>
          <w:u w:val="single"/>
          <w:lang w:val="en-US" w:eastAsia="zh-CN"/>
        </w:rPr>
        <w:t>广州交易集团有限公司（广州公共资源交易中心）网站交易平台</w:t>
      </w:r>
      <w:r>
        <w:rPr>
          <w:rFonts w:hint="eastAsia" w:ascii="宋体" w:hAnsi="宋体" w:eastAsia="宋体" w:cs="宋体"/>
          <w:color w:val="auto"/>
          <w:sz w:val="21"/>
          <w:szCs w:val="21"/>
          <w:highlight w:val="none"/>
        </w:rPr>
        <w:t>对电子投标文件进行投标文件解密。</w:t>
      </w:r>
    </w:p>
    <w:p w14:paraId="1C4ED7F5">
      <w:pPr>
        <w:spacing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6 </w:t>
      </w:r>
      <w:r>
        <w:rPr>
          <w:rFonts w:hint="eastAsia" w:ascii="宋体" w:hAnsi="宋体" w:eastAsia="宋体" w:cs="宋体"/>
          <w:color w:val="auto"/>
          <w:sz w:val="21"/>
          <w:szCs w:val="21"/>
          <w:highlight w:val="none"/>
        </w:rPr>
        <w:t>逾期送达的投标文件，电子招标投标交易平台将予以拒收。</w:t>
      </w:r>
    </w:p>
    <w:p w14:paraId="19A1214C">
      <w:pPr>
        <w:spacing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 xml:space="preserve"> 递交投标文件截止时间及开标时间是否有变化，请密切留意</w:t>
      </w:r>
      <w:r>
        <w:rPr>
          <w:rFonts w:hint="eastAsia" w:ascii="宋体" w:hAnsi="宋体" w:eastAsia="宋体" w:cs="宋体"/>
          <w:color w:val="auto"/>
          <w:sz w:val="21"/>
          <w:szCs w:val="21"/>
          <w:highlight w:val="none"/>
          <w:u w:val="single"/>
          <w:lang w:val="en-US" w:eastAsia="zh-CN"/>
        </w:rPr>
        <w:t>广州交易集团有限公司（广州公共资源交易中心）</w:t>
      </w:r>
      <w:r>
        <w:rPr>
          <w:rFonts w:hint="eastAsia" w:ascii="宋体" w:hAnsi="宋体" w:eastAsia="宋体" w:cs="宋体"/>
          <w:color w:val="auto"/>
          <w:sz w:val="21"/>
          <w:szCs w:val="21"/>
          <w:highlight w:val="none"/>
        </w:rPr>
        <w:t>中的相关信息。递交投标文件截止时间后，投标文件评审时间因故推迟的，相关资审信息仍以原递交投标文件截止时间的信息为准。</w:t>
      </w:r>
    </w:p>
    <w:p w14:paraId="1EBCDAA9">
      <w:pPr>
        <w:pStyle w:val="5"/>
        <w:bidi w:val="0"/>
        <w:rPr>
          <w:rFonts w:hint="eastAsia"/>
          <w:highlight w:val="none"/>
        </w:rPr>
      </w:pPr>
      <w:bookmarkStart w:id="77" w:name="_Toc4976"/>
      <w:r>
        <w:rPr>
          <w:rFonts w:hint="eastAsia"/>
          <w:highlight w:val="none"/>
        </w:rPr>
        <w:t>6.发布公告的媒介</w:t>
      </w:r>
      <w:bookmarkEnd w:id="67"/>
      <w:bookmarkEnd w:id="68"/>
      <w:bookmarkEnd w:id="69"/>
      <w:bookmarkEnd w:id="70"/>
      <w:bookmarkEnd w:id="71"/>
      <w:bookmarkEnd w:id="72"/>
      <w:bookmarkEnd w:id="73"/>
      <w:bookmarkEnd w:id="74"/>
      <w:bookmarkEnd w:id="75"/>
      <w:bookmarkEnd w:id="76"/>
      <w:bookmarkEnd w:id="77"/>
    </w:p>
    <w:p w14:paraId="6AAE7BEB">
      <w:pPr>
        <w:spacing w:line="400" w:lineRule="exact"/>
        <w:ind w:firstLine="420" w:firstLineChars="200"/>
        <w:rPr>
          <w:rFonts w:hint="eastAsia" w:ascii="Times New Roman" w:hAnsi="Times New Roman"/>
          <w:highlight w:val="none"/>
        </w:rPr>
      </w:pPr>
      <w:r>
        <w:rPr>
          <w:rFonts w:hint="eastAsia" w:ascii="宋体" w:hAnsi="宋体" w:cs="宋体"/>
          <w:szCs w:val="21"/>
          <w:highlight w:val="none"/>
        </w:rPr>
        <w:t>本次招标公告同时在</w:t>
      </w:r>
      <w:r>
        <w:rPr>
          <w:rFonts w:hint="eastAsia" w:ascii="宋体" w:hAnsi="宋体" w:cs="宋体"/>
          <w:szCs w:val="21"/>
          <w:highlight w:val="none"/>
          <w:u w:val="single"/>
        </w:rPr>
        <w:t>广州交易集团有限公司（广州公共资源交易中心）网站（网址：http://www.gzggzy.cn/）</w:t>
      </w:r>
      <w:r>
        <w:rPr>
          <w:rFonts w:hint="eastAsia" w:ascii="宋体" w:hAnsi="宋体" w:cs="宋体"/>
          <w:szCs w:val="21"/>
          <w:highlight w:val="none"/>
        </w:rPr>
        <w:t>、广东省招标投标监管网（网址： http://zbtb.gd.gov.cn/login）、中国招标投标公共服务平台（网址：http://www.cebpubservice.com/）上发布。本公告的修改、补充，在</w:t>
      </w:r>
      <w:r>
        <w:rPr>
          <w:rFonts w:hint="eastAsia" w:ascii="宋体" w:hAnsi="宋体" w:cs="宋体"/>
          <w:szCs w:val="21"/>
          <w:highlight w:val="none"/>
          <w:u w:val="single"/>
        </w:rPr>
        <w:t>广州交易集团有限公司（广州公共资源交易中心）网站（网址：http://www.gzggzy.cn/）</w:t>
      </w:r>
      <w:r>
        <w:rPr>
          <w:rFonts w:hint="eastAsia" w:ascii="宋体" w:hAnsi="宋体" w:cs="宋体"/>
          <w:szCs w:val="21"/>
          <w:highlight w:val="none"/>
        </w:rPr>
        <w:t>、广东省招标投标监管网发布。招标公告、公示信息的发布时间和内容，以在广东省招标投标监管网(网址：http://zbtb.gd.gov.cn/)发布的为准。本项目相关附件具体详见</w:t>
      </w:r>
      <w:r>
        <w:rPr>
          <w:rFonts w:hint="eastAsia" w:ascii="宋体" w:hAnsi="宋体" w:cs="宋体"/>
          <w:szCs w:val="21"/>
          <w:highlight w:val="none"/>
          <w:u w:val="single"/>
        </w:rPr>
        <w:t>广州交易集团有限公司（广州公共资源交易中心）网站（网址：http://www.gzggzy.cn/）</w:t>
      </w:r>
      <w:r>
        <w:rPr>
          <w:rFonts w:hint="eastAsia" w:ascii="Times New Roman" w:hAnsi="Times New Roman"/>
          <w:highlight w:val="none"/>
        </w:rPr>
        <w:t>。</w:t>
      </w:r>
    </w:p>
    <w:p w14:paraId="0A0D39C6">
      <w:pPr>
        <w:pStyle w:val="6"/>
        <w:rPr>
          <w:rFonts w:hint="eastAsia"/>
          <w:highlight w:val="none"/>
        </w:rPr>
      </w:pPr>
    </w:p>
    <w:p w14:paraId="245DFF2E">
      <w:pPr>
        <w:pStyle w:val="5"/>
        <w:bidi w:val="0"/>
        <w:rPr>
          <w:rFonts w:hint="eastAsia"/>
          <w:highlight w:val="none"/>
          <w:lang w:eastAsia="zh-CN"/>
        </w:rPr>
      </w:pPr>
      <w:bookmarkStart w:id="78" w:name="_Toc31630"/>
      <w:bookmarkStart w:id="79" w:name="_Toc22894"/>
      <w:bookmarkStart w:id="80" w:name="_Toc29446"/>
      <w:bookmarkStart w:id="81" w:name="_Toc19129"/>
      <w:bookmarkStart w:id="82" w:name="_Toc492300552"/>
      <w:bookmarkStart w:id="83" w:name="_Toc14159"/>
      <w:bookmarkStart w:id="84" w:name="_Toc12872"/>
      <w:bookmarkStart w:id="85" w:name="_Toc4765"/>
      <w:bookmarkStart w:id="86" w:name="_Toc26465"/>
      <w:bookmarkStart w:id="87" w:name="_Toc17274"/>
      <w:bookmarkStart w:id="88" w:name="_Toc2596"/>
      <w:r>
        <w:rPr>
          <w:rFonts w:hint="eastAsia"/>
          <w:highlight w:val="none"/>
          <w:lang w:val="en-US" w:eastAsia="zh-CN"/>
        </w:rPr>
        <w:t>7.</w:t>
      </w:r>
      <w:bookmarkEnd w:id="78"/>
      <w:bookmarkEnd w:id="79"/>
      <w:bookmarkEnd w:id="80"/>
      <w:bookmarkEnd w:id="81"/>
      <w:bookmarkEnd w:id="82"/>
      <w:bookmarkEnd w:id="83"/>
      <w:bookmarkEnd w:id="84"/>
      <w:bookmarkEnd w:id="85"/>
      <w:bookmarkEnd w:id="86"/>
      <w:bookmarkEnd w:id="87"/>
      <w:r>
        <w:rPr>
          <w:rFonts w:hint="eastAsia"/>
          <w:highlight w:val="none"/>
          <w:lang w:eastAsia="zh-CN"/>
        </w:rPr>
        <w:t>资格审查方式</w:t>
      </w:r>
      <w:bookmarkEnd w:id="88"/>
    </w:p>
    <w:p w14:paraId="400EBD0D">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7.1 本工程采用资格后审方式，由评标委员会负责资格审查。</w:t>
      </w:r>
    </w:p>
    <w:p w14:paraId="6CE0B05A">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7.2 资格审查结果将在</w:t>
      </w:r>
      <w:r>
        <w:rPr>
          <w:rFonts w:hint="eastAsia" w:ascii="宋体" w:hAnsi="宋体" w:eastAsia="宋体" w:cs="宋体"/>
          <w:color w:val="auto"/>
          <w:sz w:val="21"/>
          <w:szCs w:val="21"/>
          <w:highlight w:val="none"/>
          <w:u w:val="single"/>
          <w:lang w:val="en-US" w:eastAsia="zh-CN"/>
        </w:rPr>
        <w:t>广州交易集团有限公司（广州公共资源交易中心）网站</w:t>
      </w:r>
      <w:r>
        <w:rPr>
          <w:rFonts w:hint="eastAsia" w:ascii="宋体" w:hAnsi="宋体" w:eastAsia="宋体" w:cs="宋体"/>
          <w:color w:val="auto"/>
          <w:sz w:val="21"/>
          <w:szCs w:val="21"/>
          <w:highlight w:val="none"/>
          <w:lang w:val="en-US" w:eastAsia="zh-CN"/>
        </w:rPr>
        <w:t>和广东省招标投标监管网公示，公示时间不得少于3日，最后一天应为工作日。</w:t>
      </w:r>
    </w:p>
    <w:p w14:paraId="1869C682">
      <w:pPr>
        <w:pStyle w:val="6"/>
        <w:rPr>
          <w:rFonts w:hint="default"/>
          <w:highlight w:val="none"/>
          <w:lang w:val="en-US" w:eastAsia="zh-CN"/>
        </w:rPr>
      </w:pPr>
    </w:p>
    <w:p w14:paraId="1518BED9">
      <w:pPr>
        <w:pStyle w:val="5"/>
        <w:bidi w:val="0"/>
        <w:rPr>
          <w:rFonts w:hint="eastAsia"/>
          <w:highlight w:val="none"/>
          <w:lang w:eastAsia="zh-CN"/>
        </w:rPr>
      </w:pPr>
      <w:bookmarkStart w:id="89" w:name="_Toc748"/>
      <w:r>
        <w:rPr>
          <w:rFonts w:hint="eastAsia"/>
          <w:highlight w:val="none"/>
          <w:lang w:val="en-US" w:eastAsia="zh-CN"/>
        </w:rPr>
        <w:t>8</w:t>
      </w:r>
      <w:r>
        <w:rPr>
          <w:rFonts w:hint="eastAsia"/>
          <w:highlight w:val="none"/>
        </w:rPr>
        <w:t>.</w:t>
      </w:r>
      <w:r>
        <w:rPr>
          <w:rFonts w:hint="eastAsia"/>
          <w:highlight w:val="none"/>
          <w:lang w:eastAsia="zh-CN"/>
        </w:rPr>
        <w:t>疑问、异议、投诉处理</w:t>
      </w:r>
      <w:bookmarkEnd w:id="89"/>
    </w:p>
    <w:p w14:paraId="1C690231">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8.1 </w:t>
      </w:r>
      <w:r>
        <w:rPr>
          <w:rFonts w:hint="default" w:ascii="宋体" w:hAnsi="宋体" w:eastAsia="宋体" w:cs="宋体"/>
          <w:color w:val="auto"/>
          <w:w w:val="100"/>
          <w:sz w:val="21"/>
          <w:szCs w:val="21"/>
          <w:highlight w:val="none"/>
          <w:lang w:val="en-US" w:eastAsia="zh-CN"/>
        </w:rPr>
        <w:t>关于疑问、异议、投诉的基本概念和处理程序详见《中华人民共和国招标投标法》、《中华人民共和国招标投标法实施条例》、《工程建设项目招标投标活动投诉处理办法》</w:t>
      </w:r>
      <w:r>
        <w:rPr>
          <w:rFonts w:hint="eastAsia" w:ascii="宋体" w:hAnsi="宋体" w:eastAsia="宋体" w:cs="宋体"/>
          <w:color w:val="auto"/>
          <w:sz w:val="21"/>
          <w:szCs w:val="21"/>
          <w:highlight w:val="none"/>
        </w:rPr>
        <w:t>。</w:t>
      </w:r>
    </w:p>
    <w:p w14:paraId="4751FD9F">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8.2 </w:t>
      </w:r>
      <w:r>
        <w:rPr>
          <w:rFonts w:hint="default" w:ascii="宋体" w:hAnsi="宋体" w:eastAsia="宋体" w:cs="宋体"/>
          <w:color w:val="auto"/>
          <w:w w:val="100"/>
          <w:sz w:val="21"/>
          <w:szCs w:val="21"/>
          <w:highlight w:val="none"/>
          <w:lang w:val="en-US" w:eastAsia="zh-CN"/>
        </w:rPr>
        <w:t>依据《中华人民共和国招标投标法实施条例》第五十五条，对于中标公示期间的投诉处理的原则为：除第一中标候选人或中标人以外的其他投标人存在串通投标、弄虚作假、行贿情形且在评标过程中未被发现的，视为对中标结果没有造成实质性影响，可依法继续开展招标活动。投标人的违法行为由招标监管部门依法处理</w:t>
      </w:r>
      <w:r>
        <w:rPr>
          <w:rFonts w:hint="eastAsia" w:ascii="宋体" w:hAnsi="宋体" w:eastAsia="宋体" w:cs="宋体"/>
          <w:color w:val="auto"/>
          <w:sz w:val="21"/>
          <w:szCs w:val="21"/>
          <w:highlight w:val="none"/>
        </w:rPr>
        <w:t>。</w:t>
      </w:r>
    </w:p>
    <w:p w14:paraId="1951D4A5">
      <w:pPr>
        <w:keepNext w:val="0"/>
        <w:keepLines w:val="0"/>
        <w:pageBreakBefore w:val="0"/>
        <w:widowControl w:val="0"/>
        <w:kinsoku/>
        <w:wordWrap/>
        <w:overflowPunct/>
        <w:topLinePunct w:val="0"/>
        <w:autoSpaceDE w:val="0"/>
        <w:autoSpaceDN w:val="0"/>
        <w:bidi w:val="0"/>
        <w:adjustRightInd/>
        <w:snapToGrid/>
        <w:spacing w:line="360" w:lineRule="auto"/>
        <w:ind w:firstLine="281" w:firstLineChars="134"/>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 xml:space="preserve">8.3 </w:t>
      </w:r>
      <w:r>
        <w:rPr>
          <w:rFonts w:hint="eastAsia" w:ascii="宋体" w:hAnsi="宋体" w:cs="宋体"/>
          <w:szCs w:val="21"/>
          <w:highlight w:val="none"/>
        </w:rPr>
        <w:t>潜在投标人或利害关系人对本招标公告、招标文件有异议的，应当在招标投标相关法律法规规定的时间内（投标截止时间</w:t>
      </w:r>
      <w:r>
        <w:rPr>
          <w:rFonts w:hint="eastAsia" w:ascii="宋体" w:hAnsi="宋体" w:cs="宋体"/>
          <w:szCs w:val="21"/>
          <w:highlight w:val="none"/>
          <w:u w:val="single"/>
        </w:rPr>
        <w:t>10</w:t>
      </w:r>
      <w:r>
        <w:rPr>
          <w:rFonts w:hint="eastAsia" w:ascii="宋体" w:hAnsi="宋体" w:cs="宋体"/>
          <w:szCs w:val="21"/>
          <w:highlight w:val="none"/>
        </w:rPr>
        <w:t>日前）通过电子交易系统向招标人提出，具体按照</w:t>
      </w:r>
      <w:r>
        <w:rPr>
          <w:rFonts w:hint="eastAsia" w:ascii="宋体" w:hAnsi="宋体" w:cs="宋体"/>
          <w:szCs w:val="21"/>
          <w:highlight w:val="none"/>
          <w:u w:val="single"/>
        </w:rPr>
        <w:t>广州交易集团有限公司（广州公共资源交易中心）</w:t>
      </w:r>
      <w:r>
        <w:rPr>
          <w:rFonts w:hint="eastAsia" w:ascii="宋体" w:hAnsi="宋体" w:cs="宋体"/>
          <w:szCs w:val="21"/>
          <w:highlight w:val="none"/>
        </w:rPr>
        <w:t>相关指南进行操作；尚未登记注册的，可</w:t>
      </w:r>
      <w:r>
        <w:rPr>
          <w:rFonts w:hint="eastAsia" w:ascii="宋体" w:hAnsi="宋体" w:cs="宋体"/>
          <w:szCs w:val="21"/>
          <w:highlight w:val="none"/>
          <w:u w:val="single"/>
        </w:rPr>
        <w:t>通过线下形式</w:t>
      </w:r>
      <w:r>
        <w:rPr>
          <w:rFonts w:hint="eastAsia" w:ascii="宋体" w:hAnsi="宋体" w:cs="宋体"/>
          <w:szCs w:val="21"/>
          <w:highlight w:val="none"/>
        </w:rPr>
        <w:t>向招标人提出。招标人应当在规定的异议答复期限内作出答复；作出答复前，应当暂停招标投标活动。招标人依法作出答复、发布招标文件澄清或者修改文件的，应当通过电子交易系统进行。</w:t>
      </w:r>
      <w:r>
        <w:rPr>
          <w:rFonts w:hint="eastAsia" w:ascii="宋体" w:hAnsi="宋体" w:cs="宋体"/>
          <w:spacing w:val="6"/>
          <w:szCs w:val="18"/>
          <w:highlight w:val="none"/>
          <w:u w:val="single"/>
        </w:rPr>
        <w:t>若潜在投标人或利害关系人通过线下形式向招标人提出异议的，招标人应当通过线下形式回复潜在投标人或利害关系人。</w:t>
      </w:r>
    </w:p>
    <w:p w14:paraId="5E110107">
      <w:pPr>
        <w:keepNext w:val="0"/>
        <w:keepLines w:val="0"/>
        <w:pageBreakBefore w:val="0"/>
        <w:widowControl w:val="0"/>
        <w:kinsoku/>
        <w:wordWrap/>
        <w:overflowPunct/>
        <w:topLinePunct w:val="0"/>
        <w:autoSpaceDE w:val="0"/>
        <w:autoSpaceDN w:val="0"/>
        <w:bidi w:val="0"/>
        <w:adjustRightInd/>
        <w:snapToGrid/>
        <w:spacing w:line="360" w:lineRule="auto"/>
        <w:ind w:firstLine="281" w:firstLineChars="134"/>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异议受理部门：</w:t>
      </w:r>
      <w:r>
        <w:rPr>
          <w:rFonts w:hint="eastAsia" w:ascii="宋体" w:hAnsi="宋体" w:cs="宋体"/>
          <w:color w:val="auto"/>
          <w:sz w:val="21"/>
          <w:szCs w:val="21"/>
          <w:highlight w:val="none"/>
          <w:u w:val="single"/>
          <w:lang w:eastAsia="zh-CN"/>
        </w:rPr>
        <w:t>广州黄埔文冲东片投资有限公司</w:t>
      </w:r>
      <w:r>
        <w:rPr>
          <w:rFonts w:hint="eastAsia" w:ascii="宋体" w:hAnsi="宋体" w:eastAsia="宋体" w:cs="宋体"/>
          <w:color w:val="auto"/>
          <w:sz w:val="21"/>
          <w:szCs w:val="21"/>
          <w:highlight w:val="none"/>
        </w:rPr>
        <w:t xml:space="preserve">            </w:t>
      </w:r>
    </w:p>
    <w:p w14:paraId="0E74E66C">
      <w:pPr>
        <w:keepNext w:val="0"/>
        <w:keepLines w:val="0"/>
        <w:pageBreakBefore w:val="0"/>
        <w:widowControl w:val="0"/>
        <w:kinsoku/>
        <w:wordWrap/>
        <w:overflowPunct/>
        <w:topLinePunct w:val="0"/>
        <w:autoSpaceDE w:val="0"/>
        <w:autoSpaceDN w:val="0"/>
        <w:bidi w:val="0"/>
        <w:adjustRightInd/>
        <w:snapToGrid/>
        <w:spacing w:line="360" w:lineRule="auto"/>
        <w:ind w:firstLine="281" w:firstLineChars="134"/>
        <w:jc w:val="both"/>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异议受理电话：</w:t>
      </w:r>
      <w:r>
        <w:rPr>
          <w:rFonts w:hint="eastAsia" w:ascii="宋体" w:hAnsi="宋体" w:cs="宋体"/>
          <w:color w:val="auto"/>
          <w:sz w:val="21"/>
          <w:szCs w:val="21"/>
          <w:highlight w:val="none"/>
          <w:u w:val="single"/>
          <w:lang w:val="en-US" w:eastAsia="zh-CN"/>
        </w:rPr>
        <w:t>020-87597001</w:t>
      </w:r>
    </w:p>
    <w:p w14:paraId="281658CE">
      <w:pPr>
        <w:keepNext w:val="0"/>
        <w:keepLines w:val="0"/>
        <w:pageBreakBefore w:val="0"/>
        <w:widowControl w:val="0"/>
        <w:kinsoku/>
        <w:wordWrap/>
        <w:overflowPunct/>
        <w:topLinePunct w:val="0"/>
        <w:autoSpaceDE w:val="0"/>
        <w:autoSpaceDN w:val="0"/>
        <w:bidi w:val="0"/>
        <w:adjustRightInd/>
        <w:snapToGrid/>
        <w:spacing w:line="360" w:lineRule="auto"/>
        <w:ind w:firstLine="281" w:firstLineChars="134"/>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color w:val="auto"/>
          <w:sz w:val="21"/>
          <w:szCs w:val="21"/>
          <w:highlight w:val="none"/>
          <w:u w:val="none"/>
          <w:lang w:val="en-US" w:eastAsia="zh-CN"/>
        </w:rPr>
        <w:t>地</w:t>
      </w:r>
      <w:r>
        <w:rPr>
          <w:rFonts w:hint="eastAsia" w:ascii="宋体" w:hAnsi="宋体" w:eastAsia="宋体" w:cs="宋体"/>
          <w:color w:val="auto"/>
          <w:sz w:val="21"/>
          <w:szCs w:val="21"/>
          <w:highlight w:val="none"/>
        </w:rPr>
        <w:t>址：</w:t>
      </w:r>
      <w:r>
        <w:rPr>
          <w:rFonts w:hint="eastAsia" w:ascii="宋体" w:hAnsi="宋体" w:cs="宋体"/>
          <w:color w:val="auto"/>
          <w:sz w:val="21"/>
          <w:szCs w:val="21"/>
          <w:highlight w:val="none"/>
          <w:u w:val="single"/>
          <w:lang w:val="en-US" w:eastAsia="zh-CN"/>
        </w:rPr>
        <w:t>广州市黄埔区石化路108号</w:t>
      </w:r>
      <w:r>
        <w:rPr>
          <w:rFonts w:hint="eastAsia" w:ascii="宋体" w:hAnsi="宋体" w:eastAsia="宋体" w:cs="宋体"/>
          <w:color w:val="auto"/>
          <w:sz w:val="21"/>
          <w:szCs w:val="21"/>
          <w:highlight w:val="none"/>
        </w:rPr>
        <w:t xml:space="preserve">              </w:t>
      </w:r>
    </w:p>
    <w:p w14:paraId="15F68F4E">
      <w:pPr>
        <w:pStyle w:val="4"/>
        <w:bidi w:val="0"/>
        <w:ind w:firstLine="420" w:firstLineChars="200"/>
        <w:jc w:val="both"/>
        <w:rPr>
          <w:rFonts w:hint="eastAsia" w:ascii="宋体" w:hAnsi="宋体" w:eastAsia="宋体" w:cs="宋体"/>
          <w:b w:val="0"/>
          <w:bCs w:val="0"/>
          <w:sz w:val="21"/>
          <w:szCs w:val="21"/>
          <w:highlight w:val="none"/>
          <w:lang w:val="en-US" w:eastAsia="zh-CN"/>
        </w:rPr>
      </w:pPr>
      <w:bookmarkStart w:id="90" w:name="_Toc27994"/>
      <w:r>
        <w:rPr>
          <w:rFonts w:hint="eastAsia" w:ascii="宋体" w:hAnsi="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lang w:val="en-US" w:eastAsia="zh-CN"/>
        </w:rPr>
        <w:t xml:space="preserve">.4 </w:t>
      </w:r>
      <w:bookmarkEnd w:id="90"/>
      <w:r>
        <w:rPr>
          <w:rFonts w:hint="eastAsia" w:ascii="宋体" w:hAnsi="宋体" w:eastAsia="宋体" w:cs="宋体"/>
          <w:b w:val="0"/>
          <w:sz w:val="21"/>
          <w:szCs w:val="21"/>
          <w:highlight w:val="none"/>
        </w:rPr>
        <w:t>在招投标过程中，投标人（含中标候选人）被投诉且经查实存在招标投标活动中列明被禁止行为的，招标人将提请行政主管部门，并按《中华人民共和国招标投标法实施条例》、《工程建设项目招标投标活动投诉处理办法》等进行处理，同时将记录到广州市交通建设项目企业信息库诚信评价管理系统。</w:t>
      </w:r>
      <w:r>
        <w:rPr>
          <w:rFonts w:ascii="宋体" w:hAnsi="宋体" w:eastAsia="宋体" w:cs="宋体"/>
          <w:b w:val="0"/>
          <w:sz w:val="21"/>
          <w:szCs w:val="21"/>
          <w:highlight w:val="none"/>
        </w:rPr>
        <w:t>在招投标过程中，投诉人投诉事项经查实不属实的恶意投诉，招标人将提请行政主管部门，并按《中华人民共和国招标投标法实施条例》、《工程建设项目招标投标活动投诉处理办法》等进行处理，</w:t>
      </w:r>
      <w:r>
        <w:rPr>
          <w:rFonts w:hint="eastAsia" w:ascii="宋体" w:hAnsi="宋体" w:eastAsia="宋体" w:cs="宋体"/>
          <w:b w:val="0"/>
          <w:sz w:val="21"/>
          <w:szCs w:val="21"/>
          <w:highlight w:val="none"/>
        </w:rPr>
        <w:t>同时将记录到广州市交通建设项目企业信息库诚信评价管理系统。</w:t>
      </w:r>
    </w:p>
    <w:p w14:paraId="53BB8A84">
      <w:pPr>
        <w:pStyle w:val="5"/>
        <w:bidi w:val="0"/>
        <w:rPr>
          <w:rFonts w:hint="eastAsia" w:ascii="宋体" w:hAnsi="宋体" w:eastAsia="宋体" w:cs="宋体"/>
          <w:b/>
          <w:bCs/>
          <w:color w:val="auto"/>
          <w:highlight w:val="none"/>
        </w:rPr>
      </w:pPr>
      <w:bookmarkStart w:id="91" w:name="_Toc11636"/>
      <w:r>
        <w:rPr>
          <w:rFonts w:hint="eastAsia" w:ascii="宋体" w:hAnsi="宋体" w:cs="宋体"/>
          <w:b/>
          <w:bCs/>
          <w:color w:val="auto"/>
          <w:highlight w:val="none"/>
          <w:lang w:val="en-US" w:eastAsia="zh-CN"/>
        </w:rPr>
        <w:t>9</w:t>
      </w:r>
      <w:r>
        <w:rPr>
          <w:rFonts w:hint="eastAsia" w:ascii="宋体" w:hAnsi="宋体" w:eastAsia="宋体" w:cs="宋体"/>
          <w:b/>
          <w:bCs/>
          <w:color w:val="auto"/>
          <w:highlight w:val="none"/>
        </w:rPr>
        <w:t>.其它事项</w:t>
      </w:r>
      <w:bookmarkEnd w:id="91"/>
    </w:p>
    <w:p w14:paraId="6D04F853">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jc w:val="both"/>
        <w:textAlignment w:val="auto"/>
        <w:rPr>
          <w:rFonts w:hint="eastAsia" w:ascii="宋体" w:hAnsi="宋体" w:eastAsia="宋体" w:cs="宋体"/>
          <w:color w:val="auto"/>
          <w:w w:val="100"/>
          <w:sz w:val="21"/>
          <w:szCs w:val="21"/>
          <w:highlight w:val="none"/>
          <w:lang w:val="en-US" w:eastAsia="zh-CN"/>
        </w:rPr>
      </w:pPr>
      <w:r>
        <w:rPr>
          <w:rFonts w:hint="eastAsia" w:ascii="宋体" w:hAnsi="宋体" w:eastAsia="宋体" w:cs="宋体"/>
          <w:color w:val="auto"/>
          <w:sz w:val="21"/>
          <w:szCs w:val="21"/>
          <w:highlight w:val="none"/>
          <w:lang w:val="en-US" w:eastAsia="zh-CN"/>
        </w:rPr>
        <w:t xml:space="preserve">9.1 </w:t>
      </w:r>
      <w:r>
        <w:rPr>
          <w:rFonts w:hint="eastAsia" w:ascii="宋体" w:hAnsi="宋体" w:eastAsia="宋体" w:cs="宋体"/>
          <w:color w:val="auto"/>
          <w:w w:val="100"/>
          <w:sz w:val="21"/>
          <w:szCs w:val="21"/>
          <w:highlight w:val="none"/>
          <w:lang w:val="en-US" w:eastAsia="zh-CN"/>
        </w:rPr>
        <w:t>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410BF4FC">
      <w:pPr>
        <w:rPr>
          <w:rFonts w:hint="eastAsia"/>
          <w:highlight w:val="none"/>
        </w:rPr>
      </w:pPr>
    </w:p>
    <w:p w14:paraId="62238D76">
      <w:pPr>
        <w:pStyle w:val="5"/>
        <w:bidi w:val="0"/>
        <w:rPr>
          <w:rFonts w:hint="eastAsia" w:ascii="宋体" w:hAnsi="宋体" w:eastAsia="宋体" w:cs="宋体"/>
          <w:b/>
          <w:bCs/>
          <w:color w:val="auto"/>
          <w:highlight w:val="none"/>
        </w:rPr>
      </w:pPr>
      <w:bookmarkStart w:id="92" w:name="bookmark9"/>
      <w:bookmarkEnd w:id="92"/>
      <w:bookmarkStart w:id="93" w:name="_Toc9802"/>
      <w:bookmarkStart w:id="94" w:name="_Toc20345"/>
      <w:bookmarkStart w:id="95" w:name="_Toc15585"/>
      <w:bookmarkStart w:id="96" w:name="_Toc26307"/>
      <w:bookmarkStart w:id="97" w:name="_Toc25287"/>
      <w:bookmarkStart w:id="98" w:name="_Toc13798"/>
      <w:r>
        <w:rPr>
          <w:rFonts w:hint="eastAsia" w:ascii="宋体" w:hAnsi="宋体" w:cs="宋体"/>
          <w:b/>
          <w:bCs/>
          <w:color w:val="auto"/>
          <w:highlight w:val="none"/>
          <w:lang w:val="en-US" w:eastAsia="zh-CN"/>
        </w:rPr>
        <w:t>10</w:t>
      </w:r>
      <w:r>
        <w:rPr>
          <w:rFonts w:hint="eastAsia" w:ascii="宋体" w:hAnsi="宋体" w:eastAsia="宋体" w:cs="宋体"/>
          <w:b/>
          <w:bCs/>
          <w:color w:val="auto"/>
          <w:highlight w:val="none"/>
        </w:rPr>
        <w:t>.联系方式</w:t>
      </w:r>
      <w:bookmarkEnd w:id="93"/>
      <w:bookmarkEnd w:id="94"/>
      <w:bookmarkEnd w:id="95"/>
      <w:bookmarkEnd w:id="96"/>
      <w:bookmarkEnd w:id="97"/>
      <w:bookmarkEnd w:id="98"/>
    </w:p>
    <w:p w14:paraId="65DB70A3">
      <w:pPr>
        <w:kinsoku w:val="0"/>
        <w:overflowPunct w:val="0"/>
        <w:spacing w:before="6" w:line="120" w:lineRule="exact"/>
        <w:jc w:val="both"/>
        <w:rPr>
          <w:color w:val="auto"/>
          <w:sz w:val="12"/>
          <w:highlight w:val="none"/>
        </w:rPr>
      </w:pPr>
    </w:p>
    <w:p w14:paraId="1D674613">
      <w:pPr>
        <w:pStyle w:val="3"/>
        <w:tabs>
          <w:tab w:val="left" w:pos="1151"/>
          <w:tab w:val="left" w:pos="4228"/>
          <w:tab w:val="left" w:pos="4862"/>
          <w:tab w:val="left" w:pos="7942"/>
        </w:tabs>
        <w:kinsoku w:val="0"/>
        <w:overflowPunct w:val="0"/>
        <w:spacing w:line="310" w:lineRule="auto"/>
        <w:ind w:right="915"/>
        <w:jc w:val="both"/>
        <w:rPr>
          <w:rFonts w:hint="eastAsia" w:eastAsia="宋体"/>
          <w:color w:val="auto"/>
          <w:highlight w:val="none"/>
          <w:u w:val="single"/>
          <w:lang w:val="en-US" w:eastAsia="zh-CN"/>
        </w:rPr>
      </w:pPr>
      <w:r>
        <w:rPr>
          <w:color w:val="auto"/>
          <w:highlight w:val="none"/>
        </w:rPr>
        <w:t>招 标</w:t>
      </w:r>
      <w:r>
        <w:rPr>
          <w:color w:val="auto"/>
          <w:spacing w:val="-2"/>
          <w:highlight w:val="none"/>
        </w:rPr>
        <w:t xml:space="preserve"> </w:t>
      </w:r>
      <w:r>
        <w:rPr>
          <w:color w:val="auto"/>
          <w:highlight w:val="none"/>
        </w:rPr>
        <w:t>人：</w:t>
      </w:r>
      <w:r>
        <w:rPr>
          <w:rFonts w:hint="eastAsia" w:cs="宋体"/>
          <w:color w:val="auto"/>
          <w:szCs w:val="21"/>
          <w:highlight w:val="none"/>
          <w:u w:val="single"/>
          <w:lang w:eastAsia="zh-CN"/>
        </w:rPr>
        <w:t>广州黄埔文冲东片投资有限公司</w:t>
      </w:r>
    </w:p>
    <w:p w14:paraId="3596588C">
      <w:pPr>
        <w:pStyle w:val="3"/>
        <w:tabs>
          <w:tab w:val="left" w:pos="1151"/>
          <w:tab w:val="left" w:pos="4228"/>
          <w:tab w:val="left" w:pos="4862"/>
          <w:tab w:val="left" w:pos="7942"/>
        </w:tabs>
        <w:kinsoku w:val="0"/>
        <w:overflowPunct w:val="0"/>
        <w:spacing w:line="310" w:lineRule="auto"/>
        <w:ind w:right="915"/>
        <w:jc w:val="both"/>
        <w:rPr>
          <w:color w:val="auto"/>
          <w:highlight w:val="none"/>
        </w:rPr>
      </w:pPr>
      <w:r>
        <w:rPr>
          <w:rFonts w:hint="eastAsia"/>
          <w:color w:val="auto"/>
          <w:highlight w:val="none"/>
          <w:lang w:eastAsia="zh-CN"/>
        </w:rPr>
        <w:t>邮政编码</w:t>
      </w:r>
      <w:r>
        <w:rPr>
          <w:color w:val="auto"/>
          <w:highlight w:val="none"/>
        </w:rPr>
        <w:t>：</w:t>
      </w:r>
      <w:r>
        <w:rPr>
          <w:rFonts w:hint="eastAsia"/>
          <w:color w:val="auto"/>
          <w:highlight w:val="none"/>
          <w:u w:val="single"/>
          <w:lang w:val="en-US" w:eastAsia="zh-CN"/>
        </w:rPr>
        <w:t>510000</w:t>
      </w:r>
      <w:r>
        <w:rPr>
          <w:color w:val="auto"/>
          <w:highlight w:val="none"/>
        </w:rPr>
        <w:t xml:space="preserve"> </w:t>
      </w:r>
    </w:p>
    <w:p w14:paraId="1DA7DF4D">
      <w:pPr>
        <w:pStyle w:val="3"/>
        <w:tabs>
          <w:tab w:val="left" w:pos="1151"/>
          <w:tab w:val="left" w:pos="4228"/>
          <w:tab w:val="left" w:pos="4862"/>
          <w:tab w:val="left" w:pos="7942"/>
        </w:tabs>
        <w:kinsoku w:val="0"/>
        <w:overflowPunct w:val="0"/>
        <w:spacing w:line="310" w:lineRule="auto"/>
        <w:ind w:right="915"/>
        <w:jc w:val="both"/>
        <w:rPr>
          <w:rFonts w:hint="eastAsia" w:eastAsia="宋体"/>
          <w:color w:val="auto"/>
          <w:highlight w:val="none"/>
          <w:u w:val="single"/>
          <w:lang w:val="en-US" w:eastAsia="zh-CN"/>
        </w:rPr>
      </w:pPr>
      <w:r>
        <w:rPr>
          <w:color w:val="auto"/>
          <w:highlight w:val="none"/>
        </w:rPr>
        <w:t>地</w:t>
      </w:r>
      <w:r>
        <w:rPr>
          <w:rFonts w:hint="eastAsia"/>
          <w:color w:val="auto"/>
          <w:highlight w:val="none"/>
          <w:lang w:val="en-US" w:eastAsia="zh-CN"/>
        </w:rPr>
        <w:t xml:space="preserve">    </w:t>
      </w:r>
      <w:r>
        <w:rPr>
          <w:color w:val="auto"/>
          <w:highlight w:val="none"/>
        </w:rPr>
        <w:t>址：</w:t>
      </w:r>
      <w:r>
        <w:rPr>
          <w:rFonts w:hint="eastAsia"/>
          <w:color w:val="auto"/>
          <w:highlight w:val="none"/>
          <w:u w:val="single"/>
          <w:lang w:eastAsia="zh-CN"/>
        </w:rPr>
        <w:t>广州市黄埔区石化路108号</w:t>
      </w:r>
    </w:p>
    <w:p w14:paraId="29D45E69">
      <w:pPr>
        <w:pStyle w:val="3"/>
        <w:tabs>
          <w:tab w:val="left" w:pos="1151"/>
          <w:tab w:val="left" w:pos="4228"/>
          <w:tab w:val="left" w:pos="7942"/>
          <w:tab w:val="left" w:pos="9400"/>
        </w:tabs>
        <w:kinsoku w:val="0"/>
        <w:overflowPunct w:val="0"/>
        <w:spacing w:line="310" w:lineRule="auto"/>
        <w:ind w:right="915"/>
        <w:jc w:val="both"/>
        <w:rPr>
          <w:rFonts w:hint="default"/>
          <w:color w:val="auto"/>
          <w:highlight w:val="none"/>
          <w:u w:val="single"/>
          <w:lang w:val="en-US"/>
        </w:rPr>
      </w:pPr>
      <w:r>
        <w:rPr>
          <w:rFonts w:hint="eastAsia"/>
          <w:color w:val="auto"/>
          <w:highlight w:val="none"/>
          <w:lang w:eastAsia="zh-CN"/>
        </w:rPr>
        <w:t>联系电话</w:t>
      </w:r>
      <w:r>
        <w:rPr>
          <w:color w:val="auto"/>
          <w:highlight w:val="none"/>
        </w:rPr>
        <w:t>：</w:t>
      </w:r>
      <w:r>
        <w:rPr>
          <w:rFonts w:hint="eastAsia" w:ascii="宋体" w:hAnsi="宋体" w:cs="宋体"/>
          <w:color w:val="auto"/>
          <w:sz w:val="21"/>
          <w:szCs w:val="21"/>
          <w:highlight w:val="none"/>
          <w:u w:val="single"/>
          <w:lang w:val="en-US" w:eastAsia="zh-CN"/>
        </w:rPr>
        <w:t>020-87597001</w:t>
      </w:r>
    </w:p>
    <w:p w14:paraId="56D647C7">
      <w:pPr>
        <w:pStyle w:val="3"/>
        <w:tabs>
          <w:tab w:val="left" w:pos="1151"/>
          <w:tab w:val="left" w:pos="4228"/>
          <w:tab w:val="left" w:pos="4862"/>
          <w:tab w:val="left" w:pos="7942"/>
        </w:tabs>
        <w:kinsoku w:val="0"/>
        <w:overflowPunct w:val="0"/>
        <w:spacing w:line="310" w:lineRule="auto"/>
        <w:ind w:right="915"/>
        <w:jc w:val="both"/>
        <w:rPr>
          <w:rFonts w:hint="default" w:eastAsia="宋体"/>
          <w:color w:val="auto"/>
          <w:highlight w:val="none"/>
          <w:u w:val="single"/>
          <w:lang w:val="en-US" w:eastAsia="zh-CN"/>
        </w:rPr>
      </w:pPr>
      <w:r>
        <w:rPr>
          <w:rFonts w:hint="eastAsia"/>
          <w:color w:val="auto"/>
          <w:highlight w:val="none"/>
          <w:lang w:eastAsia="zh-CN"/>
        </w:rPr>
        <w:t>传真号码</w:t>
      </w:r>
      <w:r>
        <w:rPr>
          <w:color w:val="auto"/>
          <w:highlight w:val="none"/>
        </w:rPr>
        <w:t>：</w:t>
      </w:r>
      <w:r>
        <w:rPr>
          <w:rFonts w:hint="eastAsia" w:ascii="宋体" w:hAnsi="宋体" w:cs="宋体"/>
          <w:color w:val="auto"/>
          <w:sz w:val="21"/>
          <w:szCs w:val="21"/>
          <w:highlight w:val="none"/>
          <w:u w:val="single"/>
          <w:lang w:val="en-US" w:eastAsia="zh-CN"/>
        </w:rPr>
        <w:t>020-87597001</w:t>
      </w:r>
    </w:p>
    <w:p w14:paraId="5E939F35">
      <w:pPr>
        <w:pStyle w:val="3"/>
        <w:tabs>
          <w:tab w:val="left" w:pos="1151"/>
          <w:tab w:val="left" w:pos="4228"/>
          <w:tab w:val="left" w:pos="4862"/>
          <w:tab w:val="left" w:pos="7942"/>
        </w:tabs>
        <w:kinsoku w:val="0"/>
        <w:overflowPunct w:val="0"/>
        <w:spacing w:line="310" w:lineRule="auto"/>
        <w:ind w:right="915"/>
        <w:jc w:val="both"/>
        <w:rPr>
          <w:color w:val="auto"/>
          <w:highlight w:val="none"/>
        </w:rPr>
      </w:pPr>
      <w:r>
        <w:rPr>
          <w:rFonts w:hint="eastAsia"/>
          <w:color w:val="auto"/>
          <w:highlight w:val="none"/>
          <w:lang w:eastAsia="zh-CN"/>
        </w:rPr>
        <w:t>电子邮箱</w:t>
      </w:r>
      <w:r>
        <w:rPr>
          <w:color w:val="auto"/>
          <w:highlight w:val="none"/>
        </w:rPr>
        <w:t>：</w:t>
      </w:r>
      <w:r>
        <w:rPr>
          <w:rFonts w:hint="eastAsia"/>
          <w:color w:val="auto"/>
          <w:highlight w:val="none"/>
          <w:u w:val="single"/>
          <w:lang w:val="en-US" w:eastAsia="zh-CN"/>
        </w:rPr>
        <w:t>/</w:t>
      </w:r>
      <w:r>
        <w:rPr>
          <w:color w:val="auto"/>
          <w:highlight w:val="none"/>
        </w:rPr>
        <w:t xml:space="preserve"> </w:t>
      </w:r>
    </w:p>
    <w:p w14:paraId="37A830AE">
      <w:pPr>
        <w:pStyle w:val="3"/>
        <w:tabs>
          <w:tab w:val="left" w:pos="1151"/>
          <w:tab w:val="left" w:pos="4228"/>
          <w:tab w:val="left" w:pos="4862"/>
          <w:tab w:val="left" w:pos="7942"/>
        </w:tabs>
        <w:kinsoku w:val="0"/>
        <w:overflowPunct w:val="0"/>
        <w:spacing w:line="310" w:lineRule="auto"/>
        <w:ind w:right="915"/>
        <w:jc w:val="both"/>
        <w:rPr>
          <w:rFonts w:hint="eastAsia"/>
          <w:color w:val="auto"/>
          <w:highlight w:val="none"/>
          <w:lang w:val="en-US" w:eastAsia="zh-CN"/>
        </w:rPr>
      </w:pPr>
      <w:r>
        <w:rPr>
          <w:rFonts w:hint="eastAsia"/>
          <w:color w:val="auto"/>
          <w:highlight w:val="none"/>
          <w:lang w:val="en-US" w:eastAsia="zh-CN"/>
        </w:rPr>
        <w:t xml:space="preserve"> </w:t>
      </w:r>
    </w:p>
    <w:p w14:paraId="741E08C9">
      <w:pPr>
        <w:pStyle w:val="3"/>
        <w:tabs>
          <w:tab w:val="left" w:pos="1151"/>
          <w:tab w:val="left" w:pos="4228"/>
          <w:tab w:val="left" w:pos="4862"/>
          <w:tab w:val="left" w:pos="7942"/>
        </w:tabs>
        <w:kinsoku w:val="0"/>
        <w:overflowPunct w:val="0"/>
        <w:spacing w:line="310" w:lineRule="auto"/>
        <w:ind w:right="915"/>
        <w:jc w:val="both"/>
        <w:rPr>
          <w:rFonts w:hint="eastAsia" w:eastAsia="宋体"/>
          <w:color w:val="auto"/>
          <w:highlight w:val="none"/>
          <w:lang w:eastAsia="zh-CN"/>
        </w:rPr>
      </w:pPr>
      <w:r>
        <w:rPr>
          <w:color w:val="auto"/>
          <w:highlight w:val="none"/>
        </w:rPr>
        <w:t>招</w:t>
      </w:r>
      <w:r>
        <w:rPr>
          <w:rFonts w:hint="eastAsia"/>
          <w:color w:val="auto"/>
          <w:highlight w:val="none"/>
          <w:lang w:eastAsia="zh-CN"/>
        </w:rPr>
        <w:t>标代理</w:t>
      </w:r>
      <w:r>
        <w:rPr>
          <w:rFonts w:hint="eastAsia"/>
          <w:color w:val="auto"/>
          <w:highlight w:val="none"/>
          <w:lang w:val="en-US" w:eastAsia="zh-CN"/>
        </w:rPr>
        <w:t>机构</w:t>
      </w:r>
      <w:r>
        <w:rPr>
          <w:color w:val="auto"/>
          <w:highlight w:val="none"/>
        </w:rPr>
        <w:t>：</w:t>
      </w:r>
      <w:r>
        <w:rPr>
          <w:rFonts w:hint="eastAsia" w:cs="宋体"/>
          <w:color w:val="auto"/>
          <w:szCs w:val="21"/>
          <w:highlight w:val="none"/>
          <w:u w:val="single"/>
          <w:lang w:eastAsia="zh-CN"/>
        </w:rPr>
        <w:t>广州名都建设项目管理有限公司</w:t>
      </w:r>
    </w:p>
    <w:p w14:paraId="565C956E">
      <w:pPr>
        <w:pStyle w:val="3"/>
        <w:tabs>
          <w:tab w:val="left" w:pos="1151"/>
          <w:tab w:val="left" w:pos="4228"/>
          <w:tab w:val="left" w:pos="4862"/>
          <w:tab w:val="left" w:pos="7942"/>
        </w:tabs>
        <w:kinsoku w:val="0"/>
        <w:overflowPunct w:val="0"/>
        <w:spacing w:line="310" w:lineRule="auto"/>
        <w:ind w:right="915"/>
        <w:jc w:val="both"/>
        <w:rPr>
          <w:color w:val="auto"/>
          <w:highlight w:val="none"/>
        </w:rPr>
      </w:pPr>
      <w:r>
        <w:rPr>
          <w:rFonts w:hint="eastAsia"/>
          <w:color w:val="auto"/>
          <w:highlight w:val="none"/>
          <w:lang w:eastAsia="zh-CN"/>
        </w:rPr>
        <w:t>邮政编码</w:t>
      </w:r>
      <w:r>
        <w:rPr>
          <w:color w:val="auto"/>
          <w:highlight w:val="none"/>
        </w:rPr>
        <w:t>：</w:t>
      </w:r>
      <w:r>
        <w:rPr>
          <w:rFonts w:hint="eastAsia"/>
          <w:color w:val="auto"/>
          <w:highlight w:val="none"/>
          <w:u w:val="single"/>
          <w:lang w:val="en-US" w:eastAsia="zh-CN"/>
        </w:rPr>
        <w:t>510000</w:t>
      </w:r>
      <w:r>
        <w:rPr>
          <w:color w:val="auto"/>
          <w:w w:val="1"/>
          <w:highlight w:val="none"/>
          <w:u w:val="single"/>
        </w:rPr>
        <w:t xml:space="preserve"> </w:t>
      </w:r>
      <w:r>
        <w:rPr>
          <w:color w:val="auto"/>
          <w:highlight w:val="none"/>
        </w:rPr>
        <w:t xml:space="preserve"> </w:t>
      </w:r>
    </w:p>
    <w:p w14:paraId="66027F2D">
      <w:pPr>
        <w:pStyle w:val="3"/>
        <w:tabs>
          <w:tab w:val="left" w:pos="1151"/>
          <w:tab w:val="left" w:pos="4228"/>
          <w:tab w:val="left" w:pos="4862"/>
          <w:tab w:val="left" w:pos="7942"/>
        </w:tabs>
        <w:kinsoku w:val="0"/>
        <w:overflowPunct w:val="0"/>
        <w:spacing w:line="310" w:lineRule="auto"/>
        <w:ind w:right="915"/>
        <w:jc w:val="both"/>
        <w:rPr>
          <w:rFonts w:hint="default" w:eastAsia="宋体"/>
          <w:color w:val="auto"/>
          <w:highlight w:val="none"/>
          <w:u w:val="single"/>
          <w:lang w:val="en-US" w:eastAsia="zh-CN"/>
        </w:rPr>
      </w:pPr>
      <w:r>
        <w:rPr>
          <w:color w:val="auto"/>
          <w:highlight w:val="none"/>
        </w:rPr>
        <w:t>地</w:t>
      </w:r>
      <w:r>
        <w:rPr>
          <w:rFonts w:hint="eastAsia"/>
          <w:color w:val="auto"/>
          <w:highlight w:val="none"/>
          <w:lang w:val="en-US" w:eastAsia="zh-CN"/>
        </w:rPr>
        <w:t xml:space="preserve">    </w:t>
      </w:r>
      <w:r>
        <w:rPr>
          <w:color w:val="auto"/>
          <w:highlight w:val="none"/>
        </w:rPr>
        <w:t>址：</w:t>
      </w:r>
      <w:r>
        <w:rPr>
          <w:rFonts w:hint="eastAsia" w:ascii="宋体" w:hAnsi="宋体" w:eastAsia="宋体" w:cs="宋体"/>
          <w:color w:val="auto"/>
          <w:kern w:val="2"/>
          <w:sz w:val="21"/>
          <w:szCs w:val="21"/>
          <w:highlight w:val="none"/>
          <w:u w:val="single"/>
          <w:lang w:eastAsia="zh-CN"/>
        </w:rPr>
        <w:t>广州市花都区新华街龙珠路13号A1栋A1-6号商铺</w:t>
      </w:r>
    </w:p>
    <w:p w14:paraId="40A1559A">
      <w:pPr>
        <w:pStyle w:val="3"/>
        <w:tabs>
          <w:tab w:val="left" w:pos="1151"/>
          <w:tab w:val="left" w:pos="4228"/>
          <w:tab w:val="left" w:pos="7942"/>
          <w:tab w:val="left" w:pos="9400"/>
        </w:tabs>
        <w:kinsoku w:val="0"/>
        <w:overflowPunct w:val="0"/>
        <w:spacing w:line="310" w:lineRule="auto"/>
        <w:ind w:right="915"/>
        <w:jc w:val="both"/>
        <w:rPr>
          <w:rFonts w:hint="default"/>
          <w:color w:val="auto"/>
          <w:highlight w:val="none"/>
          <w:lang w:val="en-US"/>
        </w:rPr>
      </w:pPr>
      <w:r>
        <w:rPr>
          <w:rFonts w:hint="eastAsia"/>
          <w:color w:val="auto"/>
          <w:highlight w:val="none"/>
          <w:lang w:eastAsia="zh-CN"/>
        </w:rPr>
        <w:t>联系电话</w:t>
      </w:r>
      <w:r>
        <w:rPr>
          <w:color w:val="auto"/>
          <w:highlight w:val="none"/>
        </w:rPr>
        <w:t>：</w:t>
      </w:r>
      <w:r>
        <w:rPr>
          <w:rFonts w:hint="eastAsia" w:ascii="宋体" w:hAnsi="宋体" w:eastAsia="宋体" w:cs="宋体"/>
          <w:color w:val="auto"/>
          <w:kern w:val="2"/>
          <w:sz w:val="21"/>
          <w:szCs w:val="21"/>
          <w:highlight w:val="none"/>
          <w:u w:val="single"/>
          <w:lang w:eastAsia="zh-CN"/>
        </w:rPr>
        <w:t>18818869561</w:t>
      </w:r>
    </w:p>
    <w:p w14:paraId="5F049C37">
      <w:pPr>
        <w:pStyle w:val="3"/>
        <w:tabs>
          <w:tab w:val="left" w:pos="1151"/>
          <w:tab w:val="left" w:pos="4228"/>
          <w:tab w:val="left" w:pos="4862"/>
          <w:tab w:val="left" w:pos="7942"/>
        </w:tabs>
        <w:kinsoku w:val="0"/>
        <w:overflowPunct w:val="0"/>
        <w:spacing w:line="310" w:lineRule="auto"/>
        <w:ind w:right="915"/>
        <w:jc w:val="both"/>
        <w:rPr>
          <w:rFonts w:hint="eastAsia" w:eastAsia="宋体"/>
          <w:color w:val="auto"/>
          <w:highlight w:val="none"/>
          <w:u w:val="single"/>
          <w:lang w:val="en-US" w:eastAsia="zh-CN"/>
        </w:rPr>
      </w:pPr>
      <w:r>
        <w:rPr>
          <w:rFonts w:hint="eastAsia"/>
          <w:color w:val="auto"/>
          <w:highlight w:val="none"/>
          <w:lang w:eastAsia="zh-CN"/>
        </w:rPr>
        <w:t>传真号码</w:t>
      </w:r>
      <w:r>
        <w:rPr>
          <w:color w:val="auto"/>
          <w:highlight w:val="none"/>
        </w:rPr>
        <w:t>：</w:t>
      </w:r>
      <w:r>
        <w:rPr>
          <w:rFonts w:hint="eastAsia"/>
          <w:color w:val="auto"/>
          <w:highlight w:val="none"/>
          <w:u w:val="single"/>
          <w:lang w:val="en-US" w:eastAsia="zh-CN"/>
        </w:rPr>
        <w:t>/</w:t>
      </w:r>
    </w:p>
    <w:p w14:paraId="788A132B">
      <w:pPr>
        <w:pStyle w:val="3"/>
        <w:tabs>
          <w:tab w:val="left" w:pos="1151"/>
          <w:tab w:val="left" w:pos="4228"/>
          <w:tab w:val="left" w:pos="4862"/>
          <w:tab w:val="left" w:pos="7942"/>
        </w:tabs>
        <w:kinsoku w:val="0"/>
        <w:overflowPunct w:val="0"/>
        <w:spacing w:line="310" w:lineRule="auto"/>
        <w:ind w:right="915"/>
        <w:jc w:val="both"/>
        <w:rPr>
          <w:color w:val="auto"/>
          <w:highlight w:val="none"/>
        </w:rPr>
      </w:pPr>
      <w:r>
        <w:rPr>
          <w:rFonts w:hint="eastAsia"/>
          <w:color w:val="auto"/>
          <w:highlight w:val="none"/>
          <w:lang w:eastAsia="zh-CN"/>
        </w:rPr>
        <w:t>电子邮箱</w:t>
      </w:r>
      <w:r>
        <w:rPr>
          <w:color w:val="auto"/>
          <w:highlight w:val="none"/>
        </w:rPr>
        <w:t>：</w:t>
      </w:r>
      <w:r>
        <w:rPr>
          <w:rFonts w:hint="eastAsia"/>
          <w:color w:val="auto"/>
          <w:highlight w:val="none"/>
          <w:u w:val="single"/>
          <w:lang w:val="en-US" w:eastAsia="zh-CN"/>
        </w:rPr>
        <w:t xml:space="preserve">/ </w:t>
      </w:r>
      <w:r>
        <w:rPr>
          <w:color w:val="auto"/>
          <w:highlight w:val="none"/>
        </w:rPr>
        <w:t xml:space="preserve"> </w:t>
      </w:r>
    </w:p>
    <w:p w14:paraId="36FA9F60">
      <w:pPr>
        <w:pStyle w:val="3"/>
        <w:tabs>
          <w:tab w:val="left" w:pos="1151"/>
          <w:tab w:val="left" w:pos="4228"/>
          <w:tab w:val="left" w:pos="4862"/>
          <w:tab w:val="left" w:pos="7942"/>
        </w:tabs>
        <w:kinsoku w:val="0"/>
        <w:overflowPunct w:val="0"/>
        <w:spacing w:line="310" w:lineRule="auto"/>
        <w:ind w:right="915"/>
        <w:jc w:val="both"/>
        <w:rPr>
          <w:color w:val="auto"/>
          <w:highlight w:val="none"/>
        </w:rPr>
      </w:pPr>
      <w:bookmarkStart w:id="99" w:name="_GoBack"/>
      <w:bookmarkEnd w:id="99"/>
    </w:p>
    <w:p w14:paraId="228DD52F">
      <w:pPr>
        <w:pStyle w:val="3"/>
        <w:tabs>
          <w:tab w:val="left" w:pos="1151"/>
          <w:tab w:val="left" w:pos="4228"/>
          <w:tab w:val="left" w:pos="4862"/>
          <w:tab w:val="left" w:pos="7942"/>
        </w:tabs>
        <w:kinsoku w:val="0"/>
        <w:overflowPunct w:val="0"/>
        <w:spacing w:after="0" w:line="360" w:lineRule="auto"/>
        <w:ind w:right="915"/>
        <w:rPr>
          <w:rFonts w:ascii="宋体" w:hAnsi="宋体"/>
          <w:szCs w:val="21"/>
          <w:highlight w:val="none"/>
          <w:u w:val="single"/>
        </w:rPr>
      </w:pPr>
      <w:r>
        <w:rPr>
          <w:rFonts w:ascii="宋体" w:hAnsi="宋体"/>
          <w:szCs w:val="21"/>
          <w:highlight w:val="none"/>
        </w:rPr>
        <w:t>招标</w:t>
      </w:r>
      <w:r>
        <w:rPr>
          <w:rFonts w:hint="eastAsia" w:ascii="宋体" w:hAnsi="宋体"/>
          <w:szCs w:val="21"/>
          <w:highlight w:val="none"/>
        </w:rPr>
        <w:t>管理机构</w:t>
      </w:r>
      <w:r>
        <w:rPr>
          <w:rFonts w:ascii="宋体" w:hAnsi="宋体"/>
          <w:szCs w:val="21"/>
          <w:highlight w:val="none"/>
        </w:rPr>
        <w:t>：</w:t>
      </w:r>
      <w:r>
        <w:rPr>
          <w:rFonts w:hint="eastAsia" w:cs="宋体"/>
          <w:color w:val="auto"/>
          <w:szCs w:val="21"/>
          <w:highlight w:val="none"/>
          <w:u w:val="single"/>
          <w:lang w:eastAsia="zh-CN"/>
        </w:rPr>
        <w:t>广州黄埔文冲东片投资有限公司</w:t>
      </w:r>
    </w:p>
    <w:p w14:paraId="383834EF">
      <w:pPr>
        <w:pStyle w:val="3"/>
        <w:tabs>
          <w:tab w:val="left" w:pos="1151"/>
          <w:tab w:val="left" w:pos="4228"/>
          <w:tab w:val="left" w:pos="4862"/>
          <w:tab w:val="left" w:pos="7942"/>
        </w:tabs>
        <w:kinsoku w:val="0"/>
        <w:overflowPunct w:val="0"/>
        <w:spacing w:after="0" w:line="360" w:lineRule="auto"/>
        <w:ind w:right="915"/>
        <w:rPr>
          <w:rFonts w:hint="eastAsia" w:ascii="宋体" w:hAnsi="宋体"/>
          <w:szCs w:val="21"/>
          <w:highlight w:val="none"/>
          <w:u w:val="single"/>
        </w:rPr>
      </w:pPr>
      <w:r>
        <w:rPr>
          <w:rFonts w:hint="eastAsia" w:ascii="宋体" w:hAnsi="宋体"/>
          <w:szCs w:val="21"/>
          <w:highlight w:val="none"/>
        </w:rPr>
        <w:t>邮政编码</w:t>
      </w:r>
      <w:r>
        <w:rPr>
          <w:rFonts w:ascii="宋体" w:hAnsi="宋体"/>
          <w:szCs w:val="21"/>
          <w:highlight w:val="none"/>
        </w:rPr>
        <w:t>：</w:t>
      </w:r>
      <w:r>
        <w:rPr>
          <w:rFonts w:hint="eastAsia" w:ascii="宋体" w:hAnsi="宋体"/>
          <w:szCs w:val="21"/>
          <w:highlight w:val="none"/>
          <w:u w:val="single"/>
        </w:rPr>
        <w:t>510000</w:t>
      </w:r>
    </w:p>
    <w:p w14:paraId="46626E42">
      <w:pPr>
        <w:pStyle w:val="3"/>
        <w:tabs>
          <w:tab w:val="left" w:pos="1151"/>
          <w:tab w:val="left" w:pos="4228"/>
          <w:tab w:val="left" w:pos="4862"/>
          <w:tab w:val="left" w:pos="7942"/>
        </w:tabs>
        <w:kinsoku w:val="0"/>
        <w:overflowPunct w:val="0"/>
        <w:spacing w:after="0" w:line="360" w:lineRule="auto"/>
        <w:ind w:right="915"/>
        <w:rPr>
          <w:rFonts w:ascii="宋体" w:hAnsi="宋体"/>
          <w:szCs w:val="21"/>
          <w:highlight w:val="none"/>
          <w:u w:val="single"/>
        </w:rPr>
      </w:pPr>
      <w:r>
        <w:rPr>
          <w:rFonts w:ascii="宋体" w:hAnsi="宋体"/>
          <w:szCs w:val="21"/>
          <w:highlight w:val="none"/>
        </w:rPr>
        <w:t>地</w:t>
      </w:r>
      <w:r>
        <w:rPr>
          <w:rFonts w:hint="eastAsia" w:ascii="宋体" w:hAnsi="宋体"/>
          <w:szCs w:val="21"/>
          <w:highlight w:val="none"/>
        </w:rPr>
        <w:t xml:space="preserve">    </w:t>
      </w:r>
      <w:r>
        <w:rPr>
          <w:rFonts w:ascii="宋体" w:hAnsi="宋体"/>
          <w:szCs w:val="21"/>
          <w:highlight w:val="none"/>
        </w:rPr>
        <w:t>址：</w:t>
      </w:r>
      <w:r>
        <w:rPr>
          <w:rFonts w:hint="eastAsia" w:ascii="宋体" w:hAnsi="宋体"/>
          <w:szCs w:val="21"/>
          <w:highlight w:val="none"/>
          <w:u w:val="single"/>
        </w:rPr>
        <w:t>广州市黄埔区石化路108号</w:t>
      </w:r>
    </w:p>
    <w:p w14:paraId="6533C837">
      <w:pPr>
        <w:pStyle w:val="3"/>
        <w:tabs>
          <w:tab w:val="left" w:pos="1151"/>
          <w:tab w:val="left" w:pos="4228"/>
          <w:tab w:val="left" w:pos="7942"/>
          <w:tab w:val="left" w:pos="9400"/>
        </w:tabs>
        <w:kinsoku w:val="0"/>
        <w:overflowPunct w:val="0"/>
        <w:spacing w:line="310" w:lineRule="auto"/>
        <w:ind w:right="915"/>
        <w:jc w:val="both"/>
        <w:rPr>
          <w:rFonts w:hint="default"/>
          <w:color w:val="auto"/>
          <w:highlight w:val="none"/>
          <w:lang w:val="en-US"/>
        </w:rPr>
      </w:pPr>
      <w:r>
        <w:rPr>
          <w:rFonts w:hint="eastAsia" w:ascii="宋体" w:hAnsi="宋体"/>
          <w:szCs w:val="21"/>
          <w:highlight w:val="none"/>
        </w:rPr>
        <w:t>电    话</w:t>
      </w:r>
      <w:r>
        <w:rPr>
          <w:rFonts w:ascii="宋体" w:hAnsi="宋体"/>
          <w:szCs w:val="21"/>
          <w:highlight w:val="none"/>
        </w:rPr>
        <w:t>：</w:t>
      </w:r>
      <w:r>
        <w:rPr>
          <w:rFonts w:hint="eastAsia" w:ascii="宋体" w:hAnsi="宋体" w:cs="宋体"/>
          <w:color w:val="auto"/>
          <w:sz w:val="21"/>
          <w:szCs w:val="21"/>
          <w:highlight w:val="none"/>
          <w:u w:val="single"/>
          <w:lang w:val="en-US" w:eastAsia="zh-CN"/>
        </w:rPr>
        <w:t>020-87597001</w:t>
      </w:r>
    </w:p>
    <w:p w14:paraId="32088B5F">
      <w:pPr>
        <w:spacing w:line="400" w:lineRule="exact"/>
        <w:jc w:val="right"/>
        <w:rPr>
          <w:rFonts w:hint="eastAsia"/>
          <w:color w:val="auto"/>
          <w:highlight w:val="none"/>
        </w:rPr>
      </w:pPr>
    </w:p>
    <w:p w14:paraId="304AB2DE">
      <w:pPr>
        <w:spacing w:line="400" w:lineRule="exact"/>
        <w:jc w:val="right"/>
        <w:rPr>
          <w:rFonts w:hint="eastAsia"/>
          <w:color w:val="auto"/>
          <w:highlight w:val="none"/>
        </w:rPr>
      </w:pPr>
      <w:r>
        <w:rPr>
          <w:rFonts w:hint="eastAsia"/>
          <w:color w:val="auto"/>
          <w:highlight w:val="none"/>
        </w:rPr>
        <w:t>招标人：</w:t>
      </w:r>
      <w:r>
        <w:rPr>
          <w:rFonts w:hint="eastAsia"/>
          <w:color w:val="auto"/>
          <w:highlight w:val="none"/>
          <w:lang w:eastAsia="zh-CN"/>
        </w:rPr>
        <w:t>广州黄埔文冲东片投资有限公司</w:t>
      </w:r>
    </w:p>
    <w:p w14:paraId="15250FA9">
      <w:pPr>
        <w:spacing w:line="400" w:lineRule="exact"/>
        <w:jc w:val="right"/>
        <w:rPr>
          <w:rFonts w:hint="eastAsia"/>
          <w:color w:val="auto"/>
          <w:highlight w:val="none"/>
        </w:rPr>
      </w:pPr>
      <w:r>
        <w:rPr>
          <w:rFonts w:hint="eastAsia"/>
          <w:color w:val="auto"/>
          <w:highlight w:val="none"/>
        </w:rPr>
        <w:t>招标代理：</w:t>
      </w:r>
      <w:r>
        <w:rPr>
          <w:rFonts w:hint="eastAsia"/>
          <w:color w:val="auto"/>
          <w:highlight w:val="none"/>
          <w:lang w:eastAsia="zh-CN"/>
        </w:rPr>
        <w:t>广州名都建设项目管理有限公司</w:t>
      </w:r>
    </w:p>
    <w:p w14:paraId="793DF900">
      <w:pPr>
        <w:spacing w:line="400" w:lineRule="exact"/>
        <w:ind w:firstLine="210" w:firstLineChars="100"/>
        <w:jc w:val="center"/>
        <w:rPr>
          <w:rFonts w:hint="eastAsia" w:ascii="宋体" w:hAnsi="宋体" w:eastAsia="宋体" w:cs="Times New Roman"/>
          <w:color w:val="auto"/>
          <w:sz w:val="21"/>
          <w:highlight w:val="none"/>
          <w:u w:val="single"/>
          <w:lang w:val="en-US" w:eastAsia="zh-CN" w:bidi="ar-SA"/>
        </w:rPr>
      </w:pPr>
      <w:r>
        <w:rPr>
          <w:rFonts w:hint="eastAsia" w:ascii="宋体" w:hAnsi="宋体" w:cs="Times New Roman"/>
          <w:color w:val="auto"/>
          <w:sz w:val="21"/>
          <w:highlight w:val="none"/>
          <w:u w:val="none"/>
          <w:lang w:val="en-US" w:eastAsia="zh-CN" w:bidi="ar-SA"/>
        </w:rPr>
        <w:t xml:space="preserve">                                        </w:t>
      </w:r>
      <w:r>
        <w:rPr>
          <w:rFonts w:hint="eastAsia" w:ascii="宋体" w:hAnsi="宋体" w:eastAsia="宋体" w:cs="Times New Roman"/>
          <w:color w:val="auto"/>
          <w:sz w:val="21"/>
          <w:highlight w:val="none"/>
          <w:u w:val="none"/>
          <w:lang w:val="en-US" w:eastAsia="zh-CN" w:bidi="ar-SA"/>
        </w:rPr>
        <w:t>2025年</w:t>
      </w:r>
      <w:r>
        <w:rPr>
          <w:rFonts w:hint="eastAsia" w:ascii="宋体" w:hAnsi="宋体" w:cs="Times New Roman"/>
          <w:color w:val="auto"/>
          <w:sz w:val="21"/>
          <w:highlight w:val="none"/>
          <w:u w:val="none"/>
          <w:lang w:val="en-US" w:eastAsia="zh-CN" w:bidi="ar-SA"/>
        </w:rPr>
        <w:t xml:space="preserve">   </w:t>
      </w:r>
      <w:r>
        <w:rPr>
          <w:rFonts w:hint="eastAsia" w:ascii="宋体" w:hAnsi="宋体" w:eastAsia="宋体" w:cs="Times New Roman"/>
          <w:color w:val="auto"/>
          <w:sz w:val="21"/>
          <w:highlight w:val="none"/>
          <w:u w:val="none"/>
          <w:lang w:val="en-US" w:eastAsia="zh-CN" w:bidi="ar-SA"/>
        </w:rPr>
        <w:t>月</w:t>
      </w:r>
      <w:r>
        <w:rPr>
          <w:rFonts w:hint="eastAsia" w:ascii="宋体" w:hAnsi="宋体" w:cs="Times New Roman"/>
          <w:color w:val="auto"/>
          <w:sz w:val="21"/>
          <w:highlight w:val="none"/>
          <w:u w:val="none"/>
          <w:lang w:val="en-US" w:eastAsia="zh-CN" w:bidi="ar-SA"/>
        </w:rPr>
        <w:t xml:space="preserve">   </w:t>
      </w:r>
      <w:r>
        <w:rPr>
          <w:rFonts w:hint="eastAsia" w:ascii="宋体" w:hAnsi="宋体" w:eastAsia="宋体" w:cs="Times New Roman"/>
          <w:color w:val="auto"/>
          <w:sz w:val="21"/>
          <w:highlight w:val="none"/>
          <w:u w:val="none"/>
          <w:lang w:val="en-US" w:eastAsia="zh-CN" w:bidi="ar-SA"/>
        </w:rPr>
        <w:t>日</w:t>
      </w:r>
    </w:p>
    <w:p w14:paraId="674260E5">
      <w:pPr>
        <w:spacing w:line="400" w:lineRule="exact"/>
        <w:ind w:firstLine="210" w:firstLineChars="100"/>
        <w:jc w:val="center"/>
        <w:rPr>
          <w:rFonts w:hint="eastAsia" w:ascii="宋体" w:hAnsi="宋体" w:eastAsia="宋体" w:cs="Times New Roman"/>
          <w:color w:val="auto"/>
          <w:sz w:val="21"/>
          <w:highlight w:val="none"/>
          <w:u w:val="single"/>
          <w:lang w:val="en-US" w:eastAsia="zh-CN" w:bidi="ar-SA"/>
        </w:rPr>
      </w:pPr>
    </w:p>
    <w:p w14:paraId="5D3461CD">
      <w:pPr>
        <w:spacing w:line="400" w:lineRule="exact"/>
        <w:ind w:firstLine="210" w:firstLineChars="100"/>
        <w:jc w:val="center"/>
        <w:rPr>
          <w:rFonts w:hint="eastAsia" w:ascii="宋体" w:hAnsi="宋体" w:eastAsia="宋体" w:cs="Times New Roman"/>
          <w:color w:val="auto"/>
          <w:sz w:val="21"/>
          <w:highlight w:val="none"/>
          <w:u w:val="single"/>
          <w:lang w:val="en-US" w:eastAsia="zh-CN" w:bidi="ar-SA"/>
        </w:rPr>
      </w:pPr>
    </w:p>
    <w:p w14:paraId="23AE38D6">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A4A7E">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44CC11">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844CC11">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AF039A"/>
    <w:rsid w:val="03375FC6"/>
    <w:rsid w:val="05A5474F"/>
    <w:rsid w:val="06175625"/>
    <w:rsid w:val="0C297A5C"/>
    <w:rsid w:val="0C2C7CAB"/>
    <w:rsid w:val="0C6459E9"/>
    <w:rsid w:val="160F51BE"/>
    <w:rsid w:val="25B21ED5"/>
    <w:rsid w:val="3F582DB4"/>
    <w:rsid w:val="45A32084"/>
    <w:rsid w:val="486F238A"/>
    <w:rsid w:val="49980D34"/>
    <w:rsid w:val="4CCD7A06"/>
    <w:rsid w:val="50717840"/>
    <w:rsid w:val="52AF039A"/>
    <w:rsid w:val="558C33CE"/>
    <w:rsid w:val="57171EAA"/>
    <w:rsid w:val="5A1D5B58"/>
    <w:rsid w:val="609D68A3"/>
    <w:rsid w:val="6326232D"/>
    <w:rsid w:val="65053E27"/>
    <w:rsid w:val="67301582"/>
    <w:rsid w:val="67D61832"/>
    <w:rsid w:val="6B596DB4"/>
    <w:rsid w:val="71243011"/>
    <w:rsid w:val="71BF0D3E"/>
    <w:rsid w:val="77AD7179"/>
    <w:rsid w:val="78312939"/>
    <w:rsid w:val="7AE723A2"/>
    <w:rsid w:val="7FCA1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2"/>
    <w:basedOn w:val="1"/>
    <w:next w:val="1"/>
    <w:link w:val="12"/>
    <w:qFormat/>
    <w:uiPriority w:val="0"/>
    <w:pPr>
      <w:keepNext/>
      <w:keepLines/>
      <w:spacing w:before="260" w:after="260" w:line="412" w:lineRule="auto"/>
      <w:outlineLvl w:val="1"/>
    </w:pPr>
    <w:rPr>
      <w:rFonts w:ascii="Arial" w:hAnsi="Arial" w:eastAsia="黑体"/>
      <w:b/>
      <w:sz w:val="32"/>
      <w:szCs w:val="20"/>
    </w:rPr>
  </w:style>
  <w:style w:type="paragraph" w:styleId="5">
    <w:name w:val="heading 3"/>
    <w:basedOn w:val="1"/>
    <w:next w:val="1"/>
    <w:qFormat/>
    <w:uiPriority w:val="0"/>
    <w:pPr>
      <w:keepNext/>
      <w:keepLines/>
      <w:spacing w:line="360" w:lineRule="auto"/>
      <w:outlineLvl w:val="2"/>
    </w:pPr>
    <w:rPr>
      <w:rFonts w:ascii="Times New Roman" w:hAnsi="Times New Roman" w:eastAsia="宋体"/>
      <w:b/>
      <w:bCs/>
      <w:sz w:val="28"/>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spacing w:line="312" w:lineRule="auto"/>
      <w:ind w:firstLine="420"/>
    </w:pPr>
    <w:rPr>
      <w:rFonts w:ascii="Times New Roman" w:hAnsi="Times New Roman"/>
      <w:szCs w:val="24"/>
    </w:rPr>
  </w:style>
  <w:style w:type="paragraph" w:styleId="3">
    <w:name w:val="Body Text"/>
    <w:basedOn w:val="1"/>
    <w:next w:val="1"/>
    <w:qFormat/>
    <w:uiPriority w:val="0"/>
    <w:pPr>
      <w:spacing w:after="120"/>
    </w:pPr>
    <w:rPr>
      <w:rFonts w:ascii="Times New Roman" w:hAnsi="Times New Roman" w:eastAsia="宋体"/>
      <w:szCs w:val="24"/>
    </w:rPr>
  </w:style>
  <w:style w:type="paragraph" w:styleId="6">
    <w:name w:val="Normal Indent"/>
    <w:basedOn w:val="1"/>
    <w:next w:val="1"/>
    <w:qFormat/>
    <w:uiPriority w:val="0"/>
    <w:pPr>
      <w:adjustRightInd w:val="0"/>
      <w:spacing w:line="360" w:lineRule="atLeast"/>
      <w:ind w:firstLine="420"/>
      <w:textAlignment w:val="baseline"/>
    </w:pPr>
    <w:rPr>
      <w:rFonts w:ascii="Times New Roman" w:hAnsi="Times New Roman"/>
      <w:szCs w:val="20"/>
      <w:lang w:val="zh-CN"/>
    </w:rPr>
  </w:style>
  <w:style w:type="paragraph" w:styleId="7">
    <w:name w:val="Plain Text"/>
    <w:basedOn w:val="1"/>
    <w:next w:val="1"/>
    <w:qFormat/>
    <w:uiPriority w:val="0"/>
    <w:rPr>
      <w:rFonts w:ascii="宋体" w:hAnsi="Courier New" w:eastAsia="宋体" w:cs="Courier New"/>
      <w:szCs w:val="21"/>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12">
    <w:name w:val="标题 2 Char"/>
    <w:link w:val="4"/>
    <w:qFormat/>
    <w:locked/>
    <w:uiPriority w:val="0"/>
    <w:rPr>
      <w:rFonts w:ascii="Arial" w:hAnsi="Arial" w:eastAsia="黑体"/>
      <w:b/>
      <w:sz w:val="32"/>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5639</Words>
  <Characters>6289</Characters>
  <Lines>0</Lines>
  <Paragraphs>0</Paragraphs>
  <TotalTime>0</TotalTime>
  <ScaleCrop>false</ScaleCrop>
  <LinksUpToDate>false</LinksUpToDate>
  <CharactersWithSpaces>6721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2025-05-30T02:33:00Z</dcterms:created>
  <dc:creator>brian</dc:creator>
  <cp:lastModifiedBy>G</cp:lastModifiedBy>
  <dcterms:modified xsi:type="dcterms:W3CDTF">2025-08-20T07:13:49Z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F48311D7474D45B788BB76CDA103A8DF_13</vt:lpwstr>
  </property>
  <property fmtid="{D5CDD505-2E9C-101B-9397-08002B2CF9AE}" pid="4" name="KSOTemplateDocerSaveRecord">
    <vt:lpwstr>eyJoZGlkIjoiZWJmYzI1NTdjMDQ4YzEwNTlhYzAwNzcyMTk3M2MwZTgiLCJ1c2VySWQiOiIzNzc2NDU5MTEifQ==</vt:lpwstr>
  </property>
</Properties>
</file>