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sz w:val="36"/>
          <w:szCs w:val="36"/>
        </w:rPr>
      </w:pPr>
      <w:r>
        <w:rPr>
          <w:rFonts w:hint="eastAsia" w:ascii="宋体" w:hAnsi="宋体"/>
          <w:sz w:val="36"/>
          <w:szCs w:val="36"/>
        </w:rPr>
        <w:t xml:space="preserve">  </w:t>
      </w:r>
    </w:p>
    <w:p>
      <w:pPr>
        <w:pStyle w:val="26"/>
        <w:ind w:firstLine="240"/>
        <w:rPr>
          <w:rFonts w:ascii="宋体" w:hAnsi="宋体"/>
          <w:bCs/>
          <w:snapToGrid w:val="0"/>
          <w:kern w:val="0"/>
          <w:sz w:val="24"/>
        </w:rPr>
      </w:pPr>
    </w:p>
    <w:p>
      <w:pPr>
        <w:jc w:val="center"/>
        <w:rPr>
          <w:rFonts w:ascii="宋体" w:hAnsi="宋体" w:cs="宋体"/>
          <w:bCs/>
          <w:kern w:val="0"/>
          <w:sz w:val="56"/>
          <w:szCs w:val="72"/>
        </w:rPr>
      </w:pPr>
    </w:p>
    <w:p>
      <w:pPr>
        <w:jc w:val="center"/>
        <w:rPr>
          <w:rFonts w:ascii="宋体" w:hAnsi="宋体" w:cs="宋体"/>
          <w:sz w:val="44"/>
          <w:szCs w:val="44"/>
        </w:rPr>
      </w:pPr>
      <w:permStart w:id="0" w:edGrp="everyone"/>
      <w:r>
        <w:rPr>
          <w:rFonts w:ascii="宋体" w:hAnsi="宋体" w:cs="宋体"/>
          <w:bCs/>
          <w:kern w:val="0"/>
          <w:sz w:val="44"/>
          <w:szCs w:val="44"/>
          <w:u w:val="single"/>
        </w:rPr>
        <w:t xml:space="preserve">     </w:t>
      </w:r>
      <w:r>
        <w:rPr>
          <w:rFonts w:hint="eastAsia" w:ascii="宋体" w:hAnsi="宋体" w:cs="宋体"/>
          <w:bCs/>
          <w:kern w:val="0"/>
          <w:sz w:val="44"/>
          <w:szCs w:val="44"/>
          <w:u w:val="single"/>
          <w:lang w:val="en-US" w:eastAsia="zh-CN"/>
        </w:rPr>
        <w:t xml:space="preserve">       </w:t>
      </w:r>
      <w:r>
        <w:rPr>
          <w:rFonts w:ascii="宋体" w:hAnsi="宋体" w:cs="宋体"/>
          <w:bCs/>
          <w:kern w:val="0"/>
          <w:sz w:val="44"/>
          <w:szCs w:val="44"/>
          <w:u w:val="single"/>
        </w:rPr>
        <w:t xml:space="preserve">  </w:t>
      </w:r>
      <w:permEnd w:id="0"/>
      <w:r>
        <w:rPr>
          <w:rFonts w:hint="eastAsia" w:ascii="宋体" w:hAnsi="宋体" w:cs="宋体"/>
          <w:bCs/>
          <w:kern w:val="0"/>
          <w:sz w:val="44"/>
          <w:szCs w:val="44"/>
        </w:rPr>
        <w:t>项目监理合同</w:t>
      </w:r>
    </w:p>
    <w:p>
      <w:pPr>
        <w:widowControl/>
        <w:spacing w:after="120" w:afterLines="50" w:line="360" w:lineRule="auto"/>
        <w:jc w:val="right"/>
        <w:rPr>
          <w:rFonts w:ascii="宋体" w:hAnsi="宋体" w:cs="宋体"/>
          <w:sz w:val="28"/>
          <w:szCs w:val="28"/>
        </w:rPr>
      </w:pPr>
      <w:r>
        <w:rPr>
          <w:rFonts w:hint="eastAsia" w:ascii="宋体" w:hAnsi="宋体" w:cs="宋体"/>
          <w:sz w:val="28"/>
          <w:szCs w:val="28"/>
        </w:rPr>
        <w:t xml:space="preserve">      </w:t>
      </w:r>
    </w:p>
    <w:p>
      <w:pPr>
        <w:adjustRightInd w:val="0"/>
        <w:snapToGrid w:val="0"/>
        <w:spacing w:after="120" w:afterLines="50" w:line="360" w:lineRule="auto"/>
        <w:ind w:firstLine="1668" w:firstLineChars="695"/>
        <w:rPr>
          <w:rFonts w:ascii="宋体" w:hAnsi="宋体" w:cs="宋体"/>
          <w:sz w:val="24"/>
        </w:rPr>
      </w:pPr>
    </w:p>
    <w:p>
      <w:pPr>
        <w:adjustRightInd w:val="0"/>
        <w:snapToGrid w:val="0"/>
        <w:spacing w:after="120" w:afterLines="50" w:line="360" w:lineRule="auto"/>
        <w:ind w:firstLine="1668" w:firstLineChars="695"/>
        <w:rPr>
          <w:rFonts w:ascii="宋体" w:hAnsi="宋体" w:cs="宋体"/>
          <w:sz w:val="24"/>
        </w:rPr>
      </w:pPr>
    </w:p>
    <w:p>
      <w:pPr>
        <w:adjustRightInd w:val="0"/>
        <w:snapToGrid w:val="0"/>
        <w:spacing w:after="120" w:afterLines="50" w:line="360" w:lineRule="auto"/>
        <w:ind w:firstLine="1668" w:firstLineChars="695"/>
        <w:rPr>
          <w:rFonts w:ascii="宋体" w:hAnsi="宋体" w:cs="宋体"/>
          <w:b/>
          <w:sz w:val="24"/>
        </w:rPr>
      </w:pPr>
      <w:r>
        <w:rPr>
          <w:rFonts w:hint="eastAsia" w:ascii="宋体" w:hAnsi="宋体" w:cs="宋体"/>
          <w:sz w:val="24"/>
        </w:rPr>
        <w:t xml:space="preserve">合同编号： </w:t>
      </w:r>
    </w:p>
    <w:p>
      <w:pPr>
        <w:adjustRightInd w:val="0"/>
        <w:snapToGrid w:val="0"/>
        <w:spacing w:after="120" w:afterLines="50" w:line="360" w:lineRule="auto"/>
        <w:ind w:firstLine="1668" w:firstLineChars="695"/>
        <w:rPr>
          <w:rFonts w:ascii="宋体" w:hAnsi="宋体" w:cs="宋体"/>
          <w:sz w:val="24"/>
        </w:rPr>
      </w:pPr>
    </w:p>
    <w:p>
      <w:pPr>
        <w:adjustRightInd w:val="0"/>
        <w:snapToGrid w:val="0"/>
        <w:spacing w:after="120" w:afterLines="50" w:line="360" w:lineRule="auto"/>
        <w:jc w:val="center"/>
        <w:rPr>
          <w:rFonts w:ascii="宋体" w:hAnsi="宋体" w:cs="宋体"/>
          <w:sz w:val="24"/>
        </w:rPr>
      </w:pPr>
    </w:p>
    <w:p>
      <w:pPr>
        <w:adjustRightInd w:val="0"/>
        <w:snapToGrid w:val="0"/>
        <w:spacing w:after="120" w:afterLines="50" w:line="360" w:lineRule="auto"/>
        <w:rPr>
          <w:rFonts w:ascii="宋体" w:hAnsi="宋体" w:cs="宋体"/>
          <w:sz w:val="24"/>
        </w:rPr>
      </w:pPr>
    </w:p>
    <w:p>
      <w:pPr>
        <w:adjustRightInd w:val="0"/>
        <w:snapToGrid w:val="0"/>
        <w:spacing w:after="120" w:afterLines="50" w:line="360" w:lineRule="auto"/>
        <w:rPr>
          <w:rFonts w:ascii="宋体" w:hAnsi="宋体" w:cs="宋体"/>
          <w:sz w:val="24"/>
        </w:rPr>
      </w:pPr>
    </w:p>
    <w:p>
      <w:pPr>
        <w:adjustRightInd w:val="0"/>
        <w:snapToGrid w:val="0"/>
        <w:spacing w:after="120" w:afterLines="50" w:line="360" w:lineRule="auto"/>
        <w:rPr>
          <w:rFonts w:ascii="宋体" w:hAnsi="宋体" w:cs="宋体"/>
          <w:sz w:val="24"/>
        </w:rPr>
      </w:pPr>
    </w:p>
    <w:p>
      <w:pPr>
        <w:pStyle w:val="26"/>
        <w:ind w:firstLine="321"/>
        <w:rPr>
          <w:rFonts w:ascii="宋体" w:hAnsi="宋体" w:eastAsia="宋体" w:cs="宋体"/>
          <w:b/>
          <w:bCs/>
          <w:sz w:val="32"/>
        </w:rPr>
      </w:pPr>
    </w:p>
    <w:p>
      <w:pPr>
        <w:spacing w:line="580" w:lineRule="exact"/>
        <w:ind w:firstLine="1807" w:firstLineChars="600"/>
        <w:jc w:val="left"/>
        <w:rPr>
          <w:rFonts w:ascii="宋体" w:hAnsi="宋体" w:cs="宋体"/>
          <w:b/>
          <w:sz w:val="30"/>
          <w:szCs w:val="30"/>
        </w:rPr>
      </w:pPr>
      <w:r>
        <w:rPr>
          <w:rFonts w:hint="eastAsia" w:ascii="宋体" w:hAnsi="宋体" w:cs="宋体"/>
          <w:b/>
          <w:sz w:val="30"/>
          <w:szCs w:val="30"/>
        </w:rPr>
        <w:t>委托人：</w:t>
      </w:r>
      <w:permStart w:id="1" w:edGrp="everyone"/>
      <w:r>
        <w:rPr>
          <w:rFonts w:ascii="宋体" w:hAnsi="宋体" w:cs="宋体"/>
          <w:b/>
          <w:sz w:val="30"/>
          <w:szCs w:val="30"/>
          <w:u w:val="single"/>
        </w:rPr>
        <w:t xml:space="preserve"> </w:t>
      </w:r>
      <w:r>
        <w:rPr>
          <w:rFonts w:hint="eastAsia" w:ascii="宋体" w:hAnsi="宋体" w:cs="宋体"/>
          <w:b/>
          <w:sz w:val="30"/>
          <w:szCs w:val="30"/>
          <w:u w:val="single"/>
          <w:lang w:val="en-US" w:eastAsia="zh-CN"/>
        </w:rPr>
        <w:t xml:space="preserve">                </w:t>
      </w:r>
      <w:permEnd w:id="1"/>
    </w:p>
    <w:p>
      <w:pPr>
        <w:spacing w:line="580" w:lineRule="exact"/>
        <w:ind w:firstLine="1807" w:firstLineChars="600"/>
        <w:jc w:val="left"/>
        <w:rPr>
          <w:rFonts w:ascii="宋体" w:hAnsi="宋体" w:cs="宋体"/>
          <w:b/>
          <w:sz w:val="30"/>
          <w:szCs w:val="30"/>
        </w:rPr>
      </w:pPr>
      <w:r>
        <w:rPr>
          <w:rFonts w:hint="eastAsia" w:ascii="宋体" w:hAnsi="宋体" w:cs="宋体"/>
          <w:b/>
          <w:sz w:val="30"/>
          <w:szCs w:val="30"/>
        </w:rPr>
        <w:t>监理人：</w:t>
      </w:r>
      <w:permStart w:id="2" w:edGrp="everyone"/>
      <w:r>
        <w:rPr>
          <w:rFonts w:ascii="宋体" w:hAnsi="宋体"/>
          <w:b/>
          <w:bCs/>
          <w:sz w:val="32"/>
          <w:u w:val="single"/>
        </w:rPr>
        <w:t xml:space="preserve">                </w:t>
      </w:r>
      <w:permEnd w:id="2"/>
    </w:p>
    <w:p>
      <w:pPr>
        <w:spacing w:line="580" w:lineRule="exact"/>
        <w:ind w:firstLine="1807" w:firstLineChars="600"/>
        <w:jc w:val="left"/>
        <w:rPr>
          <w:rFonts w:ascii="宋体" w:hAnsi="宋体" w:cs="宋体"/>
          <w:b/>
          <w:sz w:val="30"/>
          <w:szCs w:val="30"/>
        </w:rPr>
      </w:pPr>
      <w:r>
        <w:rPr>
          <w:rFonts w:hint="eastAsia" w:ascii="宋体" w:hAnsi="宋体" w:cs="宋体"/>
          <w:b/>
          <w:sz w:val="30"/>
          <w:szCs w:val="30"/>
        </w:rPr>
        <w:t>签订日期：202</w:t>
      </w:r>
      <w:permStart w:id="3" w:edGrp="everyone"/>
      <w:r>
        <w:rPr>
          <w:rFonts w:ascii="宋体" w:hAnsi="宋体" w:cs="宋体"/>
          <w:b/>
          <w:sz w:val="30"/>
          <w:szCs w:val="30"/>
        </w:rPr>
        <w:t xml:space="preserve"> </w:t>
      </w:r>
      <w:permEnd w:id="3"/>
      <w:r>
        <w:rPr>
          <w:rFonts w:hint="eastAsia" w:ascii="宋体" w:hAnsi="宋体" w:cs="宋体"/>
          <w:b/>
          <w:sz w:val="30"/>
          <w:szCs w:val="30"/>
        </w:rPr>
        <w:t>年</w:t>
      </w:r>
      <w:permStart w:id="4" w:edGrp="everyone"/>
      <w:r>
        <w:rPr>
          <w:rFonts w:ascii="宋体" w:hAnsi="宋体" w:cs="宋体"/>
          <w:b/>
          <w:sz w:val="30"/>
          <w:szCs w:val="30"/>
        </w:rPr>
        <w:t xml:space="preserve">   </w:t>
      </w:r>
      <w:r>
        <w:rPr>
          <w:rFonts w:hint="eastAsia" w:ascii="宋体" w:hAnsi="宋体" w:cs="宋体"/>
          <w:b/>
          <w:sz w:val="30"/>
          <w:szCs w:val="30"/>
        </w:rPr>
        <w:t xml:space="preserve"> </w:t>
      </w:r>
      <w:permEnd w:id="4"/>
      <w:r>
        <w:rPr>
          <w:rFonts w:hint="eastAsia" w:ascii="宋体" w:hAnsi="宋体" w:cs="宋体"/>
          <w:b/>
          <w:sz w:val="30"/>
          <w:szCs w:val="30"/>
        </w:rPr>
        <w:t>月</w:t>
      </w:r>
      <w:permStart w:id="5" w:edGrp="everyone"/>
      <w:r>
        <w:rPr>
          <w:rFonts w:ascii="宋体" w:hAnsi="宋体" w:cs="宋体"/>
          <w:b/>
          <w:sz w:val="30"/>
          <w:szCs w:val="30"/>
        </w:rPr>
        <w:t xml:space="preserve">   </w:t>
      </w:r>
      <w:permEnd w:id="5"/>
      <w:r>
        <w:rPr>
          <w:rFonts w:hint="eastAsia" w:ascii="宋体" w:hAnsi="宋体" w:cs="宋体"/>
          <w:b/>
          <w:sz w:val="30"/>
          <w:szCs w:val="30"/>
        </w:rPr>
        <w:t>日</w:t>
      </w:r>
    </w:p>
    <w:p>
      <w:pPr>
        <w:spacing w:line="580" w:lineRule="exact"/>
        <w:ind w:firstLine="1807" w:firstLineChars="600"/>
        <w:rPr>
          <w:rFonts w:ascii="宋体" w:hAnsi="宋体" w:cs="宋体"/>
          <w:b/>
          <w:sz w:val="30"/>
          <w:szCs w:val="30"/>
        </w:rPr>
      </w:pPr>
      <w:r>
        <w:rPr>
          <w:rFonts w:hint="eastAsia" w:ascii="宋体" w:hAnsi="宋体" w:cs="宋体"/>
          <w:b/>
          <w:sz w:val="30"/>
          <w:szCs w:val="30"/>
        </w:rPr>
        <w:t>签订地点：广</w:t>
      </w:r>
      <w:r>
        <w:rPr>
          <w:rFonts w:hint="eastAsia" w:ascii="宋体" w:hAnsi="宋体" w:cs="宋体"/>
          <w:b/>
          <w:sz w:val="30"/>
          <w:szCs w:val="30"/>
          <w:lang w:eastAsia="zh-CN"/>
        </w:rPr>
        <w:t>州市</w:t>
      </w:r>
      <w:r>
        <w:rPr>
          <w:rFonts w:hint="eastAsia" w:ascii="宋体" w:hAnsi="宋体" w:cs="宋体"/>
          <w:b/>
          <w:sz w:val="30"/>
          <w:szCs w:val="30"/>
          <w:lang w:val="en-US" w:eastAsia="zh-CN"/>
        </w:rPr>
        <w:t>越秀</w:t>
      </w:r>
      <w:r>
        <w:rPr>
          <w:rFonts w:hint="eastAsia" w:ascii="宋体" w:hAnsi="宋体" w:cs="宋体"/>
          <w:b/>
          <w:sz w:val="30"/>
          <w:szCs w:val="30"/>
        </w:rPr>
        <w:t>区</w:t>
      </w:r>
    </w:p>
    <w:p>
      <w:pPr>
        <w:widowControl/>
        <w:jc w:val="left"/>
        <w:rPr>
          <w:rFonts w:ascii="宋体" w:hAnsi="宋体" w:cs="宋体"/>
          <w:b/>
          <w:sz w:val="32"/>
        </w:rPr>
      </w:pPr>
      <w:r>
        <w:rPr>
          <w:rFonts w:hint="eastAsia" w:ascii="宋体" w:hAnsi="宋体" w:cs="宋体"/>
          <w:b/>
          <w:sz w:val="32"/>
        </w:rPr>
        <w:br w:type="page"/>
      </w:r>
    </w:p>
    <w:p>
      <w:pPr>
        <w:pStyle w:val="3"/>
        <w:spacing w:before="0" w:line="360" w:lineRule="auto"/>
        <w:rPr>
          <w:rFonts w:ascii="宋体" w:hAnsi="宋体" w:cs="宋体"/>
          <w:sz w:val="32"/>
        </w:rPr>
      </w:pPr>
      <w:r>
        <w:rPr>
          <w:rFonts w:hint="eastAsia" w:ascii="宋体" w:hAnsi="宋体" w:cs="宋体"/>
          <w:sz w:val="32"/>
        </w:rPr>
        <w:t>第一章  协议书</w:t>
      </w:r>
    </w:p>
    <w:p>
      <w:pPr>
        <w:spacing w:line="360" w:lineRule="auto"/>
        <w:ind w:firstLine="480" w:firstLineChars="200"/>
        <w:rPr>
          <w:rFonts w:ascii="宋体" w:hAnsi="宋体" w:cs="宋体"/>
          <w:sz w:val="24"/>
        </w:rPr>
      </w:pPr>
      <w:r>
        <w:rPr>
          <w:rFonts w:hint="eastAsia" w:ascii="宋体" w:hAnsi="宋体" w:cs="宋体"/>
          <w:sz w:val="24"/>
        </w:rPr>
        <w:t>委托人与监理人依照《中华人民共和国民法典》、《中华人民共和国建筑法》及其他有关法律、行政法规、部门规章、地方性法规和规章，遵循平等、自愿、公平和诚实信用的原则，双方就</w:t>
      </w:r>
      <w:permStart w:id="6" w:edGrp="everyone"/>
      <w:r>
        <w:rPr>
          <w:rFonts w:hint="eastAsia" w:ascii="宋体" w:hAnsi="宋体" w:cs="宋体"/>
          <w:b/>
          <w:kern w:val="0"/>
          <w:sz w:val="24"/>
          <w:u w:val="single"/>
        </w:rPr>
        <w:t xml:space="preserve"> </w:t>
      </w:r>
      <w:r>
        <w:rPr>
          <w:rFonts w:ascii="宋体" w:hAnsi="宋体" w:cs="宋体"/>
          <w:b/>
          <w:kern w:val="0"/>
          <w:sz w:val="24"/>
          <w:u w:val="single"/>
        </w:rPr>
        <w:t xml:space="preserve">     </w:t>
      </w:r>
      <w:r>
        <w:rPr>
          <w:rFonts w:hint="eastAsia" w:ascii="宋体" w:hAnsi="宋体" w:cs="宋体"/>
          <w:b/>
          <w:kern w:val="0"/>
          <w:sz w:val="24"/>
          <w:u w:val="single"/>
        </w:rPr>
        <w:t>项目</w:t>
      </w:r>
      <w:permEnd w:id="6"/>
      <w:r>
        <w:rPr>
          <w:rFonts w:hint="eastAsia" w:ascii="宋体" w:hAnsi="宋体"/>
          <w:b/>
          <w:snapToGrid w:val="0"/>
          <w:kern w:val="0"/>
          <w:sz w:val="24"/>
        </w:rPr>
        <w:t>（以下称“本工程”）</w:t>
      </w:r>
      <w:r>
        <w:rPr>
          <w:rFonts w:hint="eastAsia" w:ascii="宋体" w:hAnsi="宋体" w:cs="宋体"/>
          <w:sz w:val="24"/>
        </w:rPr>
        <w:t>委托监理事宜协商一致，订立本合同。</w:t>
      </w:r>
    </w:p>
    <w:p>
      <w:pPr>
        <w:spacing w:line="360" w:lineRule="auto"/>
        <w:ind w:firstLine="480" w:firstLineChars="200"/>
        <w:outlineLvl w:val="1"/>
        <w:rPr>
          <w:rFonts w:ascii="宋体" w:hAnsi="宋体" w:cs="宋体"/>
          <w:bCs/>
          <w:sz w:val="24"/>
        </w:rPr>
      </w:pPr>
      <w:r>
        <w:rPr>
          <w:rFonts w:hint="eastAsia" w:ascii="宋体" w:hAnsi="宋体" w:cs="宋体"/>
          <w:bCs/>
          <w:sz w:val="24"/>
        </w:rPr>
        <w:t>一、监理工程概况</w:t>
      </w:r>
    </w:p>
    <w:p>
      <w:pPr>
        <w:spacing w:line="360" w:lineRule="auto"/>
        <w:ind w:firstLine="240" w:firstLineChars="100"/>
        <w:rPr>
          <w:rFonts w:ascii="宋体" w:hAnsi="宋体" w:cs="宋体"/>
          <w:sz w:val="24"/>
          <w:u w:val="single"/>
        </w:rPr>
      </w:pPr>
      <w:r>
        <w:rPr>
          <w:rFonts w:hint="eastAsia" w:ascii="宋体" w:hAnsi="宋体" w:cs="宋体"/>
          <w:sz w:val="24"/>
        </w:rPr>
        <w:t>（1）工程名称：</w:t>
      </w:r>
      <w:permStart w:id="7" w:edGrp="everyone"/>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ermEnd w:id="7"/>
    </w:p>
    <w:p>
      <w:pPr>
        <w:tabs>
          <w:tab w:val="left" w:pos="7513"/>
        </w:tabs>
        <w:spacing w:line="360" w:lineRule="auto"/>
        <w:ind w:firstLine="240" w:firstLineChars="100"/>
        <w:rPr>
          <w:rFonts w:ascii="宋体" w:hAnsi="宋体" w:cs="宋体"/>
          <w:sz w:val="24"/>
        </w:rPr>
      </w:pPr>
      <w:r>
        <w:rPr>
          <w:rFonts w:hint="eastAsia" w:ascii="宋体" w:hAnsi="宋体" w:cs="宋体"/>
          <w:sz w:val="24"/>
        </w:rPr>
        <w:t>（2）工程地点：</w:t>
      </w:r>
      <w:permStart w:id="8" w:edGrp="everyone"/>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permEnd w:id="8"/>
    </w:p>
    <w:p>
      <w:pPr>
        <w:shd w:val="clear" w:color="auto" w:fill="FFFFFF"/>
        <w:spacing w:line="360" w:lineRule="auto"/>
        <w:ind w:firstLine="240" w:firstLineChars="100"/>
        <w:rPr>
          <w:rFonts w:ascii="宋体" w:hAnsi="宋体" w:cs="宋体"/>
          <w:sz w:val="24"/>
        </w:rPr>
      </w:pPr>
      <w:r>
        <w:rPr>
          <w:rFonts w:hint="eastAsia" w:ascii="宋体" w:hAnsi="宋体" w:cs="宋体"/>
          <w:sz w:val="24"/>
        </w:rPr>
        <w:t>（3）工程总投资：</w:t>
      </w:r>
      <w:permStart w:id="9" w:edGrp="everyone"/>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ermEnd w:id="9"/>
    </w:p>
    <w:p>
      <w:pPr>
        <w:spacing w:line="360" w:lineRule="auto"/>
        <w:ind w:firstLine="240" w:firstLineChars="100"/>
        <w:rPr>
          <w:rFonts w:ascii="宋体" w:hAnsi="宋体" w:cs="宋体"/>
          <w:sz w:val="24"/>
        </w:rPr>
      </w:pPr>
      <w:r>
        <w:rPr>
          <w:rFonts w:hint="eastAsia" w:ascii="宋体" w:hAnsi="宋体" w:cs="宋体"/>
          <w:sz w:val="24"/>
        </w:rPr>
        <w:t>（4）工程质量标准：</w:t>
      </w:r>
      <w:permStart w:id="10" w:edGrp="everyone"/>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ermEnd w:id="10"/>
    </w:p>
    <w:p>
      <w:pPr>
        <w:spacing w:line="360" w:lineRule="auto"/>
        <w:ind w:firstLine="480" w:firstLineChars="200"/>
        <w:outlineLvl w:val="1"/>
        <w:rPr>
          <w:rFonts w:ascii="宋体" w:hAnsi="宋体" w:cs="宋体"/>
          <w:bCs/>
          <w:sz w:val="24"/>
        </w:rPr>
      </w:pPr>
      <w:r>
        <w:rPr>
          <w:rFonts w:hint="eastAsia" w:ascii="宋体" w:hAnsi="宋体" w:cs="宋体"/>
          <w:bCs/>
          <w:sz w:val="24"/>
        </w:rPr>
        <w:t>二、监理报酬</w:t>
      </w:r>
    </w:p>
    <w:p>
      <w:pPr>
        <w:spacing w:line="360" w:lineRule="auto"/>
        <w:ind w:firstLine="480" w:firstLineChars="200"/>
        <w:rPr>
          <w:rFonts w:ascii="宋体" w:hAnsi="宋体" w:cs="宋体"/>
          <w:bCs/>
          <w:sz w:val="24"/>
        </w:rPr>
      </w:pPr>
      <w:r>
        <w:rPr>
          <w:rFonts w:hint="eastAsia" w:ascii="宋体" w:hAnsi="宋体" w:cs="宋体"/>
          <w:bCs/>
          <w:sz w:val="24"/>
        </w:rPr>
        <w:t>本合同的监理报酬总额暂定为</w:t>
      </w:r>
      <w:permStart w:id="11" w:edGrp="everyone"/>
      <w:r>
        <w:rPr>
          <w:rFonts w:hint="eastAsia" w:ascii="宋体" w:hAnsi="宋体" w:cs="宋体"/>
          <w:bCs/>
          <w:sz w:val="24"/>
          <w:u w:val="single"/>
        </w:rPr>
        <w:t xml:space="preserve"> </w:t>
      </w:r>
      <w:r>
        <w:rPr>
          <w:rFonts w:ascii="宋体" w:hAnsi="宋体" w:cs="宋体"/>
          <w:b/>
          <w:sz w:val="24"/>
          <w:u w:val="single"/>
        </w:rPr>
        <w:t xml:space="preserve">        </w:t>
      </w:r>
      <w:permEnd w:id="11"/>
      <w:r>
        <w:rPr>
          <w:rFonts w:hint="eastAsia" w:ascii="宋体" w:hAnsi="宋体" w:cs="宋体"/>
          <w:bCs/>
          <w:sz w:val="24"/>
        </w:rPr>
        <w:t xml:space="preserve">元（其中不含税价款为 </w:t>
      </w:r>
      <w:r>
        <w:rPr>
          <w:rFonts w:hint="eastAsia" w:ascii="宋体" w:hAnsi="宋体" w:cs="宋体"/>
          <w:b/>
          <w:sz w:val="24"/>
          <w:u w:val="single"/>
        </w:rPr>
        <w:t>¥</w:t>
      </w:r>
      <w:permStart w:id="12" w:edGrp="everyone"/>
      <w:r>
        <w:rPr>
          <w:rFonts w:hint="eastAsia" w:ascii="宋体" w:hAnsi="宋体" w:cs="宋体"/>
          <w:b/>
          <w:sz w:val="24"/>
          <w:u w:val="single"/>
        </w:rPr>
        <w:t xml:space="preserve"> </w:t>
      </w:r>
      <w:r>
        <w:rPr>
          <w:rFonts w:ascii="宋体" w:hAnsi="宋体" w:cs="宋体"/>
          <w:b/>
          <w:sz w:val="24"/>
          <w:u w:val="single"/>
        </w:rPr>
        <w:t xml:space="preserve">        </w:t>
      </w:r>
      <w:permEnd w:id="12"/>
      <w:r>
        <w:rPr>
          <w:rFonts w:hint="eastAsia" w:ascii="宋体" w:hAnsi="宋体" w:cs="宋体"/>
          <w:bCs/>
          <w:sz w:val="24"/>
        </w:rPr>
        <w:t>元，6%增值税为</w:t>
      </w:r>
      <w:r>
        <w:rPr>
          <w:rFonts w:hint="eastAsia" w:ascii="宋体" w:hAnsi="宋体" w:cs="宋体"/>
          <w:b/>
          <w:sz w:val="24"/>
          <w:u w:val="single"/>
        </w:rPr>
        <w:t>¥</w:t>
      </w:r>
      <w:permStart w:id="13" w:edGrp="everyone"/>
      <w:r>
        <w:rPr>
          <w:rFonts w:ascii="宋体" w:hAnsi="宋体" w:cs="宋体"/>
          <w:b/>
          <w:sz w:val="24"/>
          <w:u w:val="single"/>
        </w:rPr>
        <w:t xml:space="preserve">        </w:t>
      </w:r>
      <w:r>
        <w:rPr>
          <w:rFonts w:hint="eastAsia" w:ascii="宋体" w:hAnsi="宋体" w:cs="宋体"/>
          <w:b/>
          <w:sz w:val="24"/>
          <w:u w:val="single"/>
        </w:rPr>
        <w:t xml:space="preserve"> </w:t>
      </w:r>
      <w:permEnd w:id="13"/>
      <w:r>
        <w:rPr>
          <w:rFonts w:hint="eastAsia" w:ascii="宋体" w:hAnsi="宋体" w:cs="宋体"/>
          <w:bCs/>
          <w:sz w:val="24"/>
        </w:rPr>
        <w:t>元），最终结算的监理费以委托人或其授权委托的第三方咨询单位审定为准。</w:t>
      </w:r>
    </w:p>
    <w:p>
      <w:pPr>
        <w:spacing w:line="360" w:lineRule="auto"/>
        <w:ind w:firstLine="482" w:firstLineChars="200"/>
        <w:rPr>
          <w:rFonts w:ascii="宋体" w:hAnsi="宋体" w:cs="宋体"/>
          <w:sz w:val="24"/>
        </w:rPr>
      </w:pPr>
      <w:r>
        <w:rPr>
          <w:rFonts w:hint="eastAsia" w:ascii="宋体" w:hAnsi="宋体" w:cs="宋体"/>
          <w:b/>
          <w:sz w:val="24"/>
        </w:rPr>
        <w:t>三、</w:t>
      </w:r>
      <w:r>
        <w:rPr>
          <w:rFonts w:hint="eastAsia" w:ascii="宋体" w:hAnsi="宋体" w:cs="宋体"/>
          <w:sz w:val="24"/>
        </w:rPr>
        <w:t>本协议书中的有关词语含义与本合同《专用条款》、《标准条款》中赋予它们的定义相同。</w:t>
      </w:r>
    </w:p>
    <w:p>
      <w:pPr>
        <w:spacing w:line="360" w:lineRule="auto"/>
        <w:ind w:firstLine="480" w:firstLineChars="200"/>
        <w:rPr>
          <w:rFonts w:ascii="宋体" w:hAnsi="宋体" w:cs="宋体"/>
          <w:bCs/>
          <w:sz w:val="24"/>
        </w:rPr>
      </w:pPr>
      <w:r>
        <w:rPr>
          <w:rFonts w:hint="eastAsia" w:ascii="宋体" w:hAnsi="宋体" w:cs="宋体"/>
          <w:sz w:val="24"/>
        </w:rPr>
        <w:t>四、</w:t>
      </w:r>
      <w:r>
        <w:rPr>
          <w:rFonts w:hint="eastAsia" w:ascii="宋体" w:hAnsi="宋体" w:cs="宋体"/>
          <w:bCs/>
          <w:sz w:val="24"/>
        </w:rPr>
        <w:t>下列文件应被认为是组成本合同的一部分，并互为补充和解释，如各文件存在冲突之处，以如下排列次序在前者优先适用：</w:t>
      </w:r>
    </w:p>
    <w:p>
      <w:pPr>
        <w:spacing w:line="360" w:lineRule="auto"/>
        <w:ind w:firstLine="480" w:firstLineChars="200"/>
        <w:rPr>
          <w:rFonts w:ascii="宋体" w:hAnsi="宋体" w:cs="宋体"/>
          <w:bCs/>
          <w:sz w:val="24"/>
        </w:rPr>
      </w:pPr>
      <w:r>
        <w:rPr>
          <w:rFonts w:hint="eastAsia" w:ascii="宋体" w:hAnsi="宋体" w:cs="宋体"/>
          <w:bCs/>
          <w:sz w:val="24"/>
        </w:rPr>
        <w:t>（1）本合同履行期间委托人与监理人双方签订的补充合同（协议）或修正文件；</w:t>
      </w:r>
    </w:p>
    <w:p>
      <w:pPr>
        <w:spacing w:line="360" w:lineRule="auto"/>
        <w:ind w:firstLine="480" w:firstLineChars="200"/>
        <w:rPr>
          <w:rFonts w:ascii="宋体" w:hAnsi="宋体" w:cs="宋体"/>
          <w:bCs/>
          <w:sz w:val="24"/>
        </w:rPr>
      </w:pPr>
      <w:r>
        <w:rPr>
          <w:rFonts w:hint="eastAsia" w:ascii="宋体" w:hAnsi="宋体" w:cs="宋体"/>
          <w:bCs/>
          <w:sz w:val="24"/>
        </w:rPr>
        <w:t>（2）国家和广东省、广州市、开发区、黄埔区关于</w:t>
      </w:r>
      <w:r>
        <w:rPr>
          <w:rFonts w:hint="eastAsia" w:ascii="宋体" w:hAnsi="宋体" w:cs="宋体"/>
          <w:sz w:val="24"/>
        </w:rPr>
        <w:t>本</w:t>
      </w:r>
      <w:r>
        <w:rPr>
          <w:rFonts w:hint="eastAsia" w:ascii="宋体" w:hAnsi="宋体" w:cs="宋体"/>
          <w:kern w:val="0"/>
          <w:sz w:val="24"/>
        </w:rPr>
        <w:t>工程</w:t>
      </w:r>
      <w:r>
        <w:rPr>
          <w:rFonts w:hint="eastAsia" w:ascii="宋体" w:hAnsi="宋体" w:cs="宋体"/>
          <w:bCs/>
          <w:sz w:val="24"/>
        </w:rPr>
        <w:t>的有关文件；</w:t>
      </w:r>
    </w:p>
    <w:p>
      <w:pPr>
        <w:spacing w:line="360" w:lineRule="auto"/>
        <w:ind w:firstLine="480" w:firstLineChars="200"/>
        <w:rPr>
          <w:rFonts w:ascii="宋体" w:hAnsi="宋体" w:cs="宋体"/>
          <w:sz w:val="24"/>
        </w:rPr>
      </w:pPr>
      <w:r>
        <w:rPr>
          <w:rFonts w:hint="eastAsia" w:ascii="宋体" w:hAnsi="宋体" w:cs="宋体"/>
          <w:sz w:val="24"/>
        </w:rPr>
        <w:t>（3）本协议书；</w:t>
      </w:r>
    </w:p>
    <w:p>
      <w:pPr>
        <w:spacing w:line="360" w:lineRule="auto"/>
        <w:ind w:firstLine="480" w:firstLineChars="200"/>
        <w:rPr>
          <w:rFonts w:ascii="宋体" w:hAnsi="宋体" w:cs="宋体"/>
          <w:sz w:val="24"/>
        </w:rPr>
      </w:pPr>
      <w:r>
        <w:rPr>
          <w:rFonts w:hint="eastAsia" w:ascii="宋体" w:hAnsi="宋体" w:cs="宋体"/>
          <w:sz w:val="24"/>
        </w:rPr>
        <w:t>（4）中标通知书（或委托书）；</w:t>
      </w:r>
    </w:p>
    <w:p>
      <w:pPr>
        <w:spacing w:line="360" w:lineRule="auto"/>
        <w:ind w:firstLine="480" w:firstLineChars="200"/>
        <w:rPr>
          <w:rFonts w:ascii="宋体" w:hAnsi="宋体" w:cs="宋体"/>
          <w:sz w:val="24"/>
        </w:rPr>
      </w:pPr>
      <w:r>
        <w:rPr>
          <w:rFonts w:hint="eastAsia" w:ascii="宋体" w:hAnsi="宋体" w:cs="宋体"/>
          <w:sz w:val="24"/>
        </w:rPr>
        <w:t>（5）本合同专用条款；</w:t>
      </w:r>
    </w:p>
    <w:p>
      <w:pPr>
        <w:spacing w:line="360" w:lineRule="auto"/>
        <w:ind w:firstLine="480" w:firstLineChars="200"/>
        <w:rPr>
          <w:rFonts w:ascii="宋体" w:hAnsi="宋体" w:cs="宋体"/>
          <w:sz w:val="24"/>
        </w:rPr>
      </w:pPr>
      <w:r>
        <w:rPr>
          <w:rFonts w:hint="eastAsia" w:ascii="宋体" w:hAnsi="宋体" w:cs="宋体"/>
          <w:sz w:val="24"/>
        </w:rPr>
        <w:t>（6）本合同附件；</w:t>
      </w:r>
    </w:p>
    <w:p>
      <w:pPr>
        <w:spacing w:line="360" w:lineRule="auto"/>
        <w:ind w:firstLine="480" w:firstLineChars="200"/>
        <w:rPr>
          <w:rFonts w:ascii="宋体" w:hAnsi="宋体" w:cs="宋体"/>
          <w:sz w:val="24"/>
        </w:rPr>
      </w:pPr>
      <w:r>
        <w:rPr>
          <w:rFonts w:hint="eastAsia" w:ascii="宋体" w:hAnsi="宋体" w:cs="宋体"/>
          <w:sz w:val="24"/>
        </w:rPr>
        <w:t>（7）本合同标准条款；</w:t>
      </w:r>
    </w:p>
    <w:p>
      <w:pPr>
        <w:spacing w:line="360" w:lineRule="auto"/>
        <w:ind w:firstLine="480" w:firstLineChars="200"/>
        <w:rPr>
          <w:rFonts w:ascii="宋体" w:hAnsi="宋体" w:cs="宋体"/>
          <w:sz w:val="24"/>
        </w:rPr>
      </w:pPr>
      <w:r>
        <w:rPr>
          <w:rFonts w:hint="eastAsia" w:ascii="宋体" w:hAnsi="宋体" w:cs="宋体"/>
          <w:sz w:val="24"/>
        </w:rPr>
        <w:t>（8）本合同工程监理招标文件</w:t>
      </w:r>
      <w:r>
        <w:rPr>
          <w:rFonts w:hint="eastAsia" w:ascii="宋体" w:hAnsi="宋体" w:cs="宋体"/>
          <w:bCs/>
          <w:sz w:val="24"/>
        </w:rPr>
        <w:t>（含招标文件补充文件、澄清文件、答疑文件等，属本条第（3）、（5）、（6）、（7）项内容的除外）</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（9）本合同工程监理投标文件</w:t>
      </w:r>
      <w:r>
        <w:rPr>
          <w:rFonts w:hint="eastAsia" w:ascii="宋体" w:hAnsi="宋体" w:cs="宋体"/>
          <w:bCs/>
          <w:sz w:val="24"/>
        </w:rPr>
        <w:t>（含投标文件澄清等，属本条前述各项内容的除外）；</w:t>
      </w:r>
    </w:p>
    <w:p>
      <w:pPr>
        <w:spacing w:line="360" w:lineRule="auto"/>
        <w:ind w:firstLine="480" w:firstLineChars="200"/>
        <w:rPr>
          <w:rFonts w:ascii="宋体" w:hAnsi="宋体" w:cs="宋体"/>
          <w:sz w:val="24"/>
        </w:rPr>
      </w:pPr>
      <w:r>
        <w:rPr>
          <w:rFonts w:hint="eastAsia" w:ascii="宋体" w:hAnsi="宋体" w:cs="宋体"/>
          <w:sz w:val="24"/>
        </w:rPr>
        <w:t>（10）委托人关于工程管理的各项制度、规定；</w:t>
      </w:r>
    </w:p>
    <w:p>
      <w:pPr>
        <w:spacing w:line="360" w:lineRule="auto"/>
        <w:ind w:firstLine="480" w:firstLineChars="200"/>
        <w:rPr>
          <w:rFonts w:ascii="宋体" w:hAnsi="宋体" w:cs="宋体"/>
          <w:sz w:val="24"/>
        </w:rPr>
      </w:pPr>
      <w:r>
        <w:rPr>
          <w:rFonts w:hint="eastAsia" w:ascii="宋体" w:hAnsi="宋体" w:cs="宋体"/>
          <w:sz w:val="24"/>
        </w:rPr>
        <w:t>（11）组成本合同的其他文件。</w:t>
      </w:r>
    </w:p>
    <w:p>
      <w:pPr>
        <w:spacing w:line="360" w:lineRule="auto"/>
        <w:ind w:firstLine="480" w:firstLineChars="200"/>
        <w:rPr>
          <w:rFonts w:ascii="宋体" w:hAnsi="宋体" w:cs="宋体"/>
          <w:sz w:val="24"/>
        </w:rPr>
      </w:pPr>
      <w:r>
        <w:rPr>
          <w:rFonts w:hint="eastAsia" w:ascii="宋体" w:hAnsi="宋体" w:cs="宋体"/>
          <w:sz w:val="24"/>
        </w:rPr>
        <w:t>通过上述顺序解释仍无法明确的事项，由委托人与监理人协商解决；如协商不成，由委托人按照公平合理和有利于本合同工程建设的原则作出决定，监理人应无条件执行。</w:t>
      </w:r>
    </w:p>
    <w:p>
      <w:pPr>
        <w:spacing w:line="360" w:lineRule="auto"/>
        <w:ind w:firstLine="480" w:firstLineChars="200"/>
        <w:rPr>
          <w:rFonts w:cs="宋体"/>
          <w:sz w:val="24"/>
        </w:rPr>
      </w:pPr>
      <w:r>
        <w:rPr>
          <w:rFonts w:hint="eastAsia" w:ascii="宋体" w:hAnsi="宋体" w:cs="宋体"/>
          <w:sz w:val="24"/>
        </w:rPr>
        <w:t>五、本合同自委托人、监理人双方法定代表人（或其授权代理人）签字并盖章之日起生效，至本合同工程质量保修期满且本合同工程竣工结算经委托人或其授权委托的第三方咨询单位审定满</w:t>
      </w:r>
      <w:r>
        <w:rPr>
          <w:rFonts w:ascii="宋体" w:hAnsi="宋体" w:cs="宋体"/>
          <w:sz w:val="24"/>
        </w:rPr>
        <w:t>60日并且双方的责任、义务履行完毕时终止。合同附件为本合同有效组成部分，与本合同具有同等法律效力。</w:t>
      </w:r>
    </w:p>
    <w:p>
      <w:pPr>
        <w:spacing w:line="360" w:lineRule="auto"/>
        <w:ind w:firstLine="480" w:firstLineChars="200"/>
        <w:rPr>
          <w:rFonts w:ascii="宋体" w:hAnsi="宋体" w:cs="宋体"/>
          <w:sz w:val="24"/>
        </w:rPr>
      </w:pPr>
      <w:r>
        <w:rPr>
          <w:rFonts w:hint="eastAsia" w:ascii="宋体" w:hAnsi="宋体" w:cs="宋体"/>
          <w:sz w:val="24"/>
        </w:rPr>
        <w:t>六、本合同一式七份：其中正本二份，委托人、监理人各执一份；副本五份，委托人执四份，监理人执一份。本合同正、副本具有同等效力，但当本合同正本与副本的表述不一致时，以本合同正本为准。</w:t>
      </w:r>
    </w:p>
    <w:p>
      <w:pPr>
        <w:spacing w:line="360" w:lineRule="auto"/>
        <w:ind w:firstLine="480" w:firstLineChars="200"/>
        <w:rPr>
          <w:rFonts w:ascii="宋体" w:hAnsi="宋体" w:cs="宋体"/>
          <w:sz w:val="24"/>
        </w:rPr>
      </w:pPr>
      <w:r>
        <w:rPr>
          <w:rFonts w:hint="eastAsia" w:ascii="宋体" w:hAnsi="宋体" w:cs="宋体"/>
          <w:sz w:val="24"/>
        </w:rPr>
        <w:t>本合同工程总监理工程师姓名：</w:t>
      </w:r>
      <w:permStart w:id="14" w:edGrp="everyone"/>
      <w:r>
        <w:rPr>
          <w:rFonts w:ascii="宋体" w:hAnsi="宋体" w:cs="宋体"/>
          <w:sz w:val="24"/>
          <w:u w:val="single"/>
        </w:rPr>
        <w:t xml:space="preserve">           </w:t>
      </w:r>
      <w:permEnd w:id="14"/>
      <w:r>
        <w:rPr>
          <w:rFonts w:hint="eastAsia" w:ascii="宋体" w:hAnsi="宋体" w:cs="宋体"/>
          <w:sz w:val="24"/>
        </w:rPr>
        <w:t>。 职务（职称）：</w:t>
      </w:r>
      <w:permStart w:id="15" w:edGrp="everyone"/>
      <w:r>
        <w:rPr>
          <w:rFonts w:ascii="宋体" w:hAnsi="宋体" w:cs="宋体"/>
          <w:sz w:val="24"/>
          <w:u w:val="single"/>
        </w:rPr>
        <w:t xml:space="preserve">          </w:t>
      </w:r>
      <w:permEnd w:id="15"/>
      <w:r>
        <w:rPr>
          <w:rFonts w:hint="eastAsia" w:ascii="宋体" w:hAnsi="宋体" w:cs="宋体"/>
          <w:sz w:val="24"/>
        </w:rPr>
        <w:t>。</w:t>
      </w:r>
    </w:p>
    <w:p>
      <w:pPr>
        <w:spacing w:line="360" w:lineRule="auto"/>
        <w:ind w:firstLine="200"/>
        <w:rPr>
          <w:rFonts w:ascii="宋体" w:hAnsi="宋体"/>
          <w:sz w:val="24"/>
        </w:rPr>
      </w:pPr>
    </w:p>
    <w:p>
      <w:pPr>
        <w:adjustRightInd w:val="0"/>
        <w:snapToGrid w:val="0"/>
        <w:spacing w:line="360" w:lineRule="auto"/>
        <w:ind w:right="11"/>
        <w:jc w:val="left"/>
        <w:rPr>
          <w:rFonts w:hint="eastAsia" w:ascii="宋体" w:hAnsi="宋体" w:eastAsia="宋体"/>
          <w:sz w:val="24"/>
          <w:lang w:eastAsia="zh-CN"/>
        </w:rPr>
      </w:pPr>
      <w:r>
        <w:rPr>
          <w:rFonts w:hint="eastAsia" w:ascii="宋体" w:hAnsi="宋体"/>
          <w:sz w:val="24"/>
        </w:rPr>
        <w:t>委托人：                               监理人：</w:t>
      </w:r>
    </w:p>
    <w:p>
      <w:pPr>
        <w:adjustRightInd w:val="0"/>
        <w:snapToGrid w:val="0"/>
        <w:spacing w:line="360" w:lineRule="auto"/>
        <w:ind w:right="11"/>
        <w:rPr>
          <w:rFonts w:ascii="宋体" w:hAnsi="宋体"/>
          <w:sz w:val="24"/>
        </w:rPr>
      </w:pPr>
      <w:r>
        <w:rPr>
          <w:rFonts w:hint="eastAsia" w:ascii="宋体" w:hAnsi="宋体"/>
          <w:sz w:val="24"/>
        </w:rPr>
        <w:t>法定代表人：                           法定代表人：</w:t>
      </w:r>
    </w:p>
    <w:p>
      <w:pPr>
        <w:tabs>
          <w:tab w:val="left" w:pos="5460"/>
        </w:tabs>
        <w:adjustRightInd w:val="0"/>
        <w:snapToGrid w:val="0"/>
        <w:spacing w:line="360" w:lineRule="auto"/>
        <w:ind w:left="-2" w:leftChars="-1" w:right="11"/>
        <w:rPr>
          <w:rFonts w:ascii="宋体" w:hAnsi="宋体"/>
          <w:sz w:val="24"/>
        </w:rPr>
      </w:pPr>
      <w:r>
        <w:rPr>
          <w:rFonts w:hint="eastAsia" w:ascii="宋体" w:hAnsi="宋体"/>
          <w:sz w:val="24"/>
        </w:rPr>
        <w:t>或委托代理人：                         或委托代理人：</w:t>
      </w:r>
    </w:p>
    <w:p>
      <w:pPr>
        <w:adjustRightInd w:val="0"/>
        <w:snapToGrid w:val="0"/>
        <w:spacing w:line="360" w:lineRule="auto"/>
        <w:ind w:left="4838" w:right="11" w:hanging="4838" w:hangingChars="2016"/>
        <w:rPr>
          <w:rFonts w:hint="eastAsia" w:ascii="宋体" w:hAnsi="宋体" w:eastAsia="宋体"/>
          <w:sz w:val="24"/>
          <w:lang w:eastAsia="zh-CN"/>
        </w:rPr>
      </w:pPr>
      <w:r>
        <w:rPr>
          <w:rFonts w:hint="eastAsia" w:ascii="宋体" w:hAnsi="宋体"/>
          <w:sz w:val="24"/>
        </w:rPr>
        <w:t>住所：                                住所：</w:t>
      </w:r>
      <w:permStart w:id="16" w:edGrp="everyone"/>
      <w:r>
        <w:rPr>
          <w:rFonts w:hint="eastAsia" w:ascii="宋体" w:hAnsi="宋体"/>
          <w:sz w:val="24"/>
          <w:lang w:eastAsia="zh-CN"/>
        </w:rPr>
        <w:t xml:space="preserve"> </w:t>
      </w:r>
      <w:permEnd w:id="16"/>
    </w:p>
    <w:p>
      <w:pPr>
        <w:adjustRightInd w:val="0"/>
        <w:snapToGrid w:val="0"/>
        <w:spacing w:line="360" w:lineRule="auto"/>
        <w:ind w:right="11"/>
        <w:rPr>
          <w:rFonts w:hint="eastAsia" w:ascii="宋体" w:hAnsi="宋体" w:eastAsia="宋体"/>
          <w:sz w:val="24"/>
          <w:lang w:eastAsia="zh-CN"/>
        </w:rPr>
      </w:pPr>
      <w:r>
        <w:rPr>
          <w:rFonts w:hint="eastAsia" w:ascii="宋体" w:hAnsi="宋体"/>
          <w:sz w:val="24"/>
        </w:rPr>
        <w:t>电话：                                 电话：</w:t>
      </w:r>
      <w:r>
        <w:rPr>
          <w:rFonts w:hint="eastAsia" w:ascii="宋体" w:hAnsi="宋体"/>
          <w:sz w:val="24"/>
          <w:lang w:eastAsia="zh-CN"/>
        </w:rPr>
        <w:t xml:space="preserve">  </w:t>
      </w:r>
    </w:p>
    <w:p>
      <w:pPr>
        <w:adjustRightInd w:val="0"/>
        <w:snapToGrid w:val="0"/>
        <w:spacing w:line="360" w:lineRule="auto"/>
        <w:ind w:right="11"/>
        <w:rPr>
          <w:szCs w:val="20"/>
        </w:rPr>
      </w:pPr>
      <w:r>
        <w:rPr>
          <w:rFonts w:hint="eastAsia" w:ascii="宋体" w:hAnsi="宋体"/>
          <w:sz w:val="24"/>
        </w:rPr>
        <w:t>传真：                                 传真：</w:t>
      </w:r>
      <w:r>
        <w:rPr>
          <w:rFonts w:hint="eastAsia" w:ascii="宋体" w:hAnsi="宋体"/>
          <w:sz w:val="24"/>
          <w:lang w:eastAsia="zh-CN"/>
        </w:rPr>
        <w:t xml:space="preserve">   </w:t>
      </w:r>
      <w:r>
        <w:rPr>
          <w:rFonts w:hint="eastAsia" w:ascii="宋体" w:hAnsi="宋体"/>
          <w:sz w:val="24"/>
        </w:rPr>
        <w:t xml:space="preserve"> </w:t>
      </w:r>
      <w:r>
        <w:br w:type="page"/>
      </w:r>
    </w:p>
    <w:p>
      <w:pPr>
        <w:pStyle w:val="7"/>
      </w:pPr>
    </w:p>
    <w:p>
      <w:pPr>
        <w:pStyle w:val="3"/>
        <w:spacing w:before="0" w:line="360" w:lineRule="auto"/>
        <w:rPr>
          <w:rFonts w:ascii="宋体" w:hAnsi="宋体" w:cs="宋体"/>
          <w:sz w:val="32"/>
        </w:rPr>
      </w:pPr>
      <w:r>
        <w:rPr>
          <w:rFonts w:hint="eastAsia" w:ascii="宋体" w:hAnsi="宋体" w:cs="宋体"/>
          <w:sz w:val="32"/>
        </w:rPr>
        <w:t>第二章  标准条款</w:t>
      </w:r>
    </w:p>
    <w:p>
      <w:pPr>
        <w:adjustRightInd w:val="0"/>
        <w:snapToGrid w:val="0"/>
        <w:spacing w:after="120" w:afterLines="50" w:line="360" w:lineRule="auto"/>
        <w:jc w:val="center"/>
        <w:outlineLvl w:val="1"/>
        <w:rPr>
          <w:rFonts w:ascii="宋体" w:hAnsi="宋体" w:cs="宋体"/>
          <w:sz w:val="24"/>
        </w:rPr>
      </w:pPr>
      <w:r>
        <w:rPr>
          <w:rFonts w:hint="eastAsia" w:ascii="宋体" w:hAnsi="宋体" w:cs="宋体"/>
          <w:b/>
          <w:bCs/>
          <w:sz w:val="24"/>
        </w:rPr>
        <w:t>词语定义、适用范围和法规</w:t>
      </w:r>
    </w:p>
    <w:p>
      <w:pPr>
        <w:spacing w:line="360" w:lineRule="auto"/>
        <w:ind w:firstLine="482" w:firstLineChars="200"/>
        <w:rPr>
          <w:rFonts w:asciiTheme="minorEastAsia" w:hAnsiTheme="minorEastAsia" w:eastAsiaTheme="minorEastAsia"/>
          <w:sz w:val="24"/>
        </w:rPr>
      </w:pPr>
      <w:r>
        <w:rPr>
          <w:rFonts w:hint="eastAsia" w:ascii="宋体" w:hAnsi="宋体"/>
          <w:b/>
          <w:sz w:val="24"/>
        </w:rPr>
        <w:t>第一条</w:t>
      </w:r>
      <w:r>
        <w:rPr>
          <w:rFonts w:hint="eastAsia" w:asciiTheme="minorEastAsia" w:hAnsiTheme="minorEastAsia" w:eastAsiaTheme="minorEastAsia"/>
          <w:sz w:val="24"/>
        </w:rPr>
        <w:t>　下列名词和用语，除上下文另有规定外，有如下含义：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）“工程”是指委托人委托实施监理的工程。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）“委托人”是指承担直接投资责任和委托监理业务的一方以及其合法继承人。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）“监理人”是指承担监理业务和监理责任的一方以及其合法继承人。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）“监理机构”是指监理人派驻本合同工程现场实施监理业务的组织。</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）“总监理工程师”是指经委托人同意，监理人派到监理机构全面履行本合同的全权负责人。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）“承包人”是指除监理人以外，与委托人就工程建设有关事宜签订合同的当事人。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）“工程监理的正常工作”是指双方在专用条款中约定，委托人委托的监理工作范围和内容。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9</w:t>
      </w:r>
      <w:r>
        <w:rPr>
          <w:rFonts w:hint="eastAsia" w:asciiTheme="minorEastAsia" w:hAnsiTheme="minorEastAsia" w:eastAsiaTheme="minorEastAsia"/>
          <w:sz w:val="24"/>
        </w:rPr>
        <w:t>）“工程监理的额外工作”是指正常工作和附加工作以外的工作，或非监理人自己的原因而暂停或终止监理业务，其善后工作及恢复监理业务的工作。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10</w:t>
      </w:r>
      <w:r>
        <w:rPr>
          <w:rFonts w:hint="eastAsia" w:asciiTheme="minorEastAsia" w:hAnsiTheme="minorEastAsia" w:eastAsiaTheme="minorEastAsia"/>
          <w:sz w:val="24"/>
        </w:rPr>
        <w:t>）“日”是指任何一日零时至第二日零时的时间段。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11</w:t>
      </w:r>
      <w:r>
        <w:rPr>
          <w:rFonts w:hint="eastAsia" w:asciiTheme="minorEastAsia" w:hAnsiTheme="minorEastAsia" w:eastAsiaTheme="minorEastAsia"/>
          <w:sz w:val="24"/>
        </w:rPr>
        <w:t>）“月”是指根据公历从一个月份中任何一日开始到下一个月相应日期的前一日的时间段。</w:t>
      </w:r>
    </w:p>
    <w:p>
      <w:pPr>
        <w:spacing w:line="360" w:lineRule="auto"/>
        <w:ind w:firstLine="482" w:firstLineChars="200"/>
        <w:rPr>
          <w:rFonts w:asciiTheme="minorEastAsia" w:hAnsiTheme="minorEastAsia" w:eastAsiaTheme="minorEastAsia"/>
          <w:sz w:val="24"/>
        </w:rPr>
      </w:pPr>
      <w:r>
        <w:rPr>
          <w:rFonts w:hint="eastAsia" w:ascii="宋体" w:hAnsi="宋体"/>
          <w:b/>
          <w:sz w:val="24"/>
        </w:rPr>
        <w:t>第二条</w:t>
      </w:r>
      <w:r>
        <w:rPr>
          <w:rFonts w:hint="eastAsia" w:asciiTheme="minorEastAsia" w:hAnsiTheme="minorEastAsia" w:eastAsiaTheme="minorEastAsia"/>
          <w:sz w:val="24"/>
        </w:rPr>
        <w:t>　建设工程施工监理合同适用的法律是指国家的法律、行政法规，以及专用条款中议定的部门规章或工程所在地的</w:t>
      </w:r>
      <w:r>
        <w:rPr>
          <w:rFonts w:hint="eastAsia" w:asciiTheme="minorEastAsia" w:hAnsiTheme="minorEastAsia" w:eastAsiaTheme="minorEastAsia"/>
          <w:sz w:val="24"/>
          <w:lang w:eastAsia="zh-CN"/>
        </w:rPr>
        <w:t>地方性法规</w:t>
      </w:r>
      <w:r>
        <w:rPr>
          <w:rFonts w:hint="eastAsia" w:asciiTheme="minorEastAsia" w:hAnsiTheme="minorEastAsia" w:eastAsiaTheme="minorEastAsia"/>
          <w:sz w:val="24"/>
        </w:rPr>
        <w:t>、地方规章。</w:t>
      </w:r>
    </w:p>
    <w:p>
      <w:pPr>
        <w:spacing w:line="360" w:lineRule="auto"/>
        <w:ind w:firstLine="482" w:firstLineChars="200"/>
      </w:pPr>
      <w:r>
        <w:rPr>
          <w:rFonts w:hint="eastAsia" w:ascii="宋体" w:hAnsi="宋体"/>
          <w:b/>
          <w:sz w:val="24"/>
        </w:rPr>
        <w:t>第三条</w:t>
      </w:r>
      <w:r>
        <w:rPr>
          <w:rFonts w:hint="eastAsia" w:asciiTheme="minorEastAsia" w:hAnsiTheme="minorEastAsia" w:eastAsiaTheme="minorEastAsia"/>
          <w:sz w:val="24"/>
        </w:rPr>
        <w:t>　本合同文件使用汉语语言文字书写、解释和说明。如专用条款约定使用两种以上（含两种）语言文字时，汉语应为解释和说明本合同的标准语言文字。</w:t>
      </w:r>
    </w:p>
    <w:p>
      <w:pPr>
        <w:adjustRightInd w:val="0"/>
        <w:snapToGrid w:val="0"/>
        <w:spacing w:after="120" w:afterLines="50" w:line="360" w:lineRule="auto"/>
        <w:jc w:val="center"/>
        <w:rPr>
          <w:rFonts w:ascii="宋体" w:hAnsi="宋体" w:cs="宋体"/>
          <w:b/>
          <w:bCs/>
          <w:sz w:val="24"/>
        </w:rPr>
      </w:pPr>
    </w:p>
    <w:p>
      <w:pPr>
        <w:adjustRightInd w:val="0"/>
        <w:snapToGrid w:val="0"/>
        <w:spacing w:after="120" w:afterLines="50" w:line="360" w:lineRule="auto"/>
        <w:jc w:val="center"/>
        <w:outlineLvl w:val="1"/>
        <w:rPr>
          <w:rFonts w:ascii="宋体" w:hAnsi="宋体" w:cs="宋体"/>
          <w:b/>
          <w:bCs/>
          <w:sz w:val="24"/>
        </w:rPr>
      </w:pPr>
      <w:r>
        <w:rPr>
          <w:rFonts w:hint="eastAsia" w:ascii="宋体" w:hAnsi="宋体" w:cs="宋体"/>
          <w:b/>
          <w:bCs/>
          <w:sz w:val="24"/>
        </w:rPr>
        <w:t>监理人义务</w:t>
      </w:r>
    </w:p>
    <w:p>
      <w:pPr>
        <w:adjustRightInd w:val="0"/>
        <w:spacing w:line="360" w:lineRule="auto"/>
        <w:ind w:firstLine="482" w:firstLineChars="200"/>
        <w:rPr>
          <w:rFonts w:ascii="宋体" w:hAnsi="宋体" w:cs="宋体"/>
          <w:sz w:val="24"/>
        </w:rPr>
      </w:pPr>
      <w:r>
        <w:rPr>
          <w:rFonts w:hint="eastAsia" w:ascii="宋体" w:hAnsi="宋体" w:cs="宋体"/>
          <w:b/>
          <w:bCs/>
          <w:sz w:val="24"/>
        </w:rPr>
        <w:t>第四条</w:t>
      </w:r>
      <w:r>
        <w:rPr>
          <w:rFonts w:hint="eastAsia" w:ascii="宋体" w:hAnsi="宋体" w:cs="宋体"/>
          <w:sz w:val="24"/>
        </w:rPr>
        <w:t>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pPr>
        <w:adjustRightInd w:val="0"/>
        <w:spacing w:line="360" w:lineRule="auto"/>
        <w:ind w:firstLine="482" w:firstLineChars="200"/>
        <w:rPr>
          <w:rFonts w:ascii="宋体" w:hAnsi="宋体" w:cs="宋体"/>
          <w:sz w:val="24"/>
        </w:rPr>
      </w:pPr>
      <w:r>
        <w:rPr>
          <w:rFonts w:hint="eastAsia" w:ascii="宋体" w:hAnsi="宋体" w:cs="宋体"/>
          <w:b/>
          <w:bCs/>
          <w:sz w:val="24"/>
        </w:rPr>
        <w:t>第五条</w:t>
      </w:r>
      <w:r>
        <w:rPr>
          <w:rFonts w:hint="eastAsia" w:ascii="宋体" w:hAnsi="宋体" w:cs="宋体"/>
          <w:sz w:val="24"/>
        </w:rPr>
        <w:t>　监理人在履行本合同的义务期间，应认真、勤奋地工作，为委托人提供与其水平相适应的咨询意见，公正维护各方面的合法权益。</w:t>
      </w:r>
    </w:p>
    <w:p>
      <w:pPr>
        <w:adjustRightInd w:val="0"/>
        <w:spacing w:line="360" w:lineRule="auto"/>
        <w:ind w:firstLine="482" w:firstLineChars="200"/>
        <w:rPr>
          <w:rFonts w:ascii="宋体" w:hAnsi="宋体" w:cs="宋体"/>
          <w:sz w:val="24"/>
        </w:rPr>
      </w:pPr>
      <w:r>
        <w:rPr>
          <w:rFonts w:hint="eastAsia" w:ascii="宋体" w:hAnsi="宋体" w:cs="宋体"/>
          <w:b/>
          <w:bCs/>
          <w:sz w:val="24"/>
        </w:rPr>
        <w:t>第六条</w:t>
      </w:r>
      <w:r>
        <w:rPr>
          <w:rFonts w:hint="eastAsia" w:ascii="宋体" w:hAnsi="宋体" w:cs="宋体"/>
          <w:sz w:val="24"/>
        </w:rPr>
        <w:t>　监理人使用委托人提供的设施和物品属委托人的财产。在监理工作完成或中止时，应将其设施和剩余的物品按合同约定的时间和方式移交给委托人。</w:t>
      </w:r>
    </w:p>
    <w:p>
      <w:pPr>
        <w:adjustRightInd w:val="0"/>
        <w:spacing w:line="360" w:lineRule="auto"/>
        <w:ind w:firstLine="482" w:firstLineChars="200"/>
        <w:rPr>
          <w:rFonts w:ascii="宋体" w:hAnsi="宋体" w:cs="宋体"/>
          <w:b/>
          <w:bCs/>
          <w:sz w:val="24"/>
        </w:rPr>
      </w:pPr>
      <w:r>
        <w:rPr>
          <w:rFonts w:hint="eastAsia" w:ascii="宋体" w:hAnsi="宋体" w:cs="宋体"/>
          <w:b/>
          <w:bCs/>
          <w:sz w:val="24"/>
        </w:rPr>
        <w:t>第七条</w:t>
      </w:r>
      <w:r>
        <w:rPr>
          <w:rFonts w:hint="eastAsia" w:ascii="宋体" w:hAnsi="宋体" w:cs="宋体"/>
          <w:sz w:val="24"/>
        </w:rPr>
        <w:t>　在合同期内或合同终止后，未征得有关方同意，不得泄露与本合同工程、本合同业务有关的保密资料。</w:t>
      </w:r>
    </w:p>
    <w:p>
      <w:pPr>
        <w:adjustRightInd w:val="0"/>
        <w:snapToGrid w:val="0"/>
        <w:spacing w:after="120" w:afterLines="50" w:line="360" w:lineRule="auto"/>
        <w:jc w:val="center"/>
        <w:outlineLvl w:val="1"/>
        <w:rPr>
          <w:rFonts w:ascii="宋体" w:hAnsi="宋体" w:cs="宋体"/>
          <w:b/>
          <w:bCs/>
          <w:sz w:val="24"/>
        </w:rPr>
      </w:pPr>
      <w:r>
        <w:rPr>
          <w:rFonts w:hint="eastAsia" w:ascii="宋体" w:hAnsi="宋体" w:cs="宋体"/>
          <w:b/>
          <w:bCs/>
          <w:sz w:val="24"/>
        </w:rPr>
        <w:t>委托人义务</w:t>
      </w:r>
    </w:p>
    <w:p>
      <w:pPr>
        <w:adjustRightInd w:val="0"/>
        <w:spacing w:line="360" w:lineRule="auto"/>
        <w:ind w:firstLine="482" w:firstLineChars="200"/>
        <w:rPr>
          <w:rFonts w:ascii="宋体" w:hAnsi="宋体" w:cs="宋体"/>
          <w:sz w:val="24"/>
        </w:rPr>
      </w:pPr>
      <w:r>
        <w:rPr>
          <w:rFonts w:hint="eastAsia" w:ascii="宋体" w:hAnsi="宋体" w:cs="宋体"/>
          <w:b/>
          <w:bCs/>
          <w:sz w:val="24"/>
        </w:rPr>
        <w:t>第八条</w:t>
      </w:r>
      <w:r>
        <w:rPr>
          <w:rFonts w:hint="eastAsia" w:ascii="宋体" w:hAnsi="宋体" w:cs="宋体"/>
          <w:sz w:val="24"/>
        </w:rPr>
        <w:t>　委托人在监理人开展监理业务之前应向监理人支付预付款。</w:t>
      </w:r>
    </w:p>
    <w:p>
      <w:pPr>
        <w:adjustRightInd w:val="0"/>
        <w:spacing w:line="360" w:lineRule="auto"/>
        <w:ind w:firstLine="482" w:firstLineChars="200"/>
        <w:rPr>
          <w:rFonts w:ascii="宋体" w:hAnsi="宋体" w:cs="宋体"/>
          <w:sz w:val="24"/>
        </w:rPr>
      </w:pPr>
      <w:r>
        <w:rPr>
          <w:rFonts w:hint="eastAsia" w:ascii="宋体" w:hAnsi="宋体" w:cs="宋体"/>
          <w:b/>
          <w:bCs/>
          <w:sz w:val="24"/>
        </w:rPr>
        <w:t>第九条</w:t>
      </w:r>
      <w:r>
        <w:rPr>
          <w:rFonts w:hint="eastAsia" w:ascii="宋体" w:hAnsi="宋体" w:cs="宋体"/>
          <w:sz w:val="24"/>
        </w:rPr>
        <w:t>　委托人应当负责工程建设的所有外部关系的协调，为监理工作提供外部条件。根据需要，如将部分或全部协调工作委托监理人承担，则应在专用条件中明确委托的工作和相应的报酬。</w:t>
      </w:r>
    </w:p>
    <w:p>
      <w:pPr>
        <w:adjustRightInd w:val="0"/>
        <w:spacing w:line="360" w:lineRule="auto"/>
        <w:ind w:firstLine="482" w:firstLineChars="200"/>
        <w:rPr>
          <w:rFonts w:ascii="宋体" w:hAnsi="宋体" w:cs="宋体"/>
          <w:sz w:val="24"/>
        </w:rPr>
      </w:pPr>
      <w:r>
        <w:rPr>
          <w:rFonts w:hint="eastAsia" w:ascii="宋体" w:hAnsi="宋体" w:cs="宋体"/>
          <w:b/>
          <w:bCs/>
          <w:sz w:val="24"/>
        </w:rPr>
        <w:t>第十条</w:t>
      </w:r>
      <w:r>
        <w:rPr>
          <w:rFonts w:hint="eastAsia" w:ascii="宋体" w:hAnsi="宋体" w:cs="宋体"/>
          <w:sz w:val="24"/>
        </w:rPr>
        <w:t>　委托人应当在双方约定的时间内免费向监理人提供与工程有关的为监理工作所需要的工程资料。</w:t>
      </w:r>
    </w:p>
    <w:p>
      <w:pPr>
        <w:adjustRightInd w:val="0"/>
        <w:spacing w:line="360" w:lineRule="auto"/>
        <w:ind w:firstLine="482" w:firstLineChars="200"/>
        <w:rPr>
          <w:rFonts w:ascii="宋体" w:hAnsi="宋体" w:cs="宋体"/>
          <w:sz w:val="24"/>
        </w:rPr>
      </w:pPr>
      <w:r>
        <w:rPr>
          <w:rFonts w:hint="eastAsia" w:ascii="宋体" w:hAnsi="宋体" w:cs="宋体"/>
          <w:b/>
          <w:bCs/>
          <w:sz w:val="24"/>
        </w:rPr>
        <w:t>第十一条</w:t>
      </w:r>
      <w:r>
        <w:rPr>
          <w:rFonts w:hint="eastAsia" w:ascii="宋体" w:hAnsi="宋体" w:cs="宋体"/>
          <w:sz w:val="24"/>
        </w:rPr>
        <w:t>　委托人应当在专用条款约定的时间内就监理人书面提交并要求</w:t>
      </w:r>
      <w:r>
        <w:rPr>
          <w:rFonts w:hint="eastAsia" w:ascii="宋体" w:hAnsi="宋体" w:cs="宋体"/>
          <w:sz w:val="24"/>
          <w:lang w:eastAsia="zh-CN"/>
        </w:rPr>
        <w:t>作出</w:t>
      </w:r>
      <w:r>
        <w:rPr>
          <w:rFonts w:hint="eastAsia" w:ascii="宋体" w:hAnsi="宋体" w:cs="宋体"/>
          <w:sz w:val="24"/>
        </w:rPr>
        <w:t>决定的一切事宜作出书面决定。</w:t>
      </w:r>
    </w:p>
    <w:p>
      <w:pPr>
        <w:adjustRightInd w:val="0"/>
        <w:spacing w:line="360" w:lineRule="auto"/>
        <w:ind w:firstLine="482" w:firstLineChars="200"/>
        <w:rPr>
          <w:rFonts w:ascii="宋体" w:hAnsi="宋体" w:cs="宋体"/>
          <w:sz w:val="24"/>
        </w:rPr>
      </w:pPr>
      <w:r>
        <w:rPr>
          <w:rFonts w:hint="eastAsia" w:ascii="宋体" w:hAnsi="宋体" w:cs="宋体"/>
          <w:b/>
          <w:bCs/>
          <w:sz w:val="24"/>
        </w:rPr>
        <w:t>第十二条</w:t>
      </w:r>
      <w:r>
        <w:rPr>
          <w:rFonts w:hint="eastAsia" w:ascii="宋体" w:hAnsi="宋体" w:cs="宋体"/>
          <w:sz w:val="24"/>
        </w:rPr>
        <w:t>　委托人应当授权一名熟悉工程情况、能在规定时间内</w:t>
      </w:r>
      <w:r>
        <w:rPr>
          <w:rFonts w:hint="eastAsia" w:ascii="宋体" w:hAnsi="宋体" w:cs="宋体"/>
          <w:sz w:val="24"/>
          <w:lang w:eastAsia="zh-CN"/>
        </w:rPr>
        <w:t>作出</w:t>
      </w:r>
      <w:r>
        <w:rPr>
          <w:rFonts w:hint="eastAsia" w:ascii="宋体" w:hAnsi="宋体" w:cs="宋体"/>
          <w:sz w:val="24"/>
        </w:rPr>
        <w:t>决定的常驻代表（在专用条款中约定），负责与监理人联系。更换常驻代表，要提前通知监理人。</w:t>
      </w:r>
    </w:p>
    <w:p>
      <w:pPr>
        <w:adjustRightInd w:val="0"/>
        <w:spacing w:line="360" w:lineRule="auto"/>
        <w:ind w:firstLine="482" w:firstLineChars="200"/>
        <w:rPr>
          <w:rFonts w:ascii="宋体" w:hAnsi="宋体" w:cs="宋体"/>
          <w:sz w:val="24"/>
        </w:rPr>
      </w:pPr>
      <w:r>
        <w:rPr>
          <w:rFonts w:hint="eastAsia" w:ascii="宋体" w:hAnsi="宋体" w:cs="宋体"/>
          <w:b/>
          <w:bCs/>
          <w:sz w:val="24"/>
        </w:rPr>
        <w:t>第十三条</w:t>
      </w:r>
      <w:r>
        <w:rPr>
          <w:rFonts w:hint="eastAsia" w:ascii="宋体" w:hAnsi="宋体" w:cs="宋体"/>
          <w:sz w:val="24"/>
        </w:rPr>
        <w:t>　委托人应当将授予监理人的监理权利，以及监理人主要成员的职能分工、监理权限及时书面通知已选定的承包合同的承包人，并在与第三人签订的合同中予以明确。</w:t>
      </w:r>
    </w:p>
    <w:p>
      <w:pPr>
        <w:adjustRightInd w:val="0"/>
        <w:spacing w:after="120" w:afterLines="50" w:line="360" w:lineRule="auto"/>
        <w:ind w:firstLine="482" w:firstLineChars="200"/>
        <w:rPr>
          <w:rFonts w:ascii="宋体" w:hAnsi="宋体" w:cs="宋体"/>
          <w:sz w:val="24"/>
        </w:rPr>
      </w:pPr>
      <w:r>
        <w:rPr>
          <w:rFonts w:hint="eastAsia" w:ascii="宋体" w:hAnsi="宋体" w:cs="宋体"/>
          <w:b/>
          <w:bCs/>
          <w:sz w:val="24"/>
        </w:rPr>
        <w:t>第十四条</w:t>
      </w:r>
      <w:r>
        <w:rPr>
          <w:rFonts w:hint="eastAsia" w:ascii="宋体" w:hAnsi="宋体" w:cs="宋体"/>
          <w:sz w:val="24"/>
        </w:rPr>
        <w:t>　委托人应在不影响监理人开展监理工作的时间内提供如下资料：</w:t>
      </w:r>
    </w:p>
    <w:p>
      <w:pPr>
        <w:pStyle w:val="10"/>
        <w:adjustRightInd w:val="0"/>
        <w:spacing w:after="0" w:line="360" w:lineRule="auto"/>
        <w:ind w:firstLine="480" w:firstLineChars="200"/>
        <w:rPr>
          <w:rFonts w:ascii="宋体" w:hAnsi="宋体" w:eastAsia="宋体" w:cs="宋体"/>
          <w:sz w:val="24"/>
        </w:rPr>
      </w:pPr>
      <w:r>
        <w:rPr>
          <w:rFonts w:hint="eastAsia" w:ascii="宋体" w:hAnsi="宋体" w:eastAsia="宋体" w:cs="宋体"/>
          <w:sz w:val="24"/>
        </w:rPr>
        <w:t>（1）与本合同工程合作的原材料、构配件、设备等生产厂家名录。</w:t>
      </w:r>
    </w:p>
    <w:p>
      <w:pPr>
        <w:pStyle w:val="10"/>
        <w:adjustRightInd w:val="0"/>
        <w:spacing w:after="0" w:line="360" w:lineRule="auto"/>
        <w:ind w:firstLine="480" w:firstLineChars="200"/>
        <w:rPr>
          <w:rFonts w:ascii="宋体" w:hAnsi="宋体" w:eastAsia="宋体" w:cs="宋体"/>
          <w:sz w:val="24"/>
        </w:rPr>
      </w:pPr>
      <w:r>
        <w:rPr>
          <w:rFonts w:hint="eastAsia" w:ascii="宋体" w:hAnsi="宋体" w:eastAsia="宋体" w:cs="宋体"/>
          <w:sz w:val="24"/>
        </w:rPr>
        <w:t>（2）提供与本合同工程有关的协作单位、配合单位的名录。</w:t>
      </w:r>
    </w:p>
    <w:p>
      <w:pPr>
        <w:pStyle w:val="12"/>
        <w:spacing w:line="360" w:lineRule="auto"/>
        <w:ind w:firstLine="482" w:firstLineChars="200"/>
        <w:rPr>
          <w:rFonts w:eastAsia="宋体" w:cs="宋体"/>
          <w:color w:val="auto"/>
          <w:sz w:val="24"/>
        </w:rPr>
      </w:pPr>
      <w:r>
        <w:rPr>
          <w:rFonts w:hint="eastAsia" w:eastAsia="宋体" w:cs="宋体"/>
          <w:b/>
          <w:bCs/>
          <w:color w:val="auto"/>
          <w:sz w:val="24"/>
        </w:rPr>
        <w:t>第十五条</w:t>
      </w:r>
      <w:r>
        <w:rPr>
          <w:rFonts w:hint="eastAsia" w:eastAsia="宋体" w:cs="宋体"/>
          <w:color w:val="auto"/>
          <w:sz w:val="24"/>
        </w:rPr>
        <w:t>　委托人应免费向监理人提供办公用房、通讯设施、监理人员工地住房及合同专用条款约定的设施，对监理人自备的设施给予合理的经济补偿（补偿金额=设施在工程使用时间占折旧年限的比例X设施原值十管理费）。</w:t>
      </w:r>
    </w:p>
    <w:p>
      <w:pPr>
        <w:adjustRightInd w:val="0"/>
        <w:spacing w:line="360" w:lineRule="auto"/>
        <w:ind w:firstLine="482" w:firstLineChars="200"/>
        <w:rPr>
          <w:rFonts w:ascii="宋体" w:hAnsi="宋体" w:cs="宋体"/>
          <w:b/>
          <w:bCs/>
          <w:sz w:val="24"/>
        </w:rPr>
      </w:pPr>
      <w:r>
        <w:rPr>
          <w:rFonts w:hint="eastAsia" w:ascii="宋体" w:hAnsi="宋体" w:cs="宋体"/>
          <w:b/>
          <w:bCs/>
          <w:sz w:val="24"/>
        </w:rPr>
        <w:t>第十六条</w:t>
      </w:r>
      <w:r>
        <w:rPr>
          <w:rFonts w:hint="eastAsia" w:ascii="宋体" w:hAnsi="宋体" w:cs="宋体"/>
          <w:sz w:val="24"/>
        </w:rPr>
        <w:t xml:space="preserve">　根据情况需要，如果双方约定，由委托人免费向监理人提供其他人员，应在监理合同专用条款中予以明确。  </w:t>
      </w:r>
    </w:p>
    <w:p>
      <w:pPr>
        <w:spacing w:after="120" w:afterLines="50" w:line="360" w:lineRule="auto"/>
        <w:jc w:val="center"/>
        <w:outlineLvl w:val="1"/>
        <w:rPr>
          <w:rFonts w:ascii="宋体" w:hAnsi="宋体" w:cs="宋体"/>
          <w:b/>
          <w:bCs/>
          <w:sz w:val="24"/>
        </w:rPr>
      </w:pPr>
      <w:r>
        <w:rPr>
          <w:rFonts w:hint="eastAsia" w:ascii="宋体" w:hAnsi="宋体" w:cs="宋体"/>
          <w:b/>
          <w:bCs/>
          <w:sz w:val="24"/>
        </w:rPr>
        <w:t>监理人权利</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第十七条</w:t>
      </w:r>
      <w:r>
        <w:rPr>
          <w:rFonts w:hint="eastAsia" w:ascii="宋体" w:hAnsi="宋体" w:cs="宋体"/>
          <w:sz w:val="24"/>
        </w:rPr>
        <w:t>　监理人在委托人委托的工程范围内，享有以下权利：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（1）选择工程总承包人的建议权。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（2）选择工程分包人的认可权。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（3）对工程建设有关事项包括工程规模、设计标准、规划设计、生产工艺设计和使用功能要求，向委托人的建议权。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在24小时内书面报告委托人并要求设计人更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（5）审批工程施工组织设计和技术方案，按照保质量、保工期和降低成本的原则，向承包人提出建议，并向委托人提出书面报告。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（6）主持工程建设有关协作单位的组织协调，重要协调事项应当事先向委托人报告。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（7）征得委托人同意，监理人有权发布开工令、停工令、复工令，但应当事先向委托人报告。如在紧急情况下未能事先报告时，则应在24小时内向委托人做出书面报告。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（9）工程施工进度的检查、监督权，以及工程实际竣工日期提前或超过工程施工合同规定的竣工期限的签认权。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（10）在工程施工合同约定的工程价格范围内，工程款支付的审核和签认权，以及工程结算的复核确认权与否决权。未经总监理工程师签字确认，委托人不支付工程款。</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第十八条</w:t>
      </w:r>
      <w:r>
        <w:rPr>
          <w:rFonts w:hint="eastAsia" w:ascii="宋体" w:hAnsi="宋体" w:cs="宋体"/>
          <w:sz w:val="24"/>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第十九条</w:t>
      </w:r>
      <w:r>
        <w:rPr>
          <w:rFonts w:hint="eastAsia" w:ascii="宋体" w:hAnsi="宋体" w:cs="宋体"/>
          <w:sz w:val="24"/>
        </w:rP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pPr>
        <w:adjustRightInd w:val="0"/>
        <w:snapToGrid w:val="0"/>
        <w:spacing w:after="120" w:afterLines="50" w:line="360" w:lineRule="auto"/>
        <w:jc w:val="center"/>
        <w:outlineLvl w:val="1"/>
        <w:rPr>
          <w:rFonts w:ascii="宋体" w:hAnsi="宋体" w:cs="宋体"/>
          <w:b/>
          <w:bCs/>
          <w:sz w:val="24"/>
        </w:rPr>
      </w:pPr>
      <w:r>
        <w:rPr>
          <w:rFonts w:hint="eastAsia" w:ascii="宋体" w:hAnsi="宋体" w:cs="宋体"/>
          <w:b/>
          <w:bCs/>
          <w:sz w:val="24"/>
        </w:rPr>
        <w:t>委托人权利</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第二十条</w:t>
      </w:r>
      <w:r>
        <w:rPr>
          <w:rFonts w:hint="eastAsia" w:ascii="宋体" w:hAnsi="宋体" w:cs="宋体"/>
          <w:sz w:val="24"/>
        </w:rPr>
        <w:t>　委托人有选定工程总承包人，以及与其订立合同的权利。</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第二十一条</w:t>
      </w:r>
      <w:r>
        <w:rPr>
          <w:rFonts w:hint="eastAsia" w:ascii="宋体" w:hAnsi="宋体" w:cs="宋体"/>
          <w:sz w:val="24"/>
        </w:rPr>
        <w:t>　委托人有对工程规模、设计标准、规划设计、生产工艺设计和设计使用功能要求的认定权，以及对工程设计变更的审批权。</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第二十二条</w:t>
      </w:r>
      <w:r>
        <w:rPr>
          <w:rFonts w:hint="eastAsia" w:ascii="宋体" w:hAnsi="宋体" w:cs="宋体"/>
          <w:sz w:val="24"/>
        </w:rPr>
        <w:t>　监理人调换总监理工程师须事先经委托人同意。</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第二十三条</w:t>
      </w:r>
      <w:r>
        <w:rPr>
          <w:rFonts w:hint="eastAsia" w:ascii="宋体" w:hAnsi="宋体" w:cs="宋体"/>
          <w:sz w:val="24"/>
        </w:rPr>
        <w:t>　委托人有权要求监理人提交监理工作月报及监理业务范围内的专项报告。</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第二十四条</w:t>
      </w:r>
      <w:r>
        <w:rPr>
          <w:rFonts w:hint="eastAsia" w:ascii="宋体" w:hAnsi="宋体" w:cs="宋体"/>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adjustRightInd w:val="0"/>
        <w:snapToGrid w:val="0"/>
        <w:spacing w:after="120" w:afterLines="50" w:line="360" w:lineRule="auto"/>
        <w:jc w:val="center"/>
        <w:outlineLvl w:val="1"/>
        <w:rPr>
          <w:rFonts w:ascii="宋体" w:hAnsi="宋体" w:cs="宋体"/>
          <w:b/>
          <w:bCs/>
          <w:sz w:val="24"/>
        </w:rPr>
      </w:pPr>
      <w:r>
        <w:rPr>
          <w:rFonts w:hint="eastAsia" w:ascii="宋体" w:hAnsi="宋体" w:cs="宋体"/>
          <w:b/>
          <w:bCs/>
          <w:sz w:val="24"/>
        </w:rPr>
        <w:t>监理人责任</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第二十五条</w:t>
      </w:r>
      <w:r>
        <w:rPr>
          <w:rFonts w:hint="eastAsia" w:ascii="宋体" w:hAnsi="宋体" w:cs="宋体"/>
          <w:sz w:val="24"/>
        </w:rPr>
        <w:t>　监理人的责任期即本施工监理合同有效期。在监理过程中，如果因工程建设进度的推迟或延误而超过书面约定的日期，双方应进一步约定相应延长的合同期。</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第二十六条</w:t>
      </w:r>
      <w:r>
        <w:rPr>
          <w:rFonts w:hint="eastAsia" w:ascii="宋体" w:hAnsi="宋体" w:cs="宋体"/>
          <w:sz w:val="24"/>
        </w:rPr>
        <w:t>　监理人在责任期内，应当履行约定的义务，如果因监理人过失而造成了委托人的经济损失，应当向委托人赔偿。累计赔偿总额（除本合同标准条款第二十四条规定以外）不应超过监理报酬总额（除去税金）。如因监理人故意或重大过错而造成委托人经济损失，应当向委托人赔偿所有经济损失（不限于本合同监理报酬总额）。</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第二十七条</w:t>
      </w:r>
      <w:r>
        <w:rPr>
          <w:rFonts w:hint="eastAsia" w:ascii="宋体" w:hAnsi="宋体" w:cs="宋体"/>
          <w:sz w:val="24"/>
        </w:rPr>
        <w:t>　监理人对承包人违反合同规定的质量要求和完工（交图、交货）时限，不承担责任。因不可抗力导致施工监理合同不能全部或部分履行，监理人不承担责任。但对违反本合同标准条款第五条规定引起的与之有关的事宜，向委托人承担赔偿责任。</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第二十八条</w:t>
      </w:r>
      <w:r>
        <w:rPr>
          <w:rFonts w:hint="eastAsia" w:ascii="宋体" w:hAnsi="宋体" w:cs="宋体"/>
          <w:sz w:val="24"/>
        </w:rPr>
        <w:t>　监理人向委托人提出赔偿要求不能成立时，监理人应当补偿由于该索赔所导致委托人的各种费用支出。</w:t>
      </w:r>
    </w:p>
    <w:p>
      <w:pPr>
        <w:adjustRightInd w:val="0"/>
        <w:snapToGrid w:val="0"/>
        <w:spacing w:line="360" w:lineRule="auto"/>
        <w:jc w:val="center"/>
        <w:outlineLvl w:val="1"/>
        <w:rPr>
          <w:rFonts w:ascii="宋体" w:hAnsi="宋体" w:cs="宋体"/>
          <w:b/>
          <w:bCs/>
          <w:sz w:val="24"/>
        </w:rPr>
      </w:pPr>
      <w:r>
        <w:rPr>
          <w:rFonts w:hint="eastAsia" w:ascii="宋体" w:hAnsi="宋体" w:cs="宋体"/>
          <w:b/>
          <w:bCs/>
          <w:sz w:val="24"/>
        </w:rPr>
        <w:t>委托人责任</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第二十九条</w:t>
      </w:r>
      <w:r>
        <w:rPr>
          <w:rFonts w:hint="eastAsia" w:ascii="宋体" w:hAnsi="宋体" w:cs="宋体"/>
          <w:sz w:val="24"/>
        </w:rPr>
        <w:t>　委托人应当履行本合同约定的义务，如有违反则应当承担违约责任，赔偿给监理人造成的经济损失。累计赔偿总额不得超过监理报酬总额（除去税金）。</w:t>
      </w:r>
    </w:p>
    <w:p>
      <w:pPr>
        <w:adjustRightInd w:val="0"/>
        <w:snapToGrid w:val="0"/>
        <w:spacing w:after="120" w:afterLines="50" w:line="360" w:lineRule="auto"/>
        <w:rPr>
          <w:rFonts w:ascii="宋体" w:hAnsi="宋体" w:cs="宋体"/>
          <w:sz w:val="24"/>
        </w:rPr>
      </w:pPr>
      <w:r>
        <w:rPr>
          <w:rFonts w:hint="eastAsia" w:ascii="宋体" w:hAnsi="宋体" w:cs="宋体"/>
          <w:sz w:val="24"/>
        </w:rPr>
        <w:t>　　监理人处理委托业务时，因委托人原因的事由受到损失的，可以向委托人要求补偿损失。累计赔偿总额不得超过监理报酬总额（除去税金）。</w:t>
      </w:r>
    </w:p>
    <w:p>
      <w:pPr>
        <w:adjustRightInd w:val="0"/>
        <w:snapToGrid w:val="0"/>
        <w:spacing w:after="120" w:afterLines="50" w:line="360" w:lineRule="auto"/>
        <w:rPr>
          <w:rFonts w:ascii="宋体" w:hAnsi="宋体" w:cs="宋体"/>
          <w:b/>
          <w:bCs/>
          <w:sz w:val="24"/>
        </w:rPr>
      </w:pPr>
      <w:r>
        <w:rPr>
          <w:rFonts w:hint="eastAsia" w:ascii="宋体" w:hAnsi="宋体" w:cs="宋体"/>
          <w:sz w:val="24"/>
        </w:rPr>
        <w:t>　　</w:t>
      </w:r>
      <w:r>
        <w:rPr>
          <w:rFonts w:hint="eastAsia" w:ascii="宋体" w:hAnsi="宋体" w:cs="宋体"/>
          <w:b/>
          <w:bCs/>
          <w:sz w:val="24"/>
        </w:rPr>
        <w:t>第三十条</w:t>
      </w:r>
      <w:r>
        <w:rPr>
          <w:rFonts w:hint="eastAsia" w:ascii="宋体" w:hAnsi="宋体" w:cs="宋体"/>
          <w:sz w:val="24"/>
        </w:rPr>
        <w:t>　委托人如果向监理人提出赔偿的要求不能成立，则应当补偿由该索赔所引起的监理人的各种合理且必要的费用支出。</w:t>
      </w:r>
    </w:p>
    <w:p>
      <w:pPr>
        <w:adjustRightInd w:val="0"/>
        <w:snapToGrid w:val="0"/>
        <w:spacing w:line="360" w:lineRule="auto"/>
        <w:jc w:val="center"/>
        <w:outlineLvl w:val="1"/>
        <w:rPr>
          <w:rFonts w:ascii="宋体" w:hAnsi="宋体" w:cs="宋体"/>
          <w:b/>
          <w:bCs/>
          <w:sz w:val="24"/>
        </w:rPr>
      </w:pPr>
      <w:r>
        <w:rPr>
          <w:rFonts w:hint="eastAsia" w:ascii="宋体" w:hAnsi="宋体" w:cs="宋体"/>
          <w:b/>
          <w:bCs/>
          <w:sz w:val="24"/>
        </w:rPr>
        <w:t>合同生效、变更与终止</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第三十一条</w:t>
      </w:r>
      <w:r>
        <w:rPr>
          <w:rFonts w:hint="eastAsia" w:ascii="宋体" w:hAnsi="宋体" w:cs="宋体"/>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第三十二条</w:t>
      </w:r>
      <w:r>
        <w:rPr>
          <w:rFonts w:hint="eastAsia" w:ascii="宋体" w:hAnsi="宋体" w:cs="宋体"/>
          <w:sz w:val="24"/>
        </w:rPr>
        <w:t>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第三十三条</w:t>
      </w:r>
      <w:r>
        <w:rPr>
          <w:rFonts w:hint="eastAsia" w:ascii="宋体" w:hAnsi="宋体" w:cs="宋体"/>
          <w:sz w:val="24"/>
        </w:rPr>
        <w:t>　监理人向委托人办理完竣工验收或工程移交手续，承包人和委托人已签订工程保修责任书，监理人收到监理报酬尾款，本合同即终止。保修期间的责任，双方在专用条款中约定。</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第三十四条</w:t>
      </w:r>
      <w:r>
        <w:rPr>
          <w:rFonts w:hint="eastAsia" w:ascii="宋体" w:hAnsi="宋体" w:cs="宋体"/>
          <w:sz w:val="24"/>
        </w:rPr>
        <w:t>　当事人一方要求变更或解除合同时，应当在42日前通知对方，因解除合同使一方遭受损失的，除依法可以免除责任的外，应由责任方负责赔偿。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变更或解除合同的通知或协议必须采取书面形式，协议未达成之前，原合同仍然有效。</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第三十五条</w:t>
      </w:r>
      <w:r>
        <w:rPr>
          <w:rFonts w:hint="eastAsia" w:ascii="宋体" w:hAnsi="宋体" w:cs="宋体"/>
          <w:sz w:val="24"/>
        </w:rPr>
        <w:t>　监理人在应当获得监理报酬之日起30日内仍未收到支付单据，而委托人又未对监理人提出任何书面解释时，或委托人无正当理由致使监理人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第三十六条</w:t>
      </w:r>
      <w:r>
        <w:rPr>
          <w:rFonts w:hint="eastAsia" w:ascii="宋体" w:hAnsi="宋体" w:cs="宋体"/>
          <w:sz w:val="24"/>
        </w:rPr>
        <w:t>　监理人由于非自己的原因而暂停或终止执行监理业务，其善后工作以及恢复执行监理业务的工作，应当视为额外工作，有权得到额外的报酬。</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第三十七条</w:t>
      </w:r>
      <w:r>
        <w:rPr>
          <w:rFonts w:hint="eastAsia" w:ascii="宋体" w:hAnsi="宋体" w:cs="宋体"/>
          <w:sz w:val="24"/>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adjustRightInd w:val="0"/>
        <w:snapToGrid w:val="0"/>
        <w:spacing w:after="120" w:afterLines="50" w:line="360" w:lineRule="auto"/>
        <w:rPr>
          <w:rFonts w:ascii="宋体" w:hAnsi="宋体" w:cs="宋体"/>
          <w:b/>
          <w:bCs/>
          <w:sz w:val="24"/>
        </w:rPr>
      </w:pPr>
      <w:r>
        <w:rPr>
          <w:rFonts w:hint="eastAsia" w:ascii="宋体" w:hAnsi="宋体" w:cs="宋体"/>
          <w:sz w:val="24"/>
        </w:rPr>
        <w:t>　　</w:t>
      </w:r>
      <w:r>
        <w:rPr>
          <w:rFonts w:hint="eastAsia" w:ascii="宋体" w:hAnsi="宋体" w:cs="宋体"/>
          <w:b/>
          <w:bCs/>
          <w:sz w:val="24"/>
        </w:rPr>
        <w:t>第三十八条</w:t>
      </w:r>
      <w:r>
        <w:rPr>
          <w:rFonts w:hint="eastAsia" w:ascii="宋体" w:hAnsi="宋体" w:cs="宋体"/>
          <w:sz w:val="24"/>
        </w:rPr>
        <w:t>　合同协议的终止并不影响各方应有的权利和应当承担的责任。</w:t>
      </w:r>
    </w:p>
    <w:p>
      <w:pPr>
        <w:spacing w:after="120" w:afterLines="50" w:line="360" w:lineRule="auto"/>
        <w:jc w:val="center"/>
        <w:rPr>
          <w:rFonts w:ascii="宋体" w:hAnsi="宋体" w:cs="宋体"/>
          <w:b/>
          <w:bCs/>
          <w:sz w:val="24"/>
        </w:rPr>
      </w:pPr>
    </w:p>
    <w:p>
      <w:pPr>
        <w:widowControl/>
        <w:jc w:val="left"/>
        <w:rPr>
          <w:rFonts w:ascii="宋体" w:hAnsi="宋体" w:cs="宋体"/>
          <w:b/>
          <w:bCs/>
          <w:sz w:val="24"/>
        </w:rPr>
      </w:pPr>
      <w:r>
        <w:rPr>
          <w:rFonts w:ascii="宋体" w:hAnsi="宋体" w:cs="宋体"/>
          <w:b/>
          <w:bCs/>
          <w:sz w:val="24"/>
        </w:rPr>
        <w:br w:type="page"/>
      </w:r>
    </w:p>
    <w:p>
      <w:pPr>
        <w:spacing w:line="360" w:lineRule="auto"/>
        <w:jc w:val="center"/>
        <w:outlineLvl w:val="1"/>
        <w:rPr>
          <w:rFonts w:ascii="宋体" w:hAnsi="宋体" w:cs="宋体"/>
          <w:b/>
          <w:bCs/>
          <w:sz w:val="24"/>
        </w:rPr>
      </w:pPr>
      <w:r>
        <w:rPr>
          <w:rFonts w:hint="eastAsia" w:ascii="宋体" w:hAnsi="宋体" w:cs="宋体"/>
          <w:b/>
          <w:bCs/>
          <w:sz w:val="24"/>
        </w:rPr>
        <w:t>监理报酬</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第三十九条</w:t>
      </w:r>
      <w:r>
        <w:rPr>
          <w:rFonts w:hint="eastAsia" w:ascii="宋体" w:hAnsi="宋体" w:cs="宋体"/>
          <w:sz w:val="24"/>
        </w:rPr>
        <w:t>　正常的监理工作、附加工作和额外工作的报酬，按照监理合同专用条款中第三十九条的方法计算，并按约定的时间和数额支付。</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第四十条</w:t>
      </w:r>
      <w:r>
        <w:rPr>
          <w:rFonts w:hint="eastAsia" w:ascii="宋体" w:hAnsi="宋体" w:cs="宋体"/>
          <w:sz w:val="24"/>
        </w:rPr>
        <w:t>　如果委托人在规定的支付期限内未支付监理报酬，自规定之日起，还应向监理人支付滞纳金。滞纳金从规定支付期限最后一日起计算，每延迟一日按应付未付监理报酬的银行同期贷款利率计算。</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第四十一条</w:t>
      </w:r>
      <w:r>
        <w:rPr>
          <w:rFonts w:hint="eastAsia" w:ascii="宋体" w:hAnsi="宋体" w:cs="宋体"/>
          <w:sz w:val="24"/>
        </w:rPr>
        <w:t>　支付监理报酬所采取的货币币种、汇率由合同专用条款约定。</w:t>
      </w:r>
    </w:p>
    <w:p>
      <w:pPr>
        <w:adjustRightInd w:val="0"/>
        <w:snapToGrid w:val="0"/>
        <w:spacing w:after="120" w:afterLines="50" w:line="360" w:lineRule="auto"/>
        <w:rPr>
          <w:rFonts w:ascii="宋体" w:hAnsi="宋体" w:cs="宋体"/>
          <w:b/>
          <w:bCs/>
          <w:sz w:val="24"/>
        </w:rPr>
      </w:pPr>
      <w:r>
        <w:rPr>
          <w:rFonts w:hint="eastAsia" w:ascii="宋体" w:hAnsi="宋体" w:cs="宋体"/>
          <w:sz w:val="24"/>
        </w:rPr>
        <w:t>　　</w:t>
      </w:r>
      <w:r>
        <w:rPr>
          <w:rFonts w:hint="eastAsia" w:ascii="宋体" w:hAnsi="宋体" w:cs="宋体"/>
          <w:b/>
          <w:bCs/>
          <w:sz w:val="24"/>
        </w:rPr>
        <w:t>第四十二条</w:t>
      </w:r>
      <w:r>
        <w:rPr>
          <w:rFonts w:hint="eastAsia" w:ascii="宋体" w:hAnsi="宋体" w:cs="宋体"/>
          <w:sz w:val="24"/>
        </w:rPr>
        <w:t>　如果委托人对监理人提交的支付通知中报酬或部分报酬项目提出异议，应当在收到支付通知书24小时内向监理人发出表示异议的通知，但委托人不得拖延其他无异议报酬项目的支付。</w:t>
      </w:r>
    </w:p>
    <w:p>
      <w:pPr>
        <w:adjustRightInd w:val="0"/>
        <w:snapToGrid w:val="0"/>
        <w:spacing w:line="360" w:lineRule="auto"/>
        <w:jc w:val="center"/>
        <w:outlineLvl w:val="1"/>
        <w:rPr>
          <w:rFonts w:ascii="宋体" w:hAnsi="宋体" w:cs="宋体"/>
          <w:b/>
          <w:bCs/>
          <w:sz w:val="24"/>
        </w:rPr>
      </w:pPr>
      <w:r>
        <w:rPr>
          <w:rFonts w:hint="eastAsia" w:ascii="宋体" w:hAnsi="宋体" w:cs="宋体"/>
          <w:b/>
          <w:bCs/>
          <w:sz w:val="24"/>
        </w:rPr>
        <w:t>其他</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第四十三条</w:t>
      </w:r>
      <w:r>
        <w:rPr>
          <w:rFonts w:hint="eastAsia" w:ascii="宋体" w:hAnsi="宋体" w:cs="宋体"/>
          <w:sz w:val="24"/>
        </w:rPr>
        <w:t>　委托的建设工程监理所必要的监理人员出外考察、材料设备复试，其费用支出经委托人同意的，在预算范围内向委托人实报实销。</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第四十四条</w:t>
      </w:r>
      <w:r>
        <w:rPr>
          <w:rFonts w:hint="eastAsia" w:ascii="宋体" w:hAnsi="宋体" w:cs="宋体"/>
          <w:sz w:val="24"/>
        </w:rPr>
        <w:t>　在监理业务范围内，如需聘用专家咨询或协助，由监理人聘用的，其费用由监理人承担；由委托人聘用的，其费用由委托人承担。</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第四十五条</w:t>
      </w:r>
      <w:r>
        <w:rPr>
          <w:rFonts w:hint="eastAsia" w:ascii="宋体" w:hAnsi="宋体" w:cs="宋体"/>
          <w:sz w:val="24"/>
        </w:rPr>
        <w:t>　监理人在监理工作过程中提出的合理化建议，使委托人得到了经济效益，委托人应按专用条款中的约定给予经济奖励。</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第四十六条</w:t>
      </w:r>
      <w:r>
        <w:rPr>
          <w:rFonts w:hint="eastAsia" w:ascii="宋体" w:hAnsi="宋体" w:cs="宋体"/>
          <w:sz w:val="24"/>
        </w:rPr>
        <w:t>　监理人驻地项目监理机构及其职员不得接受监理工程项目承包人的任何报酬或者经济利益。</w:t>
      </w:r>
    </w:p>
    <w:p>
      <w:pPr>
        <w:adjustRightInd w:val="0"/>
        <w:snapToGrid w:val="0"/>
        <w:spacing w:after="120" w:afterLines="50" w:line="360" w:lineRule="auto"/>
        <w:rPr>
          <w:rFonts w:ascii="宋体" w:hAnsi="宋体" w:cs="宋体"/>
          <w:sz w:val="24"/>
        </w:rPr>
      </w:pPr>
      <w:r>
        <w:rPr>
          <w:rFonts w:hint="eastAsia" w:ascii="宋体" w:hAnsi="宋体" w:cs="宋体"/>
          <w:sz w:val="24"/>
        </w:rPr>
        <w:t>　　监理人不得参与可能与合同规定的与委托人的利益相冲突的任何活动。</w:t>
      </w:r>
    </w:p>
    <w:p>
      <w:pPr>
        <w:adjustRightInd w:val="0"/>
        <w:snapToGrid w:val="0"/>
        <w:spacing w:after="120" w:afterLines="50"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第四十七条</w:t>
      </w:r>
      <w:r>
        <w:rPr>
          <w:rFonts w:hint="eastAsia" w:ascii="宋体" w:hAnsi="宋体" w:cs="宋体"/>
          <w:sz w:val="24"/>
        </w:rPr>
        <w:t>　监理人在监理过程中，不得泄露委托人申明的秘密，监理人亦不得泄露设计人、承包人等提供并申明的秘密。保密期限至该信息成为公开信息之日止。</w:t>
      </w:r>
    </w:p>
    <w:p>
      <w:pPr>
        <w:adjustRightInd w:val="0"/>
        <w:snapToGrid w:val="0"/>
        <w:spacing w:after="120" w:afterLines="50" w:line="360" w:lineRule="auto"/>
        <w:rPr>
          <w:rFonts w:ascii="宋体" w:hAnsi="宋体" w:cs="宋体"/>
          <w:b/>
          <w:bCs/>
          <w:sz w:val="24"/>
        </w:rPr>
      </w:pPr>
      <w:r>
        <w:rPr>
          <w:rFonts w:hint="eastAsia" w:ascii="宋体" w:hAnsi="宋体" w:cs="宋体"/>
          <w:sz w:val="24"/>
        </w:rPr>
        <w:t>　　</w:t>
      </w:r>
      <w:r>
        <w:rPr>
          <w:rFonts w:hint="eastAsia" w:ascii="宋体" w:hAnsi="宋体" w:cs="宋体"/>
          <w:b/>
          <w:bCs/>
          <w:sz w:val="24"/>
        </w:rPr>
        <w:t>第四十八条</w:t>
      </w:r>
      <w:r>
        <w:rPr>
          <w:rFonts w:hint="eastAsia" w:ascii="宋体" w:hAnsi="宋体" w:cs="宋体"/>
          <w:sz w:val="24"/>
        </w:rPr>
        <w:t>　监理人对于由其编制的所有文件拥有署名权；委托人享有著作权，同时有权为本合同工程使用或复制此类文件。</w:t>
      </w:r>
    </w:p>
    <w:p>
      <w:pPr>
        <w:adjustRightInd w:val="0"/>
        <w:snapToGrid w:val="0"/>
        <w:spacing w:after="120" w:afterLines="50" w:line="360" w:lineRule="auto"/>
        <w:jc w:val="center"/>
        <w:rPr>
          <w:rFonts w:ascii="宋体" w:hAnsi="宋体" w:cs="宋体"/>
          <w:b/>
          <w:bCs/>
          <w:sz w:val="24"/>
        </w:rPr>
      </w:pPr>
    </w:p>
    <w:p>
      <w:pPr>
        <w:widowControl/>
        <w:jc w:val="left"/>
        <w:rPr>
          <w:rFonts w:ascii="宋体" w:hAnsi="宋体" w:cs="宋体"/>
          <w:b/>
          <w:bCs/>
          <w:sz w:val="24"/>
        </w:rPr>
      </w:pPr>
    </w:p>
    <w:p>
      <w:pPr>
        <w:adjustRightInd w:val="0"/>
        <w:snapToGrid w:val="0"/>
        <w:spacing w:line="360" w:lineRule="auto"/>
        <w:jc w:val="center"/>
        <w:outlineLvl w:val="1"/>
        <w:rPr>
          <w:rFonts w:ascii="宋体" w:hAnsi="宋体" w:cs="宋体"/>
          <w:b/>
          <w:bCs/>
          <w:sz w:val="24"/>
        </w:rPr>
      </w:pPr>
      <w:r>
        <w:rPr>
          <w:rFonts w:hint="eastAsia" w:ascii="宋体" w:hAnsi="宋体" w:cs="宋体"/>
          <w:b/>
          <w:bCs/>
          <w:sz w:val="24"/>
        </w:rPr>
        <w:t>争议的解决</w:t>
      </w:r>
    </w:p>
    <w:p>
      <w:pPr>
        <w:spacing w:after="120" w:afterLines="50" w:line="360" w:lineRule="auto"/>
        <w:ind w:firstLine="590" w:firstLineChars="245"/>
        <w:rPr>
          <w:rFonts w:ascii="宋体" w:hAnsi="宋体" w:cs="宋体"/>
          <w:sz w:val="24"/>
        </w:rPr>
      </w:pPr>
      <w:r>
        <w:rPr>
          <w:rFonts w:hint="eastAsia" w:ascii="宋体" w:hAnsi="宋体" w:cs="宋体"/>
          <w:b/>
          <w:bCs/>
          <w:sz w:val="24"/>
        </w:rPr>
        <w:t>第四十九条</w:t>
      </w:r>
      <w:r>
        <w:rPr>
          <w:rFonts w:hint="eastAsia" w:ascii="宋体" w:hAnsi="宋体" w:cs="宋体"/>
          <w:sz w:val="24"/>
        </w:rPr>
        <w:t>　因违反或终止合同而引起的对对方损失和损害的赔偿，双方应当协商解决，如未能达成一致，可提交主管部门协调，如仍未能达成一致时，根据双方约定提交仲裁机关仲裁，或向人民法院起诉。</w:t>
      </w: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pStyle w:val="27"/>
        <w:ind w:firstLine="480"/>
        <w:rPr>
          <w:rFonts w:cs="宋体"/>
          <w:sz w:val="24"/>
        </w:rPr>
      </w:pPr>
    </w:p>
    <w:p>
      <w:pPr>
        <w:widowControl/>
        <w:jc w:val="left"/>
        <w:rPr>
          <w:rFonts w:cs="宋体"/>
          <w:sz w:val="24"/>
        </w:rPr>
      </w:pPr>
      <w:r>
        <w:rPr>
          <w:rFonts w:cs="宋体"/>
          <w:sz w:val="24"/>
        </w:rPr>
        <w:br w:type="page"/>
      </w:r>
    </w:p>
    <w:p>
      <w:pPr>
        <w:pStyle w:val="27"/>
        <w:ind w:firstLine="480"/>
        <w:rPr>
          <w:rFonts w:cs="宋体"/>
          <w:sz w:val="24"/>
        </w:rPr>
      </w:pPr>
    </w:p>
    <w:p>
      <w:pPr>
        <w:pStyle w:val="3"/>
        <w:spacing w:before="0" w:line="360" w:lineRule="auto"/>
        <w:rPr>
          <w:rFonts w:ascii="宋体" w:hAnsi="宋体" w:cs="宋体"/>
          <w:sz w:val="32"/>
        </w:rPr>
      </w:pPr>
      <w:r>
        <w:rPr>
          <w:rFonts w:hint="eastAsia" w:ascii="宋体" w:hAnsi="宋体" w:cs="宋体"/>
          <w:sz w:val="32"/>
        </w:rPr>
        <w:t>第三章  专用条款</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第一条</w:t>
      </w:r>
      <w:r>
        <w:rPr>
          <w:rFonts w:hint="eastAsia" w:ascii="宋体" w:hAnsi="宋体" w:cs="宋体"/>
          <w:sz w:val="24"/>
        </w:rPr>
        <w:t>　</w:t>
      </w:r>
      <w:r>
        <w:rPr>
          <w:rFonts w:hint="eastAsia" w:ascii="宋体" w:hAnsi="宋体" w:cs="宋体"/>
          <w:b/>
          <w:bCs/>
          <w:sz w:val="24"/>
        </w:rPr>
        <w:t>词语定义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（1）“本合同工程”指委托人委托监理人监理的工程。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（2）委托人</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“委托人”在本合同中特指</w:t>
      </w:r>
      <w:permStart w:id="17" w:edGrp="everyone"/>
      <w:r>
        <w:rPr>
          <w:rFonts w:hint="eastAsia" w:ascii="宋体" w:hAnsi="宋体" w:cs="宋体"/>
          <w:sz w:val="24"/>
          <w:lang w:val="en-US" w:eastAsia="zh-CN"/>
        </w:rPr>
        <w:t xml:space="preserve">              </w:t>
      </w:r>
      <w:r>
        <w:rPr>
          <w:rFonts w:hint="eastAsia" w:ascii="宋体" w:hAnsi="宋体" w:cs="宋体"/>
          <w:b/>
          <w:bCs/>
          <w:sz w:val="24"/>
          <w:u w:val="single"/>
        </w:rPr>
        <w:t xml:space="preserve"> </w:t>
      </w:r>
      <w:permEnd w:id="17"/>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合法继承人”指工程竣工验收合格后，委托人依据规定，将工程移交给其承接使用的产权管理单位。在继承生效后，合法继承人享有委托人在本合同中的一切权利及承担相应的义务。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）“总监理工程师代表”指经监理人法定代表人同意，由总监理工程师书面授权，代表总监理工程师行使其部分职责和权力的项目监理机构中的监理工程师。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）“监理规划”指在总监理工程师的主持下编制、经监理人技术负责人批准，用来指导项目监理机构全面开展监理工作的指导性文件。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）“监理实施细则”指根据监理规划，由专业监理工程师编写，并经总监理工程师批准，针对工程项目中某一专业或某一方面监理工作的操作性文件。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）“工地例会”指在工程实施过程中针对工程质量、造价、进度、合同管理等事宜定期召开的，由建设有关单位参加的会议。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）“旁站”指在关键部位或关键工序施工过程中，由监理人员在现场进行的监督活动。</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w:t>
      </w:r>
      <w:r>
        <w:rPr>
          <w:rFonts w:ascii="宋体" w:hAnsi="宋体" w:cs="宋体"/>
          <w:sz w:val="24"/>
        </w:rPr>
        <w:t>8</w:t>
      </w:r>
      <w:r>
        <w:rPr>
          <w:rFonts w:hint="eastAsia" w:ascii="宋体" w:hAnsi="宋体" w:cs="宋体"/>
          <w:sz w:val="24"/>
        </w:rPr>
        <w:t>）“</w:t>
      </w:r>
      <w:r>
        <w:rPr>
          <w:rFonts w:hint="eastAsia" w:ascii="宋体" w:hAnsi="宋体" w:cs="宋体"/>
          <w:bCs/>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9</w:t>
      </w:r>
      <w:r>
        <w:rPr>
          <w:rFonts w:hint="eastAsia" w:ascii="宋体" w:hAnsi="宋体" w:cs="宋体"/>
          <w:bCs/>
          <w:sz w:val="24"/>
        </w:rPr>
        <w:t>）“通知”指合同中所提及的各方之间传达意思表示的方式，包括但不限于申请、报告、同意、答复、批准、指令、证书、决定，等等。除本合同专用条件有特别约定外，只有采用书面形式的通知才有效。</w:t>
      </w:r>
    </w:p>
    <w:p>
      <w:pPr>
        <w:adjustRightInd w:val="0"/>
        <w:snapToGrid w:val="0"/>
        <w:spacing w:line="360" w:lineRule="auto"/>
        <w:ind w:firstLine="198"/>
        <w:outlineLvl w:val="1"/>
        <w:rPr>
          <w:rFonts w:ascii="宋体" w:hAnsi="宋体" w:cs="宋体"/>
          <w:b/>
          <w:sz w:val="24"/>
        </w:rPr>
      </w:pPr>
      <w:r>
        <w:rPr>
          <w:rFonts w:hint="eastAsia" w:ascii="宋体" w:hAnsi="宋体" w:cs="宋体"/>
          <w:b/>
          <w:bCs/>
          <w:sz w:val="24"/>
        </w:rPr>
        <w:t>第二条</w:t>
      </w:r>
      <w:r>
        <w:rPr>
          <w:rFonts w:hint="eastAsia" w:ascii="宋体" w:hAnsi="宋体" w:cs="宋体"/>
          <w:b/>
          <w:sz w:val="24"/>
        </w:rPr>
        <w:t>　本合同适用的法律法规及监理依据</w:t>
      </w:r>
    </w:p>
    <w:p>
      <w:pPr>
        <w:spacing w:line="360" w:lineRule="auto"/>
        <w:ind w:firstLine="480" w:firstLineChars="200"/>
        <w:rPr>
          <w:rFonts w:ascii="宋体" w:hAnsi="宋体" w:cs="宋体"/>
          <w:sz w:val="24"/>
        </w:rPr>
      </w:pPr>
      <w:r>
        <w:rPr>
          <w:rFonts w:hint="eastAsia" w:ascii="宋体" w:hAnsi="宋体" w:cs="宋体"/>
          <w:sz w:val="24"/>
        </w:rPr>
        <w:t>（一）适用法规</w:t>
      </w:r>
    </w:p>
    <w:p>
      <w:pPr>
        <w:spacing w:line="360" w:lineRule="auto"/>
        <w:ind w:firstLine="200"/>
        <w:rPr>
          <w:rFonts w:ascii="宋体" w:hAnsi="宋体" w:cs="宋体"/>
          <w:sz w:val="24"/>
        </w:rPr>
      </w:pPr>
      <w:r>
        <w:rPr>
          <w:rFonts w:hint="eastAsia" w:ascii="宋体" w:hAnsi="宋体" w:cs="宋体"/>
          <w:sz w:val="24"/>
        </w:rPr>
        <w:t>（1）《中华人民共和国民法典》、《中华人民共和国建筑法》等其他相关法律；</w:t>
      </w:r>
    </w:p>
    <w:p>
      <w:pPr>
        <w:spacing w:line="360" w:lineRule="auto"/>
        <w:ind w:firstLine="200"/>
        <w:rPr>
          <w:rFonts w:ascii="宋体" w:hAnsi="宋体" w:cs="宋体"/>
          <w:sz w:val="24"/>
        </w:rPr>
      </w:pPr>
      <w:r>
        <w:rPr>
          <w:rFonts w:hint="eastAsia" w:ascii="宋体" w:hAnsi="宋体" w:cs="宋体"/>
          <w:sz w:val="24"/>
        </w:rPr>
        <w:t>（2）《建设工程质量管理条例》</w:t>
      </w:r>
      <w:r>
        <w:rPr>
          <w:rFonts w:hint="eastAsia" w:ascii="宋体" w:hAnsi="宋体" w:cs="宋体"/>
          <w:sz w:val="24"/>
          <w:lang w:eastAsia="zh-CN"/>
        </w:rPr>
        <w:t>及其他有关</w:t>
      </w:r>
      <w:r>
        <w:rPr>
          <w:rFonts w:hint="eastAsia" w:ascii="宋体" w:hAnsi="宋体" w:cs="宋体"/>
          <w:sz w:val="24"/>
        </w:rPr>
        <w:t>的法规、条例；</w:t>
      </w:r>
    </w:p>
    <w:p>
      <w:pPr>
        <w:spacing w:line="360" w:lineRule="auto"/>
        <w:ind w:firstLine="200"/>
        <w:rPr>
          <w:rFonts w:ascii="宋体" w:hAnsi="宋体" w:cs="宋体"/>
          <w:sz w:val="24"/>
        </w:rPr>
      </w:pPr>
      <w:r>
        <w:rPr>
          <w:rFonts w:hint="eastAsia" w:ascii="宋体" w:hAnsi="宋体" w:cs="宋体"/>
          <w:sz w:val="24"/>
        </w:rPr>
        <w:t>（3）广东省及广州市有关工程建设管理方面的规定和办法。</w:t>
      </w:r>
    </w:p>
    <w:p>
      <w:pPr>
        <w:spacing w:line="360" w:lineRule="auto"/>
        <w:ind w:firstLine="480" w:firstLineChars="200"/>
        <w:rPr>
          <w:rFonts w:ascii="宋体" w:hAnsi="宋体" w:cs="宋体"/>
          <w:sz w:val="24"/>
        </w:rPr>
      </w:pPr>
      <w:r>
        <w:rPr>
          <w:rFonts w:hint="eastAsia" w:ascii="宋体" w:hAnsi="宋体" w:cs="宋体"/>
          <w:sz w:val="24"/>
        </w:rPr>
        <w:t>（二）监理依据</w:t>
      </w:r>
    </w:p>
    <w:p>
      <w:pPr>
        <w:tabs>
          <w:tab w:val="left" w:pos="902"/>
        </w:tabs>
        <w:spacing w:line="360" w:lineRule="auto"/>
        <w:ind w:left="200"/>
        <w:rPr>
          <w:rFonts w:ascii="宋体" w:hAnsi="宋体" w:cs="宋体"/>
          <w:sz w:val="24"/>
        </w:rPr>
      </w:pPr>
      <w:r>
        <w:rPr>
          <w:rFonts w:hint="eastAsia" w:ascii="宋体" w:hAnsi="宋体" w:cs="宋体"/>
          <w:sz w:val="24"/>
        </w:rPr>
        <w:t>（1）本委托监理合同；</w:t>
      </w:r>
    </w:p>
    <w:p>
      <w:pPr>
        <w:tabs>
          <w:tab w:val="left" w:pos="902"/>
        </w:tabs>
        <w:spacing w:line="360" w:lineRule="auto"/>
        <w:ind w:left="200"/>
        <w:rPr>
          <w:rFonts w:ascii="宋体" w:hAnsi="宋体" w:cs="宋体"/>
          <w:sz w:val="24"/>
        </w:rPr>
      </w:pPr>
      <w:r>
        <w:rPr>
          <w:rFonts w:hint="eastAsia" w:ascii="宋体" w:hAnsi="宋体" w:cs="宋体"/>
          <w:sz w:val="24"/>
        </w:rPr>
        <w:t>（2）委托人和承包人签订的合同及补充协议或备忘录;</w:t>
      </w:r>
    </w:p>
    <w:p>
      <w:pPr>
        <w:tabs>
          <w:tab w:val="left" w:pos="902"/>
        </w:tabs>
        <w:spacing w:line="360" w:lineRule="auto"/>
        <w:ind w:left="200"/>
        <w:rPr>
          <w:rFonts w:ascii="宋体" w:hAnsi="宋体" w:cs="宋体"/>
          <w:sz w:val="24"/>
        </w:rPr>
      </w:pPr>
      <w:r>
        <w:rPr>
          <w:rFonts w:hint="eastAsia" w:ascii="宋体" w:hAnsi="宋体" w:cs="宋体"/>
          <w:sz w:val="24"/>
        </w:rPr>
        <w:t>（3）经委托人审查认可的本工程正式的工程地质勘察报告、施工图纸、说明以及会审记录、有关工程洽商的技术、施工洽商记录、设计修改和变更文件；</w:t>
      </w:r>
    </w:p>
    <w:p>
      <w:pPr>
        <w:tabs>
          <w:tab w:val="left" w:pos="902"/>
        </w:tabs>
        <w:spacing w:line="360" w:lineRule="auto"/>
        <w:ind w:left="200"/>
        <w:rPr>
          <w:rFonts w:ascii="宋体" w:hAnsi="宋体" w:cs="宋体"/>
          <w:sz w:val="24"/>
        </w:rPr>
      </w:pPr>
      <w:r>
        <w:rPr>
          <w:rFonts w:hint="eastAsia" w:ascii="宋体" w:hAnsi="宋体" w:cs="宋体"/>
          <w:sz w:val="24"/>
        </w:rPr>
        <w:t>（4）省、市现行的有关工程预结算定额和文件；</w:t>
      </w:r>
    </w:p>
    <w:p>
      <w:pPr>
        <w:tabs>
          <w:tab w:val="left" w:pos="902"/>
        </w:tabs>
        <w:spacing w:line="360" w:lineRule="auto"/>
        <w:ind w:left="200"/>
        <w:rPr>
          <w:rFonts w:ascii="宋体" w:hAnsi="宋体" w:cs="宋体"/>
          <w:sz w:val="24"/>
        </w:rPr>
      </w:pPr>
      <w:r>
        <w:rPr>
          <w:rFonts w:hint="eastAsia" w:ascii="宋体" w:hAnsi="宋体" w:cs="宋体"/>
          <w:sz w:val="24"/>
        </w:rPr>
        <w:t>（5）国家和广州地区现行的设计规范（规程）、建筑工程质量检验评定标准、施工和验收规范；</w:t>
      </w:r>
    </w:p>
    <w:p>
      <w:pPr>
        <w:tabs>
          <w:tab w:val="left" w:pos="902"/>
        </w:tabs>
        <w:spacing w:line="360" w:lineRule="auto"/>
        <w:ind w:left="200"/>
        <w:rPr>
          <w:rFonts w:ascii="宋体" w:hAnsi="宋体" w:cs="宋体"/>
          <w:sz w:val="24"/>
        </w:rPr>
      </w:pPr>
      <w:r>
        <w:rPr>
          <w:rFonts w:hint="eastAsia" w:ascii="宋体" w:hAnsi="宋体" w:cs="宋体"/>
          <w:sz w:val="24"/>
        </w:rPr>
        <w:t>（6）《建设工程监理规范》（GB50319—2013）</w:t>
      </w:r>
    </w:p>
    <w:p>
      <w:pPr>
        <w:tabs>
          <w:tab w:val="left" w:pos="902"/>
        </w:tabs>
        <w:spacing w:line="360" w:lineRule="auto"/>
        <w:ind w:left="200"/>
        <w:rPr>
          <w:rFonts w:ascii="宋体" w:hAnsi="宋体" w:cs="宋体"/>
          <w:sz w:val="24"/>
        </w:rPr>
      </w:pPr>
      <w:r>
        <w:rPr>
          <w:rFonts w:hint="eastAsia" w:ascii="宋体" w:hAnsi="宋体" w:cs="宋体"/>
          <w:sz w:val="24"/>
        </w:rPr>
        <w:t>（7）经委托人审批认可，由监理人编制的监理规划。</w:t>
      </w:r>
    </w:p>
    <w:p>
      <w:pPr>
        <w:adjustRightInd w:val="0"/>
        <w:snapToGrid w:val="0"/>
        <w:spacing w:line="360" w:lineRule="auto"/>
        <w:ind w:firstLine="198"/>
        <w:outlineLvl w:val="1"/>
        <w:rPr>
          <w:rFonts w:ascii="宋体" w:hAnsi="宋体" w:cs="宋体"/>
          <w:b/>
          <w:bCs/>
          <w:sz w:val="24"/>
        </w:rPr>
      </w:pPr>
      <w:r>
        <w:rPr>
          <w:rFonts w:hint="eastAsia" w:ascii="宋体" w:hAnsi="宋体" w:cs="宋体"/>
          <w:b/>
          <w:bCs/>
          <w:sz w:val="24"/>
        </w:rPr>
        <w:t>第三条　监理范围、监理工作内容及监理机构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（一）监理范围</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1、包括但不限于以下内容：</w:t>
      </w:r>
      <w:r>
        <w:rPr>
          <w:rFonts w:hint="eastAsia" w:cs="宋体" w:asciiTheme="minorEastAsia" w:hAnsiTheme="minorEastAsia"/>
          <w:sz w:val="24"/>
          <w:u w:val="single"/>
          <w:lang w:val="en-US" w:eastAsia="zh-CN"/>
        </w:rPr>
        <w:t xml:space="preserve">                       </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2、除上述工作范围外，监理人还须按委托人的要求提前进场参与开工前期的准备和筹划工作，协助委托人制定工程管理办法、各参建方职责及有关事务性工作等。</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3、监理服务期自中标通知书（或委托书）发出之日起，至本合同</w:t>
      </w:r>
      <w:r>
        <w:rPr>
          <w:rFonts w:hint="eastAsia" w:ascii="宋体" w:hAnsi="宋体" w:cs="宋体"/>
          <w:sz w:val="24"/>
        </w:rPr>
        <w:t>工程保修期结</w:t>
      </w:r>
      <w:r>
        <w:rPr>
          <w:rFonts w:hint="eastAsia" w:ascii="宋体" w:hAnsi="宋体" w:cs="宋体"/>
          <w:bCs/>
          <w:sz w:val="24"/>
        </w:rPr>
        <w:t>束且本合</w:t>
      </w:r>
      <w:r>
        <w:rPr>
          <w:rFonts w:hint="eastAsia" w:ascii="宋体" w:hAnsi="宋体" w:cs="宋体"/>
          <w:sz w:val="24"/>
        </w:rPr>
        <w:t>同工程结算金额</w:t>
      </w:r>
      <w:r>
        <w:rPr>
          <w:rFonts w:hint="eastAsia" w:ascii="宋体" w:hAnsi="宋体" w:cs="宋体"/>
          <w:bCs/>
          <w:sz w:val="24"/>
        </w:rPr>
        <w:t>经委托人或其授权委托的第三方咨询单位审定</w:t>
      </w:r>
      <w:r>
        <w:rPr>
          <w:rFonts w:hint="eastAsia" w:ascii="宋体" w:hAnsi="宋体" w:cs="宋体"/>
          <w:sz w:val="24"/>
        </w:rPr>
        <w:t>且双方的责任义务履行完毕时止（以后到日期为准）。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（二）监理人监理工作内容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1、建设工程监理一般规定：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（1）实行总监理工程师负责制。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（2）监理人应公正、独立、自主地开展监理工作，维护委托人的合法权益。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（3）监理人除应按《建设工程监理规范》（GB50319—2013）履行监理职责外，还应符合国家现行的有关强制性标准、规范的规定。</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 2、负责施工准备阶段的监理工作，包括但不限于以下内容：</w:t>
      </w:r>
    </w:p>
    <w:p>
      <w:pPr>
        <w:numPr>
          <w:ilvl w:val="0"/>
          <w:numId w:val="1"/>
        </w:numPr>
        <w:adjustRightInd w:val="0"/>
        <w:snapToGrid w:val="0"/>
        <w:spacing w:line="360" w:lineRule="auto"/>
        <w:ind w:firstLine="480" w:firstLineChars="200"/>
        <w:rPr>
          <w:rFonts w:ascii="宋体" w:hAnsi="宋体" w:cs="宋体"/>
          <w:bCs/>
          <w:sz w:val="24"/>
        </w:rPr>
      </w:pPr>
      <w:r>
        <w:rPr>
          <w:rFonts w:hint="eastAsia" w:ascii="宋体" w:hAnsi="宋体" w:cs="宋体"/>
          <w:sz w:val="24"/>
        </w:rPr>
        <w:t>督促并控制设计单位按照委托设计合同约定的日期，保质、保量、准时交付施工图及概（预）算文件</w:t>
      </w:r>
      <w:r>
        <w:rPr>
          <w:rFonts w:hint="eastAsia" w:ascii="宋体" w:hAnsi="宋体" w:cs="宋体"/>
          <w:bCs/>
          <w:sz w:val="24"/>
        </w:rPr>
        <w:t>；</w:t>
      </w:r>
    </w:p>
    <w:p>
      <w:pPr>
        <w:numPr>
          <w:ilvl w:val="0"/>
          <w:numId w:val="1"/>
        </w:numPr>
        <w:adjustRightInd w:val="0"/>
        <w:snapToGrid w:val="0"/>
        <w:spacing w:line="360" w:lineRule="auto"/>
        <w:ind w:firstLine="480" w:firstLineChars="200"/>
        <w:rPr>
          <w:rFonts w:ascii="宋体" w:hAnsi="宋体" w:cs="宋体"/>
          <w:sz w:val="24"/>
        </w:rPr>
      </w:pPr>
      <w:r>
        <w:rPr>
          <w:rFonts w:hint="eastAsia" w:ascii="宋体" w:hAnsi="宋体" w:cs="宋体"/>
          <w:bCs/>
          <w:sz w:val="24"/>
        </w:rPr>
        <w:t>参加设计交底，对图纸中存在的问题通过委</w:t>
      </w:r>
      <w:r>
        <w:rPr>
          <w:rFonts w:hint="eastAsia" w:ascii="宋体" w:hAnsi="宋体" w:cs="宋体"/>
          <w:sz w:val="24"/>
        </w:rPr>
        <w:t>托人向设计单位提出书面意见和建议，做好图纸会审记录并提交给委托人；</w:t>
      </w:r>
    </w:p>
    <w:p>
      <w:pPr>
        <w:numPr>
          <w:ilvl w:val="0"/>
          <w:numId w:val="1"/>
        </w:numPr>
        <w:adjustRightInd w:val="0"/>
        <w:snapToGrid w:val="0"/>
        <w:spacing w:line="360" w:lineRule="auto"/>
        <w:ind w:firstLine="480" w:firstLineChars="200"/>
        <w:rPr>
          <w:rFonts w:ascii="宋体" w:hAnsi="宋体" w:cs="宋体"/>
          <w:sz w:val="24"/>
        </w:rPr>
      </w:pPr>
      <w:r>
        <w:rPr>
          <w:rFonts w:hint="eastAsia" w:ascii="宋体" w:hAnsi="宋体" w:cs="宋体"/>
          <w:sz w:val="24"/>
        </w:rPr>
        <w:t>审查承包人报送的施工组织设计(方案)；制定监理规划及监理实施细则并报委托人审定。</w:t>
      </w:r>
    </w:p>
    <w:p>
      <w:pPr>
        <w:spacing w:line="360" w:lineRule="auto"/>
        <w:ind w:firstLine="480" w:firstLineChars="200"/>
        <w:rPr>
          <w:rFonts w:ascii="宋体" w:hAnsi="宋体" w:cs="宋体"/>
          <w:sz w:val="24"/>
        </w:rPr>
      </w:pPr>
      <w:r>
        <w:rPr>
          <w:rFonts w:hint="eastAsia" w:ascii="宋体" w:hAnsi="宋体" w:cs="宋体"/>
          <w:sz w:val="24"/>
        </w:rPr>
        <w:t>（4）负责协调承包人进场前的现场准备和制定勘察清障方案，为承包人进场制定前期准备方案并组织实施。</w:t>
      </w:r>
    </w:p>
    <w:p>
      <w:pPr>
        <w:spacing w:line="360" w:lineRule="auto"/>
        <w:ind w:firstLine="480" w:firstLineChars="200"/>
        <w:rPr>
          <w:rFonts w:ascii="宋体" w:hAnsi="宋体" w:cs="宋体"/>
          <w:sz w:val="24"/>
        </w:rPr>
      </w:pPr>
      <w:r>
        <w:rPr>
          <w:rFonts w:hint="eastAsia" w:ascii="宋体" w:hAnsi="宋体" w:cs="宋体"/>
          <w:sz w:val="24"/>
        </w:rPr>
        <w:t>（5）审查由承包人编制，并经承包人的技术部门审批盖章的施工组织设计、施工方案及施工进度计划，并督促检查实施；协助审批各单项工程开工报告，参与技术交底和施工图纸的会审。</w:t>
      </w:r>
    </w:p>
    <w:p>
      <w:pPr>
        <w:spacing w:line="360" w:lineRule="auto"/>
        <w:ind w:firstLine="480" w:firstLineChars="200"/>
        <w:rPr>
          <w:rFonts w:ascii="宋体" w:hAnsi="宋体" w:cs="宋体"/>
          <w:sz w:val="24"/>
        </w:rPr>
      </w:pPr>
      <w:r>
        <w:rPr>
          <w:rFonts w:hint="eastAsia" w:ascii="宋体" w:hAnsi="宋体" w:cs="宋体"/>
          <w:sz w:val="24"/>
        </w:rPr>
        <w:t>（6）审查承包人及委托人提供的材料和设备清单及其所列的规格与质量。</w:t>
      </w:r>
    </w:p>
    <w:p>
      <w:pPr>
        <w:spacing w:line="360" w:lineRule="auto"/>
        <w:ind w:firstLine="480" w:firstLineChars="200"/>
        <w:rPr>
          <w:rFonts w:ascii="宋体" w:hAnsi="宋体" w:cs="宋体"/>
          <w:sz w:val="24"/>
        </w:rPr>
      </w:pPr>
      <w:r>
        <w:rPr>
          <w:rFonts w:hint="eastAsia" w:ascii="宋体" w:hAnsi="宋体" w:cs="宋体"/>
          <w:sz w:val="24"/>
        </w:rPr>
        <w:t>（7）对承包人选择的分包人的资格进行审查并报委托人确认。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3、施工阶段的监理工作，包括但不限于以下内容：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督促承包人严格执行合同和严格按照国家技术规范、标准、地方建筑安装规程以及设计图纸文件的要求进行施工，并检查其实施情况；核查施工过程中的主要部位、环节以及隐蔽工程的施工验收签证；严格控制工程质量及安全，发现工程质量、安全问题，立即责令相关单位整改，并通知委托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对用于本工程的主要材料、设备等进行检查，检验，对未经监理人员验收或验收不合格的工程材料、构配件、设备，监理人员应拒绝签认，并应签发监理工程师通知单，书面通知承包人限期将不合格的工程材料、构配件、设备撤出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总监理工程师应安排监理人员对施工过程进行巡视和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责令施工企业进行整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（5）根据承包人报送的隐蔽工程报验申请表和自检结果进行现场检查，符合要求予以签认。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（6）对工程发生质量、安全事故按相关规定保护好现场并及时处理，向委托人提交有关工程质量、安全事故的书面报告，并应将完整的事故处理记录整理归档。</w:t>
      </w:r>
    </w:p>
    <w:p>
      <w:pPr>
        <w:spacing w:line="360" w:lineRule="auto"/>
        <w:ind w:firstLine="480" w:firstLineChars="200"/>
        <w:rPr>
          <w:rFonts w:ascii="宋体" w:hAnsi="宋体" w:cs="宋体"/>
          <w:sz w:val="24"/>
        </w:rPr>
      </w:pPr>
      <w:r>
        <w:rPr>
          <w:rFonts w:hint="eastAsia" w:ascii="宋体" w:hAnsi="宋体" w:cs="宋体"/>
          <w:sz w:val="24"/>
        </w:rPr>
        <w:t>（7）根据《广州市建设工程文明施工管理规定》（广州市人民政府令第62号）的规定，监理人在对本工程实施监理的时候，应当履行下列管理责任：</w:t>
      </w:r>
    </w:p>
    <w:p>
      <w:pPr>
        <w:spacing w:line="360" w:lineRule="auto"/>
        <w:ind w:firstLine="480" w:firstLineChars="200"/>
        <w:rPr>
          <w:rFonts w:ascii="宋体" w:hAnsi="宋体" w:cs="宋体"/>
          <w:sz w:val="24"/>
        </w:rPr>
      </w:pPr>
      <w:r>
        <w:rPr>
          <w:rFonts w:hint="eastAsia" w:ascii="宋体" w:hAnsi="宋体" w:cs="宋体"/>
          <w:sz w:val="24"/>
        </w:rPr>
        <w:t>①审核施工单位拟定的施工组织设计文件，督促施工单位落实文明施工管理措施，审核确认施工单位文明施工措施费用使用情况。</w:t>
      </w:r>
    </w:p>
    <w:p>
      <w:pPr>
        <w:spacing w:line="360" w:lineRule="auto"/>
        <w:ind w:firstLine="480" w:firstLineChars="200"/>
        <w:rPr>
          <w:rFonts w:ascii="宋体" w:hAnsi="宋体" w:cs="宋体"/>
          <w:sz w:val="24"/>
        </w:rPr>
      </w:pPr>
      <w:r>
        <w:rPr>
          <w:rFonts w:hint="eastAsia" w:ascii="宋体" w:hAnsi="宋体" w:cs="宋体"/>
          <w:sz w:val="24"/>
        </w:rPr>
        <w:t>②实施监理过程中，发现施工单位有违反文明施工管理规定的，应当要求施工单位整改；施工单位拒不整改的，应当要求施工单位暂停施工，并向委托人报告。</w:t>
      </w:r>
    </w:p>
    <w:p>
      <w:pPr>
        <w:spacing w:line="360" w:lineRule="auto"/>
        <w:ind w:firstLine="480" w:firstLineChars="200"/>
        <w:rPr>
          <w:rFonts w:ascii="宋体" w:hAnsi="宋体" w:cs="宋体"/>
          <w:sz w:val="24"/>
        </w:rPr>
      </w:pPr>
      <w:r>
        <w:rPr>
          <w:rFonts w:hint="eastAsia" w:ascii="宋体" w:hAnsi="宋体" w:cs="宋体"/>
          <w:sz w:val="24"/>
        </w:rPr>
        <w:t>③施工单位违反文明施工管理规定拒不整改或者不停止施工的，及时向工程行政管理部门报告。</w:t>
      </w:r>
    </w:p>
    <w:p>
      <w:pPr>
        <w:spacing w:line="360" w:lineRule="auto"/>
        <w:ind w:firstLine="480" w:firstLineChars="200"/>
        <w:rPr>
          <w:rFonts w:ascii="宋体" w:hAnsi="宋体" w:cs="宋体"/>
          <w:sz w:val="24"/>
        </w:rPr>
      </w:pPr>
      <w:r>
        <w:rPr>
          <w:rFonts w:hint="eastAsia" w:ascii="宋体" w:hAnsi="宋体" w:cs="宋体"/>
          <w:sz w:val="24"/>
        </w:rPr>
        <w:t>（8）检查本工程采用主要设备及关键材料是否符合设计文件或标书所规定的型号、规格、数量以及质量标准，视乎需要并经委托人同意可对生产厂家进行了解考察。</w:t>
      </w:r>
    </w:p>
    <w:p>
      <w:pPr>
        <w:spacing w:line="360" w:lineRule="auto"/>
        <w:ind w:firstLine="480" w:firstLineChars="200"/>
        <w:rPr>
          <w:rFonts w:ascii="宋体" w:hAnsi="宋体" w:cs="宋体"/>
          <w:sz w:val="24"/>
        </w:rPr>
      </w:pPr>
      <w:r>
        <w:rPr>
          <w:rFonts w:hint="eastAsia" w:ascii="宋体" w:hAnsi="宋体" w:cs="宋体"/>
          <w:sz w:val="24"/>
        </w:rPr>
        <w:t>（9）关于重大的设计修改和技术洽商，除提出监理意见外，应征得委托人及设计人的意见，并由原设计人进行修改。</w:t>
      </w:r>
    </w:p>
    <w:p>
      <w:pPr>
        <w:spacing w:line="360" w:lineRule="auto"/>
        <w:ind w:firstLine="480" w:firstLineChars="200"/>
        <w:rPr>
          <w:rFonts w:ascii="宋体" w:hAnsi="宋体" w:cs="宋体"/>
          <w:sz w:val="24"/>
        </w:rPr>
      </w:pPr>
      <w:r>
        <w:rPr>
          <w:rFonts w:hint="eastAsia" w:ascii="宋体" w:hAnsi="宋体" w:cs="宋体"/>
          <w:sz w:val="24"/>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5、工程造价控制工作，包括但不限于以下工作：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（1）监理人应每日统计承包人实际完成的工程量，并记录于监理日志中。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（2）复核当期验收合格的工程量，按施工合同的约定审核承包人提交的工程量清单和工程款支付申请表并报委托人。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（3）委托人下发重计量图纸后，监理人需按照委托人的时限要求，依据施工合同有关条款独立完成图纸预算，形成成果文件提交委托人。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（4）依据施工合同有关条款、施工图，对工程项目造价目标进行风险分析，并应制定防范性对策。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6、按广州开发区、黄埔区及委托人关于工程变更、签证管理的相关规定，从造价、项目的功能要求、质量和工期等方面对工程变更、签证进行审核，并督促相关单位按经审定的变更、签证实施。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7、按监理规范向委托人提交监理月报，内容包括但不限于本月工程实施概况，工程计量及支付情况，工程变更、签证及索赔情况，监理工作小结等。</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8、工程收尾阶段，包括竣工扫尾、验收、整改、移交、结算、考核评价等方面的监理工作，包括但不限于以下内容：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（1）依据有关法律、法规、工程建设强制性标准、设计文件及施工合同，对承包人报送的竣工资料进行审查，并对工程质量进行竣工预验收。对存在的问题，应及时要求承包人整改。</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（2）参加由委托人组织的竣工验收。对验收中提出的整改问题，督促承包人进行整改。工程质量符合要求，会同参加验收的各方签署竣工验收报告。</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（3）根据有关文件规定，督促检查承包人完成各阶段及全套竣工图的工作和整理各种必须归档的资料，办理工程竣工档案备案手续。</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（4）负责对项目实施过程中形成的声像材料按广州市黄埔区档案局《关于加强声像档案管理工作的通知》（穗萝档【2010】7号）有关规定进行归档整理后，移交委托人。</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（5）组织或协助委托人、承包人和产权管理单位对项目进行移交。</w:t>
      </w:r>
    </w:p>
    <w:p>
      <w:pPr>
        <w:adjustRightInd w:val="0"/>
        <w:snapToGrid w:val="0"/>
        <w:spacing w:line="360" w:lineRule="auto"/>
        <w:ind w:firstLine="470" w:firstLineChars="196"/>
        <w:rPr>
          <w:rFonts w:ascii="宋体" w:hAnsi="宋体" w:cs="宋体"/>
          <w:sz w:val="24"/>
        </w:rPr>
      </w:pPr>
      <w:r>
        <w:rPr>
          <w:rFonts w:hint="eastAsia" w:ascii="宋体" w:hAnsi="宋体" w:cs="宋体"/>
          <w:sz w:val="24"/>
        </w:rPr>
        <w:t>（6）工程完工经验收通过后60天内督促承包人提交工程结算文件，并在收到承包人结算资料后十日内，根据相关合同约定完成审核并提交委托人。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10、在整个监理服务期内，定期组织、主持现场工程协调会议，负责协调各承包人的配合穿插施工安排。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11、其他为完成本工程建设所需要的监理工作。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12、须按委托人档案管理要求移交本合同结算资料。</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（三）项目监理机构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1、本项目监理机构配备情况（见合同附件），监理人必须按该附表在施工现场建立项目监理机构。项目监理机构在完成委托监理合同约定的监理工作后可撤离施工现场。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监理人必须在委托人发出进场通知后，按委托人具体的要求进场，并立即开始履行本合同约定的服务。监理人必须按照其投标文件和监理规划的承诺，足额、按时派驻监理人员和投入设备（见合同附件），并且本合同履行期间，监理人不得派驻本项目的监理人员参与委托人作为业主的其他建设项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3、监理人派驻到项目所在地履行监理服务的监理人员，必须常驻现场。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4、监理人应对其驻地监理人员的人身安全承担责任。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5、监理人在施工监理全过程中必须派驻至少1名注册造价工程师提供驻场服务，并按委托人要求建立施工阶段工程预算台账。</w:t>
      </w:r>
    </w:p>
    <w:p>
      <w:pPr>
        <w:adjustRightInd w:val="0"/>
        <w:snapToGrid w:val="0"/>
        <w:spacing w:line="360" w:lineRule="auto"/>
        <w:ind w:firstLine="198"/>
        <w:outlineLvl w:val="1"/>
        <w:rPr>
          <w:rFonts w:ascii="宋体" w:hAnsi="宋体" w:cs="宋体"/>
          <w:b/>
          <w:bCs/>
          <w:sz w:val="24"/>
        </w:rPr>
      </w:pPr>
      <w:r>
        <w:rPr>
          <w:rFonts w:hint="eastAsia" w:ascii="宋体" w:hAnsi="宋体" w:cs="宋体"/>
          <w:b/>
          <w:bCs/>
          <w:sz w:val="24"/>
        </w:rPr>
        <w:t>第四条　监理人应履行的义务包括但不限于：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（一）监理人在本合同履行期内必须接受委托人有关项目管理机构职权规定的约束，监理人应经常对本工程监理人员经常进行检查、指导、管理及后方支持，对他们完成的监理服务承担责任。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（三）委托人委托监理人承担本合同工程范围内的协调管理工作，包括工程施工的进场、设计、退场、质量、进度及其他相关工作。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（四）监理工程师在本合同工程中，对工程质量、投资与进度进行控制，办理合同约定的各项手续。监理工程师在办理各种手续时，不得扣压和延误。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五）在任何情况下（包括合同另有约定的情况），凡涉及工程变更、工程量增减、议价、索赔、处理事故、改变工期、改变技术标准、改变重大施工方案等及一切有关费用的问题，均需与委托人共同商定，报委托人批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（六）监理人必须不折不扣地履行其工作职责，不得推托或耽误，不能有不履行或不完全履行职务的行为，否则，必须承担相应的违约责任。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（七）对于委托人及承包人书面提交并要求作出决定的事宜，监理人应在3日内作出书面答复，对影响施工现场进度的事项应在24小时内作出具有明确处理意见的书面答复。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（八）监理人应在监理服务期内，办理派驻到项目所在地人员人身和自备财产的有关保险。如果监理人不办理上述保险，则应对有关风险及后果自负其责。</w:t>
      </w:r>
    </w:p>
    <w:p>
      <w:pPr>
        <w:adjustRightInd w:val="0"/>
        <w:snapToGrid w:val="0"/>
        <w:spacing w:line="360" w:lineRule="auto"/>
        <w:ind w:firstLine="198"/>
        <w:outlineLvl w:val="1"/>
        <w:rPr>
          <w:rFonts w:ascii="宋体" w:hAnsi="宋体" w:cs="宋体"/>
          <w:sz w:val="24"/>
        </w:rPr>
      </w:pPr>
      <w:r>
        <w:rPr>
          <w:rFonts w:hint="eastAsia" w:ascii="宋体" w:hAnsi="宋体" w:cs="宋体"/>
          <w:b/>
          <w:bCs/>
          <w:sz w:val="24"/>
        </w:rPr>
        <w:t>第五条　</w:t>
      </w:r>
      <w:r>
        <w:rPr>
          <w:rFonts w:hint="eastAsia" w:ascii="宋体" w:hAnsi="宋体" w:cs="宋体"/>
          <w:sz w:val="24"/>
        </w:rPr>
        <w:t>委托人根据需要有权指令监理人协调部分外部关系，委托人对此无需支付任何报酬。</w:t>
      </w:r>
    </w:p>
    <w:p>
      <w:pPr>
        <w:adjustRightInd w:val="0"/>
        <w:snapToGrid w:val="0"/>
        <w:spacing w:line="360" w:lineRule="auto"/>
        <w:ind w:firstLine="198"/>
        <w:outlineLvl w:val="1"/>
        <w:rPr>
          <w:rFonts w:ascii="宋体" w:hAnsi="宋体" w:cs="宋体"/>
          <w:b/>
          <w:bCs/>
          <w:sz w:val="24"/>
        </w:rPr>
      </w:pPr>
      <w:r>
        <w:rPr>
          <w:rFonts w:hint="eastAsia" w:ascii="宋体" w:hAnsi="宋体" w:cs="宋体"/>
          <w:b/>
          <w:bCs/>
          <w:sz w:val="24"/>
        </w:rPr>
        <w:t>第六条　</w:t>
      </w:r>
      <w:r>
        <w:rPr>
          <w:rFonts w:hint="eastAsia" w:ascii="宋体" w:hAnsi="宋体" w:cs="宋体"/>
          <w:sz w:val="24"/>
        </w:rPr>
        <w:t>双方同意不执行标准条款第十五条，委托人可协调施工承包单位为监理人提供必要的办公用房，相关费用委托人不予承担。</w:t>
      </w:r>
    </w:p>
    <w:p>
      <w:pPr>
        <w:adjustRightInd w:val="0"/>
        <w:snapToGrid w:val="0"/>
        <w:spacing w:line="360" w:lineRule="auto"/>
        <w:ind w:firstLine="198"/>
        <w:outlineLvl w:val="1"/>
        <w:rPr>
          <w:rFonts w:ascii="宋体" w:hAnsi="宋体" w:cs="宋体"/>
          <w:b/>
          <w:bCs/>
          <w:sz w:val="24"/>
        </w:rPr>
      </w:pPr>
      <w:r>
        <w:rPr>
          <w:rFonts w:hint="eastAsia" w:ascii="宋体" w:hAnsi="宋体" w:cs="宋体"/>
          <w:b/>
          <w:bCs/>
          <w:sz w:val="24"/>
        </w:rPr>
        <w:t>第七条　</w:t>
      </w:r>
      <w:r>
        <w:rPr>
          <w:rFonts w:hint="eastAsia" w:ascii="宋体" w:hAnsi="宋体" w:cs="宋体"/>
          <w:sz w:val="24"/>
        </w:rPr>
        <w:t>在监理服务期间，委托人不免费向监理人提供工作人员和服务人员。</w:t>
      </w:r>
    </w:p>
    <w:p>
      <w:pPr>
        <w:adjustRightInd w:val="0"/>
        <w:snapToGrid w:val="0"/>
        <w:spacing w:line="360" w:lineRule="auto"/>
        <w:ind w:firstLine="198"/>
        <w:outlineLvl w:val="1"/>
        <w:rPr>
          <w:rFonts w:ascii="宋体" w:hAnsi="宋体" w:cs="宋体"/>
          <w:b/>
          <w:bCs/>
          <w:sz w:val="24"/>
        </w:rPr>
      </w:pPr>
      <w:r>
        <w:rPr>
          <w:rFonts w:hint="eastAsia" w:ascii="宋体" w:hAnsi="宋体" w:cs="宋体"/>
          <w:b/>
          <w:bCs/>
          <w:sz w:val="24"/>
        </w:rPr>
        <w:t>第八条  监理人的违约责任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（一）监理人违反本合同的约定，应当按约定向委托人承担相应的违约责任，承担违约责任方式包括但不限于：</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书面警告。监理人未履行或未适当履行义务或不执行委托人（含主管人员）的指令时，委托人有权向监理人发出书面警告，每一次书面警告，监理人必须向委托人支付违约金（具体违约金金额为：监理费500万（含）以下的：0.5万元/次；监理费500-1000万（含）的：0.75万元/次，监理费1000万以上的：1万元/次）。监理人必须在书面警告限定的时间内履行义务，否则应承担1次一般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一般违约责任。监理人按本合同约定应当承担一般违约责任时，每一次必须向委托人支付违约金（具体违约金金额为：监理费500万（含）以下的：1万元/次；监理费500-1000万（含）的：1.5万元/次，监理费1000万以上的：2万元/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3、严重违约责任。监理人按本合同约定应当承担严重违约责任时，每一次必须向委托人支付违约金（具体违约金金额为：监理费500万（含）以下：2万元/次，500-1000万（含）：3万元/次，1000万以上：4万元/次）。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部分解除合同。委托人向监理人发出部分解除合同的通知后，本合同部分解除即生效，监理人返还已收取但未提供监理服务对应费用、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解除合同。委托人向监理人发出解除合同的通知后，本合同即解除，监理人返还已收取但未提供监理服务对应费用、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赔偿损失。因监理人违约或工作失误给委托人造成损失的，监理人应向委托人赔偿与违约有直接或间接因果关系的所有损失，损失赔偿总额不应超过监理报酬总额，但如果损失是由于监理人故意、重大过失或严重渎职造成的，监理人应承担全部损失的赔偿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7、每三次书面警告则另行追加一次一般违约责任，每三次一般违约责任则另行追加一次严重违约责任。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8、当监理人无正当理由不履行或没有充分履行其相关承诺及监理义务时，除应承担前述约定的违约责任外，委托人还可给予其通报批评、作不良记录及报相关主管部门处理等处罚措施。</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当监理人出现严重违约时，委托人可给予其通报批评；当累计出现三次严重违约或者关键节点工期滞后20天以上时，委托人有权要求监理人的法定代表人或其授权代表人（须为监理人副总经理级别以上）驻场办公，直至其监理工作达到委托人满意时方可离场；累计出现四次严重违约时，委托人可给予其不良记录并报相关主管部门处理等处罚措施；累计出现五次严重违约时，委托人可单方面解除合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（二）监理组织管理方面的违约责任：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情节较轻的，可给予书面警告；情节特别严重的，委托人有权单方面部分解除合同或解除合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2、监理人不遵守委托人所制订的各项制度、规定的，由监理人按所触犯制度、规定的有关规定承担违约责任。所触犯制度、规定没有明确规定的，由委托人参照前款的约定处理。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监理人未按投标书及承诺建立组织架构（含安全监理组织架构）、派驻监理人员和投入设备，监理人必须按委托人要求限期整改，并承担相应违约责任。派驻监理人员需提供身份证复印件（原件核对）以及其属</w:t>
      </w:r>
      <w:r>
        <w:rPr>
          <w:rFonts w:hint="eastAsia" w:ascii="宋体" w:hAnsi="宋体" w:cs="宋体"/>
          <w:bCs/>
          <w:sz w:val="24"/>
          <w:lang w:eastAsia="zh-CN"/>
        </w:rPr>
        <w:t>监理</w:t>
      </w:r>
      <w:r>
        <w:rPr>
          <w:rFonts w:hint="eastAsia" w:ascii="宋体" w:hAnsi="宋体" w:cs="宋体"/>
          <w:bCs/>
          <w:sz w:val="24"/>
        </w:rPr>
        <w:t>单位员工的社保证明原件和从业资格文件，报委托人审核、备案。具体约定为：</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在委托人书面通知监理人进场后3日内，监理人的主要监理人员（指投标书承诺的监理机构所配备的项目总监、总监代表、专业监理工程师、造价工程师及同等级别以上的监理人员）未能足额到位，或到位后又离开，造成该岗位空缺。委托人一旦发现，将要求监理人做出书面解释并保证人员限期到位，同时监理人承担一般违约责任1次（每岗位）；监理人应按规定时间报送项目监理相关资料（人员资质、组织架构、《监理规划》、《监理实施细则》等）给委托人，并设立安全监理组织架构，配备满足项目管理要求的专职安全监理人员，</w:t>
      </w:r>
      <w:r>
        <w:rPr>
          <w:rFonts w:hint="eastAsia" w:ascii="宋体" w:hAnsi="宋体" w:cs="宋体"/>
          <w:sz w:val="24"/>
        </w:rPr>
        <w:t>否则，每发生一次，监理人承担1次一般违约责任。</w:t>
      </w:r>
      <w:r>
        <w:rPr>
          <w:rFonts w:hint="eastAsia" w:ascii="宋体" w:hAnsi="宋体" w:cs="宋体"/>
          <w:bCs/>
          <w:sz w:val="24"/>
        </w:rPr>
        <w:t>如果监理人拒不配合，未在委托人提出限期改正的期限内进行整改的，监理人应承担严重违约责任1次（每岗位），直至解除合同，并要求监理人承担由此造成的委托人损失。</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或监理人员在因委托人原因项目未开工或停工超过一年后离职的情况除外)。委托人要求监理人更换个别监理人员时，监理人在接到委托人通知后三天内安排更换到位，否则，监理人应按下表的约定承担违约责任；情节严重的，委托人有权单方面解除合同。</w:t>
      </w:r>
    </w:p>
    <w:tbl>
      <w:tblPr>
        <w:tblStyle w:val="28"/>
        <w:tblW w:w="97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500"/>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序号</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违约项目</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违约金</w:t>
            </w:r>
          </w:p>
          <w:p>
            <w:pPr>
              <w:pStyle w:val="15"/>
              <w:tabs>
                <w:tab w:val="left" w:pos="360"/>
              </w:tabs>
              <w:adjustRightInd w:val="0"/>
              <w:snapToGrid w:val="0"/>
              <w:spacing w:line="360" w:lineRule="auto"/>
              <w:ind w:firstLine="200"/>
              <w:rPr>
                <w:rFonts w:hAnsi="宋体" w:cs="宋体"/>
              </w:rPr>
            </w:pPr>
            <w:r>
              <w:rPr>
                <w:rFonts w:hint="eastAsia" w:hAnsi="宋体" w:cs="宋体"/>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1</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监理人自行调换或未按照委托人要求及时更换项目总监理工程师</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本合同监理报酬总额的1%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2</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监理人自行调换或未按照委托人要求及时更换总监代表</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本合同监理报酬总额的0.5%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3</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监理人自行调换或未按照委托人要求及时更换专业监理工程师</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本合同监理报酬总额的0.25%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4</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监理人自行调换或未按照委托人要求及时更换造价工程师</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本合同监理报酬总额的0.25%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6"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5</w:t>
            </w:r>
          </w:p>
        </w:tc>
        <w:tc>
          <w:tcPr>
            <w:tcW w:w="4500"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经委托人审核书面同意后调换监理人员</w:t>
            </w:r>
          </w:p>
        </w:tc>
        <w:tc>
          <w:tcPr>
            <w:tcW w:w="4433" w:type="dxa"/>
            <w:vAlign w:val="center"/>
          </w:tcPr>
          <w:p>
            <w:pPr>
              <w:pStyle w:val="15"/>
              <w:tabs>
                <w:tab w:val="left" w:pos="360"/>
              </w:tabs>
              <w:adjustRightInd w:val="0"/>
              <w:snapToGrid w:val="0"/>
              <w:spacing w:line="360" w:lineRule="auto"/>
              <w:ind w:firstLine="200"/>
              <w:rPr>
                <w:rFonts w:hAnsi="宋体" w:cs="宋体"/>
              </w:rPr>
            </w:pPr>
            <w:r>
              <w:rPr>
                <w:rFonts w:hint="eastAsia" w:hAnsi="宋体" w:cs="宋体"/>
              </w:rPr>
              <w:t>监理人按1至4项对应调换人员承担减半违约金</w:t>
            </w:r>
          </w:p>
        </w:tc>
      </w:tr>
    </w:tbl>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4、项目总监</w:t>
      </w:r>
      <w:r>
        <w:rPr>
          <w:rFonts w:hint="eastAsia" w:ascii="宋体" w:hAnsi="宋体" w:cs="宋体"/>
          <w:sz w:val="24"/>
        </w:rPr>
        <w:t>理工程师</w:t>
      </w:r>
      <w:r>
        <w:rPr>
          <w:rFonts w:hint="eastAsia" w:ascii="宋体" w:hAnsi="宋体" w:cs="宋体"/>
          <w:bCs/>
          <w:sz w:val="24"/>
        </w:rPr>
        <w:t>若需离开施工现场需报委托人批准，在其请假离开的时间段内应书面委托其他驻场监理工程师（需具有相应资质和能力）全权代表其行使职权；否则每违约一次，委托人将要求监理人承担1次一般违约责任。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5、其他监理人员需离开施工现场3日以上需报委托人批准，在其请假离开的时间段内应书面委托其他驻场监理代表全权代表其行使相应职权；否则，每违约一次，委托人将要求监理人承担1次一般违约责任。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6、委托人可以对驻场监理人员进行考勤，如项目总监</w:t>
      </w:r>
      <w:r>
        <w:rPr>
          <w:rFonts w:hint="eastAsia" w:ascii="宋体" w:hAnsi="宋体" w:cs="宋体"/>
          <w:sz w:val="24"/>
        </w:rPr>
        <w:t>理工程师</w:t>
      </w:r>
      <w:r>
        <w:rPr>
          <w:rFonts w:hint="eastAsia" w:ascii="宋体" w:hAnsi="宋体" w:cs="宋体"/>
          <w:bCs/>
          <w:sz w:val="24"/>
        </w:rPr>
        <w:t>每月请假日数累计超过4日，监理人必须承担1次一般违约责任（每人每天）；如其他监理人员每月请假日数累计超过6日，且请假总人数全月累计超过监理人数的10%，监理人必须承担1次一般违约责任（每人每天）。</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7、委托人要求项目总监</w:t>
      </w:r>
      <w:r>
        <w:rPr>
          <w:rFonts w:hint="eastAsia" w:ascii="宋体" w:hAnsi="宋体" w:cs="宋体"/>
          <w:sz w:val="24"/>
        </w:rPr>
        <w:t>理工程师、</w:t>
      </w:r>
      <w:r>
        <w:rPr>
          <w:rFonts w:hint="eastAsia" w:ascii="宋体" w:hAnsi="宋体" w:cs="宋体"/>
          <w:bCs/>
          <w:sz w:val="24"/>
        </w:rPr>
        <w:t>项目总监代表等主要监理人员必须参加的会议，项目总监</w:t>
      </w:r>
      <w:r>
        <w:rPr>
          <w:rFonts w:hint="eastAsia" w:ascii="宋体" w:hAnsi="宋体" w:cs="宋体"/>
          <w:sz w:val="24"/>
        </w:rPr>
        <w:t>理工程师、</w:t>
      </w:r>
      <w:r>
        <w:rPr>
          <w:rFonts w:hint="eastAsia" w:ascii="宋体" w:hAnsi="宋体" w:cs="宋体"/>
          <w:bCs/>
          <w:sz w:val="24"/>
        </w:rPr>
        <w:t>项目总监代表等主要监理人员必须到会。未经委托人同意不到会或不按期到会的，应向委托人说明理由，拒不说明理由的，监理人应当承担1次一般违约责任（每人每次）。</w:t>
      </w:r>
    </w:p>
    <w:p>
      <w:pPr>
        <w:spacing w:line="360" w:lineRule="auto"/>
        <w:ind w:firstLine="480" w:firstLineChars="200"/>
        <w:rPr>
          <w:rFonts w:ascii="宋体" w:hAnsi="宋体" w:cs="宋体"/>
          <w:sz w:val="24"/>
        </w:rPr>
      </w:pPr>
      <w:r>
        <w:rPr>
          <w:rFonts w:hint="eastAsia" w:ascii="宋体" w:hAnsi="宋体" w:cs="宋体"/>
          <w:sz w:val="24"/>
        </w:rPr>
        <w:t>8、在委托人、建设行政主管部门组织的现场检查中，总监理工程师累计不在现场应每年不超过两次，专业监理工程师累计不在现场每年不超过3次。否则，每发生一人次，监理人承担1次一般违约责任。每发生三人次，监理人承担严重违约责任1次，委托人可将该行为作不良记录上报建设行政主管部门。</w:t>
      </w:r>
    </w:p>
    <w:p>
      <w:pPr>
        <w:spacing w:line="360" w:lineRule="auto"/>
        <w:ind w:firstLine="480" w:firstLineChars="200"/>
        <w:rPr>
          <w:rFonts w:ascii="宋体" w:hAnsi="宋体" w:cs="宋体"/>
          <w:sz w:val="24"/>
        </w:rPr>
      </w:pPr>
      <w:r>
        <w:rPr>
          <w:rFonts w:hint="eastAsia" w:ascii="宋体" w:hAnsi="宋体" w:cs="宋体"/>
          <w:sz w:val="24"/>
        </w:rPr>
        <w:t>9、检测仪器及设备等在监理责任期间，不能保持良好运作性能的，监理人应及时更换，否则，每件每日支付1000元监理费。</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（四）履行监理职责方面的违约责任：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1、本项目监理业务为总监理工程师负责制，在</w:t>
      </w:r>
      <w:r>
        <w:rPr>
          <w:rFonts w:hint="eastAsia" w:ascii="宋体" w:hAnsi="宋体" w:cs="宋体"/>
          <w:sz w:val="24"/>
        </w:rPr>
        <w:t>项目实施过程中，由总监理工程师主持开展项目监理工作，主持编制《监理规划》、《监理实施细则》、《安全监理实施细则》等，在项目实施的重要节点、关键工作或者项目园区内有重大接待任务期间等对委托人有较大影响的施工期间需驻场管理，如有违反</w:t>
      </w:r>
      <w:r>
        <w:rPr>
          <w:rFonts w:hint="eastAsia" w:ascii="宋体" w:hAnsi="宋体" w:cs="宋体"/>
          <w:bCs/>
          <w:sz w:val="24"/>
        </w:rPr>
        <w:t>委托人有权要求监理人承担一般违约责任1次（每天）。监理人在自己职责范围内应当作出决定的事项故意拖延或者不作出明确的处理意见，委托人发出书面警告后，监理人在整改期限内仍不加以改正的，委托人有权要求监理人承担一般违约责任1次（每次），造成损失的监理人应承担相应的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承包人未按承诺投入机械、设备、材料等，监理人对此不进行有效检查、督促、处理，不向委托人报告，被委托人发现后，委托人有权给予监理人书面警告并限期改正，监理人拒不限期改正的，应承担1次一般违约责任（每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对于承包人每次进场材料，监理人不进行检查和登记；对已进场的材料，监理人不按有关规定及时进行抽查、送检的，每发生一次，监理人应承担一般违约责任1次。如由此出现不合格材料使用于工程上并造成质量缺陷，监理人必须承担严重违约责任1次（每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每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每次），情节严重的承担严重违约责任1次（每次），同时，承包人和监理人应赔偿委托人的经济损失。</w:t>
      </w:r>
    </w:p>
    <w:p>
      <w:pPr>
        <w:spacing w:line="360" w:lineRule="auto"/>
        <w:ind w:firstLine="480" w:firstLineChars="200"/>
        <w:rPr>
          <w:rFonts w:ascii="宋体" w:hAnsi="宋体" w:cs="宋体"/>
          <w:sz w:val="24"/>
        </w:rPr>
      </w:pPr>
      <w:r>
        <w:rPr>
          <w:rFonts w:hint="eastAsia" w:ascii="宋体" w:hAnsi="宋体" w:cs="宋体"/>
          <w:sz w:val="24"/>
        </w:rPr>
        <w:t>6、监理人怠于履行工程质量控制监理工作，导致工程质量事故的，每发生一次，监理人承担严重违约责任1次。工程出现其他质量问题的，监理人负有责任的，每发生一次，监理人承担一般违约责任1次。</w:t>
      </w:r>
      <w:r>
        <w:rPr>
          <w:rFonts w:hint="eastAsia" w:ascii="宋体" w:hAnsi="宋体" w:cs="宋体"/>
          <w:bCs/>
          <w:sz w:val="24"/>
        </w:rPr>
        <w:t>工程发生重大质量、安全事故，监理人负有责任的，委托人有权视情况的严重程度要求监理人承担违约责任，直至部分或全部解除合同。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节点工期比计划滞后10日以上（含10日）不满20日的，每滞后一天监理人必须承担一般违约责任1次；出现关键工期滞后20天以上（含20天）不满30日的，每滞后一天监理人必须承担严重违约责任1次；出现关键节点工期滞后30天以上（含30天）的，委托人有权部分或全部解除合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8、对于承包人提交的现场签证资料，监理人未有准确、真实的现场原始记录或不进行现场复核就给予签认，经委托人检查，发现签认的文件有误的，除立即改正外，监理人承担一般违约责任1次（每次）；对签证错误有可能给委托人造成直接经济损失10万元（含10万元）以上的，按严重违约1次处理；如因监理人故意造成的，则按本合同条款第八条（一）款6项执行；对于现场签证（含工程数量、单价等）未经过监理人注册造价工程师审核、或经过注册造价工程师审核但未在规定时间内（承包人提交报送资料后</w:t>
      </w:r>
      <w:r>
        <w:rPr>
          <w:rFonts w:ascii="宋体" w:hAnsi="宋体" w:cs="宋体"/>
          <w:bCs/>
          <w:sz w:val="24"/>
        </w:rPr>
        <w:t>7个工作日完成审核</w:t>
      </w:r>
      <w:r>
        <w:rPr>
          <w:rFonts w:hint="eastAsia" w:ascii="宋体" w:hAnsi="宋体" w:cs="宋体"/>
          <w:bCs/>
          <w:sz w:val="24"/>
        </w:rPr>
        <w:t>）报送委托人，除必须立即改正外，每累计出现2次，监理人必须承担一般违约责任1次。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对承包人提交的施工方案、设计变更以及施工图、深化设计图等技术文件，监理人对其中明显不符合现场实际的部分，或者与招投标文件不符、会引起委托人投资增加和工期延误的部分，不进行认真审核、不进行优化就给予同意的，被审查发现后，除必须限期改正外，每发生一次，监理人必须承担1次一般违约责任，情节严重的应承担1次严重违约责任。对承包人提交的施工方案、设计变更等技术文件，监理人应当在3日内予以批复，因监理人未及时批复而影响工程进度、质量的，监理人必须承担严重违约程度1次（每次）；须转报委托人审批的，监理人应在3日内出具审核意见报委托人，监理人未在3日内报委托人或未出具审核意见的，监理人除必须限期改正外，监理人必须承担一般违约责任1次（每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每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10、监理人未履行本合同约定的文明施工管理责任的，委托人可发出书面警告要求其限期改正，委托人发出书面警告后，监理人在整改期限内仍不加以改正的，每发生一次，监理人承担一次一般违约责任。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每次），情节严重的应承担严重违约责任1次，给委托人造成损失的，应当赔偿损失。</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12、对于承包人提交的请款报告，监理人不按实际完成的工作量进行审核，或不按本合同要求签署请款意见，被审查发现后，除必须限期改正外，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责任外，委托人将视情况部分或全部解除合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监理人同时发生本合同专用条款第八条（四）款8、9、11、12项约定的违约行为且情节严重的，视同监理人和承包人串通作假，委托人有权单方解除合同，造成委托人损失的，委托人有权按本合同专用条款第八条（一）款6项的约定要求监理人承担赔偿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给委托人造成不良形象的或被委托人发现后，委托人有权给予书面警告并限期改正，监理人拒不限期改正的，应承担1次一般违约责任（每次）。由此而发生安全生产事故，或被上级主管部门通报批评、被新闻媒体曝光的，监理人应承担严重违约责任1次（每次）；情节严重的，委托人有权部分或全部解除合同。</w:t>
      </w:r>
    </w:p>
    <w:p>
      <w:pPr>
        <w:spacing w:line="360" w:lineRule="auto"/>
        <w:ind w:firstLine="480" w:firstLineChars="200"/>
        <w:rPr>
          <w:rFonts w:ascii="宋体" w:hAnsi="宋体" w:cs="宋体"/>
          <w:sz w:val="24"/>
        </w:rPr>
      </w:pPr>
      <w:r>
        <w:rPr>
          <w:rFonts w:hint="eastAsia" w:ascii="宋体" w:hAnsi="宋体" w:cs="宋体"/>
          <w:bCs/>
          <w:sz w:val="24"/>
        </w:rPr>
        <w:t>15、</w:t>
      </w:r>
      <w:r>
        <w:rPr>
          <w:rFonts w:hint="eastAsia" w:ascii="宋体" w:hAnsi="宋体" w:cs="宋体"/>
          <w:sz w:val="24"/>
        </w:rPr>
        <w:t>本项目实施过程中，若发生重大安全责任事故，经核实监理人负有管理责任的，监理人按每发生一次人民币十万元承担违约责任。违约金按实际发生计算，没有上限。由此产生的法律责任和经济损失均由监理人承担。</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17、对于承包人不按时</w:t>
      </w:r>
      <w:r>
        <w:rPr>
          <w:rFonts w:hint="eastAsia" w:ascii="宋体" w:hAnsi="宋体" w:cs="宋体"/>
          <w:sz w:val="24"/>
        </w:rPr>
        <w:t>提交工程结算文件，监理人不按合同约定采取有效措施的，监理人应承担1次一般违约责任。监理人应在收到施工单位报送的结算书及必要的支持材料后30日内完成结算书初审工作，并上报委托人审核。否则，每拖延一天，支付1000元违约金，以此累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监理人根据合同约定对施工承包人提交的工程结算资料进行审核，如最终由委托人或其委托的第三方咨询机构审定的结算金额较由监理人审定的结算金额的差值大于正负5%，则由监理人按下列计算方法向委托人支付违约金，最多不超过本合同监理报酬总额的10%：</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违约金=[ㄧ（A－B）/Bㄧ-5%]×C</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其中：A-监理人审定的工程结算金额；</w:t>
      </w:r>
    </w:p>
    <w:p>
      <w:pPr>
        <w:adjustRightInd w:val="0"/>
        <w:snapToGrid w:val="0"/>
        <w:spacing w:line="360" w:lineRule="auto"/>
        <w:ind w:firstLine="1200" w:firstLineChars="500"/>
        <w:rPr>
          <w:rFonts w:ascii="宋体" w:hAnsi="宋体" w:cs="宋体"/>
          <w:bCs/>
          <w:sz w:val="24"/>
        </w:rPr>
      </w:pPr>
      <w:r>
        <w:rPr>
          <w:rFonts w:hint="eastAsia" w:ascii="宋体" w:hAnsi="宋体" w:cs="宋体"/>
          <w:bCs/>
          <w:sz w:val="24"/>
        </w:rPr>
        <w:t>B-委托人或其委托的第三方咨询机构审定的结算金额；</w:t>
      </w:r>
    </w:p>
    <w:p>
      <w:pPr>
        <w:adjustRightInd w:val="0"/>
        <w:snapToGrid w:val="0"/>
        <w:spacing w:line="360" w:lineRule="auto"/>
        <w:ind w:firstLine="1200" w:firstLineChars="500"/>
        <w:rPr>
          <w:rFonts w:ascii="宋体" w:hAnsi="宋体" w:cs="宋体"/>
          <w:bCs/>
          <w:sz w:val="24"/>
        </w:rPr>
      </w:pPr>
      <w:r>
        <w:rPr>
          <w:rFonts w:hint="eastAsia" w:ascii="宋体" w:hAnsi="宋体" w:cs="宋体"/>
          <w:bCs/>
          <w:sz w:val="24"/>
        </w:rPr>
        <w:t>C-监理合同报酬总额。</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19、对于单项工程施工过程中出现的工程变更、签证或清单漏项，如当月由委托人确定的单价或总价与监理人审定的单价或总价存在正负</w:t>
      </w:r>
      <w:r>
        <w:rPr>
          <w:rFonts w:ascii="宋体" w:hAnsi="宋体" w:cs="宋体"/>
          <w:bCs/>
          <w:sz w:val="24"/>
        </w:rPr>
        <w:t>5</w:t>
      </w:r>
      <w:r>
        <w:rPr>
          <w:rFonts w:hint="eastAsia" w:ascii="宋体" w:hAnsi="宋体" w:cs="宋体"/>
          <w:bCs/>
          <w:sz w:val="24"/>
        </w:rPr>
        <w:t>%以上的情况累计出现2宗以上（含2宗），</w:t>
      </w:r>
      <w:r>
        <w:rPr>
          <w:rFonts w:hint="eastAsia" w:ascii="宋体" w:hAnsi="宋体" w:cs="宋体"/>
          <w:bCs/>
          <w:sz w:val="24"/>
          <w:highlight w:val="none"/>
        </w:rPr>
        <w:t>监理人应当承担一次一般违约责任。</w:t>
      </w:r>
    </w:p>
    <w:p>
      <w:pPr>
        <w:adjustRightInd w:val="0"/>
        <w:snapToGrid w:val="0"/>
        <w:spacing w:line="360" w:lineRule="auto"/>
        <w:ind w:firstLine="360" w:firstLineChars="150"/>
        <w:rPr>
          <w:rFonts w:ascii="宋体" w:hAnsi="宋体" w:cs="宋体"/>
          <w:bCs/>
          <w:sz w:val="24"/>
        </w:rPr>
      </w:pPr>
      <w:r>
        <w:rPr>
          <w:rFonts w:hint="eastAsia" w:ascii="宋体" w:hAnsi="宋体" w:cs="宋体"/>
          <w:bCs/>
          <w:sz w:val="24"/>
        </w:rPr>
        <w:t>（五）其他方面的违约责任：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每次），情节严重的，委托人有权部分或全部解除合同并有权向有关部门反映情况，同时将上述违反职业道德的行为通过新闻媒体</w:t>
      </w:r>
      <w:r>
        <w:rPr>
          <w:rFonts w:hint="eastAsia" w:ascii="宋体" w:hAnsi="宋体" w:cs="宋体"/>
          <w:bCs/>
          <w:sz w:val="24"/>
          <w:lang w:eastAsia="zh-CN"/>
        </w:rPr>
        <w:t>公之于众</w:t>
      </w:r>
      <w:r>
        <w:rPr>
          <w:rFonts w:hint="eastAsia" w:ascii="宋体" w:hAnsi="宋体" w:cs="宋体"/>
          <w:bCs/>
          <w:sz w:val="24"/>
        </w:rPr>
        <w:t>，情节严重者移交司法机关追究法律责任。</w:t>
      </w:r>
    </w:p>
    <w:p>
      <w:pPr>
        <w:spacing w:line="360" w:lineRule="auto"/>
        <w:ind w:firstLine="480" w:firstLineChars="200"/>
        <w:rPr>
          <w:rFonts w:ascii="宋体" w:hAnsi="宋体" w:cs="宋体"/>
          <w:sz w:val="24"/>
        </w:rPr>
      </w:pPr>
      <w:r>
        <w:rPr>
          <w:rFonts w:hint="eastAsia" w:ascii="宋体" w:hAnsi="宋体" w:cs="宋体"/>
          <w:sz w:val="24"/>
        </w:rPr>
        <w:t>2、工程监理资料收集不齐、管理混乱的，监理人承担一般违约责任；缺损原始记录的，每件文件扣减1000元监理费。</w:t>
      </w:r>
    </w:p>
    <w:p>
      <w:pPr>
        <w:spacing w:line="360" w:lineRule="auto"/>
        <w:ind w:firstLine="480" w:firstLineChars="200"/>
        <w:rPr>
          <w:rFonts w:ascii="宋体" w:hAnsi="宋体" w:cs="宋体"/>
          <w:sz w:val="24"/>
        </w:rPr>
      </w:pPr>
      <w:r>
        <w:rPr>
          <w:rFonts w:hint="eastAsia" w:ascii="宋体" w:hAnsi="宋体" w:cs="宋体"/>
          <w:sz w:val="24"/>
        </w:rPr>
        <w:t>3、在委托人组织的履行监理合同检查评分中，监理人得分低于50分的，应承担一般违约责任。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除上述约定之外，监理人有违反合同约定的其他义务的，均构成违约，委托人有权视具体情况给予书面警告并限期改正，监理人拒不限期改正的，应承担1次一般违约责任（每次），情节严重的，应承担1次严重违约责任（每次）。</w:t>
      </w:r>
    </w:p>
    <w:p>
      <w:pPr>
        <w:pStyle w:val="24"/>
        <w:adjustRightInd w:val="0"/>
        <w:snapToGrid w:val="0"/>
        <w:spacing w:before="0" w:beforeAutospacing="0" w:after="0" w:afterAutospacing="0" w:line="360" w:lineRule="auto"/>
        <w:ind w:firstLine="480" w:firstLineChars="200"/>
        <w:jc w:val="both"/>
        <w:rPr>
          <w:snapToGrid w:val="0"/>
        </w:rPr>
      </w:pPr>
      <w:r>
        <w:rPr>
          <w:rFonts w:hint="eastAsia"/>
          <w:snapToGrid w:val="0"/>
        </w:rPr>
        <w:t>（六）委托人以书面形式作出的违约处理决定一经送达监理人立即生效。监理人如有足够证据证明不应由其承担违约责任的，应在收到违约处理决定后3天内以书面形式向委托人提出异议并附上有关证据，</w:t>
      </w:r>
      <w:r>
        <w:rPr>
          <w:rFonts w:hint="eastAsia"/>
          <w:bCs/>
        </w:rPr>
        <w:t>如监理人在3天内未提出书面异议的，即对委托人的违约处理决定表示确认，</w:t>
      </w:r>
      <w:r>
        <w:rPr>
          <w:rFonts w:hint="eastAsia"/>
          <w:snapToGrid w:val="0"/>
        </w:rPr>
        <w:t>委托人在收到监理人的异议后15天内审核完毕且作出书面决定并通知监理人。</w:t>
      </w:r>
    </w:p>
    <w:p>
      <w:pPr>
        <w:adjustRightInd w:val="0"/>
        <w:snapToGrid w:val="0"/>
        <w:spacing w:line="360" w:lineRule="auto"/>
        <w:ind w:firstLine="472" w:firstLineChars="196"/>
        <w:outlineLvl w:val="1"/>
        <w:rPr>
          <w:rFonts w:ascii="宋体" w:hAnsi="宋体" w:cs="宋体"/>
          <w:b/>
          <w:sz w:val="24"/>
          <w:u w:val="single"/>
        </w:rPr>
      </w:pPr>
      <w:r>
        <w:rPr>
          <w:rFonts w:hint="eastAsia" w:ascii="宋体" w:hAnsi="宋体" w:cs="宋体"/>
          <w:b/>
          <w:bCs/>
          <w:sz w:val="24"/>
        </w:rPr>
        <w:t xml:space="preserve">第九条 </w:t>
      </w:r>
      <w:r>
        <w:rPr>
          <w:rFonts w:hint="eastAsia" w:ascii="宋体" w:hAnsi="宋体" w:cs="宋体"/>
          <w:sz w:val="24"/>
        </w:rPr>
        <w:t>双方一致同意不适用本合同标准条款第二十七条的约定，承包人对质量和工期的违约，如监理人存在过错的，应按本合同专用条款相关约定承担违约责任。</w:t>
      </w:r>
    </w:p>
    <w:p>
      <w:pPr>
        <w:adjustRightInd w:val="0"/>
        <w:snapToGrid w:val="0"/>
        <w:spacing w:line="360" w:lineRule="auto"/>
        <w:ind w:firstLine="472" w:firstLineChars="196"/>
        <w:outlineLvl w:val="1"/>
        <w:rPr>
          <w:rFonts w:ascii="宋体" w:hAnsi="宋体" w:cs="宋体"/>
          <w:b/>
          <w:bCs/>
          <w:sz w:val="24"/>
        </w:rPr>
      </w:pPr>
      <w:r>
        <w:rPr>
          <w:rFonts w:hint="eastAsia" w:ascii="宋体" w:hAnsi="宋体" w:cs="宋体"/>
          <w:b/>
          <w:bCs/>
          <w:sz w:val="24"/>
        </w:rPr>
        <w:t xml:space="preserve">第十条 </w:t>
      </w:r>
      <w:r>
        <w:rPr>
          <w:rFonts w:hint="eastAsia" w:ascii="宋体" w:hAnsi="宋体" w:cs="宋体"/>
          <w:bCs/>
          <w:sz w:val="24"/>
        </w:rPr>
        <w:t>双方一致同意不适用本合同标准条款第三十一条的约定，由于委托人或承包人的原因使监理工作受到阻碍或延误，则监理人应当将此情况与可能产生的影响及时通知委托人，经委托人确认后完成监理业务的时间相应延长，监理人的报酬不变。</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第十一条</w:t>
      </w:r>
      <w:r>
        <w:rPr>
          <w:rFonts w:hint="eastAsia" w:ascii="宋体" w:hAnsi="宋体" w:cs="宋体"/>
          <w:sz w:val="24"/>
        </w:rPr>
        <w:t xml:space="preserve"> 双方一致同意不适用本合同标准条款第三十二条的约定，因不可归责于监理人的在实际情况发生变化，使得监理人不能全部或部分执行监理业务时，监理人应当立即通知委托人，该监理业务的完成时间应予延长。当恢复执行监理业务时，监理人应当立即恢复执行监理业务，监理人的报酬不变。</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第十二条</w:t>
      </w:r>
      <w:r>
        <w:rPr>
          <w:rFonts w:hint="eastAsia" w:ascii="宋体" w:hAnsi="宋体" w:cs="宋体"/>
          <w:sz w:val="24"/>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第十三条</w:t>
      </w:r>
      <w:r>
        <w:rPr>
          <w:rFonts w:hint="eastAsia" w:ascii="宋体" w:hAnsi="宋体" w:cs="宋体"/>
          <w:sz w:val="24"/>
        </w:rPr>
        <w:t xml:space="preserve"> 双方一致同意不适用本合同标准条款第三十四条的约定，除本合同另有约定外，本合同未经双方协商一致，不得变更或解除。因发生政策调整、项目变化或其他非监理人违约等原因致使监理工作需暂停或终止的，委托人有权解除本合同，并按监理人实际完成并经委托人确认的监理任务工作量进行结算，不视为委托人违约，委托人对此不作其他费用补偿或赔偿。委托人根据本合同的约定单方面部分或全部解除本合同的，自委托人书面通知监理人时起部分或全部解除本合同即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本合同的修改（包括服务范围的修改），只能以双方书面同意的方式进行。</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第十四条</w:t>
      </w:r>
      <w:r>
        <w:rPr>
          <w:rFonts w:hint="eastAsia" w:ascii="宋体" w:hAnsi="宋体" w:cs="宋体"/>
          <w:sz w:val="24"/>
        </w:rPr>
        <w:t xml:space="preserve"> 双方一致同意不适用本合同标准条款第三十五条的约定。</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第十五条</w:t>
      </w:r>
      <w:r>
        <w:rPr>
          <w:rFonts w:hint="eastAsia" w:ascii="宋体" w:hAnsi="宋体" w:cs="宋体"/>
          <w:sz w:val="24"/>
        </w:rPr>
        <w:t xml:space="preserve"> 双方一致同意不适用本合同标准条款第三十六条的约定。</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第十六条</w:t>
      </w:r>
      <w:r>
        <w:rPr>
          <w:rFonts w:hint="eastAsia" w:ascii="宋体" w:hAnsi="宋体" w:cs="宋体"/>
          <w:sz w:val="24"/>
        </w:rPr>
        <w:t xml:space="preserve"> 双方一致同意不适用本合同标准条款第三十七条的约定，当监理人无正当理由而又未履行监理义务时，按本合同专用条款第八条的约定处理。</w:t>
      </w:r>
    </w:p>
    <w:p>
      <w:pPr>
        <w:adjustRightInd w:val="0"/>
        <w:snapToGrid w:val="0"/>
        <w:spacing w:line="360" w:lineRule="auto"/>
        <w:ind w:firstLine="482" w:firstLineChars="200"/>
        <w:outlineLvl w:val="1"/>
        <w:rPr>
          <w:rFonts w:ascii="宋体" w:hAnsi="宋体" w:cs="宋体"/>
          <w:bCs/>
          <w:sz w:val="24"/>
        </w:rPr>
      </w:pPr>
      <w:r>
        <w:rPr>
          <w:rFonts w:hint="eastAsia" w:ascii="宋体" w:hAnsi="宋体" w:cs="宋体"/>
          <w:b/>
          <w:bCs/>
          <w:sz w:val="24"/>
        </w:rPr>
        <w:t xml:space="preserve">第十七条 </w:t>
      </w:r>
      <w:r>
        <w:rPr>
          <w:rFonts w:hint="eastAsia" w:ascii="宋体" w:hAnsi="宋体" w:cs="宋体"/>
          <w:bCs/>
          <w:sz w:val="24"/>
        </w:rPr>
        <w:t>双方一致同意不适用本合同标准条件第39条的约定，监理报酬的计算方法、支付时间与金额按本条以下约定执行：</w:t>
      </w:r>
    </w:p>
    <w:p>
      <w:pPr>
        <w:adjustRightInd w:val="0"/>
        <w:snapToGrid w:val="0"/>
        <w:spacing w:line="360" w:lineRule="auto"/>
        <w:ind w:firstLine="470" w:firstLineChars="196"/>
        <w:rPr>
          <w:rFonts w:ascii="宋体" w:hAnsi="宋体" w:cs="宋体"/>
          <w:bCs/>
          <w:sz w:val="24"/>
        </w:rPr>
      </w:pPr>
      <w:r>
        <w:rPr>
          <w:rFonts w:hint="eastAsia" w:ascii="宋体" w:hAnsi="宋体" w:cs="宋体"/>
          <w:bCs/>
          <w:sz w:val="24"/>
        </w:rPr>
        <w:t>（一）监理报酬的计取</w:t>
      </w:r>
    </w:p>
    <w:p>
      <w:pPr>
        <w:widowControl/>
        <w:numPr>
          <w:ilvl w:val="255"/>
          <w:numId w:val="0"/>
        </w:numPr>
        <w:adjustRightInd w:val="0"/>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1、</w:t>
      </w:r>
      <w:r>
        <w:rPr>
          <w:rFonts w:ascii="宋体" w:hAnsi="宋体"/>
          <w:bCs/>
          <w:snapToGrid w:val="0"/>
          <w:kern w:val="0"/>
          <w:sz w:val="24"/>
        </w:rPr>
        <w:t>本合同</w:t>
      </w:r>
      <w:r>
        <w:rPr>
          <w:rFonts w:hint="eastAsia" w:ascii="宋体" w:hAnsi="宋体"/>
          <w:bCs/>
          <w:snapToGrid w:val="0"/>
          <w:kern w:val="0"/>
          <w:sz w:val="24"/>
        </w:rPr>
        <w:t>的</w:t>
      </w:r>
      <w:r>
        <w:rPr>
          <w:rFonts w:ascii="宋体" w:hAnsi="宋体"/>
          <w:bCs/>
          <w:snapToGrid w:val="0"/>
          <w:kern w:val="0"/>
          <w:sz w:val="24"/>
        </w:rPr>
        <w:t>监理报酬</w:t>
      </w:r>
      <w:r>
        <w:rPr>
          <w:rFonts w:hint="eastAsia" w:ascii="宋体" w:hAnsi="宋体"/>
          <w:bCs/>
          <w:snapToGrid w:val="0"/>
          <w:kern w:val="0"/>
          <w:sz w:val="24"/>
        </w:rPr>
        <w:t>总额暂定价</w:t>
      </w:r>
      <w:r>
        <w:rPr>
          <w:rFonts w:ascii="宋体" w:hAnsi="宋体"/>
          <w:bCs/>
          <w:snapToGrid w:val="0"/>
          <w:kern w:val="0"/>
          <w:sz w:val="24"/>
        </w:rPr>
        <w:t>为</w:t>
      </w:r>
      <w:r>
        <w:rPr>
          <w:rFonts w:ascii="Arial" w:hAnsi="Arial" w:cs="Arial"/>
          <w:b/>
          <w:bCs/>
          <w:snapToGrid w:val="0"/>
          <w:kern w:val="0"/>
          <w:sz w:val="24"/>
          <w:u w:val="single"/>
          <w:lang w:val="zh-CN"/>
        </w:rPr>
        <w:t>¥</w:t>
      </w:r>
      <w:permStart w:id="18" w:edGrp="everyone"/>
      <w:r>
        <w:rPr>
          <w:rFonts w:hint="eastAsia" w:ascii="Arial" w:hAnsi="Arial" w:cs="Arial"/>
          <w:b/>
          <w:bCs/>
          <w:snapToGrid w:val="0"/>
          <w:kern w:val="0"/>
          <w:sz w:val="24"/>
          <w:u w:val="single"/>
        </w:rPr>
        <w:t xml:space="preserve"> </w:t>
      </w:r>
      <w:r>
        <w:rPr>
          <w:rFonts w:ascii="Arial" w:hAnsi="Arial" w:cs="Arial"/>
          <w:b/>
          <w:bCs/>
          <w:snapToGrid w:val="0"/>
          <w:kern w:val="0"/>
          <w:sz w:val="24"/>
          <w:u w:val="single"/>
        </w:rPr>
        <w:t xml:space="preserve">      </w:t>
      </w:r>
      <w:r>
        <w:rPr>
          <w:rFonts w:hint="eastAsia" w:ascii="Arial" w:hAnsi="Arial" w:cs="Arial"/>
          <w:b/>
          <w:bCs/>
          <w:snapToGrid w:val="0"/>
          <w:kern w:val="0"/>
          <w:sz w:val="24"/>
          <w:u w:val="single"/>
        </w:rPr>
        <w:t xml:space="preserve">  </w:t>
      </w:r>
      <w:permEnd w:id="18"/>
      <w:r>
        <w:rPr>
          <w:rFonts w:ascii="宋体" w:hAnsi="宋体"/>
          <w:bCs/>
          <w:snapToGrid w:val="0"/>
          <w:kern w:val="0"/>
          <w:sz w:val="24"/>
        </w:rPr>
        <w:t>元</w:t>
      </w:r>
      <w:r>
        <w:rPr>
          <w:rFonts w:hint="eastAsia" w:ascii="宋体" w:hAnsi="宋体"/>
          <w:bCs/>
          <w:snapToGrid w:val="0"/>
          <w:kern w:val="0"/>
          <w:sz w:val="24"/>
        </w:rPr>
        <w:t>（含税），具体由监理基础费用和监理绩效考核费用两部分组成：</w:t>
      </w:r>
    </w:p>
    <w:p>
      <w:pPr>
        <w:numPr>
          <w:ilvl w:val="255"/>
          <w:numId w:val="0"/>
        </w:numPr>
        <w:adjustRightInd w:val="0"/>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2.1、监理基础费用暂定价为</w:t>
      </w:r>
      <w:r>
        <w:rPr>
          <w:rFonts w:ascii="Arial" w:hAnsi="Arial" w:cs="Arial"/>
          <w:b/>
          <w:bCs/>
          <w:snapToGrid w:val="0"/>
          <w:kern w:val="0"/>
          <w:sz w:val="24"/>
          <w:u w:val="single"/>
          <w:lang w:val="zh-CN"/>
        </w:rPr>
        <w:t>¥</w:t>
      </w:r>
      <w:permStart w:id="19" w:edGrp="everyone"/>
      <w:r>
        <w:rPr>
          <w:rFonts w:ascii="Arial" w:hAnsi="Arial" w:cs="Arial"/>
          <w:b/>
          <w:bCs/>
          <w:snapToGrid w:val="0"/>
          <w:kern w:val="0"/>
          <w:sz w:val="24"/>
          <w:u w:val="single"/>
        </w:rPr>
        <w:t xml:space="preserve">         </w:t>
      </w:r>
      <w:r>
        <w:rPr>
          <w:rFonts w:hint="eastAsia" w:ascii="Arial" w:hAnsi="Arial" w:cs="Arial"/>
          <w:b/>
          <w:bCs/>
          <w:snapToGrid w:val="0"/>
          <w:kern w:val="0"/>
          <w:sz w:val="24"/>
          <w:u w:val="single"/>
        </w:rPr>
        <w:t xml:space="preserve"> </w:t>
      </w:r>
      <w:permEnd w:id="19"/>
      <w:r>
        <w:rPr>
          <w:rFonts w:ascii="宋体" w:hAnsi="宋体"/>
          <w:bCs/>
          <w:snapToGrid w:val="0"/>
          <w:kern w:val="0"/>
          <w:sz w:val="24"/>
        </w:rPr>
        <w:t>元</w:t>
      </w:r>
      <w:r>
        <w:rPr>
          <w:rFonts w:hint="eastAsia" w:ascii="宋体" w:hAnsi="宋体"/>
          <w:bCs/>
          <w:snapToGrid w:val="0"/>
          <w:kern w:val="0"/>
          <w:sz w:val="24"/>
        </w:rPr>
        <w:t>（按监理报酬总额暂定价的90%计取）；</w:t>
      </w:r>
    </w:p>
    <w:p>
      <w:pPr>
        <w:numPr>
          <w:ilvl w:val="255"/>
          <w:numId w:val="0"/>
        </w:numPr>
        <w:adjustRightInd w:val="0"/>
        <w:snapToGrid w:val="0"/>
        <w:spacing w:line="360" w:lineRule="auto"/>
        <w:ind w:firstLine="480" w:firstLineChars="200"/>
        <w:rPr>
          <w:rFonts w:ascii="宋体" w:hAnsi="宋体"/>
          <w:bCs/>
          <w:snapToGrid w:val="0"/>
          <w:kern w:val="0"/>
          <w:sz w:val="24"/>
        </w:rPr>
      </w:pPr>
      <w:r>
        <w:rPr>
          <w:rFonts w:ascii="宋体" w:hAnsi="宋体"/>
          <w:bCs/>
          <w:snapToGrid w:val="0"/>
          <w:kern w:val="0"/>
          <w:sz w:val="24"/>
        </w:rPr>
        <w:t>2.2</w:t>
      </w:r>
      <w:r>
        <w:rPr>
          <w:rFonts w:hint="eastAsia" w:ascii="宋体" w:hAnsi="宋体"/>
          <w:bCs/>
          <w:snapToGrid w:val="0"/>
          <w:kern w:val="0"/>
          <w:sz w:val="24"/>
        </w:rPr>
        <w:t>、监理现场管理水平绩效考核费用暂定价为</w:t>
      </w:r>
      <w:r>
        <w:rPr>
          <w:rFonts w:ascii="Arial" w:hAnsi="Arial" w:cs="Arial"/>
          <w:b/>
          <w:bCs/>
          <w:snapToGrid w:val="0"/>
          <w:kern w:val="0"/>
          <w:sz w:val="24"/>
          <w:u w:val="single"/>
          <w:lang w:val="zh-CN"/>
        </w:rPr>
        <w:t>¥</w:t>
      </w:r>
      <w:permStart w:id="20" w:edGrp="everyone"/>
      <w:r>
        <w:rPr>
          <w:rFonts w:ascii="Arial" w:hAnsi="Arial" w:cs="Arial"/>
          <w:b/>
          <w:bCs/>
          <w:snapToGrid w:val="0"/>
          <w:kern w:val="0"/>
          <w:sz w:val="24"/>
          <w:u w:val="single"/>
        </w:rPr>
        <w:t xml:space="preserve">       </w:t>
      </w:r>
      <w:r>
        <w:rPr>
          <w:rFonts w:hint="eastAsia" w:ascii="Arial" w:hAnsi="Arial" w:cs="Arial"/>
          <w:b/>
          <w:bCs/>
          <w:snapToGrid w:val="0"/>
          <w:kern w:val="0"/>
          <w:sz w:val="24"/>
          <w:u w:val="single"/>
        </w:rPr>
        <w:t xml:space="preserve"> </w:t>
      </w:r>
      <w:permEnd w:id="20"/>
      <w:r>
        <w:rPr>
          <w:rFonts w:ascii="宋体" w:hAnsi="宋体"/>
          <w:bCs/>
          <w:snapToGrid w:val="0"/>
          <w:kern w:val="0"/>
          <w:sz w:val="24"/>
        </w:rPr>
        <w:t>元</w:t>
      </w:r>
      <w:r>
        <w:rPr>
          <w:rFonts w:hint="eastAsia" w:ascii="宋体" w:hAnsi="宋体"/>
          <w:bCs/>
          <w:snapToGrid w:val="0"/>
          <w:kern w:val="0"/>
          <w:sz w:val="24"/>
        </w:rPr>
        <w:t>（按监理报酬总额暂定价的10%计取，以下简称“绩效考核费”），每期实际应付绩效考核费需按照当期对委托人的绩效考核结果计算，监理人须按委托人每期支付的绩效考核费全额支付给本项目负责的监理工作人员；</w:t>
      </w:r>
    </w:p>
    <w:p>
      <w:pPr>
        <w:adjustRightInd w:val="0"/>
        <w:snapToGrid w:val="0"/>
        <w:spacing w:line="360" w:lineRule="auto"/>
        <w:ind w:firstLine="480" w:firstLineChars="200"/>
        <w:rPr>
          <w:rFonts w:ascii="宋体" w:hAnsi="宋体"/>
          <w:bCs/>
          <w:sz w:val="24"/>
        </w:rPr>
      </w:pPr>
      <w:r>
        <w:rPr>
          <w:rFonts w:hint="eastAsia" w:ascii="宋体" w:hAnsi="宋体"/>
          <w:snapToGrid w:val="0"/>
          <w:kern w:val="0"/>
          <w:sz w:val="24"/>
        </w:rPr>
        <w:t>本工程监理报</w:t>
      </w:r>
      <w:r>
        <w:rPr>
          <w:rFonts w:ascii="宋体" w:hAnsi="宋体"/>
          <w:bCs/>
          <w:snapToGrid w:val="0"/>
          <w:kern w:val="0"/>
          <w:sz w:val="24"/>
        </w:rPr>
        <w:t>酬</w:t>
      </w:r>
      <w:r>
        <w:rPr>
          <w:rFonts w:hint="eastAsia" w:ascii="宋体" w:hAnsi="宋体"/>
          <w:bCs/>
          <w:snapToGrid w:val="0"/>
          <w:kern w:val="0"/>
          <w:sz w:val="24"/>
        </w:rPr>
        <w:t>计费基数暂按工程费用</w:t>
      </w:r>
      <w:r>
        <w:rPr>
          <w:rFonts w:hint="eastAsia" w:ascii="宋体" w:hAnsi="宋体"/>
          <w:sz w:val="24"/>
        </w:rPr>
        <w:t>投资估算</w:t>
      </w:r>
      <w:r>
        <w:rPr>
          <w:rFonts w:hint="eastAsia" w:ascii="宋体" w:hAnsi="宋体"/>
          <w:b/>
          <w:bCs/>
          <w:sz w:val="24"/>
          <w:u w:val="single"/>
        </w:rPr>
        <w:t xml:space="preserve"> </w:t>
      </w:r>
      <w:r>
        <w:rPr>
          <w:rFonts w:ascii="Arial" w:hAnsi="Arial" w:cs="Arial"/>
          <w:b/>
          <w:bCs/>
          <w:sz w:val="24"/>
          <w:u w:val="single"/>
        </w:rPr>
        <w:t>¥</w:t>
      </w:r>
      <w:permStart w:id="21" w:edGrp="everyone"/>
      <w:r>
        <w:rPr>
          <w:rFonts w:ascii="宋体" w:hAnsi="宋体" w:cs="宋体"/>
          <w:b/>
          <w:bCs/>
          <w:sz w:val="24"/>
          <w:u w:val="single"/>
        </w:rPr>
        <w:t xml:space="preserve">    </w:t>
      </w:r>
      <w:r>
        <w:rPr>
          <w:rFonts w:hint="eastAsia" w:ascii="宋体" w:hAnsi="宋体"/>
          <w:b/>
          <w:bCs/>
          <w:sz w:val="24"/>
          <w:u w:val="single"/>
        </w:rPr>
        <w:t xml:space="preserve"> </w:t>
      </w:r>
      <w:permEnd w:id="21"/>
      <w:r>
        <w:rPr>
          <w:rFonts w:hint="eastAsia" w:ascii="宋体" w:hAnsi="宋体"/>
          <w:sz w:val="24"/>
        </w:rPr>
        <w:t>万元计算</w:t>
      </w:r>
      <w:r>
        <w:rPr>
          <w:rFonts w:hint="eastAsia" w:ascii="宋体" w:hAnsi="宋体"/>
          <w:bCs/>
          <w:snapToGrid w:val="0"/>
          <w:kern w:val="0"/>
          <w:sz w:val="24"/>
        </w:rPr>
        <w:t>，</w:t>
      </w:r>
      <w:r>
        <w:rPr>
          <w:rFonts w:hint="eastAsia" w:ascii="宋体" w:hAnsi="宋体"/>
          <w:snapToGrid w:val="0"/>
          <w:kern w:val="0"/>
          <w:sz w:val="24"/>
        </w:rPr>
        <w:t>专业调整系数为</w:t>
      </w:r>
      <w:permStart w:id="22" w:edGrp="everyone"/>
      <w:r>
        <w:rPr>
          <w:rFonts w:ascii="宋体" w:hAnsi="宋体"/>
          <w:b/>
          <w:bCs/>
          <w:snapToGrid w:val="0"/>
          <w:kern w:val="0"/>
          <w:sz w:val="24"/>
          <w:u w:val="single"/>
        </w:rPr>
        <w:t xml:space="preserve">     </w:t>
      </w:r>
      <w:permEnd w:id="22"/>
      <w:r>
        <w:rPr>
          <w:rFonts w:hint="eastAsia" w:ascii="宋体" w:hAnsi="宋体"/>
          <w:snapToGrid w:val="0"/>
          <w:kern w:val="0"/>
          <w:sz w:val="24"/>
        </w:rPr>
        <w:t>；工程复杂程度调整系数为</w:t>
      </w:r>
      <w:permStart w:id="23" w:edGrp="everyone"/>
      <w:r>
        <w:rPr>
          <w:rFonts w:ascii="宋体" w:hAnsi="宋体"/>
          <w:b/>
          <w:bCs/>
          <w:snapToGrid w:val="0"/>
          <w:kern w:val="0"/>
          <w:sz w:val="24"/>
          <w:u w:val="single"/>
        </w:rPr>
        <w:t xml:space="preserve">     </w:t>
      </w:r>
      <w:permEnd w:id="23"/>
      <w:r>
        <w:rPr>
          <w:rFonts w:hint="eastAsia" w:ascii="宋体" w:hAnsi="宋体"/>
          <w:snapToGrid w:val="0"/>
          <w:kern w:val="0"/>
          <w:sz w:val="24"/>
        </w:rPr>
        <w:t>；高程调整系数为</w:t>
      </w:r>
      <w:permStart w:id="24" w:edGrp="everyone"/>
      <w:r>
        <w:rPr>
          <w:rFonts w:ascii="宋体" w:hAnsi="宋体"/>
          <w:b/>
          <w:bCs/>
          <w:snapToGrid w:val="0"/>
          <w:kern w:val="0"/>
          <w:sz w:val="24"/>
          <w:u w:val="single"/>
        </w:rPr>
        <w:t xml:space="preserve">     </w:t>
      </w:r>
      <w:r>
        <w:rPr>
          <w:rFonts w:hint="eastAsia" w:ascii="宋体" w:hAnsi="宋体"/>
          <w:b/>
          <w:bCs/>
          <w:snapToGrid w:val="0"/>
          <w:kern w:val="0"/>
          <w:sz w:val="24"/>
          <w:u w:val="single"/>
        </w:rPr>
        <w:t xml:space="preserve"> </w:t>
      </w:r>
      <w:permEnd w:id="24"/>
      <w:r>
        <w:rPr>
          <w:rFonts w:hint="eastAsia" w:ascii="宋体" w:hAnsi="宋体"/>
          <w:b/>
          <w:bCs/>
          <w:snapToGrid w:val="0"/>
          <w:kern w:val="0"/>
          <w:sz w:val="24"/>
        </w:rPr>
        <w:t>，</w:t>
      </w:r>
      <w:r>
        <w:rPr>
          <w:rFonts w:hint="eastAsia" w:ascii="宋体" w:hAnsi="宋体"/>
          <w:bCs/>
          <w:sz w:val="24"/>
        </w:rPr>
        <w:t>中标下浮率</w:t>
      </w:r>
      <w:permStart w:id="25" w:edGrp="everyone"/>
      <w:r>
        <w:rPr>
          <w:rFonts w:hint="eastAsia" w:ascii="宋体" w:hAnsi="宋体"/>
          <w:b/>
          <w:sz w:val="24"/>
          <w:u w:val="single"/>
        </w:rPr>
        <w:t xml:space="preserve"> </w:t>
      </w:r>
      <w:r>
        <w:rPr>
          <w:rFonts w:ascii="宋体" w:hAnsi="宋体"/>
          <w:b/>
          <w:sz w:val="24"/>
          <w:u w:val="single"/>
        </w:rPr>
        <w:t xml:space="preserve">     </w:t>
      </w:r>
      <w:r>
        <w:rPr>
          <w:rFonts w:hint="eastAsia" w:ascii="宋体" w:hAnsi="宋体"/>
          <w:bCs/>
          <w:sz w:val="24"/>
          <w:u w:val="single"/>
        </w:rPr>
        <w:t xml:space="preserve"> </w:t>
      </w:r>
      <w:permEnd w:id="25"/>
      <w:r>
        <w:rPr>
          <w:rFonts w:hint="eastAsia" w:ascii="宋体" w:hAnsi="宋体"/>
          <w:bCs/>
          <w:sz w:val="24"/>
        </w:rPr>
        <w:t>。</w:t>
      </w:r>
      <w:r>
        <w:rPr>
          <w:rFonts w:hint="eastAsia" w:ascii="宋体" w:hAnsi="宋体"/>
          <w:bCs/>
          <w:sz w:val="24"/>
          <w:lang w:val="en-US" w:eastAsia="zh-CN"/>
        </w:rPr>
        <w:t>结算以工程结算价作为计费基数计算后，乘以系数及中标下浮率进行结算。</w:t>
      </w:r>
    </w:p>
    <w:p>
      <w:pPr>
        <w:numPr>
          <w:ilvl w:val="255"/>
          <w:numId w:val="0"/>
        </w:numPr>
        <w:adjustRightInd w:val="0"/>
        <w:snapToGrid w:val="0"/>
        <w:spacing w:line="360" w:lineRule="auto"/>
        <w:ind w:firstLine="480" w:firstLineChars="200"/>
        <w:rPr>
          <w:rFonts w:ascii="宋体" w:hAnsi="宋体" w:cs="宋体"/>
          <w:bCs/>
          <w:sz w:val="24"/>
        </w:rPr>
      </w:pPr>
      <w:r>
        <w:rPr>
          <w:rFonts w:hint="eastAsia" w:ascii="宋体" w:hAnsi="宋体"/>
          <w:bCs/>
          <w:snapToGrid w:val="0"/>
          <w:kern w:val="0"/>
          <w:sz w:val="24"/>
        </w:rPr>
        <w:t>监理费报酬结算价最终以委托人</w:t>
      </w:r>
      <w:r>
        <w:rPr>
          <w:rFonts w:hint="eastAsia" w:ascii="宋体" w:hAnsi="宋体"/>
          <w:bCs/>
          <w:sz w:val="24"/>
        </w:rPr>
        <w:t>或其</w:t>
      </w:r>
      <w:r>
        <w:rPr>
          <w:rFonts w:hint="eastAsia" w:ascii="宋体" w:hAnsi="宋体"/>
          <w:bCs/>
          <w:snapToGrid w:val="0"/>
          <w:kern w:val="0"/>
          <w:sz w:val="24"/>
        </w:rPr>
        <w:t>授权</w:t>
      </w:r>
      <w:r>
        <w:rPr>
          <w:rFonts w:hint="eastAsia" w:ascii="宋体" w:hAnsi="宋体"/>
          <w:bCs/>
          <w:sz w:val="24"/>
        </w:rPr>
        <w:t>委托的第三方咨询单位</w:t>
      </w:r>
      <w:r>
        <w:rPr>
          <w:rFonts w:hint="eastAsia" w:ascii="宋体" w:hAnsi="宋体"/>
          <w:bCs/>
          <w:snapToGrid w:val="0"/>
          <w:kern w:val="0"/>
          <w:sz w:val="24"/>
        </w:rPr>
        <w:t>按合同约定审定结算价为准。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3、在本合同约定的监理范围内，监理人不得以任何理由要求附加工作和额外工作的监理报酬。</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4、在本合同约定的监理范围内，当工程量增加、或设计变更或设计规模变化时，监理人工作的变化均应视为本合同约定的监理工作。</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5、除非双方另有约定，本合同约定的服务期间，各种费率和费用不因物价变动而给予弥补或调整。</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6、在本合同约定的监理范围内，非因监理人原因造成工程延期，致使监理服务期出现延长，监理人的责任期也应相应延长，本合同监理报酬总额不作调整，双方另有约定的除外。</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不作其他费用补偿。</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8、如在工程实施期间，因任何原因造成本合同工程中间停工而导致监理人必须二次或多次进出场，监理报酬总额将不会因此而有所调整，相关费用亦已经包含在本合同监理报酬中。本合同监理报酬含项目全部监理咨询工作所需的全部费用、监理成本、税金和利润（包括办公及检测仪器费、工资、加班费、食宿、通讯、交通及其后勤保障等）。</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（二）监理报酬的支付</w:t>
      </w:r>
    </w:p>
    <w:p>
      <w:pPr>
        <w:spacing w:line="360" w:lineRule="auto"/>
        <w:ind w:firstLine="480" w:firstLineChars="200"/>
        <w:rPr>
          <w:rFonts w:ascii="宋体" w:hAnsi="宋体"/>
          <w:bCs/>
          <w:sz w:val="24"/>
        </w:rPr>
      </w:pPr>
      <w:r>
        <w:rPr>
          <w:rFonts w:hint="eastAsia" w:ascii="宋体" w:hAnsi="宋体"/>
          <w:bCs/>
          <w:sz w:val="24"/>
        </w:rPr>
        <w:t>1、监理合同签订，监理人提供经委托人审批的监理规划、监理实施细则，项目监理人员组织机构经委托人审核备案后，</w:t>
      </w:r>
      <w:r>
        <w:rPr>
          <w:rFonts w:hint="eastAsia" w:ascii="宋体" w:hAnsi="宋体"/>
          <w:sz w:val="24"/>
        </w:rPr>
        <w:t>且委托人收到监理人请款申请及发票后15个工作日内，委托人向监理人支付监理基础费暂定价的10%。</w:t>
      </w:r>
    </w:p>
    <w:p>
      <w:pPr>
        <w:widowControl/>
        <w:spacing w:line="360" w:lineRule="auto"/>
        <w:ind w:firstLine="480" w:firstLineChars="200"/>
        <w:rPr>
          <w:rFonts w:ascii="宋体" w:hAnsi="宋体"/>
          <w:bCs/>
          <w:sz w:val="24"/>
        </w:rPr>
      </w:pPr>
      <w:permStart w:id="26" w:edGrp="everyone"/>
      <w:r>
        <w:rPr>
          <w:rFonts w:hint="eastAsia" w:ascii="宋体" w:hAnsi="宋体"/>
          <w:bCs/>
          <w:sz w:val="24"/>
        </w:rPr>
        <w:t>2、</w:t>
      </w:r>
      <w:r>
        <w:rPr>
          <w:rFonts w:ascii="宋体" w:hAnsi="宋体"/>
          <w:bCs/>
          <w:sz w:val="24"/>
        </w:rPr>
        <w:t>监理费进度</w:t>
      </w:r>
      <w:r>
        <w:rPr>
          <w:rFonts w:hint="eastAsia" w:ascii="宋体" w:hAnsi="宋体"/>
          <w:bCs/>
          <w:sz w:val="24"/>
        </w:rPr>
        <w:t>款根据经委托人现场审核确认的实际</w:t>
      </w:r>
      <w:r>
        <w:rPr>
          <w:rFonts w:ascii="宋体" w:hAnsi="宋体"/>
          <w:bCs/>
          <w:sz w:val="24"/>
        </w:rPr>
        <w:t>工程进度</w:t>
      </w:r>
      <w:r>
        <w:rPr>
          <w:rFonts w:hint="eastAsia" w:ascii="宋体" w:hAnsi="宋体"/>
          <w:bCs/>
          <w:sz w:val="24"/>
        </w:rPr>
        <w:t>和绩效考核结果每2个月</w:t>
      </w:r>
      <w:r>
        <w:rPr>
          <w:rFonts w:ascii="宋体" w:hAnsi="宋体"/>
          <w:bCs/>
          <w:sz w:val="24"/>
        </w:rPr>
        <w:t>支付</w:t>
      </w:r>
      <w:r>
        <w:rPr>
          <w:rFonts w:hint="eastAsia" w:ascii="宋体" w:hAnsi="宋体"/>
          <w:bCs/>
          <w:sz w:val="24"/>
        </w:rPr>
        <w:t>一次，每次分两部分组成：</w:t>
      </w:r>
    </w:p>
    <w:p>
      <w:pPr>
        <w:widowControl/>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1、每次支付</w:t>
      </w:r>
      <w:r>
        <w:rPr>
          <w:rFonts w:hint="eastAsia" w:ascii="宋体" w:hAnsi="宋体" w:cs="宋体"/>
          <w:bCs/>
          <w:sz w:val="24"/>
        </w:rPr>
        <w:t>的监理基础费均按监理报酬总额暂定价×（累计至本期已支付的监理范围所有专业施工工程进度款</w:t>
      </w:r>
      <w:r>
        <w:rPr>
          <w:rFonts w:ascii="宋体" w:hAnsi="宋体" w:cs="宋体"/>
          <w:bCs/>
          <w:sz w:val="24"/>
        </w:rPr>
        <w:t xml:space="preserve"> ÷ </w:t>
      </w:r>
      <w:r>
        <w:rPr>
          <w:rFonts w:hint="eastAsia" w:ascii="宋体" w:hAnsi="宋体" w:cs="宋体"/>
          <w:bCs/>
          <w:sz w:val="24"/>
        </w:rPr>
        <w:t>本项目工程费用投资估算（或修正后的工程投资估算））×</w:t>
      </w:r>
      <w:r>
        <w:rPr>
          <w:rFonts w:ascii="宋体" w:hAnsi="宋体" w:cs="宋体"/>
          <w:bCs/>
          <w:sz w:val="24"/>
        </w:rPr>
        <w:t>90%；</w:t>
      </w:r>
      <w:r>
        <w:rPr>
          <w:rFonts w:hint="eastAsia" w:ascii="宋体" w:hAnsi="宋体" w:cs="宋体"/>
          <w:bCs/>
          <w:sz w:val="24"/>
        </w:rPr>
        <w:t>委托人每次</w:t>
      </w:r>
      <w:r>
        <w:rPr>
          <w:rFonts w:hint="eastAsia" w:ascii="宋体" w:hAnsi="宋体"/>
          <w:bCs/>
          <w:sz w:val="24"/>
        </w:rPr>
        <w:t>支付时，需附监理人盖章确认的违约台账并经委托人确认后支付，如有违约罚金，需缴清当期违约金后方可支付该笔</w:t>
      </w:r>
      <w:r>
        <w:rPr>
          <w:rFonts w:ascii="宋体" w:hAnsi="宋体"/>
          <w:bCs/>
          <w:sz w:val="24"/>
        </w:rPr>
        <w:t>监理</w:t>
      </w:r>
      <w:r>
        <w:rPr>
          <w:rFonts w:hint="eastAsia" w:ascii="宋体" w:hAnsi="宋体"/>
          <w:bCs/>
          <w:sz w:val="24"/>
        </w:rPr>
        <w:t>基础</w:t>
      </w:r>
      <w:r>
        <w:rPr>
          <w:rFonts w:ascii="宋体" w:hAnsi="宋体"/>
          <w:bCs/>
          <w:sz w:val="24"/>
        </w:rPr>
        <w:t>费</w:t>
      </w:r>
      <w:r>
        <w:rPr>
          <w:rFonts w:hint="eastAsia" w:ascii="宋体" w:hAnsi="宋体"/>
          <w:bCs/>
          <w:sz w:val="24"/>
        </w:rPr>
        <w:t>进度款，</w:t>
      </w:r>
      <w:r>
        <w:rPr>
          <w:rFonts w:hint="eastAsia" w:ascii="宋体" w:hAnsi="宋体" w:cs="宋体"/>
          <w:sz w:val="24"/>
        </w:rPr>
        <w:t>否则，委托人有权拒绝付款并顺延付款时间，且不视为违约。工程完工时，累计支付不超过</w:t>
      </w:r>
      <w:r>
        <w:rPr>
          <w:rFonts w:hint="eastAsia" w:ascii="宋体" w:hAnsi="宋体" w:cs="宋体"/>
          <w:bCs/>
          <w:sz w:val="24"/>
        </w:rPr>
        <w:t>监理基础费暂定价</w:t>
      </w:r>
      <w:r>
        <w:rPr>
          <w:rFonts w:hint="eastAsia" w:ascii="宋体" w:hAnsi="宋体" w:cs="宋体"/>
          <w:sz w:val="24"/>
        </w:rPr>
        <w:t>的75%。</w:t>
      </w:r>
    </w:p>
    <w:p>
      <w:pPr>
        <w:widowControl/>
        <w:spacing w:line="360" w:lineRule="auto"/>
        <w:ind w:firstLine="480" w:firstLineChars="200"/>
        <w:rPr>
          <w:rFonts w:cs="宋体"/>
          <w:bCs/>
          <w:sz w:val="24"/>
        </w:rPr>
      </w:pPr>
      <w:r>
        <w:rPr>
          <w:rFonts w:ascii="宋体" w:hAnsi="宋体" w:cs="宋体"/>
          <w:bCs/>
          <w:sz w:val="24"/>
        </w:rPr>
        <w:t>2.2、</w:t>
      </w:r>
      <w:r>
        <w:rPr>
          <w:rFonts w:hint="eastAsia" w:ascii="宋体" w:hAnsi="宋体" w:cs="宋体"/>
          <w:bCs/>
          <w:sz w:val="24"/>
        </w:rPr>
        <w:t>每次支付的</w:t>
      </w:r>
      <w:r>
        <w:rPr>
          <w:rFonts w:hint="eastAsia" w:ascii="宋体" w:hAnsi="宋体" w:cs="宋体"/>
          <w:bCs/>
          <w:snapToGrid w:val="0"/>
          <w:kern w:val="0"/>
          <w:sz w:val="24"/>
        </w:rPr>
        <w:t>绩效考核费</w:t>
      </w:r>
      <w:r>
        <w:rPr>
          <w:rFonts w:ascii="宋体" w:hAnsi="宋体" w:cs="宋体"/>
          <w:bCs/>
          <w:snapToGrid w:val="0"/>
          <w:kern w:val="0"/>
          <w:sz w:val="24"/>
        </w:rPr>
        <w:t>=</w:t>
      </w:r>
      <w:r>
        <w:rPr>
          <w:rFonts w:hint="eastAsia" w:ascii="宋体" w:hAnsi="宋体" w:cs="宋体"/>
          <w:bCs/>
          <w:sz w:val="24"/>
        </w:rPr>
        <w:t>监理报酬总额暂定价×（累计至本期已支付的监理范围所有专业施工工程进度款</w:t>
      </w:r>
      <w:r>
        <w:rPr>
          <w:rFonts w:ascii="宋体" w:hAnsi="宋体" w:cs="宋体"/>
          <w:bCs/>
          <w:sz w:val="24"/>
        </w:rPr>
        <w:t xml:space="preserve"> ÷ </w:t>
      </w:r>
      <w:r>
        <w:rPr>
          <w:rFonts w:hint="eastAsia" w:ascii="宋体" w:hAnsi="宋体" w:cs="宋体"/>
          <w:bCs/>
          <w:sz w:val="24"/>
        </w:rPr>
        <w:t>本项目工程费用投资估算（或修正后的工程投资估算））×10%×当期绩效考核费费率；委托人每次支付时，需附总监理工程师或其代表签字确认的《</w:t>
      </w:r>
      <w:r>
        <w:rPr>
          <w:rFonts w:hint="eastAsia" w:ascii="宋体" w:hAnsi="宋体" w:cs="宋体"/>
          <w:b/>
          <w:bCs/>
          <w:sz w:val="24"/>
          <w:szCs w:val="32"/>
        </w:rPr>
        <w:t>项目监理人员履行工程监理合同检查评分表</w:t>
      </w:r>
      <w:r>
        <w:rPr>
          <w:rFonts w:hint="eastAsia" w:ascii="宋体" w:hAnsi="宋体" w:cs="宋体"/>
          <w:bCs/>
          <w:sz w:val="24"/>
        </w:rPr>
        <w:t>》及其汇总表</w:t>
      </w:r>
      <w:r>
        <w:rPr>
          <w:rFonts w:hint="eastAsia" w:ascii="宋体" w:hAnsi="宋体" w:cs="宋体"/>
          <w:bCs/>
          <w:snapToGrid w:val="0"/>
          <w:kern w:val="0"/>
          <w:sz w:val="24"/>
        </w:rPr>
        <w:t>（详见附件</w:t>
      </w:r>
      <w:r>
        <w:rPr>
          <w:rFonts w:ascii="宋体" w:hAnsi="宋体" w:cs="宋体"/>
          <w:bCs/>
          <w:snapToGrid w:val="0"/>
          <w:kern w:val="0"/>
          <w:sz w:val="24"/>
        </w:rPr>
        <w:t>1</w:t>
      </w:r>
      <w:r>
        <w:rPr>
          <w:rFonts w:hint="eastAsia" w:ascii="宋体" w:hAnsi="宋体" w:cs="宋体"/>
          <w:bCs/>
          <w:snapToGrid w:val="0"/>
          <w:kern w:val="0"/>
          <w:sz w:val="24"/>
        </w:rPr>
        <w:t>）并经委托人确认后支付；委托人有权监督检查监理人绩效考核费发放情况，如当期达不到绩效考核费发放标准或监理人不足额向其负责本项目的监理工作人员发放绩效奖励，则当期绩效考核费用为零，且不累积到下一期的绩效考核费用中。</w:t>
      </w:r>
    </w:p>
    <w:p>
      <w:pPr>
        <w:widowControl/>
        <w:spacing w:line="360" w:lineRule="auto"/>
        <w:ind w:firstLine="480" w:firstLineChars="200"/>
        <w:rPr>
          <w:rFonts w:ascii="宋体" w:hAnsi="宋体"/>
          <w:bCs/>
          <w:sz w:val="24"/>
        </w:rPr>
      </w:pPr>
      <w:r>
        <w:rPr>
          <w:rFonts w:hint="eastAsia" w:ascii="宋体" w:hAnsi="宋体"/>
          <w:bCs/>
          <w:sz w:val="24"/>
        </w:rPr>
        <w:t>3、</w:t>
      </w:r>
      <w:r>
        <w:rPr>
          <w:rFonts w:ascii="宋体" w:hAnsi="宋体" w:cs="宋体"/>
          <w:sz w:val="24"/>
        </w:rPr>
        <w:t>待</w:t>
      </w:r>
      <w:r>
        <w:rPr>
          <w:rFonts w:hint="eastAsia" w:ascii="宋体" w:hAnsi="宋体" w:cs="宋体"/>
          <w:sz w:val="24"/>
        </w:rPr>
        <w:t>工程</w:t>
      </w:r>
      <w:r>
        <w:rPr>
          <w:rFonts w:ascii="宋体" w:hAnsi="宋体" w:cs="宋体"/>
          <w:sz w:val="24"/>
        </w:rPr>
        <w:t>竣工验收完成，监理</w:t>
      </w:r>
      <w:r>
        <w:rPr>
          <w:rFonts w:hint="eastAsia" w:ascii="宋体" w:hAnsi="宋体" w:cs="宋体"/>
          <w:sz w:val="24"/>
        </w:rPr>
        <w:t>人</w:t>
      </w:r>
      <w:r>
        <w:rPr>
          <w:rFonts w:ascii="宋体" w:hAnsi="宋体" w:cs="宋体"/>
          <w:sz w:val="24"/>
        </w:rPr>
        <w:t>督促施工单位完成验收备案后</w:t>
      </w:r>
      <w:r>
        <w:rPr>
          <w:rFonts w:hint="eastAsia" w:ascii="宋体" w:hAnsi="宋体" w:cs="宋体"/>
          <w:sz w:val="24"/>
        </w:rPr>
        <w:t>，委托人</w:t>
      </w:r>
      <w:r>
        <w:rPr>
          <w:rFonts w:ascii="宋体" w:hAnsi="宋体" w:cs="宋体"/>
          <w:sz w:val="24"/>
        </w:rPr>
        <w:t>再支付至监理</w:t>
      </w:r>
      <w:r>
        <w:rPr>
          <w:rFonts w:hint="eastAsia" w:ascii="宋体" w:hAnsi="宋体" w:cs="宋体"/>
          <w:sz w:val="24"/>
        </w:rPr>
        <w:t>基础</w:t>
      </w:r>
      <w:r>
        <w:rPr>
          <w:rFonts w:ascii="宋体" w:hAnsi="宋体" w:cs="宋体"/>
          <w:sz w:val="24"/>
        </w:rPr>
        <w:t>费</w:t>
      </w:r>
      <w:r>
        <w:rPr>
          <w:rFonts w:hint="eastAsia" w:ascii="宋体" w:hAnsi="宋体" w:cs="宋体"/>
          <w:sz w:val="24"/>
        </w:rPr>
        <w:t>暂定价</w:t>
      </w:r>
      <w:r>
        <w:rPr>
          <w:rFonts w:ascii="宋体" w:hAnsi="宋体" w:cs="宋体"/>
          <w:sz w:val="24"/>
        </w:rPr>
        <w:t>的90%</w:t>
      </w:r>
      <w:r>
        <w:rPr>
          <w:rFonts w:hint="eastAsia" w:ascii="宋体" w:hAnsi="宋体" w:cs="宋体"/>
          <w:sz w:val="24"/>
        </w:rPr>
        <w:t>，</w:t>
      </w:r>
      <w:r>
        <w:rPr>
          <w:rFonts w:hint="eastAsia" w:ascii="宋体" w:hAnsi="宋体"/>
          <w:bCs/>
          <w:sz w:val="24"/>
        </w:rPr>
        <w:t>施工结算经委托人或其委托的第三方咨询单位审核且</w:t>
      </w:r>
      <w:r>
        <w:rPr>
          <w:rFonts w:hint="eastAsia" w:ascii="宋体" w:hAnsi="宋体"/>
          <w:sz w:val="24"/>
        </w:rPr>
        <w:t>相关</w:t>
      </w:r>
      <w:r>
        <w:rPr>
          <w:rFonts w:hint="eastAsia" w:ascii="宋体" w:hAnsi="宋体"/>
          <w:sz w:val="24"/>
          <w:lang w:bidi="ar"/>
        </w:rPr>
        <w:t>监理资料移交完毕并</w:t>
      </w:r>
      <w:r>
        <w:rPr>
          <w:rFonts w:hint="eastAsia" w:ascii="宋体" w:hAnsi="宋体"/>
          <w:bCs/>
          <w:sz w:val="24"/>
        </w:rPr>
        <w:t>监理费结算办理完毕后，累计支付至监理费结算价的97%。若有多个施工合同的，则累计支付监理费金额为监理费结算价的97%×【监理范围已送审施工结算金额</w:t>
      </w:r>
      <w:r>
        <w:rPr>
          <w:rFonts w:ascii="宋体" w:hAnsi="宋体"/>
          <w:bCs/>
          <w:sz w:val="24"/>
        </w:rPr>
        <w:t>/</w:t>
      </w:r>
      <w:r>
        <w:rPr>
          <w:rFonts w:hint="eastAsia" w:ascii="宋体" w:hAnsi="宋体"/>
          <w:bCs/>
          <w:sz w:val="24"/>
        </w:rPr>
        <w:t>本项目工程费用投资估算（或修正后的工程投资估算）】，但累计支付不超过</w:t>
      </w:r>
      <w:r>
        <w:rPr>
          <w:rFonts w:ascii="宋体" w:hAnsi="宋体" w:cs="宋体"/>
          <w:sz w:val="24"/>
        </w:rPr>
        <w:t>监理费</w:t>
      </w:r>
      <w:r>
        <w:rPr>
          <w:rFonts w:hint="eastAsia" w:ascii="宋体" w:hAnsi="宋体" w:cs="宋体"/>
          <w:sz w:val="24"/>
        </w:rPr>
        <w:t>暂定价</w:t>
      </w:r>
      <w:r>
        <w:rPr>
          <w:rFonts w:hint="eastAsia" w:ascii="宋体" w:hAnsi="宋体"/>
          <w:bCs/>
          <w:sz w:val="24"/>
        </w:rPr>
        <w:t>的97%。支付本期</w:t>
      </w:r>
      <w:r>
        <w:rPr>
          <w:rFonts w:ascii="宋体" w:hAnsi="宋体"/>
          <w:bCs/>
          <w:sz w:val="24"/>
        </w:rPr>
        <w:t>监理费</w:t>
      </w:r>
      <w:r>
        <w:rPr>
          <w:rFonts w:hint="eastAsia" w:ascii="宋体" w:hAnsi="宋体"/>
          <w:bCs/>
          <w:sz w:val="24"/>
        </w:rPr>
        <w:t>时，需附监理人盖章确认的违约台账及</w:t>
      </w:r>
      <w:r>
        <w:rPr>
          <w:rFonts w:hint="eastAsia" w:ascii="宋体" w:hAnsi="宋体" w:cs="宋体"/>
          <w:bCs/>
          <w:sz w:val="24"/>
        </w:rPr>
        <w:t>总监理工程师或其代表签字确认的《</w:t>
      </w:r>
      <w:r>
        <w:rPr>
          <w:rFonts w:hint="eastAsia" w:ascii="宋体" w:hAnsi="宋体" w:cs="宋体"/>
          <w:b/>
          <w:bCs/>
          <w:sz w:val="24"/>
          <w:szCs w:val="32"/>
        </w:rPr>
        <w:t>项目监理人员履行工程监理合同检查评分表</w:t>
      </w:r>
      <w:r>
        <w:rPr>
          <w:rFonts w:hint="eastAsia" w:ascii="宋体" w:hAnsi="宋体" w:cs="宋体"/>
          <w:bCs/>
          <w:sz w:val="24"/>
        </w:rPr>
        <w:t>》及其汇总表</w:t>
      </w:r>
      <w:r>
        <w:rPr>
          <w:rFonts w:hint="eastAsia" w:ascii="宋体" w:hAnsi="宋体" w:cs="宋体"/>
          <w:bCs/>
          <w:snapToGrid w:val="0"/>
          <w:kern w:val="0"/>
          <w:sz w:val="24"/>
        </w:rPr>
        <w:t>（详见附件</w:t>
      </w:r>
      <w:r>
        <w:rPr>
          <w:rFonts w:ascii="宋体" w:hAnsi="宋体" w:cs="宋体"/>
          <w:bCs/>
          <w:snapToGrid w:val="0"/>
          <w:kern w:val="0"/>
          <w:sz w:val="24"/>
        </w:rPr>
        <w:t>1</w:t>
      </w:r>
      <w:r>
        <w:rPr>
          <w:rFonts w:hint="eastAsia" w:ascii="宋体" w:hAnsi="宋体" w:cs="宋体"/>
          <w:bCs/>
          <w:snapToGrid w:val="0"/>
          <w:kern w:val="0"/>
          <w:sz w:val="24"/>
        </w:rPr>
        <w:t>)并经委托人确认后支付</w:t>
      </w:r>
      <w:r>
        <w:rPr>
          <w:rFonts w:hint="eastAsia" w:ascii="宋体" w:hAnsi="宋体"/>
          <w:bCs/>
          <w:sz w:val="24"/>
        </w:rPr>
        <w:t>，如有违约罚金，需缴清结算阶段的违约金后方可支付，</w:t>
      </w:r>
      <w:r>
        <w:rPr>
          <w:rFonts w:hint="eastAsia" w:ascii="宋体" w:hAnsi="宋体" w:cs="宋体"/>
          <w:sz w:val="24"/>
        </w:rPr>
        <w:t>否则，委托人有权拒绝付款并顺延付款时间，且不视为违约。</w:t>
      </w:r>
    </w:p>
    <w:p>
      <w:pPr>
        <w:widowControl/>
        <w:spacing w:line="360" w:lineRule="auto"/>
        <w:ind w:firstLine="480" w:firstLineChars="200"/>
        <w:rPr>
          <w:rFonts w:hint="eastAsia" w:ascii="宋体" w:hAnsi="宋体"/>
          <w:bCs/>
          <w:sz w:val="24"/>
        </w:rPr>
      </w:pPr>
      <w:r>
        <w:rPr>
          <w:rFonts w:hint="eastAsia" w:ascii="宋体" w:hAnsi="宋体"/>
          <w:bCs/>
          <w:sz w:val="24"/>
        </w:rPr>
        <w:t>4、</w:t>
      </w:r>
      <w:r>
        <w:rPr>
          <w:rFonts w:hint="eastAsia" w:ascii="宋体" w:hAnsi="宋体"/>
          <w:sz w:val="24"/>
        </w:rPr>
        <w:t>监理费尾款（结算价的3%）待</w:t>
      </w:r>
      <w:r>
        <w:rPr>
          <w:rFonts w:hint="eastAsia" w:ascii="宋体" w:hAnsi="宋体"/>
          <w:bCs/>
          <w:sz w:val="24"/>
        </w:rPr>
        <w:t>工程质量缺陷责任期满，监理人协助委托人完成工程竣工档案备案后，委托人无息支付监理结算价余款。</w:t>
      </w:r>
    </w:p>
    <w:p>
      <w:pPr>
        <w:widowControl/>
        <w:spacing w:line="360" w:lineRule="auto"/>
        <w:ind w:firstLine="480" w:firstLineChars="200"/>
        <w:rPr>
          <w:rFonts w:hint="eastAsia" w:ascii="宋体" w:hAnsi="宋体"/>
          <w:bCs/>
          <w:sz w:val="24"/>
        </w:rPr>
      </w:pPr>
      <w:r>
        <w:rPr>
          <w:rFonts w:hint="eastAsia" w:ascii="宋体" w:hAnsi="宋体"/>
          <w:bCs/>
          <w:sz w:val="24"/>
          <w:highlight w:val="yellow"/>
          <w:lang w:val="en-US" w:eastAsia="zh-CN"/>
        </w:rPr>
        <w:t>5</w:t>
      </w:r>
      <w:r>
        <w:rPr>
          <w:rFonts w:hint="eastAsia" w:ascii="宋体" w:hAnsi="宋体"/>
          <w:bCs/>
          <w:sz w:val="24"/>
          <w:highlight w:val="yellow"/>
        </w:rPr>
        <w:t>、以上进度款需待财政资金下达后，方可进行支付。</w:t>
      </w:r>
      <w:r>
        <w:rPr>
          <w:rFonts w:hint="eastAsia" w:ascii="宋体" w:hAnsi="宋体"/>
          <w:bCs/>
          <w:sz w:val="24"/>
          <w:highlight w:val="yellow"/>
          <w:lang w:val="en-US" w:eastAsia="zh-CN"/>
        </w:rPr>
        <w:t>委托人</w:t>
      </w:r>
      <w:r>
        <w:rPr>
          <w:rFonts w:hint="eastAsia" w:ascii="宋体" w:hAnsi="宋体"/>
          <w:bCs/>
          <w:sz w:val="24"/>
          <w:highlight w:val="yellow"/>
        </w:rPr>
        <w:t>提交付款申请即视为已完成合同约定的付款义务，因财政资金下达原因造成付款延迟的，</w:t>
      </w:r>
      <w:r>
        <w:rPr>
          <w:rFonts w:hint="eastAsia" w:ascii="宋体" w:hAnsi="宋体"/>
          <w:bCs/>
          <w:sz w:val="24"/>
          <w:highlight w:val="yellow"/>
          <w:lang w:val="en-US" w:eastAsia="zh-CN"/>
        </w:rPr>
        <w:t>委托人</w:t>
      </w:r>
      <w:r>
        <w:rPr>
          <w:rFonts w:hint="eastAsia" w:ascii="宋体" w:hAnsi="宋体"/>
          <w:bCs/>
          <w:sz w:val="24"/>
          <w:highlight w:val="yellow"/>
        </w:rPr>
        <w:t>无需承担任何责任。</w:t>
      </w:r>
      <w:bookmarkStart w:id="0" w:name="_GoBack"/>
      <w:bookmarkEnd w:id="0"/>
    </w:p>
    <w:permEnd w:id="26"/>
    <w:p>
      <w:pPr>
        <w:spacing w:line="360" w:lineRule="auto"/>
        <w:ind w:firstLine="480" w:firstLineChars="200"/>
        <w:rPr>
          <w:rFonts w:ascii="宋体" w:hAnsi="宋体" w:cs="宋体"/>
          <w:sz w:val="24"/>
        </w:rPr>
      </w:pPr>
      <w:r>
        <w:rPr>
          <w:rFonts w:hint="eastAsia" w:ascii="宋体" w:hAnsi="宋体" w:cs="宋体"/>
          <w:bCs/>
          <w:sz w:val="24"/>
          <w:lang w:val="en-US" w:eastAsia="zh-CN"/>
        </w:rPr>
        <w:t>6</w:t>
      </w:r>
      <w:r>
        <w:rPr>
          <w:rFonts w:hint="eastAsia" w:ascii="宋体" w:hAnsi="宋体" w:cs="宋体"/>
          <w:bCs/>
          <w:sz w:val="24"/>
        </w:rPr>
        <w:t>、</w:t>
      </w:r>
      <w:r>
        <w:rPr>
          <w:rFonts w:hint="eastAsia" w:ascii="宋体" w:hAnsi="宋体" w:cs="宋体"/>
          <w:sz w:val="24"/>
        </w:rPr>
        <w:t>收款账号及发票条件：</w:t>
      </w:r>
    </w:p>
    <w:p>
      <w:pPr>
        <w:spacing w:line="360" w:lineRule="auto"/>
        <w:ind w:firstLine="480" w:firstLineChars="200"/>
        <w:rPr>
          <w:rFonts w:ascii="宋体" w:hAnsi="宋体" w:cs="宋体"/>
          <w:bCs/>
          <w:sz w:val="24"/>
        </w:rPr>
      </w:pPr>
      <w:r>
        <w:rPr>
          <w:rFonts w:hint="eastAsia" w:ascii="宋体" w:hAnsi="宋体" w:cs="宋体"/>
          <w:bCs/>
          <w:sz w:val="24"/>
        </w:rPr>
        <w:t>（1）监理人银行账户及纳税人信息：</w:t>
      </w:r>
    </w:p>
    <w:p>
      <w:pPr>
        <w:spacing w:line="360" w:lineRule="auto"/>
        <w:ind w:firstLine="480" w:firstLineChars="200"/>
        <w:rPr>
          <w:rFonts w:ascii="宋体" w:hAnsi="宋体"/>
          <w:sz w:val="24"/>
        </w:rPr>
      </w:pPr>
      <w:r>
        <w:rPr>
          <w:rFonts w:hint="eastAsia" w:ascii="宋体" w:hAnsi="宋体"/>
          <w:sz w:val="24"/>
        </w:rPr>
        <w:t>开户银行：</w:t>
      </w:r>
      <w:permStart w:id="27" w:edGrp="everyone"/>
      <w:r>
        <w:rPr>
          <w:rFonts w:hint="eastAsia" w:ascii="宋体" w:hAnsi="宋体"/>
          <w:sz w:val="24"/>
          <w:u w:val="single"/>
        </w:rPr>
        <w:t xml:space="preserve"> </w:t>
      </w:r>
      <w:r>
        <w:rPr>
          <w:rFonts w:ascii="宋体" w:hAnsi="宋体"/>
          <w:sz w:val="24"/>
          <w:u w:val="single"/>
        </w:rPr>
        <w:t xml:space="preserve">                     </w:t>
      </w:r>
      <w:permEnd w:id="27"/>
    </w:p>
    <w:p>
      <w:pPr>
        <w:spacing w:line="360" w:lineRule="auto"/>
        <w:ind w:firstLine="480" w:firstLineChars="200"/>
        <w:rPr>
          <w:rFonts w:ascii="宋体" w:hAnsi="宋体"/>
          <w:sz w:val="24"/>
          <w:u w:val="single"/>
        </w:rPr>
      </w:pPr>
      <w:r>
        <w:rPr>
          <w:rFonts w:hint="eastAsia" w:ascii="宋体" w:hAnsi="宋体"/>
          <w:sz w:val="24"/>
        </w:rPr>
        <w:t>户名：</w:t>
      </w:r>
      <w:permStart w:id="28" w:edGrp="everyone"/>
      <w:r>
        <w:rPr>
          <w:rFonts w:hint="eastAsia" w:ascii="宋体" w:hAnsi="宋体"/>
          <w:sz w:val="24"/>
          <w:u w:val="single"/>
        </w:rPr>
        <w:t xml:space="preserve"> </w:t>
      </w:r>
      <w:r>
        <w:rPr>
          <w:rFonts w:ascii="宋体" w:hAnsi="宋体"/>
          <w:sz w:val="24"/>
          <w:u w:val="single"/>
        </w:rPr>
        <w:t xml:space="preserve">                         </w:t>
      </w:r>
      <w:permEnd w:id="28"/>
    </w:p>
    <w:p>
      <w:pPr>
        <w:spacing w:line="360" w:lineRule="auto"/>
        <w:ind w:firstLine="480" w:firstLineChars="200"/>
        <w:rPr>
          <w:rFonts w:ascii="宋体" w:hAnsi="宋体"/>
          <w:sz w:val="24"/>
          <w:u w:val="single"/>
        </w:rPr>
      </w:pPr>
      <w:r>
        <w:rPr>
          <w:rFonts w:hint="eastAsia" w:ascii="宋体" w:hAnsi="宋体"/>
          <w:sz w:val="24"/>
        </w:rPr>
        <w:t>账号：</w:t>
      </w:r>
      <w:permStart w:id="29" w:edGrp="everyone"/>
      <w:r>
        <w:rPr>
          <w:rFonts w:ascii="宋体" w:hAnsi="宋体"/>
          <w:sz w:val="24"/>
          <w:u w:val="single"/>
        </w:rPr>
        <w:t xml:space="preserve">                          </w:t>
      </w:r>
      <w:permEnd w:id="29"/>
    </w:p>
    <w:p>
      <w:pPr>
        <w:spacing w:line="360" w:lineRule="auto"/>
        <w:ind w:firstLine="480" w:firstLineChars="200"/>
        <w:rPr>
          <w:rFonts w:ascii="宋体" w:hAnsi="宋体"/>
          <w:sz w:val="24"/>
        </w:rPr>
      </w:pPr>
      <w:r>
        <w:rPr>
          <w:rFonts w:hint="eastAsia" w:ascii="宋体" w:hAnsi="宋体"/>
          <w:sz w:val="24"/>
        </w:rPr>
        <w:t>统一社会信用代码/纳税人识别号：</w:t>
      </w:r>
      <w:permStart w:id="30" w:edGrp="everyone"/>
      <w:r>
        <w:rPr>
          <w:rFonts w:ascii="宋体" w:hAnsi="宋体"/>
          <w:sz w:val="24"/>
          <w:u w:val="single"/>
        </w:rPr>
        <w:t xml:space="preserve">                 </w:t>
      </w:r>
      <w:permEnd w:id="30"/>
    </w:p>
    <w:p>
      <w:pPr>
        <w:spacing w:line="360" w:lineRule="auto"/>
        <w:ind w:firstLine="480" w:firstLineChars="200"/>
        <w:rPr>
          <w:rFonts w:ascii="宋体" w:hAnsi="宋体"/>
          <w:sz w:val="24"/>
        </w:rPr>
      </w:pPr>
      <w:r>
        <w:rPr>
          <w:rFonts w:hint="eastAsia" w:ascii="宋体" w:hAnsi="宋体"/>
          <w:sz w:val="24"/>
        </w:rPr>
        <w:t>注册地址：</w:t>
      </w:r>
      <w:permStart w:id="31" w:edGrp="everyone"/>
      <w:r>
        <w:rPr>
          <w:rFonts w:hint="eastAsia" w:ascii="宋体" w:hAnsi="宋体"/>
          <w:sz w:val="24"/>
          <w:u w:val="single"/>
        </w:rPr>
        <w:t xml:space="preserve"> </w:t>
      </w:r>
      <w:r>
        <w:rPr>
          <w:rFonts w:ascii="宋体" w:hAnsi="宋体"/>
          <w:sz w:val="24"/>
          <w:u w:val="single"/>
        </w:rPr>
        <w:t xml:space="preserve">                   </w:t>
      </w:r>
      <w:permEnd w:id="31"/>
    </w:p>
    <w:p>
      <w:pPr>
        <w:spacing w:line="360" w:lineRule="auto"/>
        <w:ind w:firstLine="480" w:firstLineChars="200"/>
        <w:rPr>
          <w:rFonts w:ascii="宋体" w:hAnsi="宋体"/>
          <w:sz w:val="24"/>
        </w:rPr>
      </w:pPr>
      <w:r>
        <w:rPr>
          <w:rFonts w:hint="eastAsia" w:ascii="宋体" w:hAnsi="宋体"/>
          <w:sz w:val="24"/>
        </w:rPr>
        <w:t>是否为“增值税一般纳税人”：是</w:t>
      </w:r>
    </w:p>
    <w:p>
      <w:pPr>
        <w:spacing w:line="360" w:lineRule="auto"/>
        <w:ind w:firstLine="480" w:firstLineChars="200"/>
        <w:rPr>
          <w:rFonts w:ascii="宋体" w:hAnsi="宋体" w:cs="宋体"/>
          <w:sz w:val="24"/>
        </w:rPr>
      </w:pPr>
      <w:r>
        <w:rPr>
          <w:rFonts w:hint="eastAsia" w:ascii="宋体" w:hAnsi="宋体" w:cs="宋体"/>
          <w:sz w:val="24"/>
        </w:rPr>
        <w:t>（2）监理人应按委托人的纳税人的信息开具增值税专用发票，具体信息如下：</w:t>
      </w:r>
    </w:p>
    <w:p>
      <w:pPr>
        <w:spacing w:line="360" w:lineRule="auto"/>
        <w:ind w:firstLine="480" w:firstLineChars="200"/>
        <w:rPr>
          <w:rFonts w:ascii="宋体" w:hAnsi="宋体" w:cs="宋体"/>
          <w:bCs/>
          <w:sz w:val="24"/>
        </w:rPr>
      </w:pPr>
      <w:r>
        <w:rPr>
          <w:rFonts w:hint="eastAsia" w:ascii="宋体" w:hAnsi="宋体" w:cs="宋体"/>
          <w:bCs/>
          <w:sz w:val="24"/>
        </w:rPr>
        <w:t>公司名称：</w:t>
      </w:r>
      <w:permStart w:id="32" w:edGrp="everyone"/>
      <w:r>
        <w:rPr>
          <w:rFonts w:hint="eastAsia" w:ascii="宋体" w:hAnsi="宋体" w:cs="宋体"/>
          <w:sz w:val="24"/>
          <w:u w:val="single"/>
        </w:rPr>
        <w:t xml:space="preserve"> </w:t>
      </w:r>
      <w:r>
        <w:rPr>
          <w:rFonts w:ascii="宋体" w:hAnsi="宋体" w:cs="宋体"/>
          <w:sz w:val="24"/>
          <w:u w:val="single"/>
        </w:rPr>
        <w:t xml:space="preserve">                         </w:t>
      </w:r>
      <w:permEnd w:id="32"/>
    </w:p>
    <w:p>
      <w:pPr>
        <w:spacing w:line="360" w:lineRule="auto"/>
        <w:ind w:firstLine="480" w:firstLineChars="200"/>
        <w:rPr>
          <w:rFonts w:ascii="宋体" w:hAnsi="宋体" w:cs="宋体"/>
          <w:bCs/>
          <w:sz w:val="24"/>
          <w:u w:val="single"/>
        </w:rPr>
      </w:pPr>
      <w:r>
        <w:rPr>
          <w:rFonts w:hint="eastAsia" w:ascii="宋体" w:hAnsi="宋体" w:cs="宋体"/>
          <w:bCs/>
          <w:sz w:val="24"/>
        </w:rPr>
        <w:t>统一社会信用代码/纳税人识别号：</w:t>
      </w:r>
      <w:permStart w:id="33" w:edGrp="everyone"/>
      <w:r>
        <w:rPr>
          <w:rFonts w:ascii="宋体" w:hAnsi="宋体" w:cs="宋体"/>
          <w:bCs/>
          <w:sz w:val="24"/>
          <w:u w:val="single"/>
        </w:rPr>
        <w:t xml:space="preserve">                       </w:t>
      </w:r>
      <w:permEnd w:id="33"/>
    </w:p>
    <w:p>
      <w:pPr>
        <w:spacing w:line="360" w:lineRule="auto"/>
        <w:ind w:firstLine="480" w:firstLineChars="200"/>
        <w:rPr>
          <w:rFonts w:ascii="宋体" w:hAnsi="宋体" w:cs="宋体"/>
          <w:bCs/>
          <w:sz w:val="24"/>
          <w:u w:val="single"/>
        </w:rPr>
      </w:pPr>
      <w:r>
        <w:rPr>
          <w:rFonts w:hint="eastAsia" w:ascii="宋体" w:hAnsi="宋体" w:cs="宋体"/>
          <w:bCs/>
          <w:sz w:val="24"/>
        </w:rPr>
        <w:t>注册地址：</w:t>
      </w:r>
      <w:permStart w:id="34" w:edGrp="everyone"/>
      <w:r>
        <w:rPr>
          <w:rFonts w:hint="eastAsia" w:cs="宋体" w:asciiTheme="minorHAnsi" w:hAnsiTheme="minorHAnsi"/>
          <w:bCs/>
          <w:sz w:val="24"/>
          <w:u w:val="single"/>
        </w:rPr>
        <w:t xml:space="preserve"> </w:t>
      </w:r>
      <w:r>
        <w:rPr>
          <w:rFonts w:cs="宋体" w:asciiTheme="minorHAnsi" w:hAnsiTheme="minorHAnsi"/>
          <w:bCs/>
          <w:sz w:val="24"/>
          <w:u w:val="single"/>
        </w:rPr>
        <w:t xml:space="preserve">                    </w:t>
      </w:r>
      <w:permEnd w:id="34"/>
    </w:p>
    <w:p>
      <w:pPr>
        <w:spacing w:line="360" w:lineRule="auto"/>
        <w:ind w:firstLine="480" w:firstLineChars="200"/>
        <w:rPr>
          <w:rFonts w:ascii="宋体" w:hAnsi="宋体" w:cs="宋体"/>
          <w:bCs/>
          <w:sz w:val="24"/>
          <w:u w:val="single"/>
        </w:rPr>
      </w:pPr>
      <w:r>
        <w:rPr>
          <w:rFonts w:hint="eastAsia" w:ascii="宋体" w:hAnsi="宋体" w:cs="宋体"/>
          <w:bCs/>
          <w:sz w:val="24"/>
        </w:rPr>
        <w:t>开户银行：</w:t>
      </w:r>
      <w:permStart w:id="35" w:edGrp="everyone"/>
      <w:r>
        <w:rPr>
          <w:rFonts w:hint="eastAsia" w:cs="宋体"/>
          <w:bCs/>
          <w:sz w:val="24"/>
          <w:u w:val="single"/>
        </w:rPr>
        <w:t xml:space="preserve"> </w:t>
      </w:r>
      <w:r>
        <w:rPr>
          <w:rFonts w:cs="宋体"/>
          <w:bCs/>
          <w:sz w:val="24"/>
          <w:u w:val="single"/>
        </w:rPr>
        <w:t xml:space="preserve">                    </w:t>
      </w:r>
      <w:permEnd w:id="35"/>
    </w:p>
    <w:p>
      <w:pPr>
        <w:spacing w:line="360" w:lineRule="auto"/>
        <w:ind w:firstLine="480" w:firstLineChars="200"/>
        <w:rPr>
          <w:rFonts w:ascii="宋体" w:hAnsi="宋体" w:cs="宋体"/>
          <w:bCs/>
          <w:sz w:val="24"/>
          <w:u w:val="single"/>
        </w:rPr>
      </w:pPr>
      <w:r>
        <w:rPr>
          <w:rFonts w:hint="eastAsia" w:ascii="宋体" w:hAnsi="宋体" w:cs="宋体"/>
          <w:bCs/>
          <w:sz w:val="24"/>
        </w:rPr>
        <w:t>账号：</w:t>
      </w:r>
      <w:permStart w:id="36" w:edGrp="everyone"/>
      <w:r>
        <w:rPr>
          <w:rFonts w:cs="宋体"/>
          <w:bCs/>
          <w:sz w:val="24"/>
          <w:u w:val="single"/>
        </w:rPr>
        <w:t xml:space="preserve">                          </w:t>
      </w:r>
      <w:permEnd w:id="36"/>
    </w:p>
    <w:p>
      <w:pPr>
        <w:pStyle w:val="26"/>
        <w:spacing w:after="0" w:line="360" w:lineRule="auto"/>
        <w:ind w:firstLine="480" w:firstLineChars="200"/>
        <w:rPr>
          <w:rFonts w:ascii="宋体" w:hAnsi="宋体" w:eastAsia="宋体" w:cs="宋体"/>
          <w:sz w:val="24"/>
        </w:rPr>
      </w:pPr>
      <w:r>
        <w:rPr>
          <w:rFonts w:hint="eastAsia" w:ascii="宋体" w:hAnsi="宋体" w:eastAsia="宋体" w:cs="宋体"/>
          <w:bCs/>
          <w:sz w:val="24"/>
        </w:rPr>
        <w:t>电话号码：</w:t>
      </w:r>
      <w:permStart w:id="37" w:edGrp="everyone"/>
      <w:r>
        <w:rPr>
          <w:rFonts w:ascii="宋体" w:hAnsi="宋体" w:eastAsia="宋体" w:cs="宋体"/>
          <w:bCs/>
          <w:sz w:val="24"/>
          <w:u w:val="single"/>
        </w:rPr>
        <w:t xml:space="preserve">                     </w:t>
      </w:r>
      <w:r>
        <w:rPr>
          <w:rFonts w:ascii="宋体" w:hAnsi="宋体" w:eastAsia="宋体" w:cs="宋体"/>
          <w:kern w:val="0"/>
          <w:sz w:val="24"/>
          <w:u w:val="single"/>
          <w:lang w:bidi="ar"/>
        </w:rPr>
        <w:t xml:space="preserve"> </w:t>
      </w:r>
      <w:permEnd w:id="37"/>
    </w:p>
    <w:p>
      <w:pPr>
        <w:spacing w:line="360" w:lineRule="auto"/>
        <w:ind w:firstLine="480" w:firstLineChars="200"/>
        <w:rPr>
          <w:rFonts w:ascii="宋体" w:hAnsi="宋体" w:cs="宋体"/>
          <w:bCs/>
          <w:sz w:val="24"/>
        </w:rPr>
      </w:pPr>
      <w:r>
        <w:rPr>
          <w:rFonts w:hint="eastAsia" w:ascii="宋体" w:hAnsi="宋体" w:cs="宋体"/>
          <w:bCs/>
          <w:sz w:val="24"/>
        </w:rPr>
        <w:t>是否为“增值税一般纳税人”：</w:t>
      </w:r>
      <w:r>
        <w:rPr>
          <w:rFonts w:hint="eastAsia" w:cs="宋体"/>
          <w:bCs/>
          <w:sz w:val="24"/>
        </w:rPr>
        <w:t>是</w:t>
      </w:r>
    </w:p>
    <w:p>
      <w:pPr>
        <w:spacing w:line="360" w:lineRule="auto"/>
        <w:ind w:firstLine="480" w:firstLineChars="200"/>
        <w:rPr>
          <w:rFonts w:ascii="宋体" w:hAnsi="宋体" w:cs="宋体"/>
          <w:sz w:val="24"/>
        </w:rPr>
      </w:pPr>
      <w:r>
        <w:rPr>
          <w:rFonts w:hint="eastAsia" w:ascii="宋体" w:hAnsi="宋体" w:cs="宋体"/>
          <w:sz w:val="24"/>
        </w:rPr>
        <w:t>（3）委托人每次付款前，监理人应按委托人确认的金额，先行向委托人提供符合本协议约定、足额合法且符合委托人所在地税务机关规定要求的增值税发票。否则，委托人有权拒绝付款并顺延付款时间，且不视为违约。</w:t>
      </w:r>
    </w:p>
    <w:p>
      <w:pPr>
        <w:spacing w:line="360" w:lineRule="auto"/>
        <w:ind w:firstLine="480" w:firstLineChars="200"/>
        <w:rPr>
          <w:rFonts w:ascii="宋体" w:hAnsi="宋体" w:cs="宋体"/>
          <w:sz w:val="24"/>
        </w:rPr>
      </w:pPr>
      <w:r>
        <w:rPr>
          <w:rFonts w:hint="eastAsia" w:ascii="宋体" w:hAnsi="宋体" w:cs="宋体"/>
          <w:sz w:val="24"/>
        </w:rPr>
        <w:t>（4）监理人承诺向委托人提供的增值税发票票面信息均真实、准确，相关品目及价款等内容与合同约定一致。委托人应在收到监理人提供的增值税发票后及时通过税控防伪系统认证，并在认证通过后按照合同约定时间支付相应款项，若未通过认证的委托人有权迟延付款，且不视为违约。</w:t>
      </w:r>
    </w:p>
    <w:p>
      <w:pPr>
        <w:spacing w:line="360" w:lineRule="auto"/>
        <w:ind w:firstLine="482" w:firstLineChars="200"/>
        <w:outlineLvl w:val="1"/>
        <w:rPr>
          <w:rFonts w:ascii="宋体" w:hAnsi="宋体" w:cs="宋体"/>
          <w:sz w:val="24"/>
        </w:rPr>
      </w:pPr>
      <w:r>
        <w:rPr>
          <w:rFonts w:hint="eastAsia" w:ascii="宋体" w:hAnsi="宋体" w:cs="宋体"/>
          <w:b/>
          <w:bCs/>
          <w:sz w:val="24"/>
        </w:rPr>
        <w:t>第十八条</w:t>
      </w:r>
      <w:r>
        <w:rPr>
          <w:rFonts w:hint="eastAsia" w:ascii="宋体" w:hAnsi="宋体" w:cs="宋体"/>
          <w:sz w:val="24"/>
        </w:rPr>
        <w:t xml:space="preserve"> 如果委托人在规定的支付期限内未支付监理报酬，按合同约定付款期限最后一日之次日起，还应向监理人支付违约金。违约金按应付未付监理报酬为基数，从自规定支付期限最后一日的次日起至实际支付之日止，按违约行为发生时中国人民银行授权全国银行间同业拆借中心公布的一年期贷款市场报价利率（LPR）标准为基础计算，但最高不超过应付未付金额的</w:t>
      </w:r>
      <w:permStart w:id="38" w:edGrp="everyone"/>
      <w:r>
        <w:rPr>
          <w:rFonts w:hint="eastAsia" w:ascii="宋体" w:hAnsi="宋体" w:cs="宋体"/>
          <w:sz w:val="24"/>
        </w:rPr>
        <w:t>【】</w:t>
      </w:r>
      <w:permEnd w:id="38"/>
      <w:r>
        <w:rPr>
          <w:rFonts w:hint="eastAsia" w:ascii="宋体" w:hAnsi="宋体" w:cs="宋体"/>
          <w:sz w:val="24"/>
        </w:rPr>
        <w:t>%。</w:t>
      </w:r>
    </w:p>
    <w:p>
      <w:pPr>
        <w:adjustRightInd w:val="0"/>
        <w:snapToGrid w:val="0"/>
        <w:spacing w:line="360" w:lineRule="auto"/>
        <w:ind w:firstLine="482" w:firstLineChars="200"/>
        <w:outlineLvl w:val="1"/>
        <w:rPr>
          <w:rFonts w:ascii="宋体" w:hAnsi="宋体" w:cs="宋体"/>
          <w:bCs/>
          <w:sz w:val="24"/>
        </w:rPr>
      </w:pPr>
      <w:r>
        <w:rPr>
          <w:rFonts w:hint="eastAsia" w:ascii="宋体" w:hAnsi="宋体" w:cs="宋体"/>
          <w:b/>
          <w:bCs/>
          <w:sz w:val="24"/>
        </w:rPr>
        <w:t>第十九条</w:t>
      </w:r>
      <w:r>
        <w:rPr>
          <w:rFonts w:hint="eastAsia" w:ascii="宋体" w:hAnsi="宋体" w:cs="宋体"/>
          <w:bCs/>
          <w:sz w:val="24"/>
        </w:rPr>
        <w:t xml:space="preserve"> 委托人与监理人双方同意用人民币支付本合同涉及的相关款项。</w:t>
      </w:r>
    </w:p>
    <w:p>
      <w:pPr>
        <w:adjustRightInd w:val="0"/>
        <w:snapToGrid w:val="0"/>
        <w:spacing w:line="360" w:lineRule="auto"/>
        <w:ind w:firstLine="482" w:firstLineChars="200"/>
        <w:outlineLvl w:val="1"/>
        <w:rPr>
          <w:rFonts w:ascii="宋体" w:hAnsi="宋体" w:cs="宋体"/>
          <w:bCs/>
          <w:sz w:val="24"/>
        </w:rPr>
      </w:pPr>
      <w:r>
        <w:rPr>
          <w:rFonts w:hint="eastAsia" w:ascii="宋体" w:hAnsi="宋体" w:cs="宋体"/>
          <w:b/>
          <w:bCs/>
          <w:sz w:val="24"/>
        </w:rPr>
        <w:t>第二十条</w:t>
      </w:r>
      <w:r>
        <w:rPr>
          <w:rFonts w:hint="eastAsia" w:ascii="宋体" w:hAnsi="宋体" w:cs="宋体"/>
          <w:bCs/>
          <w:sz w:val="24"/>
        </w:rPr>
        <w:t xml:space="preserve"> 双方一致同意不适用本合同标准条款第四十二条的约定，监理人申请委托人付款的，应按委托人及广州开发区、黄埔区规定办理请款手续。</w:t>
      </w:r>
    </w:p>
    <w:p>
      <w:pPr>
        <w:adjustRightInd w:val="0"/>
        <w:snapToGrid w:val="0"/>
        <w:spacing w:line="360" w:lineRule="auto"/>
        <w:ind w:firstLine="482" w:firstLineChars="200"/>
        <w:outlineLvl w:val="1"/>
        <w:rPr>
          <w:rFonts w:ascii="宋体" w:hAnsi="宋体" w:cs="宋体"/>
          <w:bCs/>
          <w:sz w:val="24"/>
        </w:rPr>
      </w:pPr>
      <w:r>
        <w:rPr>
          <w:rFonts w:hint="eastAsia" w:ascii="宋体" w:hAnsi="宋体" w:cs="宋体"/>
          <w:b/>
          <w:bCs/>
          <w:sz w:val="24"/>
        </w:rPr>
        <w:t>第二十一条</w:t>
      </w:r>
      <w:r>
        <w:rPr>
          <w:rFonts w:hint="eastAsia" w:ascii="宋体" w:hAnsi="宋体" w:cs="宋体"/>
          <w:bCs/>
          <w:sz w:val="24"/>
        </w:rPr>
        <w:t xml:space="preserve"> 双方一致同意不适用本合同标准条款第四十三条的约定，委托的建设工程监理所必要的监理人员出外考察、材料设备复试、监造，其费用支出由监理人负责解决。</w:t>
      </w:r>
    </w:p>
    <w:p>
      <w:pPr>
        <w:adjustRightInd w:val="0"/>
        <w:snapToGrid w:val="0"/>
        <w:spacing w:line="360" w:lineRule="auto"/>
        <w:ind w:firstLine="482" w:firstLineChars="200"/>
        <w:outlineLvl w:val="1"/>
        <w:rPr>
          <w:rFonts w:ascii="宋体" w:hAnsi="宋体" w:cs="宋体"/>
          <w:sz w:val="24"/>
        </w:rPr>
      </w:pPr>
      <w:r>
        <w:rPr>
          <w:rFonts w:hint="eastAsia" w:ascii="宋体" w:hAnsi="宋体" w:cs="宋体"/>
          <w:b/>
          <w:bCs/>
          <w:sz w:val="24"/>
        </w:rPr>
        <w:t>第二十二条</w:t>
      </w:r>
      <w:r>
        <w:rPr>
          <w:rFonts w:hint="eastAsia" w:ascii="宋体" w:hAnsi="宋体" w:cs="宋体"/>
          <w:bCs/>
          <w:sz w:val="24"/>
        </w:rPr>
        <w:t xml:space="preserve"> 因履行本合同发生或与本合同有关的争议</w:t>
      </w:r>
      <w:r>
        <w:rPr>
          <w:rFonts w:hint="eastAsia" w:ascii="宋体" w:hAnsi="宋体" w:cs="宋体"/>
          <w:sz w:val="24"/>
        </w:rPr>
        <w:t>，双方当事人应友好协商解决。协商不成的，任何一方均可向广州市黄埔区人民法院起诉，但诉讼不影响委托人按本合同约定与其他监理单位另行签订监理合同。</w:t>
      </w:r>
    </w:p>
    <w:p>
      <w:pPr>
        <w:adjustRightInd w:val="0"/>
        <w:snapToGrid w:val="0"/>
        <w:spacing w:line="360" w:lineRule="auto"/>
        <w:ind w:firstLine="482" w:firstLineChars="200"/>
        <w:outlineLvl w:val="1"/>
        <w:rPr>
          <w:rFonts w:ascii="宋体" w:hAnsi="宋体" w:cs="宋体"/>
          <w:b/>
          <w:bCs/>
          <w:sz w:val="24"/>
        </w:rPr>
      </w:pPr>
      <w:r>
        <w:rPr>
          <w:rFonts w:hint="eastAsia" w:ascii="宋体" w:hAnsi="宋体" w:cs="宋体"/>
          <w:b/>
          <w:bCs/>
          <w:sz w:val="24"/>
        </w:rPr>
        <w:t xml:space="preserve">第二十三条 </w:t>
      </w:r>
      <w:r>
        <w:rPr>
          <w:rFonts w:hint="eastAsia" w:ascii="宋体" w:hAnsi="宋体" w:cs="宋体"/>
          <w:bCs/>
          <w:sz w:val="24"/>
        </w:rPr>
        <w:t>补充条款</w:t>
      </w:r>
    </w:p>
    <w:p>
      <w:pPr>
        <w:spacing w:line="360" w:lineRule="auto"/>
        <w:ind w:firstLine="484" w:firstLineChars="200"/>
        <w:rPr>
          <w:rFonts w:ascii="宋体" w:hAnsi="宋体" w:cs="宋体"/>
          <w:sz w:val="24"/>
        </w:rPr>
      </w:pPr>
      <w:r>
        <w:rPr>
          <w:rFonts w:hint="eastAsia" w:ascii="宋体" w:hAnsi="宋体" w:cs="宋体"/>
          <w:spacing w:val="6"/>
          <w:sz w:val="23"/>
        </w:rPr>
        <w:t>（一）</w:t>
      </w:r>
      <w:r>
        <w:rPr>
          <w:rFonts w:hint="eastAsia" w:ascii="宋体" w:hAnsi="宋体" w:cs="宋体"/>
          <w:sz w:val="24"/>
        </w:rPr>
        <w:t>施工阶段的造价投资控制：监理人进场时必须派驻至少1名注册造价工程师提供驻场服务，并接受委托人统一工作安排，并要求建立施工阶段工程预算台账，具体要求和模式另定。</w:t>
      </w:r>
    </w:p>
    <w:p>
      <w:pPr>
        <w:spacing w:line="360" w:lineRule="auto"/>
        <w:ind w:firstLine="480" w:firstLineChars="200"/>
        <w:rPr>
          <w:rFonts w:ascii="宋体" w:hAnsi="宋体" w:cs="宋体"/>
          <w:sz w:val="24"/>
        </w:rPr>
      </w:pPr>
      <w:r>
        <w:rPr>
          <w:rFonts w:hint="eastAsia" w:ascii="宋体" w:hAnsi="宋体" w:cs="宋体"/>
          <w:sz w:val="24"/>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pPr>
        <w:spacing w:line="360" w:lineRule="auto"/>
        <w:ind w:firstLine="480" w:firstLineChars="200"/>
        <w:rPr>
          <w:rFonts w:ascii="宋体" w:hAnsi="宋体" w:cs="宋体"/>
          <w:sz w:val="24"/>
        </w:rPr>
      </w:pPr>
      <w:r>
        <w:rPr>
          <w:rFonts w:hint="eastAsia" w:ascii="宋体" w:hAnsi="宋体" w:cs="宋体"/>
          <w:sz w:val="24"/>
        </w:rPr>
        <w:t>（三）在保修期内，监理人应每三个月对工程进行一次巡视、检查（要到委托人处签到），并向委托人提交书面检查报告，发现有质量缺陷的，要在24小时内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（四）</w:t>
      </w:r>
      <w:r>
        <w:rPr>
          <w:rFonts w:hint="eastAsia" w:ascii="宋体" w:hAnsi="宋体" w:cs="宋体"/>
          <w:bCs/>
          <w:sz w:val="24"/>
        </w:rPr>
        <w:t>由于监理人采取有效监管措施，致使经施工单位、监理人、委托人三方确认的工程施工关键节点工期比计划提前10日以上（含10日）不满20日的，可抵扣监理人一般违约责任1次；关键节点工期提前20天以上（含20天）不满30日的，可抵扣监理人严重违约责任1次；关键节点工期提前30天以上（含30天）的，可抵扣监理人严重违约责任3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由于监理人提出合理化建议，优化技术方案，被委托人采纳并实施，节约投资10万元以上（含）不足30万元的，可抵扣监理人一般违约责任1次；节约投资30万元以上（含）不足50万元的，可抵扣监理人一般违约责任2次；节约投资50万元以上（含）不足100万元的，可抵扣监理人严重违约责任1次；节约投资100万元以上（含）的，可抵扣监理人严重违约责任2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监理人认真履行安全文明施工管理责任，得到委托人书面表彰的，每次可抵扣监理人一般违约责任1次；得到建设主管部门书面表彰的，每次可抵扣监理人严重违约责任1次；取得市安全文明样板工地的，可抵扣监理人严重违约责任2次（如本工程有工地创优市优指标硬性要求的除外）。</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七）监理人在委托人组织的项目检查评分取得90分（含）以上的，可抵扣监理人一般违约责任1次。项目监理人受到委托人书面表彰的，可抵扣监理人一般违约责任1次；受到建设主管部门表彰的，每次可抵扣监理人严重违约责任1次。 </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八）监理人抵扣的违约处罚，可按照合同相应条款，在实际已发生的违约处罚金内返还。如项目完工后，实际可抵扣的监理人违约责任多于实际处罚的违约责任，原则上不予经济奖励，委托方视情况给予通报表扬。</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（九）监理人在工程施工期间，应根据委托人要求委派一名满足委托人要求的工程管理人员提供驻场服务，接受委托人统一工作安排，其交通、食宿自理，委托人不另行支付费用。</w:t>
      </w:r>
    </w:p>
    <w:p>
      <w:pPr>
        <w:tabs>
          <w:tab w:val="left" w:pos="360"/>
          <w:tab w:val="left" w:pos="900"/>
        </w:tabs>
        <w:spacing w:line="360" w:lineRule="auto"/>
        <w:ind w:firstLine="480" w:firstLineChars="200"/>
        <w:rPr>
          <w:rFonts w:ascii="宋体" w:hAnsi="宋体"/>
          <w:bCs/>
          <w:snapToGrid w:val="0"/>
          <w:kern w:val="0"/>
          <w:sz w:val="24"/>
        </w:rPr>
      </w:pPr>
      <w:r>
        <w:rPr>
          <w:rFonts w:hint="eastAsia" w:ascii="宋体" w:hAnsi="宋体"/>
          <w:bCs/>
          <w:snapToGrid w:val="0"/>
          <w:kern w:val="0"/>
          <w:sz w:val="24"/>
        </w:rPr>
        <w:t>附件1：项目监理人员履行工程监理合同检查评分表</w:t>
      </w:r>
    </w:p>
    <w:p>
      <w:pPr>
        <w:adjustRightInd w:val="0"/>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附件2：工程建设项目廉政责任书</w:t>
      </w:r>
    </w:p>
    <w:p>
      <w:pPr>
        <w:adjustRightInd w:val="0"/>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附件3：监理人员表</w:t>
      </w:r>
    </w:p>
    <w:p>
      <w:pPr>
        <w:pStyle w:val="26"/>
        <w:ind w:firstLine="240"/>
        <w:rPr>
          <w:rFonts w:ascii="宋体" w:hAnsi="宋体"/>
          <w:bCs/>
          <w:snapToGrid w:val="0"/>
          <w:kern w:val="0"/>
          <w:sz w:val="24"/>
        </w:rPr>
      </w:pPr>
    </w:p>
    <w:p>
      <w:pPr>
        <w:spacing w:line="440" w:lineRule="exact"/>
        <w:ind w:firstLine="480" w:firstLineChars="200"/>
        <w:rPr>
          <w:rFonts w:ascii="宋体" w:hAnsi="宋体"/>
          <w:sz w:val="24"/>
        </w:rPr>
      </w:pPr>
      <w:r>
        <w:rPr>
          <w:rFonts w:hint="eastAsia" w:ascii="宋体" w:hAnsi="宋体"/>
          <w:sz w:val="24"/>
        </w:rPr>
        <w:t>（以下无正文）</w:t>
      </w:r>
    </w:p>
    <w:p>
      <w:pPr>
        <w:pStyle w:val="26"/>
        <w:ind w:firstLine="240"/>
        <w:rPr>
          <w:rFonts w:ascii="宋体" w:hAnsi="宋体"/>
          <w:bCs/>
          <w:snapToGrid w:val="0"/>
          <w:kern w:val="0"/>
          <w:sz w:val="24"/>
        </w:rPr>
      </w:pPr>
    </w:p>
    <w:p>
      <w:pPr>
        <w:pStyle w:val="26"/>
        <w:ind w:firstLine="240"/>
        <w:rPr>
          <w:rFonts w:ascii="宋体" w:hAnsi="宋体"/>
          <w:bCs/>
          <w:snapToGrid w:val="0"/>
          <w:kern w:val="0"/>
          <w:sz w:val="24"/>
        </w:rPr>
      </w:pPr>
    </w:p>
    <w:p>
      <w:pPr>
        <w:pStyle w:val="26"/>
        <w:ind w:firstLine="240"/>
        <w:rPr>
          <w:rFonts w:ascii="宋体" w:hAnsi="宋体"/>
          <w:bCs/>
          <w:snapToGrid w:val="0"/>
          <w:kern w:val="0"/>
          <w:sz w:val="24"/>
        </w:rPr>
      </w:pPr>
    </w:p>
    <w:p>
      <w:pPr>
        <w:pStyle w:val="26"/>
        <w:ind w:firstLine="240"/>
        <w:rPr>
          <w:rFonts w:ascii="宋体" w:hAnsi="宋体"/>
          <w:bCs/>
          <w:snapToGrid w:val="0"/>
          <w:kern w:val="0"/>
          <w:sz w:val="24"/>
        </w:rPr>
      </w:pPr>
    </w:p>
    <w:tbl>
      <w:tblPr>
        <w:tblStyle w:val="28"/>
        <w:tblW w:w="0" w:type="auto"/>
        <w:jc w:val="center"/>
        <w:tblLayout w:type="fixed"/>
        <w:tblCellMar>
          <w:top w:w="0" w:type="dxa"/>
          <w:left w:w="108" w:type="dxa"/>
          <w:bottom w:w="0" w:type="dxa"/>
          <w:right w:w="108" w:type="dxa"/>
        </w:tblCellMar>
      </w:tblPr>
      <w:tblGrid>
        <w:gridCol w:w="1555"/>
        <w:gridCol w:w="3231"/>
        <w:gridCol w:w="284"/>
        <w:gridCol w:w="1559"/>
        <w:gridCol w:w="3118"/>
      </w:tblGrid>
      <w:tr>
        <w:tblPrEx>
          <w:tblCellMar>
            <w:top w:w="0" w:type="dxa"/>
            <w:left w:w="108" w:type="dxa"/>
            <w:bottom w:w="0" w:type="dxa"/>
            <w:right w:w="108" w:type="dxa"/>
          </w:tblCellMar>
        </w:tblPrEx>
        <w:trPr>
          <w:trHeight w:val="684" w:hRule="atLeast"/>
          <w:jc w:val="center"/>
        </w:trPr>
        <w:tc>
          <w:tcPr>
            <w:tcW w:w="1555" w:type="dxa"/>
          </w:tcPr>
          <w:p>
            <w:pPr>
              <w:rPr>
                <w:rFonts w:ascii="仿宋_GB2312" w:eastAsia="仿宋_GB2312"/>
                <w:sz w:val="28"/>
              </w:rPr>
            </w:pPr>
            <w:permStart w:id="39" w:edGrp="everyone" w:colFirst="1" w:colLast="1"/>
            <w:permStart w:id="40" w:edGrp="everyone" w:colFirst="4" w:colLast="4"/>
            <w:r>
              <w:rPr>
                <w:rFonts w:hint="eastAsia" w:ascii="宋体" w:hAnsi="宋体"/>
                <w:snapToGrid w:val="0"/>
                <w:kern w:val="0"/>
                <w:sz w:val="24"/>
              </w:rPr>
              <w:t xml:space="preserve">委托人： </w:t>
            </w:r>
          </w:p>
        </w:tc>
        <w:tc>
          <w:tcPr>
            <w:tcW w:w="3231" w:type="dxa"/>
          </w:tcPr>
          <w:p>
            <w:pPr>
              <w:rPr>
                <w:rFonts w:ascii="宋体" w:hAnsi="宋体"/>
                <w:snapToGrid w:val="0"/>
                <w:kern w:val="0"/>
                <w:sz w:val="24"/>
              </w:rPr>
            </w:pPr>
            <w:r>
              <w:rPr>
                <w:rFonts w:hint="eastAsia" w:ascii="宋体" w:hAnsi="宋体" w:cs="宋体"/>
                <w:bCs/>
                <w:sz w:val="24"/>
              </w:rPr>
              <w:t xml:space="preserve"> </w:t>
            </w:r>
          </w:p>
        </w:tc>
        <w:tc>
          <w:tcPr>
            <w:tcW w:w="284" w:type="dxa"/>
          </w:tcPr>
          <w:p>
            <w:pPr>
              <w:rPr>
                <w:rFonts w:ascii="宋体" w:hAnsi="宋体"/>
                <w:snapToGrid w:val="0"/>
                <w:kern w:val="0"/>
                <w:sz w:val="24"/>
              </w:rPr>
            </w:pPr>
          </w:p>
        </w:tc>
        <w:tc>
          <w:tcPr>
            <w:tcW w:w="1559" w:type="dxa"/>
          </w:tcPr>
          <w:p>
            <w:pPr>
              <w:rPr>
                <w:rFonts w:ascii="宋体" w:hAnsi="宋体"/>
                <w:snapToGrid w:val="0"/>
                <w:kern w:val="0"/>
                <w:sz w:val="24"/>
              </w:rPr>
            </w:pPr>
            <w:r>
              <w:rPr>
                <w:rFonts w:hint="eastAsia" w:ascii="宋体" w:hAnsi="宋体"/>
                <w:snapToGrid w:val="0"/>
                <w:kern w:val="0"/>
                <w:sz w:val="24"/>
              </w:rPr>
              <w:t xml:space="preserve">监理人： </w:t>
            </w:r>
          </w:p>
        </w:tc>
        <w:tc>
          <w:tcPr>
            <w:tcW w:w="3118" w:type="dxa"/>
          </w:tcPr>
          <w:p>
            <w:pPr>
              <w:rPr>
                <w:rFonts w:ascii="宋体" w:hAnsi="宋体"/>
                <w:snapToGrid w:val="0"/>
                <w:kern w:val="0"/>
                <w:sz w:val="24"/>
              </w:rPr>
            </w:pPr>
            <w:r>
              <w:rPr>
                <w:rFonts w:hint="eastAsia" w:ascii="宋体" w:hAnsi="宋体"/>
                <w:snapToGrid w:val="0"/>
                <w:kern w:val="0"/>
                <w:sz w:val="24"/>
              </w:rPr>
              <w:t xml:space="preserve"> </w:t>
            </w:r>
          </w:p>
        </w:tc>
      </w:tr>
      <w:permEnd w:id="39"/>
      <w:permEnd w:id="40"/>
      <w:tr>
        <w:tblPrEx>
          <w:tblCellMar>
            <w:top w:w="0" w:type="dxa"/>
            <w:left w:w="108" w:type="dxa"/>
            <w:bottom w:w="0" w:type="dxa"/>
            <w:right w:w="108" w:type="dxa"/>
          </w:tblCellMar>
        </w:tblPrEx>
        <w:trPr>
          <w:trHeight w:val="836" w:hRule="atLeast"/>
          <w:jc w:val="center"/>
        </w:trPr>
        <w:tc>
          <w:tcPr>
            <w:tcW w:w="1555" w:type="dxa"/>
          </w:tcPr>
          <w:p>
            <w:pPr>
              <w:rPr>
                <w:rFonts w:ascii="仿宋_GB2312" w:eastAsia="仿宋_GB2312"/>
                <w:sz w:val="28"/>
              </w:rPr>
            </w:pPr>
            <w:permStart w:id="41" w:edGrp="everyone" w:colFirst="1" w:colLast="1"/>
            <w:permStart w:id="42" w:edGrp="everyone" w:colFirst="4" w:colLast="4"/>
            <w:r>
              <w:rPr>
                <w:rFonts w:hint="eastAsia" w:ascii="宋体" w:hAnsi="宋体"/>
                <w:snapToGrid w:val="0"/>
                <w:kern w:val="0"/>
                <w:sz w:val="24"/>
              </w:rPr>
              <w:t>法定代表人：</w:t>
            </w:r>
          </w:p>
        </w:tc>
        <w:tc>
          <w:tcPr>
            <w:tcW w:w="3231" w:type="dxa"/>
          </w:tcPr>
          <w:p>
            <w:pPr>
              <w:rPr>
                <w:rFonts w:ascii="宋体" w:hAnsi="宋体"/>
                <w:snapToGrid w:val="0"/>
                <w:kern w:val="0"/>
                <w:sz w:val="24"/>
              </w:rPr>
            </w:pPr>
          </w:p>
        </w:tc>
        <w:tc>
          <w:tcPr>
            <w:tcW w:w="284" w:type="dxa"/>
          </w:tcPr>
          <w:p>
            <w:pPr>
              <w:rPr>
                <w:rFonts w:ascii="宋体" w:hAnsi="宋体"/>
                <w:snapToGrid w:val="0"/>
                <w:kern w:val="0"/>
                <w:sz w:val="24"/>
              </w:rPr>
            </w:pPr>
          </w:p>
        </w:tc>
        <w:tc>
          <w:tcPr>
            <w:tcW w:w="1559" w:type="dxa"/>
          </w:tcPr>
          <w:p>
            <w:pPr>
              <w:rPr>
                <w:rFonts w:ascii="宋体" w:hAnsi="宋体"/>
                <w:snapToGrid w:val="0"/>
                <w:kern w:val="0"/>
                <w:sz w:val="24"/>
              </w:rPr>
            </w:pPr>
            <w:r>
              <w:rPr>
                <w:rFonts w:hint="eastAsia" w:ascii="宋体" w:hAnsi="宋体"/>
                <w:snapToGrid w:val="0"/>
                <w:kern w:val="0"/>
                <w:sz w:val="24"/>
              </w:rPr>
              <w:t>法定代表人：</w:t>
            </w:r>
          </w:p>
        </w:tc>
        <w:tc>
          <w:tcPr>
            <w:tcW w:w="3118" w:type="dxa"/>
          </w:tcPr>
          <w:p>
            <w:pPr>
              <w:rPr>
                <w:rFonts w:ascii="宋体" w:hAnsi="宋体"/>
                <w:snapToGrid w:val="0"/>
                <w:kern w:val="0"/>
                <w:sz w:val="24"/>
              </w:rPr>
            </w:pPr>
          </w:p>
        </w:tc>
      </w:tr>
      <w:permEnd w:id="41"/>
      <w:permEnd w:id="42"/>
      <w:tr>
        <w:tblPrEx>
          <w:tblCellMar>
            <w:top w:w="0" w:type="dxa"/>
            <w:left w:w="108" w:type="dxa"/>
            <w:bottom w:w="0" w:type="dxa"/>
            <w:right w:w="108" w:type="dxa"/>
          </w:tblCellMar>
        </w:tblPrEx>
        <w:trPr>
          <w:trHeight w:val="828" w:hRule="atLeast"/>
          <w:jc w:val="center"/>
        </w:trPr>
        <w:tc>
          <w:tcPr>
            <w:tcW w:w="1555" w:type="dxa"/>
          </w:tcPr>
          <w:p>
            <w:pPr>
              <w:rPr>
                <w:rFonts w:ascii="仿宋_GB2312" w:eastAsia="仿宋_GB2312"/>
                <w:b/>
                <w:sz w:val="28"/>
              </w:rPr>
            </w:pPr>
            <w:permStart w:id="43" w:edGrp="everyone" w:colFirst="1" w:colLast="1"/>
            <w:permStart w:id="44" w:edGrp="everyone" w:colFirst="4" w:colLast="4"/>
            <w:r>
              <w:rPr>
                <w:rFonts w:hint="eastAsia" w:ascii="宋体" w:hAnsi="宋体"/>
                <w:snapToGrid w:val="0"/>
                <w:kern w:val="0"/>
                <w:sz w:val="24"/>
              </w:rPr>
              <w:t>委托代理人：</w:t>
            </w:r>
          </w:p>
        </w:tc>
        <w:tc>
          <w:tcPr>
            <w:tcW w:w="3231" w:type="dxa"/>
          </w:tcPr>
          <w:p>
            <w:pPr>
              <w:rPr>
                <w:rFonts w:ascii="宋体" w:hAnsi="宋体"/>
                <w:snapToGrid w:val="0"/>
                <w:kern w:val="0"/>
                <w:sz w:val="24"/>
              </w:rPr>
            </w:pPr>
          </w:p>
        </w:tc>
        <w:tc>
          <w:tcPr>
            <w:tcW w:w="284" w:type="dxa"/>
          </w:tcPr>
          <w:p>
            <w:pPr>
              <w:rPr>
                <w:rFonts w:ascii="宋体" w:hAnsi="宋体"/>
                <w:snapToGrid w:val="0"/>
                <w:kern w:val="0"/>
                <w:sz w:val="24"/>
              </w:rPr>
            </w:pPr>
          </w:p>
        </w:tc>
        <w:tc>
          <w:tcPr>
            <w:tcW w:w="1559" w:type="dxa"/>
          </w:tcPr>
          <w:p>
            <w:pPr>
              <w:rPr>
                <w:rFonts w:ascii="宋体" w:hAnsi="宋体"/>
                <w:snapToGrid w:val="0"/>
                <w:kern w:val="0"/>
                <w:sz w:val="24"/>
              </w:rPr>
            </w:pPr>
            <w:r>
              <w:rPr>
                <w:rFonts w:hint="eastAsia" w:ascii="宋体" w:hAnsi="宋体"/>
                <w:snapToGrid w:val="0"/>
                <w:kern w:val="0"/>
                <w:sz w:val="24"/>
              </w:rPr>
              <w:t>委托代理人：</w:t>
            </w:r>
          </w:p>
        </w:tc>
        <w:tc>
          <w:tcPr>
            <w:tcW w:w="3118" w:type="dxa"/>
          </w:tcPr>
          <w:p>
            <w:pPr>
              <w:rPr>
                <w:rFonts w:ascii="宋体" w:hAnsi="宋体"/>
                <w:snapToGrid w:val="0"/>
                <w:kern w:val="0"/>
                <w:sz w:val="24"/>
              </w:rPr>
            </w:pPr>
          </w:p>
        </w:tc>
      </w:tr>
      <w:permEnd w:id="43"/>
      <w:permEnd w:id="44"/>
      <w:tr>
        <w:tblPrEx>
          <w:tblCellMar>
            <w:top w:w="0" w:type="dxa"/>
            <w:left w:w="108" w:type="dxa"/>
            <w:bottom w:w="0" w:type="dxa"/>
            <w:right w:w="108" w:type="dxa"/>
          </w:tblCellMar>
        </w:tblPrEx>
        <w:trPr>
          <w:trHeight w:val="830" w:hRule="atLeast"/>
          <w:jc w:val="center"/>
        </w:trPr>
        <w:tc>
          <w:tcPr>
            <w:tcW w:w="1555" w:type="dxa"/>
          </w:tcPr>
          <w:p>
            <w:pPr>
              <w:adjustRightInd w:val="0"/>
              <w:snapToGrid w:val="0"/>
              <w:spacing w:line="360" w:lineRule="auto"/>
              <w:ind w:right="11"/>
              <w:rPr>
                <w:rFonts w:ascii="宋体" w:hAnsi="宋体" w:cs="宋体"/>
                <w:sz w:val="24"/>
                <w:u w:val="single"/>
              </w:rPr>
            </w:pPr>
            <w:permStart w:id="45" w:edGrp="everyone" w:colFirst="1" w:colLast="1"/>
            <w:permStart w:id="46" w:edGrp="everyone" w:colFirst="4" w:colLast="4"/>
            <w:r>
              <w:rPr>
                <w:rFonts w:hint="eastAsia" w:ascii="宋体" w:hAnsi="宋体"/>
                <w:snapToGrid w:val="0"/>
                <w:kern w:val="0"/>
                <w:sz w:val="24"/>
              </w:rPr>
              <w:t>住    所：</w:t>
            </w:r>
          </w:p>
          <w:p>
            <w:pPr>
              <w:rPr>
                <w:rFonts w:ascii="宋体" w:hAnsi="宋体"/>
                <w:snapToGrid w:val="0"/>
                <w:kern w:val="0"/>
                <w:sz w:val="24"/>
              </w:rPr>
            </w:pPr>
          </w:p>
        </w:tc>
        <w:tc>
          <w:tcPr>
            <w:tcW w:w="3231" w:type="dxa"/>
          </w:tcPr>
          <w:p>
            <w:pPr>
              <w:rPr>
                <w:rFonts w:ascii="宋体" w:hAnsi="宋体"/>
                <w:snapToGrid w:val="0"/>
                <w:kern w:val="0"/>
                <w:sz w:val="24"/>
              </w:rPr>
            </w:pPr>
          </w:p>
        </w:tc>
        <w:tc>
          <w:tcPr>
            <w:tcW w:w="284" w:type="dxa"/>
          </w:tcPr>
          <w:p>
            <w:pPr>
              <w:adjustRightInd w:val="0"/>
              <w:snapToGrid w:val="0"/>
              <w:spacing w:line="360" w:lineRule="auto"/>
              <w:ind w:right="11"/>
              <w:rPr>
                <w:rFonts w:ascii="宋体" w:hAnsi="宋体"/>
                <w:snapToGrid w:val="0"/>
                <w:kern w:val="0"/>
                <w:sz w:val="24"/>
              </w:rPr>
            </w:pPr>
          </w:p>
        </w:tc>
        <w:tc>
          <w:tcPr>
            <w:tcW w:w="1559" w:type="dxa"/>
          </w:tcPr>
          <w:p>
            <w:pPr>
              <w:adjustRightInd w:val="0"/>
              <w:snapToGrid w:val="0"/>
              <w:spacing w:line="360" w:lineRule="auto"/>
              <w:ind w:right="11"/>
              <w:rPr>
                <w:rFonts w:ascii="宋体" w:hAnsi="宋体" w:cs="宋体"/>
                <w:sz w:val="24"/>
                <w:u w:val="single"/>
              </w:rPr>
            </w:pPr>
            <w:r>
              <w:rPr>
                <w:rFonts w:hint="eastAsia" w:ascii="宋体" w:hAnsi="宋体"/>
                <w:snapToGrid w:val="0"/>
                <w:kern w:val="0"/>
                <w:sz w:val="24"/>
              </w:rPr>
              <w:t>住    所：</w:t>
            </w:r>
          </w:p>
          <w:p>
            <w:pPr>
              <w:rPr>
                <w:rFonts w:ascii="宋体" w:hAnsi="宋体"/>
                <w:snapToGrid w:val="0"/>
                <w:kern w:val="0"/>
                <w:sz w:val="24"/>
              </w:rPr>
            </w:pPr>
          </w:p>
        </w:tc>
        <w:tc>
          <w:tcPr>
            <w:tcW w:w="3118" w:type="dxa"/>
          </w:tcPr>
          <w:p>
            <w:pPr>
              <w:rPr>
                <w:rFonts w:ascii="宋体" w:hAnsi="宋体"/>
                <w:snapToGrid w:val="0"/>
                <w:kern w:val="0"/>
                <w:sz w:val="24"/>
              </w:rPr>
            </w:pPr>
          </w:p>
        </w:tc>
      </w:tr>
      <w:permEnd w:id="45"/>
      <w:permEnd w:id="46"/>
      <w:tr>
        <w:tblPrEx>
          <w:tblCellMar>
            <w:top w:w="0" w:type="dxa"/>
            <w:left w:w="108" w:type="dxa"/>
            <w:bottom w:w="0" w:type="dxa"/>
            <w:right w:w="108" w:type="dxa"/>
          </w:tblCellMar>
        </w:tblPrEx>
        <w:trPr>
          <w:trHeight w:val="645" w:hRule="atLeast"/>
          <w:jc w:val="center"/>
        </w:trPr>
        <w:tc>
          <w:tcPr>
            <w:tcW w:w="1555" w:type="dxa"/>
          </w:tcPr>
          <w:p>
            <w:pPr>
              <w:rPr>
                <w:rFonts w:ascii="宋体" w:hAnsi="宋体"/>
                <w:snapToGrid w:val="0"/>
                <w:kern w:val="0"/>
                <w:sz w:val="24"/>
              </w:rPr>
            </w:pPr>
            <w:permStart w:id="47" w:edGrp="everyone" w:colFirst="1" w:colLast="1"/>
            <w:permStart w:id="48" w:edGrp="everyone" w:colFirst="4" w:colLast="4"/>
            <w:r>
              <w:rPr>
                <w:rFonts w:hint="eastAsia" w:ascii="宋体" w:hAnsi="宋体"/>
                <w:snapToGrid w:val="0"/>
                <w:kern w:val="0"/>
                <w:sz w:val="24"/>
              </w:rPr>
              <w:t>电    话：</w:t>
            </w:r>
          </w:p>
        </w:tc>
        <w:tc>
          <w:tcPr>
            <w:tcW w:w="3231" w:type="dxa"/>
          </w:tcPr>
          <w:p>
            <w:pPr>
              <w:rPr>
                <w:rFonts w:ascii="宋体" w:hAnsi="宋体"/>
                <w:snapToGrid w:val="0"/>
                <w:kern w:val="0"/>
                <w:sz w:val="24"/>
              </w:rPr>
            </w:pPr>
          </w:p>
        </w:tc>
        <w:tc>
          <w:tcPr>
            <w:tcW w:w="284" w:type="dxa"/>
          </w:tcPr>
          <w:p>
            <w:pPr>
              <w:rPr>
                <w:rFonts w:ascii="宋体" w:hAnsi="宋体"/>
                <w:snapToGrid w:val="0"/>
                <w:kern w:val="0"/>
                <w:sz w:val="24"/>
              </w:rPr>
            </w:pPr>
          </w:p>
        </w:tc>
        <w:tc>
          <w:tcPr>
            <w:tcW w:w="1559" w:type="dxa"/>
          </w:tcPr>
          <w:p>
            <w:pPr>
              <w:rPr>
                <w:rFonts w:ascii="宋体" w:hAnsi="宋体"/>
                <w:snapToGrid w:val="0"/>
                <w:kern w:val="0"/>
                <w:sz w:val="24"/>
              </w:rPr>
            </w:pPr>
            <w:r>
              <w:rPr>
                <w:rFonts w:hint="eastAsia" w:ascii="宋体" w:hAnsi="宋体"/>
                <w:snapToGrid w:val="0"/>
                <w:kern w:val="0"/>
                <w:sz w:val="24"/>
              </w:rPr>
              <w:t>电    话：</w:t>
            </w:r>
          </w:p>
        </w:tc>
        <w:tc>
          <w:tcPr>
            <w:tcW w:w="3118" w:type="dxa"/>
          </w:tcPr>
          <w:p>
            <w:pPr>
              <w:rPr>
                <w:rFonts w:ascii="宋体" w:hAnsi="宋体"/>
                <w:snapToGrid w:val="0"/>
                <w:kern w:val="0"/>
                <w:sz w:val="24"/>
              </w:rPr>
            </w:pPr>
          </w:p>
        </w:tc>
      </w:tr>
      <w:permEnd w:id="47"/>
      <w:permEnd w:id="48"/>
      <w:tr>
        <w:tblPrEx>
          <w:tblCellMar>
            <w:top w:w="0" w:type="dxa"/>
            <w:left w:w="108" w:type="dxa"/>
            <w:bottom w:w="0" w:type="dxa"/>
            <w:right w:w="108" w:type="dxa"/>
          </w:tblCellMar>
        </w:tblPrEx>
        <w:trPr>
          <w:trHeight w:val="670" w:hRule="atLeast"/>
          <w:jc w:val="center"/>
        </w:trPr>
        <w:tc>
          <w:tcPr>
            <w:tcW w:w="1555" w:type="dxa"/>
          </w:tcPr>
          <w:p>
            <w:pPr>
              <w:rPr>
                <w:rFonts w:ascii="宋体" w:hAnsi="宋体"/>
                <w:snapToGrid w:val="0"/>
                <w:kern w:val="0"/>
                <w:sz w:val="24"/>
              </w:rPr>
            </w:pPr>
            <w:permStart w:id="49" w:edGrp="everyone" w:colFirst="1" w:colLast="1"/>
            <w:permStart w:id="50" w:edGrp="everyone" w:colFirst="4" w:colLast="4"/>
            <w:r>
              <w:rPr>
                <w:rFonts w:hint="eastAsia" w:ascii="宋体" w:hAnsi="宋体"/>
                <w:snapToGrid w:val="0"/>
                <w:kern w:val="0"/>
                <w:sz w:val="24"/>
              </w:rPr>
              <w:t>传    真：</w:t>
            </w:r>
          </w:p>
        </w:tc>
        <w:tc>
          <w:tcPr>
            <w:tcW w:w="3231" w:type="dxa"/>
          </w:tcPr>
          <w:p>
            <w:pPr>
              <w:rPr>
                <w:rFonts w:ascii="宋体" w:hAnsi="宋体"/>
                <w:snapToGrid w:val="0"/>
                <w:kern w:val="0"/>
                <w:sz w:val="24"/>
              </w:rPr>
            </w:pPr>
          </w:p>
        </w:tc>
        <w:tc>
          <w:tcPr>
            <w:tcW w:w="284" w:type="dxa"/>
          </w:tcPr>
          <w:p>
            <w:pPr>
              <w:rPr>
                <w:rFonts w:ascii="宋体" w:hAnsi="宋体"/>
                <w:snapToGrid w:val="0"/>
                <w:kern w:val="0"/>
                <w:sz w:val="24"/>
              </w:rPr>
            </w:pPr>
          </w:p>
        </w:tc>
        <w:tc>
          <w:tcPr>
            <w:tcW w:w="1559" w:type="dxa"/>
          </w:tcPr>
          <w:p>
            <w:pPr>
              <w:rPr>
                <w:rFonts w:ascii="宋体" w:hAnsi="宋体"/>
                <w:snapToGrid w:val="0"/>
                <w:kern w:val="0"/>
                <w:sz w:val="24"/>
              </w:rPr>
            </w:pPr>
            <w:r>
              <w:rPr>
                <w:rFonts w:hint="eastAsia" w:ascii="宋体" w:hAnsi="宋体"/>
                <w:snapToGrid w:val="0"/>
                <w:kern w:val="0"/>
                <w:sz w:val="24"/>
              </w:rPr>
              <w:t>传    真：</w:t>
            </w:r>
          </w:p>
        </w:tc>
        <w:tc>
          <w:tcPr>
            <w:tcW w:w="3118" w:type="dxa"/>
          </w:tcPr>
          <w:p>
            <w:pPr>
              <w:rPr>
                <w:rFonts w:ascii="宋体" w:hAnsi="宋体"/>
                <w:snapToGrid w:val="0"/>
                <w:kern w:val="0"/>
                <w:sz w:val="24"/>
              </w:rPr>
            </w:pPr>
          </w:p>
        </w:tc>
      </w:tr>
      <w:permEnd w:id="49"/>
      <w:permEnd w:id="50"/>
    </w:tbl>
    <w:p>
      <w:pPr>
        <w:pStyle w:val="4"/>
        <w:pageBreakBefore w:val="0"/>
        <w:spacing w:line="420" w:lineRule="exact"/>
        <w:jc w:val="left"/>
        <w:rPr>
          <w:rFonts w:hint="eastAsia"/>
          <w:sz w:val="24"/>
        </w:rPr>
        <w:sectPr>
          <w:headerReference r:id="rId3" w:type="default"/>
          <w:footerReference r:id="rId4" w:type="default"/>
          <w:pgSz w:w="12240" w:h="15840"/>
          <w:pgMar w:top="1480" w:right="1718" w:bottom="919" w:left="1718" w:header="850" w:footer="992" w:gutter="0"/>
          <w:cols w:space="720" w:num="1"/>
        </w:sectPr>
      </w:pPr>
    </w:p>
    <w:p>
      <w:pPr>
        <w:pStyle w:val="4"/>
        <w:pageBreakBefore w:val="0"/>
        <w:spacing w:line="420" w:lineRule="exact"/>
        <w:jc w:val="left"/>
        <w:rPr>
          <w:bCs/>
          <w:szCs w:val="32"/>
        </w:rPr>
      </w:pPr>
      <w:r>
        <w:rPr>
          <w:rFonts w:hint="eastAsia"/>
          <w:sz w:val="24"/>
        </w:rPr>
        <w:t>附件1：</w:t>
      </w:r>
      <w:r>
        <w:rPr>
          <w:rFonts w:hint="eastAsia"/>
        </w:rPr>
        <w:t xml:space="preserve">           </w:t>
      </w:r>
    </w:p>
    <w:p>
      <w:pPr>
        <w:tabs>
          <w:tab w:val="left" w:pos="360"/>
          <w:tab w:val="left" w:pos="900"/>
        </w:tabs>
        <w:spacing w:line="160" w:lineRule="atLeast"/>
        <w:jc w:val="center"/>
        <w:rPr>
          <w:rFonts w:ascii="宋体" w:hAnsi="宋体"/>
          <w:b/>
          <w:bCs/>
          <w:sz w:val="28"/>
          <w:szCs w:val="28"/>
        </w:rPr>
      </w:pPr>
      <w:r>
        <w:rPr>
          <w:rFonts w:hint="eastAsia"/>
          <w:b/>
          <w:bCs/>
          <w:sz w:val="32"/>
          <w:szCs w:val="32"/>
        </w:rPr>
        <w:t>项目监理人员履行工程监理合同检查评分表</w:t>
      </w:r>
    </w:p>
    <w:p>
      <w:pPr>
        <w:tabs>
          <w:tab w:val="left" w:pos="360"/>
          <w:tab w:val="left" w:pos="900"/>
        </w:tabs>
        <w:spacing w:line="240" w:lineRule="atLeast"/>
        <w:rPr>
          <w:sz w:val="18"/>
          <w:szCs w:val="18"/>
        </w:rPr>
      </w:pPr>
      <w:r>
        <w:rPr>
          <w:rFonts w:hint="eastAsia"/>
          <w:sz w:val="18"/>
          <w:szCs w:val="18"/>
        </w:rPr>
        <w:t>工程名称：</w:t>
      </w:r>
      <w:r>
        <w:rPr>
          <w:sz w:val="18"/>
          <w:szCs w:val="18"/>
        </w:rPr>
        <w:t xml:space="preserve">                                                  </w:t>
      </w:r>
      <w:r>
        <w:rPr>
          <w:rFonts w:hint="eastAsia"/>
          <w:sz w:val="18"/>
          <w:szCs w:val="18"/>
        </w:rPr>
        <w:t>编号：</w:t>
      </w:r>
    </w:p>
    <w:tbl>
      <w:tblPr>
        <w:tblStyle w:val="28"/>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20"/>
        <w:gridCol w:w="17"/>
        <w:gridCol w:w="559"/>
        <w:gridCol w:w="470"/>
        <w:gridCol w:w="163"/>
        <w:gridCol w:w="652"/>
        <w:gridCol w:w="187"/>
        <w:gridCol w:w="2024"/>
        <w:gridCol w:w="586"/>
        <w:gridCol w:w="849"/>
        <w:gridCol w:w="696"/>
        <w:gridCol w:w="296"/>
        <w:gridCol w:w="96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3" w:type="dxa"/>
            <w:gridSpan w:val="5"/>
            <w:tcBorders>
              <w:top w:val="single" w:color="auto" w:sz="8"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监理单位名称</w:t>
            </w:r>
          </w:p>
        </w:tc>
        <w:tc>
          <w:tcPr>
            <w:tcW w:w="6428" w:type="dxa"/>
            <w:gridSpan w:val="10"/>
            <w:tcBorders>
              <w:top w:val="single" w:color="auto" w:sz="8"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893" w:type="dxa"/>
            <w:gridSpan w:val="5"/>
            <w:tcBorders>
              <w:top w:val="single" w:color="auto" w:sz="4" w:space="0"/>
              <w:left w:val="single" w:color="auto" w:sz="8" w:space="0"/>
              <w:bottom w:val="single" w:color="auto" w:sz="8"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检</w:t>
            </w:r>
            <w:r>
              <w:rPr>
                <w:sz w:val="18"/>
                <w:szCs w:val="18"/>
              </w:rPr>
              <w:t xml:space="preserve"> </w:t>
            </w:r>
            <w:r>
              <w:rPr>
                <w:rFonts w:hint="eastAsia"/>
                <w:sz w:val="18"/>
                <w:szCs w:val="18"/>
              </w:rPr>
              <w:t>查</w:t>
            </w:r>
            <w:r>
              <w:rPr>
                <w:sz w:val="18"/>
                <w:szCs w:val="18"/>
              </w:rPr>
              <w:t xml:space="preserve"> </w:t>
            </w:r>
            <w:r>
              <w:rPr>
                <w:rFonts w:hint="eastAsia"/>
                <w:sz w:val="18"/>
                <w:szCs w:val="18"/>
              </w:rPr>
              <w:t>日</w:t>
            </w:r>
            <w:r>
              <w:rPr>
                <w:sz w:val="18"/>
                <w:szCs w:val="18"/>
              </w:rPr>
              <w:t xml:space="preserve"> </w:t>
            </w:r>
            <w:r>
              <w:rPr>
                <w:rFonts w:hint="eastAsia"/>
                <w:sz w:val="18"/>
                <w:szCs w:val="18"/>
              </w:rPr>
              <w:t>期</w:t>
            </w:r>
          </w:p>
        </w:tc>
        <w:tc>
          <w:tcPr>
            <w:tcW w:w="3026" w:type="dxa"/>
            <w:gridSpan w:val="4"/>
            <w:tcBorders>
              <w:top w:val="single" w:color="auto" w:sz="4" w:space="0"/>
              <w:left w:val="single" w:color="auto" w:sz="4" w:space="0"/>
              <w:bottom w:val="single" w:color="auto" w:sz="8" w:space="0"/>
              <w:right w:val="single" w:color="auto" w:sz="4" w:space="0"/>
            </w:tcBorders>
            <w:vAlign w:val="center"/>
          </w:tcPr>
          <w:p>
            <w:pPr>
              <w:tabs>
                <w:tab w:val="left" w:pos="360"/>
                <w:tab w:val="left" w:pos="900"/>
              </w:tabs>
              <w:spacing w:line="400" w:lineRule="exact"/>
              <w:jc w:val="center"/>
              <w:rPr>
                <w:sz w:val="18"/>
                <w:szCs w:val="18"/>
              </w:rPr>
            </w:pPr>
          </w:p>
        </w:tc>
        <w:tc>
          <w:tcPr>
            <w:tcW w:w="1435" w:type="dxa"/>
            <w:gridSpan w:val="2"/>
            <w:tcBorders>
              <w:top w:val="single" w:color="auto" w:sz="4" w:space="0"/>
              <w:left w:val="single" w:color="auto" w:sz="4" w:space="0"/>
              <w:bottom w:val="single" w:color="auto" w:sz="8" w:space="0"/>
              <w:right w:val="single" w:color="auto" w:sz="4" w:space="0"/>
            </w:tcBorders>
            <w:vAlign w:val="center"/>
          </w:tcPr>
          <w:p>
            <w:pPr>
              <w:tabs>
                <w:tab w:val="left" w:pos="360"/>
                <w:tab w:val="left" w:pos="900"/>
              </w:tabs>
              <w:jc w:val="center"/>
              <w:rPr>
                <w:sz w:val="18"/>
                <w:szCs w:val="18"/>
              </w:rPr>
            </w:pPr>
            <w:r>
              <w:rPr>
                <w:rFonts w:hint="eastAsia"/>
                <w:sz w:val="18"/>
                <w:szCs w:val="18"/>
              </w:rPr>
              <w:t>工程开工日期</w:t>
            </w:r>
          </w:p>
        </w:tc>
        <w:tc>
          <w:tcPr>
            <w:tcW w:w="1967" w:type="dxa"/>
            <w:gridSpan w:val="4"/>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321" w:type="dxa"/>
            <w:gridSpan w:val="15"/>
            <w:tcBorders>
              <w:top w:val="single" w:color="auto" w:sz="8" w:space="0"/>
              <w:left w:val="single" w:color="auto" w:sz="8" w:space="0"/>
              <w:bottom w:val="single" w:color="auto" w:sz="4" w:space="0"/>
              <w:right w:val="single" w:color="auto" w:sz="8" w:space="0"/>
            </w:tcBorders>
            <w:vAlign w:val="center"/>
          </w:tcPr>
          <w:p>
            <w:pPr>
              <w:tabs>
                <w:tab w:val="left" w:pos="360"/>
                <w:tab w:val="left" w:pos="900"/>
              </w:tabs>
              <w:spacing w:line="400" w:lineRule="exact"/>
              <w:jc w:val="center"/>
              <w:rPr>
                <w:sz w:val="18"/>
                <w:szCs w:val="18"/>
              </w:rPr>
            </w:pPr>
            <w:r>
              <w:rPr>
                <w:rFonts w:hint="eastAsia"/>
                <w:sz w:val="18"/>
                <w:szCs w:val="18"/>
              </w:rPr>
              <w:t>检</w:t>
            </w:r>
            <w:r>
              <w:rPr>
                <w:sz w:val="18"/>
                <w:szCs w:val="18"/>
              </w:rPr>
              <w:t xml:space="preserve">  </w:t>
            </w:r>
            <w:r>
              <w:rPr>
                <w:rFonts w:hint="eastAsia"/>
                <w:sz w:val="18"/>
                <w:szCs w:val="18"/>
              </w:rPr>
              <w:t>查</w:t>
            </w:r>
            <w:r>
              <w:rPr>
                <w:sz w:val="18"/>
                <w:szCs w:val="18"/>
              </w:rPr>
              <w:t xml:space="preserve">  </w:t>
            </w:r>
            <w:r>
              <w:rPr>
                <w:rFonts w:hint="eastAsia"/>
                <w:sz w:val="18"/>
                <w:szCs w:val="18"/>
              </w:rPr>
              <w:t>内</w:t>
            </w:r>
            <w:r>
              <w:rPr>
                <w:sz w:val="18"/>
                <w:szCs w:val="18"/>
              </w:rPr>
              <w:t xml:space="preserve">  </w:t>
            </w:r>
            <w:r>
              <w:rPr>
                <w:rFonts w:hint="eastAsia"/>
                <w:sz w:val="18"/>
                <w:szCs w:val="18"/>
              </w:rPr>
              <w:t>容</w:t>
            </w:r>
            <w:r>
              <w:rPr>
                <w:sz w:val="18"/>
                <w:szCs w:val="18"/>
              </w:rPr>
              <w:t xml:space="preserve">  </w:t>
            </w:r>
            <w:r>
              <w:rPr>
                <w:rFonts w:hint="eastAsia"/>
                <w:sz w:val="18"/>
                <w:szCs w:val="18"/>
              </w:rPr>
              <w:t>及</w:t>
            </w:r>
            <w:r>
              <w:rPr>
                <w:sz w:val="18"/>
                <w:szCs w:val="18"/>
              </w:rPr>
              <w:t xml:space="preserve">  </w:t>
            </w:r>
            <w:r>
              <w:rPr>
                <w:rFonts w:hint="eastAsia"/>
                <w:sz w:val="18"/>
                <w:szCs w:val="18"/>
              </w:rPr>
              <w:t>结</w:t>
            </w:r>
            <w:r>
              <w:rPr>
                <w:sz w:val="18"/>
                <w:szCs w:val="18"/>
              </w:rPr>
              <w:t xml:space="preserve">  </w:t>
            </w:r>
            <w:r>
              <w:rPr>
                <w:rFonts w:hint="eastAsia"/>
                <w:sz w:val="18"/>
                <w:szCs w:val="18"/>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pStyle w:val="19"/>
              <w:pBdr>
                <w:bottom w:val="none" w:color="auto" w:sz="0" w:space="0"/>
              </w:pBdr>
              <w:tabs>
                <w:tab w:val="left" w:pos="360"/>
                <w:tab w:val="left" w:pos="420"/>
                <w:tab w:val="left" w:pos="900"/>
              </w:tabs>
              <w:snapToGrid/>
              <w:spacing w:line="0" w:lineRule="atLeast"/>
            </w:pPr>
            <w:r>
              <w:rPr>
                <w:rFonts w:hint="eastAsia"/>
              </w:rPr>
              <w:t>序</w:t>
            </w:r>
          </w:p>
          <w:p>
            <w:pPr>
              <w:pStyle w:val="19"/>
              <w:pBdr>
                <w:bottom w:val="none" w:color="auto" w:sz="0" w:space="0"/>
              </w:pBdr>
              <w:tabs>
                <w:tab w:val="left" w:pos="360"/>
                <w:tab w:val="left" w:pos="420"/>
                <w:tab w:val="left" w:pos="900"/>
              </w:tabs>
              <w:snapToGrid/>
              <w:spacing w:line="0" w:lineRule="atLeast"/>
            </w:pPr>
            <w:r>
              <w:rPr>
                <w:rFonts w:hint="eastAsia"/>
              </w:rPr>
              <w:t>号</w:t>
            </w:r>
          </w:p>
        </w:tc>
        <w:tc>
          <w:tcPr>
            <w:tcW w:w="1996"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jc w:val="center"/>
              <w:rPr>
                <w:bCs/>
                <w:sz w:val="18"/>
                <w:szCs w:val="18"/>
              </w:rPr>
            </w:pPr>
            <w:r>
              <w:rPr>
                <w:rFonts w:hint="eastAsia"/>
                <w:bCs/>
                <w:sz w:val="18"/>
                <w:szCs w:val="18"/>
              </w:rPr>
              <w:t>条</w:t>
            </w:r>
            <w:r>
              <w:rPr>
                <w:bCs/>
                <w:sz w:val="18"/>
                <w:szCs w:val="18"/>
              </w:rPr>
              <w:t xml:space="preserve"> </w:t>
            </w:r>
            <w:r>
              <w:rPr>
                <w:rFonts w:hint="eastAsia"/>
                <w:bCs/>
                <w:sz w:val="18"/>
                <w:szCs w:val="18"/>
              </w:rPr>
              <w:t>款</w:t>
            </w:r>
          </w:p>
        </w:tc>
        <w:tc>
          <w:tcPr>
            <w:tcW w:w="633"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jc w:val="center"/>
              <w:rPr>
                <w:bCs/>
                <w:sz w:val="18"/>
                <w:szCs w:val="18"/>
              </w:rPr>
            </w:pPr>
            <w:r>
              <w:rPr>
                <w:rFonts w:hint="eastAsia"/>
                <w:bCs/>
                <w:sz w:val="18"/>
                <w:szCs w:val="18"/>
              </w:rPr>
              <w:t>得分</w:t>
            </w: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jc w:val="center"/>
              <w:rPr>
                <w:bCs/>
                <w:sz w:val="18"/>
                <w:szCs w:val="18"/>
              </w:rPr>
            </w:pPr>
            <w:r>
              <w:rPr>
                <w:rFonts w:hint="eastAsia"/>
                <w:bCs/>
                <w:sz w:val="18"/>
                <w:szCs w:val="18"/>
              </w:rPr>
              <w:t>扣分</w:t>
            </w: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jc w:val="center"/>
              <w:rPr>
                <w:bCs/>
                <w:sz w:val="18"/>
                <w:szCs w:val="18"/>
              </w:rPr>
            </w:pPr>
            <w:r>
              <w:rPr>
                <w:rFonts w:hint="eastAsia"/>
                <w:bCs/>
                <w:sz w:val="18"/>
                <w:szCs w:val="18"/>
              </w:rPr>
              <w:t>检</w:t>
            </w:r>
            <w:r>
              <w:rPr>
                <w:bCs/>
                <w:sz w:val="18"/>
                <w:szCs w:val="18"/>
              </w:rPr>
              <w:t xml:space="preserve">  </w:t>
            </w:r>
            <w:r>
              <w:rPr>
                <w:rFonts w:hint="eastAsia"/>
                <w:bCs/>
                <w:sz w:val="18"/>
                <w:szCs w:val="18"/>
              </w:rPr>
              <w:t>查</w:t>
            </w:r>
            <w:r>
              <w:rPr>
                <w:bCs/>
                <w:sz w:val="18"/>
                <w:szCs w:val="18"/>
              </w:rPr>
              <w:t xml:space="preserve">  </w:t>
            </w:r>
            <w:r>
              <w:rPr>
                <w:rFonts w:hint="eastAsia"/>
                <w:bCs/>
                <w:sz w:val="18"/>
                <w:szCs w:val="18"/>
              </w:rPr>
              <w:t>事</w:t>
            </w:r>
            <w:r>
              <w:rPr>
                <w:bCs/>
                <w:sz w:val="18"/>
                <w:szCs w:val="18"/>
              </w:rPr>
              <w:t xml:space="preserve">  </w:t>
            </w:r>
            <w:r>
              <w:rPr>
                <w:rFonts w:hint="eastAsia"/>
                <w:bCs/>
                <w:sz w:val="18"/>
                <w:szCs w:val="18"/>
              </w:rPr>
              <w:t>实</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jc w:val="center"/>
              <w:rPr>
                <w:bCs/>
                <w:sz w:val="18"/>
                <w:szCs w:val="18"/>
              </w:rPr>
            </w:pPr>
            <w:r>
              <w:rPr>
                <w:rFonts w:hint="eastAsia"/>
                <w:bCs/>
                <w:sz w:val="18"/>
                <w:szCs w:val="18"/>
              </w:rPr>
              <w:t>责任人</w:t>
            </w: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jc w:val="center"/>
              <w:rPr>
                <w:bCs/>
                <w:sz w:val="18"/>
                <w:szCs w:val="18"/>
              </w:rPr>
            </w:pPr>
            <w:r>
              <w:rPr>
                <w:rFonts w:hint="eastAsia"/>
                <w:bCs/>
                <w:sz w:val="18"/>
                <w:szCs w:val="18"/>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w:t>
            </w:r>
          </w:p>
        </w:tc>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before="120" w:beforeLines="50" w:after="120" w:afterLines="50" w:line="240" w:lineRule="exact"/>
              <w:rPr>
                <w:bCs/>
                <w:sz w:val="18"/>
                <w:szCs w:val="18"/>
              </w:rPr>
            </w:pPr>
            <w:r>
              <w:rPr>
                <w:rFonts w:hint="eastAsia"/>
                <w:bCs/>
                <w:sz w:val="18"/>
                <w:szCs w:val="18"/>
              </w:rPr>
              <w:t>一、总监理工程师及专业监理工程师到位</w:t>
            </w:r>
          </w:p>
          <w:p>
            <w:pPr>
              <w:tabs>
                <w:tab w:val="left" w:pos="360"/>
                <w:tab w:val="left" w:pos="900"/>
              </w:tabs>
              <w:spacing w:before="120" w:beforeLines="50" w:after="120" w:afterLines="50" w:line="240" w:lineRule="exact"/>
              <w:rPr>
                <w:bCs/>
                <w:sz w:val="18"/>
                <w:szCs w:val="18"/>
              </w:rPr>
            </w:pPr>
            <w:r>
              <w:rPr>
                <w:rFonts w:hint="eastAsia"/>
                <w:sz w:val="18"/>
                <w:szCs w:val="18"/>
              </w:rPr>
              <w:t>基础分15分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随意更换总监理工程师，扣</w:t>
            </w:r>
            <w:r>
              <w:rPr>
                <w:sz w:val="18"/>
                <w:szCs w:val="18"/>
              </w:rPr>
              <w:t>10</w:t>
            </w:r>
            <w:r>
              <w:rPr>
                <w:rFonts w:hint="eastAsia"/>
                <w:sz w:val="18"/>
                <w:szCs w:val="18"/>
              </w:rPr>
              <w:t>分；随意更换专业监理</w:t>
            </w:r>
            <w:r>
              <w:rPr>
                <w:rFonts w:hint="eastAsia"/>
                <w:sz w:val="18"/>
                <w:szCs w:val="18"/>
                <w:lang w:eastAsia="zh-CN"/>
              </w:rPr>
              <w:t>工程师</w:t>
            </w:r>
            <w:r>
              <w:rPr>
                <w:rFonts w:hint="eastAsia"/>
                <w:sz w:val="18"/>
                <w:szCs w:val="18"/>
              </w:rPr>
              <w:t>，扣</w:t>
            </w:r>
            <w:r>
              <w:rPr>
                <w:sz w:val="18"/>
                <w:szCs w:val="18"/>
              </w:rPr>
              <w:t>10</w:t>
            </w:r>
            <w:r>
              <w:rPr>
                <w:rFonts w:hint="eastAsia"/>
                <w:sz w:val="18"/>
                <w:szCs w:val="18"/>
              </w:rPr>
              <w:t>分；经业主同意更换总监理工程师或专业监理工程师的，扣</w:t>
            </w:r>
            <w:r>
              <w:rPr>
                <w:sz w:val="18"/>
                <w:szCs w:val="18"/>
              </w:rPr>
              <w:t>5</w:t>
            </w:r>
            <w:r>
              <w:rPr>
                <w:rFonts w:hint="eastAsia"/>
                <w:sz w:val="18"/>
                <w:szCs w:val="18"/>
              </w:rPr>
              <w:t>分（因病等特殊情况除外）；</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检查中总监理工程师无故不在施工现场，扣</w:t>
            </w:r>
            <w:r>
              <w:rPr>
                <w:sz w:val="18"/>
                <w:szCs w:val="18"/>
              </w:rPr>
              <w:t>5</w:t>
            </w:r>
            <w:r>
              <w:rPr>
                <w:rFonts w:hint="eastAsia"/>
                <w:sz w:val="18"/>
                <w:szCs w:val="18"/>
              </w:rPr>
              <w:t>分；检查中专业监理工程师无故不在施工现场，扣</w:t>
            </w:r>
            <w:r>
              <w:rPr>
                <w:sz w:val="18"/>
                <w:szCs w:val="18"/>
              </w:rPr>
              <w:t>3</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3</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检查期间总监理工程师无故未参加工程例会，每缺席一次扣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4</w:t>
            </w:r>
          </w:p>
        </w:tc>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before="120" w:beforeLines="50" w:after="120" w:afterLines="50" w:line="240" w:lineRule="atLeast"/>
              <w:rPr>
                <w:sz w:val="18"/>
                <w:szCs w:val="18"/>
              </w:rPr>
            </w:pPr>
            <w:r>
              <w:rPr>
                <w:rFonts w:hint="eastAsia"/>
                <w:sz w:val="18"/>
                <w:szCs w:val="18"/>
              </w:rPr>
              <w:t>二、监理公司专业技术人力及设备的投入</w:t>
            </w:r>
            <w:r>
              <w:rPr>
                <w:sz w:val="18"/>
                <w:szCs w:val="18"/>
              </w:rPr>
              <w:t xml:space="preserve">    </w:t>
            </w:r>
            <w:r>
              <w:rPr>
                <w:rFonts w:hint="eastAsia"/>
                <w:sz w:val="18"/>
                <w:szCs w:val="18"/>
              </w:rPr>
              <w:t>基础分25分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投入人力</w:t>
            </w:r>
            <w:r>
              <w:rPr>
                <w:sz w:val="18"/>
                <w:szCs w:val="18"/>
              </w:rPr>
              <w:t>:</w:t>
            </w:r>
            <w:r>
              <w:rPr>
                <w:rFonts w:hint="eastAsia"/>
                <w:sz w:val="18"/>
                <w:szCs w:val="18"/>
              </w:rPr>
              <w:t>监理人员的资质、职称、监理经历、年龄是否满足监理招标文件规定要求和投标文件承诺基础分为</w:t>
            </w:r>
            <w:r>
              <w:rPr>
                <w:sz w:val="18"/>
                <w:szCs w:val="18"/>
              </w:rPr>
              <w:t>10</w:t>
            </w:r>
            <w:r>
              <w:rPr>
                <w:rFonts w:hint="eastAsia"/>
                <w:sz w:val="18"/>
                <w:szCs w:val="18"/>
              </w:rPr>
              <w:t>分。不符合约定的，每发现一宗扣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5</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监理组织机构、监理岗位设置是否满足监理招标文件规定要求和投标文件承诺基础分为</w:t>
            </w:r>
            <w:r>
              <w:rPr>
                <w:sz w:val="18"/>
                <w:szCs w:val="18"/>
              </w:rPr>
              <w:t>10</w:t>
            </w:r>
            <w:r>
              <w:rPr>
                <w:rFonts w:hint="eastAsia"/>
                <w:sz w:val="18"/>
                <w:szCs w:val="18"/>
              </w:rPr>
              <w:t>分不符合约定的，每发现一宗扣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6</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施工单位未按图施工或使用未经图纸会审的图纸施工，而监理未发现或发现又无作为，每发生一次扣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7</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经会审后的施工图纸，仍存在重大技术问题，而监理未发现或发现又无作为，每发生一次扣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8</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监理设施设备是否满足监理招标文件规定要求和投标文件承诺</w:t>
            </w:r>
          </w:p>
          <w:p>
            <w:pPr>
              <w:tabs>
                <w:tab w:val="left" w:pos="360"/>
                <w:tab w:val="left" w:pos="900"/>
              </w:tabs>
              <w:spacing w:line="180" w:lineRule="exact"/>
              <w:rPr>
                <w:sz w:val="18"/>
                <w:szCs w:val="18"/>
              </w:rPr>
            </w:pPr>
            <w:r>
              <w:rPr>
                <w:rFonts w:hint="eastAsia"/>
                <w:sz w:val="18"/>
                <w:szCs w:val="18"/>
              </w:rPr>
              <w:t>基础分为</w:t>
            </w:r>
            <w:r>
              <w:rPr>
                <w:sz w:val="18"/>
                <w:szCs w:val="18"/>
              </w:rPr>
              <w:t>10</w:t>
            </w:r>
            <w:r>
              <w:rPr>
                <w:rFonts w:hint="eastAsia"/>
                <w:sz w:val="18"/>
                <w:szCs w:val="18"/>
              </w:rPr>
              <w:t>分不符合约定的，每发现一宗扣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9</w:t>
            </w:r>
          </w:p>
        </w:tc>
        <w:tc>
          <w:tcPr>
            <w:tcW w:w="1420" w:type="dxa"/>
            <w:vMerge w:val="restart"/>
            <w:tcBorders>
              <w:top w:val="single" w:color="auto" w:sz="4" w:space="0"/>
              <w:left w:val="single" w:color="auto" w:sz="4" w:space="0"/>
              <w:right w:val="single" w:color="auto" w:sz="4" w:space="0"/>
            </w:tcBorders>
            <w:vAlign w:val="center"/>
          </w:tcPr>
          <w:p>
            <w:pPr>
              <w:tabs>
                <w:tab w:val="left" w:pos="360"/>
                <w:tab w:val="left" w:pos="900"/>
              </w:tabs>
              <w:spacing w:before="120" w:beforeLines="50" w:after="120" w:afterLines="50" w:line="240" w:lineRule="atLeast"/>
              <w:rPr>
                <w:bCs/>
                <w:sz w:val="18"/>
                <w:szCs w:val="18"/>
              </w:rPr>
            </w:pPr>
            <w:r>
              <w:rPr>
                <w:rFonts w:hint="eastAsia"/>
                <w:bCs/>
                <w:sz w:val="18"/>
                <w:szCs w:val="18"/>
              </w:rPr>
              <w:t>三、对施工质量控制的情况</w:t>
            </w:r>
          </w:p>
          <w:p>
            <w:pPr>
              <w:tabs>
                <w:tab w:val="left" w:pos="360"/>
                <w:tab w:val="left" w:pos="900"/>
              </w:tabs>
              <w:spacing w:before="120" w:beforeLines="50" w:after="120" w:afterLines="50" w:line="240" w:lineRule="atLeast"/>
              <w:rPr>
                <w:bCs/>
                <w:sz w:val="18"/>
                <w:szCs w:val="18"/>
              </w:rPr>
            </w:pPr>
            <w:r>
              <w:rPr>
                <w:sz w:val="18"/>
                <w:szCs w:val="18"/>
              </w:rPr>
              <w:t xml:space="preserve"> </w:t>
            </w:r>
            <w:r>
              <w:rPr>
                <w:rFonts w:hint="eastAsia"/>
                <w:sz w:val="18"/>
                <w:szCs w:val="18"/>
              </w:rPr>
              <w:t>基础分</w:t>
            </w:r>
            <w:r>
              <w:rPr>
                <w:sz w:val="18"/>
                <w:szCs w:val="18"/>
              </w:rPr>
              <w:t>15</w:t>
            </w:r>
            <w:r>
              <w:rPr>
                <w:rFonts w:hint="eastAsia"/>
                <w:sz w:val="18"/>
                <w:szCs w:val="18"/>
              </w:rPr>
              <w:t>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right w:val="single" w:color="auto" w:sz="4" w:space="0"/>
            </w:tcBorders>
            <w:vAlign w:val="center"/>
          </w:tcPr>
          <w:p>
            <w:pPr>
              <w:tabs>
                <w:tab w:val="left" w:pos="360"/>
                <w:tab w:val="left" w:pos="900"/>
              </w:tabs>
              <w:spacing w:line="400" w:lineRule="exact"/>
              <w:rPr>
                <w:sz w:val="18"/>
                <w:szCs w:val="18"/>
              </w:rPr>
            </w:pPr>
          </w:p>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未按规定要求施工单位对建筑材料、建筑构配件、设备和砼进行检验或检验不合格，施工单位擅自使用的，而监理未发现或发现又无作为，每发生一次扣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10</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未按规定要求施工单位对隐蔽工程的质量进行检查和记录，未经监理工程师签字施工单位进入下一道工序施工的，而监理未发现或发现又无作为，每发生一次扣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11</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施工单位未按各方确定的施工样板组织施工的，而监理未发现或发现又无作为，每发生一次扣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1</w:t>
            </w:r>
            <w:r>
              <w:rPr>
                <w:sz w:val="18"/>
                <w:szCs w:val="18"/>
              </w:rPr>
              <w:t>2</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施工单位未按业主质量要求实施，而监理未发现或发现又无作为，每发生一次扣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13</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因质量原因而被业主责令停工的，扣</w:t>
            </w:r>
            <w:r>
              <w:rPr>
                <w:sz w:val="18"/>
                <w:szCs w:val="18"/>
              </w:rPr>
              <w:t>15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1</w:t>
            </w:r>
            <w:r>
              <w:rPr>
                <w:sz w:val="18"/>
                <w:szCs w:val="18"/>
              </w:rPr>
              <w:t>4</w:t>
            </w:r>
          </w:p>
        </w:tc>
        <w:tc>
          <w:tcPr>
            <w:tcW w:w="1420" w:type="dxa"/>
            <w:vMerge w:val="continue"/>
            <w:tcBorders>
              <w:left w:val="single" w:color="auto" w:sz="4" w:space="0"/>
              <w:bottom w:val="single" w:color="auto" w:sz="4" w:space="0"/>
              <w:right w:val="single" w:color="auto" w:sz="4" w:space="0"/>
            </w:tcBorders>
            <w:vAlign w:val="center"/>
          </w:tcPr>
          <w:p>
            <w:pPr>
              <w:widowControl/>
              <w:tabs>
                <w:tab w:val="left" w:pos="360"/>
                <w:tab w:val="left" w:pos="900"/>
              </w:tabs>
              <w:jc w:val="left"/>
              <w:rPr>
                <w:bCs/>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因质量原因而出现重大返工的，扣</w:t>
            </w:r>
            <w:r>
              <w:rPr>
                <w:sz w:val="18"/>
                <w:szCs w:val="18"/>
              </w:rPr>
              <w:t>15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40" w:lineRule="exact"/>
              <w:rPr>
                <w:bCs/>
                <w:sz w:val="18"/>
                <w:szCs w:val="18"/>
              </w:rPr>
            </w:pPr>
            <w:r>
              <w:rPr>
                <w:bCs/>
                <w:sz w:val="18"/>
                <w:szCs w:val="18"/>
              </w:rPr>
              <w:t>15</w:t>
            </w:r>
          </w:p>
        </w:tc>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before="120" w:beforeLines="50" w:after="120" w:afterLines="50" w:line="240" w:lineRule="exact"/>
              <w:rPr>
                <w:bCs/>
                <w:sz w:val="18"/>
                <w:szCs w:val="18"/>
              </w:rPr>
            </w:pPr>
            <w:r>
              <w:rPr>
                <w:rFonts w:hint="eastAsia"/>
                <w:bCs/>
                <w:sz w:val="18"/>
                <w:szCs w:val="18"/>
              </w:rPr>
              <w:t>四、对施工进度计划的控制情况</w:t>
            </w:r>
          </w:p>
          <w:p>
            <w:pPr>
              <w:tabs>
                <w:tab w:val="left" w:pos="360"/>
                <w:tab w:val="left" w:pos="900"/>
              </w:tabs>
              <w:spacing w:before="120" w:beforeLines="50" w:after="120" w:afterLines="50" w:line="240" w:lineRule="exact"/>
              <w:rPr>
                <w:bCs/>
                <w:sz w:val="18"/>
                <w:szCs w:val="18"/>
              </w:rPr>
            </w:pPr>
            <w:r>
              <w:rPr>
                <w:rFonts w:hint="eastAsia"/>
                <w:sz w:val="18"/>
                <w:szCs w:val="18"/>
              </w:rPr>
              <w:t>基础分</w:t>
            </w:r>
            <w:r>
              <w:rPr>
                <w:sz w:val="18"/>
                <w:szCs w:val="18"/>
              </w:rPr>
              <w:t>15</w:t>
            </w:r>
            <w:r>
              <w:rPr>
                <w:rFonts w:hint="eastAsia"/>
                <w:sz w:val="18"/>
                <w:szCs w:val="18"/>
              </w:rPr>
              <w:t>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非发包人原因或不可抗力，工程施工进度延误，不按发包人要求采取措施或采取措施后仍然延误的，与合同要求或经审批的进度计划对比：</w:t>
            </w:r>
          </w:p>
          <w:p>
            <w:pPr>
              <w:tabs>
                <w:tab w:val="left" w:pos="360"/>
                <w:tab w:val="left" w:pos="900"/>
              </w:tabs>
              <w:spacing w:line="180" w:lineRule="exact"/>
              <w:rPr>
                <w:sz w:val="18"/>
                <w:szCs w:val="18"/>
              </w:rPr>
            </w:pPr>
            <w:r>
              <w:rPr>
                <w:rFonts w:hint="eastAsia"/>
                <w:sz w:val="18"/>
                <w:szCs w:val="18"/>
              </w:rPr>
              <w:t>延误</w:t>
            </w:r>
            <w:r>
              <w:rPr>
                <w:sz w:val="18"/>
                <w:szCs w:val="18"/>
              </w:rPr>
              <w:t>10</w:t>
            </w:r>
            <w:r>
              <w:rPr>
                <w:rFonts w:hint="eastAsia"/>
                <w:sz w:val="18"/>
                <w:szCs w:val="18"/>
              </w:rPr>
              <w:t>天以内，扣</w:t>
            </w:r>
            <w:r>
              <w:rPr>
                <w:sz w:val="18"/>
                <w:szCs w:val="18"/>
              </w:rPr>
              <w:t>3</w:t>
            </w:r>
            <w:r>
              <w:rPr>
                <w:rFonts w:hint="eastAsia"/>
                <w:sz w:val="18"/>
                <w:szCs w:val="18"/>
              </w:rPr>
              <w:t>分；延误</w:t>
            </w:r>
            <w:r>
              <w:rPr>
                <w:sz w:val="18"/>
                <w:szCs w:val="18"/>
              </w:rPr>
              <w:t>20</w:t>
            </w:r>
            <w:r>
              <w:rPr>
                <w:rFonts w:hint="eastAsia"/>
                <w:sz w:val="18"/>
                <w:szCs w:val="18"/>
              </w:rPr>
              <w:t>天以内，扣</w:t>
            </w:r>
            <w:r>
              <w:rPr>
                <w:sz w:val="18"/>
                <w:szCs w:val="18"/>
              </w:rPr>
              <w:t>5</w:t>
            </w:r>
            <w:r>
              <w:rPr>
                <w:rFonts w:hint="eastAsia"/>
                <w:sz w:val="18"/>
                <w:szCs w:val="18"/>
              </w:rPr>
              <w:t>分；延误</w:t>
            </w:r>
            <w:r>
              <w:rPr>
                <w:sz w:val="18"/>
                <w:szCs w:val="18"/>
              </w:rPr>
              <w:t>30</w:t>
            </w:r>
            <w:r>
              <w:rPr>
                <w:rFonts w:hint="eastAsia"/>
                <w:sz w:val="18"/>
                <w:szCs w:val="18"/>
              </w:rPr>
              <w:t>天以内，扣</w:t>
            </w:r>
            <w:r>
              <w:rPr>
                <w:sz w:val="18"/>
                <w:szCs w:val="18"/>
              </w:rPr>
              <w:t>10</w:t>
            </w:r>
            <w:r>
              <w:rPr>
                <w:rFonts w:hint="eastAsia"/>
                <w:sz w:val="18"/>
                <w:szCs w:val="18"/>
              </w:rPr>
              <w:t>分；延误</w:t>
            </w:r>
            <w:r>
              <w:rPr>
                <w:sz w:val="18"/>
                <w:szCs w:val="18"/>
              </w:rPr>
              <w:t>30</w:t>
            </w:r>
            <w:r>
              <w:rPr>
                <w:rFonts w:hint="eastAsia"/>
                <w:sz w:val="18"/>
                <w:szCs w:val="18"/>
              </w:rPr>
              <w:t>天以上，扣</w:t>
            </w:r>
            <w:r>
              <w:rPr>
                <w:sz w:val="18"/>
                <w:szCs w:val="18"/>
              </w:rPr>
              <w:t>15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16</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未按要求在每月</w:t>
            </w:r>
            <w:r>
              <w:rPr>
                <w:sz w:val="18"/>
                <w:szCs w:val="18"/>
              </w:rPr>
              <w:t>25</w:t>
            </w:r>
            <w:r>
              <w:rPr>
                <w:rFonts w:hint="eastAsia"/>
                <w:sz w:val="18"/>
                <w:szCs w:val="18"/>
              </w:rPr>
              <w:t>日前提交工程进度计划（包括完成工程量及下月施工进度计划），扣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17</w:t>
            </w:r>
          </w:p>
        </w:tc>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before="120" w:beforeLines="50" w:after="120" w:afterLines="50" w:line="240" w:lineRule="atLeast"/>
              <w:rPr>
                <w:bCs/>
                <w:sz w:val="18"/>
                <w:szCs w:val="18"/>
              </w:rPr>
            </w:pPr>
            <w:r>
              <w:rPr>
                <w:rFonts w:hint="eastAsia"/>
                <w:bCs/>
                <w:sz w:val="18"/>
                <w:szCs w:val="18"/>
              </w:rPr>
              <w:t>五、对安全文明施工的管理情况</w:t>
            </w:r>
          </w:p>
          <w:p>
            <w:pPr>
              <w:tabs>
                <w:tab w:val="left" w:pos="360"/>
                <w:tab w:val="left" w:pos="900"/>
              </w:tabs>
              <w:spacing w:before="120" w:beforeLines="50" w:after="120" w:afterLines="50" w:line="240" w:lineRule="atLeast"/>
              <w:rPr>
                <w:sz w:val="18"/>
                <w:szCs w:val="18"/>
              </w:rPr>
            </w:pPr>
            <w:r>
              <w:rPr>
                <w:bCs/>
                <w:sz w:val="18"/>
                <w:szCs w:val="18"/>
              </w:rPr>
              <w:t xml:space="preserve"> </w:t>
            </w:r>
            <w:r>
              <w:rPr>
                <w:rFonts w:hint="eastAsia"/>
                <w:sz w:val="18"/>
                <w:szCs w:val="18"/>
              </w:rPr>
              <w:t>基础分</w:t>
            </w:r>
            <w:r>
              <w:rPr>
                <w:sz w:val="18"/>
                <w:szCs w:val="18"/>
              </w:rPr>
              <w:t>10</w:t>
            </w:r>
            <w:r>
              <w:rPr>
                <w:rFonts w:hint="eastAsia"/>
                <w:sz w:val="18"/>
                <w:szCs w:val="18"/>
              </w:rPr>
              <w:t>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施工封闭或围闭标准、现场场地硬化、施工警示标志不符合安全文明施工和城市管理规定，而监理未发现或发现又无作为，每发生一项扣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18</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现场排水排污、施工场地及通道的清洁保洁、对现有设施的保护未满足发包人要求，或未按发包人整改要求整改，而监理未发现或发现又无作为的，每发生一项扣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19</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施工安全措施等不符合要求，或不按质监站或安监部门整改要求整改，而监理未发现或发现又无作为的，发生一项扣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20</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未按发包人要求完成临时性、应急性的工作（如须紧急落实的安全检查、安全措施、文明施工措施）或与交叉施工作业单位协作配合的，发生一项扣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21</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场内土方开挖时，未按发包人的要求进行调配平衡，任意处置，或多余土方未及时安排外运，或竣工退场时未清理施工现场并达到发包人要求，而监理未发现或发现又无作为的，发生一项扣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2</w:t>
            </w:r>
            <w:r>
              <w:rPr>
                <w:sz w:val="18"/>
                <w:szCs w:val="18"/>
              </w:rPr>
              <w:t>2</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施工单位未按现行政府主管部门有关规定、文件要求落实安全、文明施工管理，而监理未发现或发现又无作为的，发生一项扣</w:t>
            </w:r>
            <w:r>
              <w:rPr>
                <w:sz w:val="18"/>
                <w:szCs w:val="18"/>
              </w:rPr>
              <w:t>1</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2</w:t>
            </w:r>
            <w:r>
              <w:rPr>
                <w:sz w:val="18"/>
                <w:szCs w:val="18"/>
              </w:rPr>
              <w:t>3</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需要编制危重大专项方案的项目，施工单位未经专家论证就实施或未按专家论证意见实施，而监理未发现或发现又无作为的，发生一项扣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24</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因安全原因被责令停工的，扣</w:t>
            </w:r>
            <w:r>
              <w:rPr>
                <w:sz w:val="18"/>
                <w:szCs w:val="18"/>
              </w:rPr>
              <w:t>10</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25</w:t>
            </w:r>
          </w:p>
        </w:tc>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40" w:lineRule="exact"/>
              <w:rPr>
                <w:bCs/>
                <w:sz w:val="18"/>
                <w:szCs w:val="18"/>
              </w:rPr>
            </w:pPr>
            <w:r>
              <w:rPr>
                <w:rFonts w:hint="eastAsia"/>
                <w:bCs/>
                <w:sz w:val="18"/>
                <w:szCs w:val="18"/>
              </w:rPr>
              <w:t>六、监理项目部的日常内业管理情况</w:t>
            </w:r>
          </w:p>
          <w:p>
            <w:pPr>
              <w:tabs>
                <w:tab w:val="left" w:pos="360"/>
                <w:tab w:val="left" w:pos="900"/>
              </w:tabs>
              <w:spacing w:line="240" w:lineRule="exact"/>
              <w:rPr>
                <w:bCs/>
                <w:sz w:val="18"/>
                <w:szCs w:val="18"/>
              </w:rPr>
            </w:pPr>
            <w:r>
              <w:rPr>
                <w:bCs/>
                <w:sz w:val="18"/>
                <w:szCs w:val="18"/>
              </w:rPr>
              <w:t xml:space="preserve">  </w:t>
            </w:r>
          </w:p>
          <w:p>
            <w:pPr>
              <w:tabs>
                <w:tab w:val="left" w:pos="360"/>
                <w:tab w:val="left" w:pos="900"/>
              </w:tabs>
              <w:spacing w:line="240" w:lineRule="exact"/>
              <w:rPr>
                <w:bCs/>
                <w:sz w:val="18"/>
                <w:szCs w:val="18"/>
              </w:rPr>
            </w:pPr>
          </w:p>
          <w:p>
            <w:pPr>
              <w:tabs>
                <w:tab w:val="left" w:pos="360"/>
                <w:tab w:val="left" w:pos="900"/>
              </w:tabs>
              <w:spacing w:line="240" w:lineRule="exact"/>
              <w:rPr>
                <w:sz w:val="18"/>
                <w:szCs w:val="18"/>
              </w:rPr>
            </w:pPr>
            <w:r>
              <w:rPr>
                <w:rFonts w:hint="eastAsia"/>
                <w:bCs/>
                <w:sz w:val="18"/>
                <w:szCs w:val="18"/>
              </w:rPr>
              <w:t>基础分5分</w:t>
            </w:r>
          </w:p>
        </w:tc>
        <w:tc>
          <w:tcPr>
            <w:tcW w:w="57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33" w:type="dxa"/>
            <w:gridSpan w:val="2"/>
            <w:vMerge w:val="restart"/>
            <w:tcBorders>
              <w:top w:val="single" w:color="auto" w:sz="4" w:space="0"/>
              <w:left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项目开工报告监理签字不全，扣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26</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工地会议召开不正常，扣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27</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监理日记记录内容欠全面，格式不规范，扣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28</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合同监理工程师未建立计量、支付、变更等台帐，资料归档不规范，扣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sz w:val="18"/>
                <w:szCs w:val="18"/>
              </w:rPr>
              <w:t>29</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180" w:lineRule="exact"/>
              <w:rPr>
                <w:sz w:val="18"/>
                <w:szCs w:val="18"/>
              </w:rPr>
            </w:pPr>
            <w:r>
              <w:rPr>
                <w:rFonts w:hint="eastAsia"/>
                <w:sz w:val="18"/>
                <w:szCs w:val="18"/>
              </w:rPr>
              <w:t>监理办公室图表未上墙，扣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30</w:t>
            </w:r>
          </w:p>
        </w:tc>
        <w:tc>
          <w:tcPr>
            <w:tcW w:w="1420" w:type="dxa"/>
            <w:vMerge w:val="restart"/>
            <w:tcBorders>
              <w:top w:val="single" w:color="auto" w:sz="4" w:space="0"/>
              <w:left w:val="single" w:color="auto" w:sz="4" w:space="0"/>
              <w:right w:val="single" w:color="auto" w:sz="4" w:space="0"/>
            </w:tcBorders>
            <w:vAlign w:val="center"/>
          </w:tcPr>
          <w:p>
            <w:pPr>
              <w:widowControl/>
              <w:tabs>
                <w:tab w:val="left" w:pos="360"/>
                <w:tab w:val="left" w:pos="900"/>
              </w:tabs>
              <w:jc w:val="left"/>
              <w:rPr>
                <w:sz w:val="18"/>
                <w:szCs w:val="18"/>
              </w:rPr>
            </w:pPr>
            <w:r>
              <w:rPr>
                <w:rFonts w:hint="eastAsia"/>
                <w:bCs/>
                <w:sz w:val="18"/>
                <w:szCs w:val="18"/>
              </w:rPr>
              <w:t>七、造价控制情况 基础分15</w:t>
            </w: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restart"/>
            <w:tcBorders>
              <w:left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20" w:lineRule="exact"/>
              <w:rPr>
                <w:sz w:val="18"/>
                <w:szCs w:val="18"/>
              </w:rPr>
            </w:pPr>
            <w:r>
              <w:rPr>
                <w:rFonts w:hint="eastAsia"/>
                <w:sz w:val="18"/>
                <w:szCs w:val="18"/>
              </w:rPr>
              <w:t>每日统计承包人实际完成的工程量，并记录于监理日志中，而监理未履行计量或发现弄虚作假的，发生一项扣</w:t>
            </w:r>
            <w:r>
              <w:rPr>
                <w:sz w:val="18"/>
                <w:szCs w:val="18"/>
              </w:rPr>
              <w:t>2</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31</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20" w:lineRule="exact"/>
              <w:rPr>
                <w:sz w:val="18"/>
                <w:szCs w:val="18"/>
              </w:rPr>
            </w:pPr>
            <w:r>
              <w:rPr>
                <w:rFonts w:hint="eastAsia"/>
                <w:sz w:val="18"/>
                <w:szCs w:val="18"/>
              </w:rPr>
              <w:t>复核当期验收合格的工程量和审核承包人提交的工程量清单，而监理存在与实际发生不符，发生一项扣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32</w:t>
            </w:r>
          </w:p>
        </w:tc>
        <w:tc>
          <w:tcPr>
            <w:tcW w:w="1420" w:type="dxa"/>
            <w:vMerge w:val="continue"/>
            <w:tcBorders>
              <w:left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vMerge w:val="continue"/>
            <w:tcBorders>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20" w:lineRule="exact"/>
              <w:rPr>
                <w:sz w:val="18"/>
                <w:szCs w:val="18"/>
              </w:rPr>
            </w:pPr>
            <w:r>
              <w:rPr>
                <w:rFonts w:hint="eastAsia"/>
                <w:sz w:val="18"/>
                <w:szCs w:val="18"/>
              </w:rPr>
              <w:t>未按合同条款或业主要求，在工程签证、变更、预（结）算等造价文件审核全流程（参建各方）发生延误，而监理未发现或发现又无作为的，发生一项扣</w:t>
            </w:r>
            <w:r>
              <w:rPr>
                <w:sz w:val="18"/>
                <w:szCs w:val="18"/>
              </w:rPr>
              <w:t>5</w:t>
            </w:r>
            <w:r>
              <w:rPr>
                <w:rFonts w:hint="eastAsia"/>
                <w:sz w:val="18"/>
                <w:szCs w:val="18"/>
              </w:rPr>
              <w:t xml:space="preserve">分； </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r>
              <w:rPr>
                <w:rFonts w:hint="eastAsia"/>
                <w:sz w:val="18"/>
                <w:szCs w:val="18"/>
              </w:rPr>
              <w:t>33</w:t>
            </w:r>
          </w:p>
        </w:tc>
        <w:tc>
          <w:tcPr>
            <w:tcW w:w="1420" w:type="dxa"/>
            <w:vMerge w:val="continue"/>
            <w:tcBorders>
              <w:left w:val="single" w:color="auto" w:sz="4" w:space="0"/>
              <w:bottom w:val="single" w:color="auto" w:sz="4" w:space="0"/>
              <w:right w:val="single" w:color="auto" w:sz="4" w:space="0"/>
            </w:tcBorders>
            <w:vAlign w:val="center"/>
          </w:tcPr>
          <w:p>
            <w:pPr>
              <w:widowControl/>
              <w:tabs>
                <w:tab w:val="left" w:pos="360"/>
                <w:tab w:val="left" w:pos="900"/>
              </w:tabs>
              <w:jc w:val="left"/>
              <w:rPr>
                <w:sz w:val="18"/>
                <w:szCs w:val="18"/>
              </w:rPr>
            </w:pPr>
          </w:p>
        </w:tc>
        <w:tc>
          <w:tcPr>
            <w:tcW w:w="576" w:type="dxa"/>
            <w:gridSpan w:val="2"/>
            <w:tcBorders>
              <w:top w:val="single" w:color="auto" w:sz="4" w:space="0"/>
              <w:left w:val="single" w:color="auto" w:sz="4" w:space="0"/>
              <w:bottom w:val="single" w:color="auto" w:sz="4" w:space="0"/>
              <w:right w:val="single" w:color="auto" w:sz="4" w:space="0"/>
            </w:tcBorders>
          </w:tcPr>
          <w:p>
            <w:pPr>
              <w:tabs>
                <w:tab w:val="left" w:pos="360"/>
                <w:tab w:val="left" w:pos="900"/>
              </w:tabs>
              <w:rPr>
                <w:sz w:val="18"/>
                <w:szCs w:val="18"/>
              </w:rPr>
            </w:pPr>
          </w:p>
        </w:tc>
        <w:tc>
          <w:tcPr>
            <w:tcW w:w="633" w:type="dxa"/>
            <w:gridSpan w:val="2"/>
            <w:tcBorders>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sz w:val="18"/>
                <w:szCs w:val="18"/>
              </w:rPr>
            </w:pPr>
          </w:p>
        </w:tc>
        <w:tc>
          <w:tcPr>
            <w:tcW w:w="3646"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20" w:lineRule="exact"/>
              <w:rPr>
                <w:sz w:val="18"/>
                <w:szCs w:val="18"/>
              </w:rPr>
            </w:pPr>
            <w:r>
              <w:rPr>
                <w:rFonts w:hint="eastAsia"/>
                <w:sz w:val="18"/>
                <w:szCs w:val="18"/>
              </w:rPr>
              <w:t>因监理人违约或工作失误给业主造成损失的，发生一项扣</w:t>
            </w:r>
            <w:r>
              <w:rPr>
                <w:sz w:val="18"/>
                <w:szCs w:val="18"/>
              </w:rPr>
              <w:t>5</w:t>
            </w:r>
            <w:r>
              <w:rPr>
                <w:rFonts w:hint="eastAsia"/>
                <w:sz w:val="18"/>
                <w:szCs w:val="18"/>
              </w:rPr>
              <w:t>分；</w:t>
            </w:r>
          </w:p>
        </w:tc>
        <w:tc>
          <w:tcPr>
            <w:tcW w:w="992" w:type="dxa"/>
            <w:gridSpan w:val="2"/>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c>
          <w:tcPr>
            <w:tcW w:w="975" w:type="dxa"/>
            <w:gridSpan w:val="2"/>
            <w:tcBorders>
              <w:top w:val="single" w:color="auto" w:sz="4" w:space="0"/>
              <w:left w:val="single" w:color="auto" w:sz="4" w:space="0"/>
              <w:bottom w:val="single" w:color="auto" w:sz="4" w:space="0"/>
              <w:right w:val="single" w:color="auto" w:sz="8" w:space="0"/>
            </w:tcBorders>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center"/>
              <w:rPr>
                <w:sz w:val="18"/>
                <w:szCs w:val="18"/>
              </w:rPr>
            </w:pPr>
          </w:p>
        </w:tc>
        <w:tc>
          <w:tcPr>
            <w:tcW w:w="1996"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400" w:lineRule="exact"/>
              <w:rPr>
                <w:bCs/>
                <w:sz w:val="18"/>
                <w:szCs w:val="18"/>
              </w:rPr>
            </w:pPr>
            <w:r>
              <w:rPr>
                <w:rFonts w:hint="eastAsia"/>
                <w:bCs/>
                <w:sz w:val="18"/>
                <w:szCs w:val="18"/>
              </w:rPr>
              <w:t>检查得分</w:t>
            </w:r>
          </w:p>
        </w:tc>
        <w:tc>
          <w:tcPr>
            <w:tcW w:w="6898" w:type="dxa"/>
            <w:gridSpan w:val="11"/>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r>
              <w:rPr>
                <w:sz w:val="18"/>
                <w:szCs w:val="18"/>
              </w:rPr>
              <w:t xml:space="preserve">                </w:t>
            </w:r>
            <w:r>
              <w:rPr>
                <w:rFonts w:hint="eastAsia"/>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864"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jc w:val="center"/>
              <w:rPr>
                <w:szCs w:val="21"/>
              </w:rPr>
            </w:pPr>
            <w:r>
              <w:rPr>
                <w:rFonts w:hint="eastAsia" w:ascii="宋体" w:hAnsi="宋体" w:cs="宋体"/>
                <w:kern w:val="0"/>
                <w:szCs w:val="21"/>
                <w:lang w:bidi="ar"/>
              </w:rPr>
              <w:t>考核内容及分值</w:t>
            </w:r>
          </w:p>
        </w:tc>
        <w:tc>
          <w:tcPr>
            <w:tcW w:w="2031" w:type="dxa"/>
            <w:gridSpan w:val="5"/>
            <w:tcBorders>
              <w:top w:val="single" w:color="auto" w:sz="4" w:space="0"/>
              <w:left w:val="single" w:color="auto" w:sz="4" w:space="0"/>
              <w:bottom w:val="single" w:color="auto" w:sz="4" w:space="0"/>
              <w:right w:val="single" w:color="auto" w:sz="8" w:space="0"/>
            </w:tcBorders>
            <w:vAlign w:val="center"/>
          </w:tcPr>
          <w:p>
            <w:pPr>
              <w:tabs>
                <w:tab w:val="left" w:pos="360"/>
                <w:tab w:val="left" w:pos="900"/>
              </w:tabs>
              <w:jc w:val="center"/>
              <w:rPr>
                <w:szCs w:val="21"/>
              </w:rPr>
            </w:pPr>
            <w:r>
              <w:rPr>
                <w:rFonts w:hint="eastAsia" w:ascii="宋体" w:hAnsi="宋体" w:cs="宋体"/>
                <w:kern w:val="0"/>
                <w:szCs w:val="21"/>
                <w:lang w:bidi="ar"/>
              </w:rPr>
              <w:t>考核项目</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jc w:val="center"/>
              <w:rPr>
                <w:szCs w:val="21"/>
              </w:rPr>
            </w:pPr>
            <w:r>
              <w:rPr>
                <w:rFonts w:hint="eastAsia" w:ascii="宋体" w:hAnsi="宋体" w:cs="宋体"/>
                <w:kern w:val="0"/>
                <w:szCs w:val="21"/>
                <w:lang w:bidi="ar"/>
              </w:rPr>
              <w:t>具体考核标准</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jc w:val="center"/>
              <w:rPr>
                <w:szCs w:val="21"/>
              </w:rPr>
            </w:pPr>
            <w:r>
              <w:rPr>
                <w:rFonts w:hint="eastAsia" w:ascii="宋体" w:hAnsi="宋体" w:cs="宋体"/>
                <w:kern w:val="0"/>
                <w:szCs w:val="21"/>
                <w:lang w:bidi="ar"/>
              </w:rPr>
              <w:t>单项最高分值</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jc w:val="center"/>
              <w:rPr>
                <w:szCs w:val="21"/>
              </w:rPr>
            </w:pPr>
            <w:r>
              <w:rPr>
                <w:rFonts w:hint="eastAsia" w:ascii="宋体" w:hAnsi="宋体" w:cs="宋体"/>
                <w:kern w:val="0"/>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864" w:type="dxa"/>
            <w:gridSpan w:val="3"/>
            <w:vMerge w:val="restart"/>
            <w:tcBorders>
              <w:top w:val="single" w:color="auto" w:sz="4" w:space="0"/>
              <w:left w:val="single" w:color="auto" w:sz="8" w:space="0"/>
              <w:right w:val="single" w:color="auto" w:sz="4" w:space="0"/>
            </w:tcBorders>
            <w:vAlign w:val="center"/>
          </w:tcPr>
          <w:p>
            <w:pPr>
              <w:tabs>
                <w:tab w:val="left" w:pos="360"/>
                <w:tab w:val="left" w:pos="900"/>
              </w:tabs>
              <w:spacing w:line="220" w:lineRule="exact"/>
              <w:rPr>
                <w:rFonts w:ascii="宋体" w:hAnsi="宋体" w:cs="宋体"/>
                <w:kern w:val="0"/>
                <w:sz w:val="18"/>
                <w:szCs w:val="18"/>
                <w:lang w:bidi="ar"/>
              </w:rPr>
            </w:pPr>
            <w:r>
              <w:rPr>
                <w:rFonts w:hint="eastAsia" w:ascii="宋体" w:hAnsi="宋体" w:cs="宋体"/>
                <w:kern w:val="0"/>
                <w:sz w:val="18"/>
                <w:szCs w:val="18"/>
                <w:lang w:bidi="ar"/>
              </w:rPr>
              <w:t>一、服务态度</w:t>
            </w:r>
            <w:r>
              <w:rPr>
                <w:rFonts w:hint="eastAsia" w:ascii="宋体" w:hAnsi="宋体" w:cs="宋体"/>
                <w:kern w:val="0"/>
                <w:sz w:val="18"/>
                <w:szCs w:val="18"/>
                <w:lang w:bidi="ar"/>
              </w:rPr>
              <w:br w:type="textWrapping"/>
            </w:r>
            <w:r>
              <w:rPr>
                <w:rFonts w:hint="eastAsia" w:ascii="宋体" w:hAnsi="宋体" w:cs="宋体"/>
                <w:kern w:val="0"/>
                <w:sz w:val="18"/>
                <w:szCs w:val="18"/>
                <w:lang w:bidi="ar"/>
              </w:rPr>
              <w:t>（20分）</w:t>
            </w: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中标单位对本项目重视程度</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1.及时安排人员跟进项目；</w:t>
            </w:r>
            <w:r>
              <w:rPr>
                <w:rFonts w:hint="eastAsia" w:ascii="宋体" w:hAnsi="宋体" w:cs="宋体"/>
                <w:kern w:val="0"/>
                <w:sz w:val="18"/>
                <w:szCs w:val="18"/>
                <w:lang w:bidi="ar"/>
              </w:rPr>
              <w:br w:type="textWrapping"/>
            </w:r>
            <w:r>
              <w:rPr>
                <w:rFonts w:hint="eastAsia" w:ascii="宋体" w:hAnsi="宋体" w:cs="宋体"/>
                <w:kern w:val="0"/>
                <w:sz w:val="18"/>
                <w:szCs w:val="18"/>
                <w:lang w:bidi="ar"/>
              </w:rPr>
              <w:t>2.经常主动与甲方保持沟通。</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jc w:val="center"/>
              <w:rPr>
                <w:rFonts w:ascii="宋体" w:hAnsi="宋体" w:cs="宋体"/>
                <w:sz w:val="18"/>
                <w:szCs w:val="18"/>
              </w:rPr>
            </w:pPr>
            <w:r>
              <w:rPr>
                <w:rFonts w:hint="eastAsia" w:ascii="宋体" w:hAnsi="宋体" w:cs="宋体"/>
                <w:sz w:val="18"/>
                <w:szCs w:val="18"/>
              </w:rPr>
              <w:t>5</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864" w:type="dxa"/>
            <w:gridSpan w:val="3"/>
            <w:vMerge w:val="continue"/>
            <w:tcBorders>
              <w:left w:val="single" w:color="auto" w:sz="8" w:space="0"/>
              <w:right w:val="single" w:color="auto" w:sz="4" w:space="0"/>
            </w:tcBorders>
            <w:vAlign w:val="center"/>
          </w:tcPr>
          <w:p>
            <w:pPr>
              <w:tabs>
                <w:tab w:val="left" w:pos="360"/>
                <w:tab w:val="left" w:pos="900"/>
              </w:tabs>
              <w:spacing w:line="220" w:lineRule="exact"/>
              <w:rPr>
                <w:rFonts w:ascii="宋体" w:hAnsi="宋体" w:cs="宋体"/>
                <w:kern w:val="0"/>
                <w:sz w:val="18"/>
                <w:szCs w:val="18"/>
                <w:lang w:bidi="ar"/>
              </w:rPr>
            </w:pP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工作积极主动性</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提前与甲方沟通，拟订工作计划；积极主动推进各项工作</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jc w:val="center"/>
              <w:rPr>
                <w:rFonts w:ascii="宋体" w:hAnsi="宋体" w:cs="宋体"/>
                <w:sz w:val="18"/>
                <w:szCs w:val="18"/>
              </w:rPr>
            </w:pPr>
            <w:r>
              <w:rPr>
                <w:rFonts w:hint="eastAsia" w:ascii="宋体" w:hAnsi="宋体" w:cs="宋体"/>
                <w:sz w:val="18"/>
                <w:szCs w:val="18"/>
              </w:rPr>
              <w:t>10</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864" w:type="dxa"/>
            <w:gridSpan w:val="3"/>
            <w:vMerge w:val="continue"/>
            <w:tcBorders>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kern w:val="0"/>
                <w:sz w:val="18"/>
                <w:szCs w:val="18"/>
                <w:lang w:bidi="ar"/>
              </w:rPr>
            </w:pP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对甲方交办工作和反馈意见的执行情况</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认真落实甲方交办工作和反馈意见</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jc w:val="center"/>
              <w:rPr>
                <w:rFonts w:ascii="宋体" w:hAnsi="宋体" w:cs="宋体"/>
                <w:sz w:val="18"/>
                <w:szCs w:val="18"/>
              </w:rPr>
            </w:pPr>
            <w:r>
              <w:rPr>
                <w:rFonts w:hint="eastAsia" w:ascii="宋体" w:hAnsi="宋体" w:cs="宋体"/>
                <w:sz w:val="18"/>
                <w:szCs w:val="18"/>
              </w:rPr>
              <w:t>10</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864"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kern w:val="0"/>
                <w:sz w:val="18"/>
                <w:szCs w:val="18"/>
                <w:lang w:bidi="ar"/>
              </w:rPr>
            </w:pPr>
            <w:r>
              <w:rPr>
                <w:rFonts w:hint="eastAsia" w:ascii="宋体" w:hAnsi="宋体" w:cs="宋体"/>
                <w:kern w:val="0"/>
                <w:sz w:val="18"/>
                <w:szCs w:val="18"/>
                <w:lang w:bidi="ar"/>
              </w:rPr>
              <w:t>二、服务效果（75分）</w:t>
            </w:r>
          </w:p>
        </w:tc>
        <w:tc>
          <w:tcPr>
            <w:tcW w:w="4641" w:type="dxa"/>
            <w:gridSpan w:val="7"/>
            <w:tcBorders>
              <w:top w:val="single" w:color="auto" w:sz="4" w:space="0"/>
              <w:left w:val="single" w:color="auto" w:sz="4"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r>
              <w:rPr>
                <w:rFonts w:hint="eastAsia" w:ascii="宋体" w:hAnsi="宋体" w:cs="宋体"/>
                <w:kern w:val="0"/>
                <w:sz w:val="18"/>
                <w:szCs w:val="18"/>
                <w:lang w:bidi="ar"/>
              </w:rPr>
              <w:t>服务效果得分=检查得分</w:t>
            </w:r>
            <w:r>
              <w:rPr>
                <w:rFonts w:ascii="Arial" w:hAnsi="Arial" w:cs="Arial"/>
                <w:kern w:val="0"/>
                <w:sz w:val="18"/>
                <w:szCs w:val="18"/>
                <w:lang w:bidi="ar"/>
              </w:rPr>
              <w:t>×</w:t>
            </w:r>
            <w:r>
              <w:rPr>
                <w:rFonts w:hint="eastAsia" w:ascii="Arial" w:hAnsi="Arial" w:cs="Arial"/>
                <w:kern w:val="0"/>
                <w:sz w:val="18"/>
                <w:szCs w:val="18"/>
                <w:lang w:bidi="ar"/>
              </w:rPr>
              <w:t>0.</w:t>
            </w:r>
            <w:r>
              <w:rPr>
                <w:rFonts w:hint="eastAsia" w:ascii="宋体" w:hAnsi="宋体" w:cs="宋体"/>
                <w:kern w:val="0"/>
                <w:sz w:val="18"/>
                <w:szCs w:val="18"/>
                <w:lang w:bidi="ar"/>
              </w:rPr>
              <w:t>75</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jc w:val="center"/>
              <w:rPr>
                <w:rFonts w:ascii="宋体" w:hAnsi="宋体" w:cs="宋体"/>
                <w:sz w:val="18"/>
                <w:szCs w:val="18"/>
              </w:rPr>
            </w:pPr>
            <w:r>
              <w:rPr>
                <w:rFonts w:hint="eastAsia" w:ascii="宋体" w:hAnsi="宋体" w:cs="宋体"/>
                <w:sz w:val="18"/>
                <w:szCs w:val="18"/>
              </w:rPr>
              <w:t>75</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864" w:type="dxa"/>
            <w:gridSpan w:val="3"/>
            <w:vMerge w:val="restart"/>
            <w:tcBorders>
              <w:top w:val="single" w:color="auto" w:sz="4" w:space="0"/>
              <w:left w:val="single" w:color="auto" w:sz="8" w:space="0"/>
              <w:right w:val="single" w:color="auto" w:sz="4" w:space="0"/>
            </w:tcBorders>
            <w:vAlign w:val="center"/>
          </w:tcPr>
          <w:p>
            <w:pPr>
              <w:tabs>
                <w:tab w:val="left" w:pos="900"/>
              </w:tabs>
              <w:jc w:val="center"/>
              <w:rPr>
                <w:rFonts w:ascii="宋体" w:hAnsi="宋体" w:cs="宋体"/>
                <w:sz w:val="18"/>
                <w:szCs w:val="18"/>
              </w:rPr>
            </w:pPr>
            <w:r>
              <w:rPr>
                <w:rFonts w:hint="eastAsia" w:ascii="宋体" w:hAnsi="宋体" w:cs="宋体"/>
                <w:sz w:val="18"/>
                <w:szCs w:val="18"/>
              </w:rPr>
              <w:t>三、其他（5分）</w:t>
            </w: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信息保密情况</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全过程信息保密到位</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864" w:type="dxa"/>
            <w:gridSpan w:val="3"/>
            <w:vMerge w:val="continue"/>
            <w:tcBorders>
              <w:left w:val="single" w:color="auto" w:sz="8" w:space="0"/>
              <w:right w:val="single" w:color="auto" w:sz="4" w:space="0"/>
            </w:tcBorders>
            <w:vAlign w:val="center"/>
          </w:tcPr>
          <w:p>
            <w:pPr>
              <w:tabs>
                <w:tab w:val="left" w:pos="360"/>
                <w:tab w:val="left" w:pos="900"/>
              </w:tabs>
              <w:rPr>
                <w:rFonts w:ascii="宋体" w:hAnsi="宋体" w:cs="宋体"/>
                <w:sz w:val="18"/>
                <w:szCs w:val="18"/>
              </w:rPr>
            </w:pP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廉洁情况</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全过程合法合规，廉洁自律</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864" w:type="dxa"/>
            <w:gridSpan w:val="3"/>
            <w:vMerge w:val="continue"/>
            <w:tcBorders>
              <w:left w:val="single" w:color="auto" w:sz="8" w:space="0"/>
              <w:bottom w:val="single" w:color="auto" w:sz="4" w:space="0"/>
              <w:right w:val="single" w:color="auto" w:sz="4" w:space="0"/>
            </w:tcBorders>
            <w:vAlign w:val="center"/>
          </w:tcPr>
          <w:p>
            <w:pPr>
              <w:tabs>
                <w:tab w:val="left" w:pos="360"/>
                <w:tab w:val="left" w:pos="900"/>
              </w:tabs>
              <w:rPr>
                <w:rFonts w:ascii="宋体" w:hAnsi="宋体" w:cs="宋体"/>
                <w:sz w:val="18"/>
                <w:szCs w:val="18"/>
              </w:rPr>
            </w:pPr>
          </w:p>
        </w:tc>
        <w:tc>
          <w:tcPr>
            <w:tcW w:w="2031" w:type="dxa"/>
            <w:gridSpan w:val="5"/>
            <w:tcBorders>
              <w:top w:val="single" w:color="auto" w:sz="4" w:space="0"/>
              <w:left w:val="single" w:color="auto" w:sz="4" w:space="0"/>
              <w:bottom w:val="single" w:color="auto" w:sz="4" w:space="0"/>
              <w:right w:val="single" w:color="auto" w:sz="8"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其他合理化建议</w:t>
            </w:r>
          </w:p>
        </w:tc>
        <w:tc>
          <w:tcPr>
            <w:tcW w:w="2610" w:type="dxa"/>
            <w:gridSpan w:val="2"/>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结合甲方需求提出合理可行的建议及解决方案</w:t>
            </w:r>
          </w:p>
        </w:tc>
        <w:tc>
          <w:tcPr>
            <w:tcW w:w="1545" w:type="dxa"/>
            <w:gridSpan w:val="2"/>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8050" w:type="dxa"/>
            <w:gridSpan w:val="12"/>
            <w:tcBorders>
              <w:left w:val="single" w:color="auto" w:sz="8" w:space="0"/>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sz w:val="18"/>
                <w:szCs w:val="18"/>
              </w:rPr>
              <w:t>四、考核得分</w:t>
            </w:r>
          </w:p>
        </w:tc>
        <w:tc>
          <w:tcPr>
            <w:tcW w:w="1271" w:type="dxa"/>
            <w:gridSpan w:val="3"/>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2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847" w:type="dxa"/>
            <w:gridSpan w:val="2"/>
            <w:tcBorders>
              <w:top w:val="single" w:color="auto" w:sz="4" w:space="0"/>
              <w:left w:val="single" w:color="auto" w:sz="8" w:space="0"/>
              <w:bottom w:val="single" w:color="auto" w:sz="4" w:space="0"/>
              <w:right w:val="single" w:color="auto" w:sz="4" w:space="0"/>
            </w:tcBorders>
            <w:vAlign w:val="center"/>
          </w:tcPr>
          <w:p>
            <w:pPr>
              <w:tabs>
                <w:tab w:val="left" w:pos="360"/>
                <w:tab w:val="left" w:pos="900"/>
              </w:tabs>
              <w:spacing w:line="400" w:lineRule="exact"/>
              <w:jc w:val="distribute"/>
              <w:rPr>
                <w:sz w:val="18"/>
                <w:szCs w:val="18"/>
              </w:rPr>
            </w:pPr>
            <w:r>
              <w:rPr>
                <w:rFonts w:hint="eastAsia"/>
                <w:sz w:val="18"/>
                <w:szCs w:val="18"/>
              </w:rPr>
              <w:t>检查组成员签名</w:t>
            </w:r>
          </w:p>
        </w:tc>
        <w:tc>
          <w:tcPr>
            <w:tcW w:w="7474" w:type="dxa"/>
            <w:gridSpan w:val="13"/>
            <w:tcBorders>
              <w:top w:val="single" w:color="auto" w:sz="4" w:space="0"/>
              <w:left w:val="single" w:color="auto" w:sz="4" w:space="0"/>
              <w:bottom w:val="single" w:color="auto" w:sz="4" w:space="0"/>
              <w:right w:val="single" w:color="auto" w:sz="8" w:space="0"/>
            </w:tcBorders>
            <w:vAlign w:val="center"/>
          </w:tcPr>
          <w:p>
            <w:pPr>
              <w:tabs>
                <w:tab w:val="left" w:pos="360"/>
                <w:tab w:val="left" w:pos="900"/>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220" w:hRule="atLeast"/>
          <w:jc w:val="center"/>
        </w:trPr>
        <w:tc>
          <w:tcPr>
            <w:tcW w:w="1847" w:type="dxa"/>
            <w:gridSpan w:val="2"/>
            <w:tcBorders>
              <w:top w:val="single" w:color="auto" w:sz="4" w:space="0"/>
              <w:left w:val="single" w:color="auto" w:sz="8" w:space="0"/>
              <w:bottom w:val="single" w:color="auto" w:sz="8" w:space="0"/>
              <w:right w:val="single" w:color="auto" w:sz="4" w:space="0"/>
            </w:tcBorders>
            <w:vAlign w:val="center"/>
          </w:tcPr>
          <w:p>
            <w:pPr>
              <w:tabs>
                <w:tab w:val="left" w:pos="360"/>
                <w:tab w:val="left" w:pos="900"/>
              </w:tabs>
              <w:spacing w:line="400" w:lineRule="exact"/>
              <w:jc w:val="distribute"/>
              <w:rPr>
                <w:sz w:val="18"/>
                <w:szCs w:val="18"/>
              </w:rPr>
            </w:pPr>
            <w:r>
              <w:rPr>
                <w:rFonts w:hint="eastAsia"/>
                <w:sz w:val="18"/>
                <w:szCs w:val="18"/>
              </w:rPr>
              <w:t>检查组组长签名</w:t>
            </w:r>
          </w:p>
        </w:tc>
        <w:tc>
          <w:tcPr>
            <w:tcW w:w="5507" w:type="dxa"/>
            <w:gridSpan w:val="9"/>
            <w:tcBorders>
              <w:top w:val="single" w:color="auto" w:sz="4" w:space="0"/>
              <w:left w:val="single" w:color="auto" w:sz="4" w:space="0"/>
              <w:bottom w:val="single" w:color="auto" w:sz="8" w:space="0"/>
              <w:right w:val="single" w:color="auto" w:sz="4" w:space="0"/>
            </w:tcBorders>
            <w:vAlign w:val="center"/>
          </w:tcPr>
          <w:p>
            <w:pPr>
              <w:tabs>
                <w:tab w:val="left" w:pos="360"/>
                <w:tab w:val="left" w:pos="900"/>
              </w:tabs>
              <w:spacing w:line="400" w:lineRule="exact"/>
              <w:rPr>
                <w:sz w:val="18"/>
                <w:szCs w:val="18"/>
              </w:rPr>
            </w:pPr>
          </w:p>
        </w:tc>
        <w:tc>
          <w:tcPr>
            <w:tcW w:w="1961" w:type="dxa"/>
            <w:gridSpan w:val="3"/>
            <w:tcBorders>
              <w:top w:val="single" w:color="auto" w:sz="4" w:space="0"/>
              <w:left w:val="single" w:color="auto" w:sz="4" w:space="0"/>
              <w:bottom w:val="single" w:color="auto" w:sz="8" w:space="0"/>
              <w:right w:val="single" w:color="auto" w:sz="8" w:space="0"/>
            </w:tcBorders>
            <w:vAlign w:val="center"/>
          </w:tcPr>
          <w:p>
            <w:pPr>
              <w:tabs>
                <w:tab w:val="left" w:pos="360"/>
                <w:tab w:val="left" w:pos="900"/>
              </w:tabs>
              <w:rPr>
                <w:sz w:val="18"/>
                <w:szCs w:val="18"/>
              </w:rPr>
            </w:pPr>
            <w:r>
              <w:rPr>
                <w:rFonts w:hint="eastAsia"/>
                <w:sz w:val="18"/>
                <w:szCs w:val="18"/>
              </w:rPr>
              <w:t>日期</w:t>
            </w:r>
          </w:p>
        </w:tc>
      </w:tr>
    </w:tbl>
    <w:p>
      <w:pPr>
        <w:pStyle w:val="27"/>
      </w:pPr>
    </w:p>
    <w:p>
      <w:r>
        <w:rPr>
          <w:rFonts w:hint="eastAsia"/>
        </w:rPr>
        <w:t>注：1、检查项得分</w:t>
      </w:r>
      <w:r>
        <w:t xml:space="preserve"> = </w:t>
      </w:r>
      <w:r>
        <w:rPr>
          <w:rFonts w:hint="eastAsia"/>
        </w:rPr>
        <w:t>检查项基础分</w:t>
      </w:r>
      <w:r>
        <w:t xml:space="preserve"> </w:t>
      </w:r>
      <w:r>
        <w:rPr>
          <w:rFonts w:hint="eastAsia"/>
        </w:rPr>
        <w:t>—</w:t>
      </w:r>
      <w:r>
        <w:t xml:space="preserve"> </w:t>
      </w:r>
      <w:r>
        <w:rPr>
          <w:rFonts w:hint="eastAsia"/>
        </w:rPr>
        <w:t>检查项扣分（当基础分小于扣分时，得分计为零分）</w:t>
      </w:r>
    </w:p>
    <w:p>
      <w:pPr>
        <w:pStyle w:val="27"/>
      </w:pPr>
      <w:r>
        <w:rPr>
          <w:rFonts w:hint="eastAsia"/>
        </w:rPr>
        <w:t>2、监理人绩效考核的发放标准要充分体现对检查评分表的责任人中的应用，委托人有权制订应用方案。</w:t>
      </w:r>
    </w:p>
    <w:p>
      <w:pPr>
        <w:pStyle w:val="27"/>
      </w:pPr>
    </w:p>
    <w:p>
      <w:pPr>
        <w:pStyle w:val="27"/>
      </w:pPr>
    </w:p>
    <w:p>
      <w:pPr>
        <w:pStyle w:val="27"/>
        <w:ind w:left="0" w:leftChars="0" w:firstLine="0" w:firstLineChars="0"/>
      </w:pPr>
    </w:p>
    <w:p>
      <w:r>
        <w:br w:type="page"/>
      </w:r>
    </w:p>
    <w:tbl>
      <w:tblPr>
        <w:tblStyle w:val="28"/>
        <w:tblW w:w="5000" w:type="pct"/>
        <w:tblInd w:w="0" w:type="dxa"/>
        <w:tblLayout w:type="autofit"/>
        <w:tblCellMar>
          <w:top w:w="15" w:type="dxa"/>
          <w:left w:w="15" w:type="dxa"/>
          <w:bottom w:w="15" w:type="dxa"/>
          <w:right w:w="15" w:type="dxa"/>
        </w:tblCellMar>
      </w:tblPr>
      <w:tblGrid>
        <w:gridCol w:w="1885"/>
        <w:gridCol w:w="2721"/>
        <w:gridCol w:w="943"/>
        <w:gridCol w:w="1044"/>
        <w:gridCol w:w="2241"/>
      </w:tblGrid>
      <w:tr>
        <w:tblPrEx>
          <w:tblCellMar>
            <w:top w:w="15" w:type="dxa"/>
            <w:left w:w="15" w:type="dxa"/>
            <w:bottom w:w="15" w:type="dxa"/>
            <w:right w:w="15" w:type="dxa"/>
          </w:tblCellMar>
        </w:tblPrEx>
        <w:trPr>
          <w:trHeight w:val="780" w:hRule="atLeast"/>
        </w:trPr>
        <w:tc>
          <w:tcPr>
            <w:tcW w:w="5000" w:type="pct"/>
            <w:gridSpan w:val="5"/>
            <w:vAlign w:val="center"/>
          </w:tcPr>
          <w:p>
            <w:pPr>
              <w:widowControl/>
              <w:jc w:val="center"/>
              <w:textAlignment w:val="center"/>
              <w:rPr>
                <w:rFonts w:ascii="宋体" w:hAnsi="宋体" w:cs="宋体"/>
                <w:b/>
                <w:sz w:val="36"/>
                <w:szCs w:val="36"/>
                <w:u w:val="single"/>
              </w:rPr>
            </w:pPr>
            <w:r>
              <w:rPr>
                <w:rFonts w:hint="eastAsia"/>
                <w:b/>
                <w:bCs/>
                <w:sz w:val="32"/>
                <w:szCs w:val="32"/>
              </w:rPr>
              <w:t>项目监理人员履行工程监理合同检查评分表汇总表</w:t>
            </w:r>
          </w:p>
        </w:tc>
      </w:tr>
      <w:tr>
        <w:tblPrEx>
          <w:tblCellMar>
            <w:top w:w="15" w:type="dxa"/>
            <w:left w:w="15" w:type="dxa"/>
            <w:bottom w:w="15" w:type="dxa"/>
            <w:right w:w="15" w:type="dxa"/>
          </w:tblCellMar>
        </w:tblPrEx>
        <w:trPr>
          <w:trHeight w:val="570" w:hRule="atLeast"/>
        </w:trPr>
        <w:tc>
          <w:tcPr>
            <w:tcW w:w="1067" w:type="pct"/>
            <w:vAlign w:val="center"/>
          </w:tcPr>
          <w:p>
            <w:pPr>
              <w:widowControl/>
              <w:jc w:val="left"/>
              <w:textAlignment w:val="center"/>
              <w:rPr>
                <w:rFonts w:ascii="宋体" w:hAnsi="宋体" w:cs="宋体"/>
                <w:sz w:val="24"/>
              </w:rPr>
            </w:pPr>
            <w:r>
              <w:rPr>
                <w:rFonts w:hint="eastAsia" w:cs="宋体"/>
                <w:kern w:val="0"/>
                <w:sz w:val="24"/>
                <w:lang w:bidi="ar"/>
              </w:rPr>
              <w:t>合同</w:t>
            </w:r>
            <w:r>
              <w:rPr>
                <w:rFonts w:hint="eastAsia" w:ascii="宋体" w:hAnsi="宋体" w:cs="宋体"/>
                <w:kern w:val="0"/>
                <w:sz w:val="24"/>
                <w:lang w:bidi="ar"/>
              </w:rPr>
              <w:t>名称：</w:t>
            </w:r>
          </w:p>
        </w:tc>
        <w:tc>
          <w:tcPr>
            <w:tcW w:w="3933" w:type="pct"/>
            <w:gridSpan w:val="4"/>
            <w:vAlign w:val="center"/>
          </w:tcPr>
          <w:p>
            <w:pPr>
              <w:rPr>
                <w:rFonts w:ascii="宋体" w:hAnsi="宋体" w:cs="宋体"/>
                <w:sz w:val="24"/>
              </w:rPr>
            </w:pPr>
          </w:p>
        </w:tc>
      </w:tr>
      <w:tr>
        <w:tblPrEx>
          <w:tblCellMar>
            <w:top w:w="15" w:type="dxa"/>
            <w:left w:w="15" w:type="dxa"/>
            <w:bottom w:w="15" w:type="dxa"/>
            <w:right w:w="15" w:type="dxa"/>
          </w:tblCellMar>
        </w:tblPrEx>
        <w:trPr>
          <w:trHeight w:val="660" w:hRule="atLeast"/>
        </w:trPr>
        <w:tc>
          <w:tcPr>
            <w:tcW w:w="1067" w:type="pct"/>
            <w:vAlign w:val="center"/>
          </w:tcPr>
          <w:p>
            <w:pPr>
              <w:widowControl/>
              <w:jc w:val="left"/>
              <w:textAlignment w:val="center"/>
              <w:rPr>
                <w:rFonts w:ascii="宋体" w:hAnsi="宋体" w:cs="宋体"/>
                <w:sz w:val="24"/>
              </w:rPr>
            </w:pPr>
            <w:r>
              <w:rPr>
                <w:rFonts w:hint="eastAsia" w:ascii="宋体" w:hAnsi="宋体" w:cs="宋体"/>
                <w:kern w:val="0"/>
                <w:sz w:val="24"/>
                <w:lang w:bidi="ar"/>
              </w:rPr>
              <w:t>中标单位名称：</w:t>
            </w:r>
          </w:p>
        </w:tc>
        <w:tc>
          <w:tcPr>
            <w:tcW w:w="3933" w:type="pct"/>
            <w:gridSpan w:val="4"/>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w:t>
            </w:r>
          </w:p>
        </w:tc>
      </w:tr>
      <w:tr>
        <w:tblPrEx>
          <w:tblCellMar>
            <w:top w:w="15" w:type="dxa"/>
            <w:left w:w="15" w:type="dxa"/>
            <w:bottom w:w="15" w:type="dxa"/>
            <w:right w:w="15" w:type="dxa"/>
          </w:tblCellMar>
        </w:tblPrEx>
        <w:trPr>
          <w:trHeight w:val="540" w:hRule="atLeast"/>
        </w:trPr>
        <w:tc>
          <w:tcPr>
            <w:tcW w:w="1067" w:type="pct"/>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考核执行部门</w:t>
            </w:r>
          </w:p>
          <w:p>
            <w:pPr>
              <w:widowControl/>
              <w:jc w:val="left"/>
              <w:textAlignment w:val="center"/>
              <w:rPr>
                <w:rFonts w:ascii="宋体" w:hAnsi="宋体" w:cs="宋体"/>
                <w:sz w:val="24"/>
              </w:rPr>
            </w:pPr>
            <w:r>
              <w:rPr>
                <w:rFonts w:hint="eastAsia" w:ascii="宋体" w:hAnsi="宋体" w:cs="宋体"/>
                <w:kern w:val="0"/>
                <w:sz w:val="24"/>
                <w:lang w:bidi="ar"/>
              </w:rPr>
              <w:t>（经办人）：</w:t>
            </w:r>
          </w:p>
        </w:tc>
        <w:tc>
          <w:tcPr>
            <w:tcW w:w="1540" w:type="pct"/>
            <w:vAlign w:val="center"/>
          </w:tcPr>
          <w:p>
            <w:pPr>
              <w:rPr>
                <w:rFonts w:ascii="宋体" w:hAnsi="宋体" w:cs="宋体"/>
                <w:sz w:val="24"/>
              </w:rPr>
            </w:pPr>
          </w:p>
        </w:tc>
        <w:tc>
          <w:tcPr>
            <w:tcW w:w="1125" w:type="pct"/>
            <w:gridSpan w:val="2"/>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考核时间：</w:t>
            </w:r>
          </w:p>
        </w:tc>
        <w:tc>
          <w:tcPr>
            <w:tcW w:w="1268" w:type="pct"/>
            <w:vAlign w:val="center"/>
          </w:tcPr>
          <w:p>
            <w:pPr>
              <w:rPr>
                <w:rFonts w:ascii="宋体" w:hAnsi="宋体" w:cs="宋体"/>
                <w:sz w:val="24"/>
              </w:rPr>
            </w:pPr>
          </w:p>
        </w:tc>
      </w:tr>
      <w:tr>
        <w:tblPrEx>
          <w:tblCellMar>
            <w:top w:w="15" w:type="dxa"/>
            <w:left w:w="15" w:type="dxa"/>
            <w:bottom w:w="15" w:type="dxa"/>
            <w:right w:w="15" w:type="dxa"/>
          </w:tblCellMar>
        </w:tblPrEx>
        <w:trPr>
          <w:trHeight w:val="615"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 xml:space="preserve">  序号</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sz w:val="24"/>
              </w:rPr>
              <w:t>检查组成员</w:t>
            </w: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得分</w:t>
            </w: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小计</w:t>
            </w:r>
          </w:p>
        </w:tc>
        <w:tc>
          <w:tcPr>
            <w:tcW w:w="207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考核结果（</w:t>
            </w:r>
            <w:r>
              <w:rPr>
                <w:rFonts w:hint="eastAsia" w:ascii="宋体" w:hAnsi="宋体"/>
                <w:sz w:val="24"/>
              </w:rPr>
              <w:t>平均值）</w:t>
            </w:r>
          </w:p>
        </w:tc>
        <w:tc>
          <w:tcPr>
            <w:tcW w:w="1859" w:type="pct"/>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780" w:hRule="atLeast"/>
        </w:trPr>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评分小组组长签名</w:t>
            </w:r>
          </w:p>
        </w:tc>
        <w:tc>
          <w:tcPr>
            <w:tcW w:w="3933" w:type="pct"/>
            <w:gridSpan w:val="4"/>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869" w:hRule="atLeast"/>
        </w:trPr>
        <w:tc>
          <w:tcPr>
            <w:tcW w:w="5000" w:type="pct"/>
            <w:gridSpan w:val="5"/>
            <w:vAlign w:val="center"/>
          </w:tcPr>
          <w:p>
            <w:pPr>
              <w:widowControl/>
              <w:numPr>
                <w:ilvl w:val="255"/>
                <w:numId w:val="0"/>
              </w:numPr>
              <w:ind w:firstLine="420" w:firstLineChars="200"/>
              <w:jc w:val="left"/>
              <w:textAlignment w:val="center"/>
              <w:rPr>
                <w:rFonts w:ascii="宋体" w:hAnsi="宋体" w:cs="宋体"/>
                <w:kern w:val="0"/>
                <w:szCs w:val="21"/>
                <w:lang w:bidi="ar"/>
              </w:rPr>
            </w:pPr>
            <w:r>
              <w:rPr>
                <w:rFonts w:hint="eastAsia" w:ascii="宋体" w:hAnsi="宋体" w:cs="宋体"/>
                <w:szCs w:val="21"/>
              </w:rPr>
              <w:t>备注：根据《项目监理人员履行工程监理合同检查评分表》的最后得分作为监理人的绩效考核，考核标准及绩效考核费用支付如下：</w:t>
            </w:r>
            <w:r>
              <w:rPr>
                <w:rFonts w:hint="eastAsia" w:ascii="宋体" w:hAnsi="宋体" w:cs="宋体"/>
                <w:szCs w:val="21"/>
              </w:rPr>
              <w:br w:type="textWrapping"/>
            </w:r>
            <w:r>
              <w:rPr>
                <w:rFonts w:hint="eastAsia" w:ascii="宋体" w:hAnsi="宋体" w:cs="宋体"/>
                <w:szCs w:val="21"/>
              </w:rPr>
              <w:t xml:space="preserve">    （1）、优秀（评分≥90分），支付当期绩效考核费100%</w:t>
            </w:r>
            <w:r>
              <w:rPr>
                <w:rFonts w:hint="eastAsia" w:ascii="宋体" w:hAnsi="宋体" w:cs="宋体"/>
                <w:kern w:val="0"/>
                <w:szCs w:val="21"/>
                <w:lang w:bidi="ar"/>
              </w:rPr>
              <w:t>；</w:t>
            </w:r>
          </w:p>
          <w:p>
            <w:pPr>
              <w:widowControl/>
              <w:numPr>
                <w:ilvl w:val="255"/>
                <w:numId w:val="0"/>
              </w:numPr>
              <w:ind w:firstLine="420" w:firstLineChars="200"/>
              <w:jc w:val="left"/>
              <w:textAlignment w:val="center"/>
              <w:rPr>
                <w:rFonts w:ascii="宋体" w:hAnsi="宋体" w:cs="宋体"/>
                <w:kern w:val="0"/>
                <w:szCs w:val="21"/>
                <w:lang w:bidi="ar"/>
              </w:rPr>
            </w:pPr>
            <w:r>
              <w:rPr>
                <w:rFonts w:hint="eastAsia" w:ascii="宋体" w:hAnsi="宋体" w:cs="宋体"/>
                <w:szCs w:val="21"/>
              </w:rPr>
              <w:t>（2）、良好（80分≤评分＜90分）</w:t>
            </w:r>
            <w:r>
              <w:rPr>
                <w:rFonts w:hint="eastAsia" w:ascii="宋体" w:hAnsi="宋体" w:cs="宋体"/>
                <w:kern w:val="0"/>
                <w:szCs w:val="21"/>
                <w:lang w:bidi="ar"/>
              </w:rPr>
              <w:t>，</w:t>
            </w:r>
            <w:r>
              <w:rPr>
                <w:rFonts w:hint="eastAsia" w:ascii="宋体" w:hAnsi="宋体" w:cs="宋体"/>
                <w:szCs w:val="21"/>
              </w:rPr>
              <w:t>支付当期绩效考核费</w:t>
            </w:r>
            <w:r>
              <w:rPr>
                <w:rFonts w:ascii="宋体" w:hAnsi="宋体" w:cs="宋体"/>
                <w:szCs w:val="21"/>
              </w:rPr>
              <w:t>7</w:t>
            </w:r>
            <w:r>
              <w:rPr>
                <w:rFonts w:hint="eastAsia" w:ascii="宋体" w:hAnsi="宋体" w:cs="宋体"/>
                <w:szCs w:val="21"/>
              </w:rPr>
              <w:t>0%</w:t>
            </w:r>
            <w:r>
              <w:rPr>
                <w:rFonts w:hint="eastAsia" w:ascii="宋体" w:hAnsi="宋体" w:cs="宋体"/>
                <w:kern w:val="0"/>
                <w:szCs w:val="21"/>
                <w:lang w:bidi="ar"/>
              </w:rPr>
              <w:t>；</w:t>
            </w:r>
          </w:p>
          <w:p>
            <w:pPr>
              <w:widowControl/>
              <w:numPr>
                <w:ilvl w:val="255"/>
                <w:numId w:val="0"/>
              </w:numPr>
              <w:ind w:firstLine="420" w:firstLineChars="200"/>
              <w:jc w:val="left"/>
              <w:textAlignment w:val="center"/>
            </w:pPr>
            <w:r>
              <w:rPr>
                <w:rFonts w:hint="eastAsia" w:ascii="宋体" w:hAnsi="宋体" w:cs="宋体"/>
                <w:szCs w:val="21"/>
              </w:rPr>
              <w:t>（3）、合格（60分≤评分＜80分）</w:t>
            </w:r>
            <w:r>
              <w:rPr>
                <w:rFonts w:hint="eastAsia" w:ascii="宋体" w:hAnsi="宋体" w:cs="宋体"/>
                <w:kern w:val="0"/>
                <w:szCs w:val="21"/>
                <w:lang w:bidi="ar"/>
              </w:rPr>
              <w:t>，</w:t>
            </w:r>
            <w:r>
              <w:rPr>
                <w:rFonts w:hint="eastAsia" w:ascii="宋体" w:hAnsi="宋体" w:cs="宋体"/>
                <w:szCs w:val="21"/>
              </w:rPr>
              <w:t>支付当期绩效考核费</w:t>
            </w:r>
            <w:r>
              <w:rPr>
                <w:rFonts w:ascii="宋体" w:hAnsi="宋体" w:cs="宋体"/>
                <w:szCs w:val="21"/>
              </w:rPr>
              <w:t>5</w:t>
            </w:r>
            <w:r>
              <w:rPr>
                <w:rFonts w:hint="eastAsia" w:ascii="宋体" w:hAnsi="宋体" w:cs="宋体"/>
                <w:szCs w:val="21"/>
              </w:rPr>
              <w:t>0%</w:t>
            </w:r>
            <w:r>
              <w:rPr>
                <w:rFonts w:hint="eastAsia" w:ascii="宋体" w:hAnsi="宋体" w:cs="宋体"/>
                <w:kern w:val="0"/>
                <w:szCs w:val="21"/>
                <w:lang w:bidi="ar"/>
              </w:rPr>
              <w:t>；</w:t>
            </w:r>
            <w:r>
              <w:rPr>
                <w:rFonts w:hint="eastAsia" w:ascii="宋体" w:hAnsi="宋体" w:cs="宋体"/>
                <w:szCs w:val="21"/>
              </w:rPr>
              <w:br w:type="textWrapping"/>
            </w:r>
            <w:r>
              <w:rPr>
                <w:rFonts w:hint="eastAsia" w:ascii="宋体" w:hAnsi="宋体" w:cs="宋体"/>
                <w:szCs w:val="21"/>
              </w:rPr>
              <w:t xml:space="preserve">   （4）、不合格（评分＜60分）</w:t>
            </w:r>
            <w:r>
              <w:rPr>
                <w:rFonts w:hint="eastAsia" w:ascii="宋体" w:hAnsi="宋体" w:cs="宋体"/>
                <w:kern w:val="0"/>
                <w:szCs w:val="21"/>
                <w:lang w:bidi="ar"/>
              </w:rPr>
              <w:t>，</w:t>
            </w:r>
            <w:r>
              <w:rPr>
                <w:rFonts w:hint="eastAsia" w:ascii="宋体" w:hAnsi="宋体" w:cs="宋体"/>
                <w:szCs w:val="21"/>
              </w:rPr>
              <w:t>当期绩效考核费不支付</w:t>
            </w:r>
            <w:r>
              <w:rPr>
                <w:rFonts w:hint="eastAsia" w:ascii="宋体" w:hAnsi="宋体" w:cs="宋体"/>
                <w:kern w:val="0"/>
                <w:szCs w:val="21"/>
                <w:lang w:bidi="ar"/>
              </w:rPr>
              <w:t>。</w:t>
            </w:r>
          </w:p>
        </w:tc>
      </w:tr>
    </w:tbl>
    <w:p>
      <w:pPr>
        <w:pStyle w:val="27"/>
        <w:ind w:firstLine="480"/>
        <w:rPr>
          <w:sz w:val="24"/>
        </w:rPr>
      </w:pPr>
    </w:p>
    <w:p/>
    <w:p>
      <w:pPr>
        <w:widowControl/>
        <w:jc w:val="left"/>
        <w:rPr>
          <w:rFonts w:ascii="宋体" w:hAnsi="宋体"/>
          <w:b/>
          <w:snapToGrid w:val="0"/>
          <w:kern w:val="0"/>
          <w:sz w:val="24"/>
        </w:rPr>
      </w:pPr>
      <w:r>
        <w:rPr>
          <w:snapToGrid w:val="0"/>
          <w:kern w:val="0"/>
          <w:sz w:val="24"/>
        </w:rPr>
        <w:br w:type="page"/>
      </w:r>
    </w:p>
    <w:p>
      <w:pPr>
        <w:pStyle w:val="4"/>
        <w:jc w:val="both"/>
        <w:rPr>
          <w:snapToGrid w:val="0"/>
          <w:kern w:val="0"/>
          <w:sz w:val="24"/>
        </w:rPr>
      </w:pPr>
      <w:r>
        <w:rPr>
          <w:rFonts w:hint="eastAsia"/>
          <w:snapToGrid w:val="0"/>
          <w:kern w:val="0"/>
          <w:sz w:val="24"/>
        </w:rPr>
        <w:t>附件2：</w:t>
      </w:r>
    </w:p>
    <w:p>
      <w:pPr>
        <w:jc w:val="center"/>
        <w:rPr>
          <w:rFonts w:ascii="宋体" w:hAnsi="宋体"/>
          <w:b/>
          <w:bCs/>
          <w:snapToGrid w:val="0"/>
          <w:szCs w:val="30"/>
        </w:rPr>
      </w:pPr>
      <w:r>
        <w:rPr>
          <w:rFonts w:hint="eastAsia" w:ascii="宋体" w:hAnsi="宋体"/>
          <w:b/>
          <w:bCs/>
          <w:snapToGrid w:val="0"/>
          <w:szCs w:val="30"/>
        </w:rPr>
        <w:t>工程建设项目廉政责任书</w:t>
      </w:r>
    </w:p>
    <w:p>
      <w:pPr>
        <w:adjustRightInd w:val="0"/>
        <w:snapToGrid w:val="0"/>
        <w:spacing w:line="380" w:lineRule="exact"/>
        <w:rPr>
          <w:rFonts w:ascii="宋体" w:hAnsi="宋体"/>
          <w:snapToGrid w:val="0"/>
          <w:kern w:val="0"/>
          <w:sz w:val="24"/>
        </w:rPr>
      </w:pPr>
    </w:p>
    <w:p>
      <w:pPr>
        <w:adjustRightInd w:val="0"/>
        <w:snapToGrid w:val="0"/>
        <w:spacing w:line="380" w:lineRule="exact"/>
        <w:rPr>
          <w:rFonts w:hint="default" w:ascii="宋体" w:hAnsi="宋体" w:eastAsia="宋体"/>
          <w:snapToGrid w:val="0"/>
          <w:kern w:val="0"/>
          <w:sz w:val="24"/>
          <w:lang w:val="en-US" w:eastAsia="zh-CN"/>
        </w:rPr>
      </w:pPr>
      <w:r>
        <w:rPr>
          <w:rFonts w:hint="eastAsia" w:ascii="宋体" w:hAnsi="宋体"/>
          <w:snapToGrid w:val="0"/>
          <w:kern w:val="0"/>
          <w:sz w:val="24"/>
        </w:rPr>
        <w:t>委托人（甲方）：</w:t>
      </w:r>
      <w:r>
        <w:rPr>
          <w:rFonts w:hint="eastAsia" w:ascii="宋体" w:hAnsi="宋体" w:cs="宋体"/>
          <w:bCs/>
          <w:sz w:val="24"/>
        </w:rPr>
        <w:t xml:space="preserve"> </w:t>
      </w:r>
    </w:p>
    <w:p>
      <w:pPr>
        <w:adjustRightInd w:val="0"/>
        <w:snapToGrid w:val="0"/>
        <w:spacing w:line="380" w:lineRule="exact"/>
        <w:rPr>
          <w:rFonts w:ascii="宋体" w:hAnsi="宋体"/>
          <w:snapToGrid w:val="0"/>
          <w:kern w:val="0"/>
          <w:sz w:val="24"/>
        </w:rPr>
      </w:pPr>
      <w:r>
        <w:rPr>
          <w:rFonts w:hint="eastAsia" w:ascii="宋体" w:hAnsi="宋体"/>
          <w:snapToGrid w:val="0"/>
          <w:kern w:val="0"/>
          <w:sz w:val="24"/>
        </w:rPr>
        <w:t xml:space="preserve">监理人（乙方）： </w:t>
      </w:r>
    </w:p>
    <w:p>
      <w:pPr>
        <w:adjustRightInd w:val="0"/>
        <w:snapToGrid w:val="0"/>
        <w:spacing w:line="380" w:lineRule="exact"/>
        <w:rPr>
          <w:rFonts w:ascii="宋体" w:hAnsi="宋体"/>
          <w:snapToGrid w:val="0"/>
          <w:kern w:val="0"/>
          <w:sz w:val="24"/>
        </w:rPr>
      </w:pPr>
    </w:p>
    <w:p>
      <w:pPr>
        <w:adjustRightInd w:val="0"/>
        <w:snapToGrid w:val="0"/>
        <w:spacing w:line="380" w:lineRule="exact"/>
        <w:rPr>
          <w:rFonts w:ascii="宋体" w:hAnsi="宋体"/>
          <w:snapToGrid w:val="0"/>
          <w:kern w:val="0"/>
          <w:sz w:val="24"/>
        </w:rPr>
      </w:pP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b/>
          <w:snapToGrid w:val="0"/>
          <w:kern w:val="0"/>
          <w:sz w:val="24"/>
        </w:rPr>
      </w:pPr>
      <w:r>
        <w:rPr>
          <w:rFonts w:hint="eastAsia" w:ascii="宋体" w:hAnsi="宋体"/>
          <w:b/>
          <w:snapToGrid w:val="0"/>
          <w:kern w:val="0"/>
          <w:sz w:val="24"/>
        </w:rPr>
        <w:t>第一条</w:t>
      </w:r>
      <w:r>
        <w:rPr>
          <w:rFonts w:ascii="宋体" w:hAnsi="宋体"/>
          <w:b/>
          <w:snapToGrid w:val="0"/>
          <w:kern w:val="0"/>
          <w:sz w:val="24"/>
        </w:rPr>
        <w:t xml:space="preserve"> </w:t>
      </w:r>
      <w:r>
        <w:rPr>
          <w:rFonts w:hint="eastAsia" w:ascii="宋体" w:hAnsi="宋体"/>
          <w:snapToGrid w:val="0"/>
          <w:kern w:val="0"/>
          <w:sz w:val="24"/>
        </w:rPr>
        <w:t>甲、乙双方的责任</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（一）应严格遵守国家关于市场准入、项目招标投标、工程建设、施工安装和市场活动等有关法律、法规、相关政策，以及廉政建设的各项规定。</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（二）严格执行建设工程项目承发包合同文件，自觉按合同办事。</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（三）业务活动必须坚持公开、公平、公正、诚信、透明的原则（除法律法规另有规定者外），不得为获取不正当的利益，损害国家、集体和对方利益，不得违反工程建设管理、施工安装和监理的规章制度。</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snapToGrid w:val="0"/>
          <w:kern w:val="0"/>
          <w:sz w:val="24"/>
        </w:rPr>
      </w:pPr>
      <w:r>
        <w:rPr>
          <w:rFonts w:hint="eastAsia" w:ascii="宋体" w:hAnsi="宋体"/>
          <w:b/>
          <w:snapToGrid w:val="0"/>
          <w:kern w:val="0"/>
          <w:sz w:val="24"/>
        </w:rPr>
        <w:t>第二条</w:t>
      </w:r>
      <w:r>
        <w:rPr>
          <w:rFonts w:ascii="宋体" w:hAnsi="宋体"/>
          <w:b/>
          <w:snapToGrid w:val="0"/>
          <w:kern w:val="0"/>
          <w:sz w:val="24"/>
        </w:rPr>
        <w:t xml:space="preserve"> </w:t>
      </w:r>
      <w:r>
        <w:rPr>
          <w:rFonts w:hint="eastAsia" w:ascii="宋体" w:hAnsi="宋体"/>
          <w:snapToGrid w:val="0"/>
          <w:kern w:val="0"/>
          <w:sz w:val="24"/>
        </w:rPr>
        <w:t>甲方的责任</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甲方的领导和从事本建设工程项目的工作人员，在工程建设的事前、事中、事后应遵守以下规定：</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（一）不准向乙方和相关单位索要或接受回扣、礼金、有价证券、贵重物品和好处费、感谢费等。</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（二）不准在乙方和相关单位报销任何应由甲方或个人支付的费用。</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（四）不准参加有可能影响公正执行公务的乙方及相关单位的宴请、健身、娱乐等活动。</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snapToGrid w:val="0"/>
          <w:kern w:val="0"/>
          <w:sz w:val="24"/>
        </w:rPr>
      </w:pPr>
      <w:r>
        <w:rPr>
          <w:rFonts w:hint="eastAsia" w:ascii="宋体" w:hAnsi="宋体"/>
          <w:b/>
          <w:snapToGrid w:val="0"/>
          <w:kern w:val="0"/>
          <w:sz w:val="24"/>
        </w:rPr>
        <w:t>第三条</w:t>
      </w:r>
      <w:r>
        <w:rPr>
          <w:rFonts w:ascii="宋体" w:hAnsi="宋体"/>
          <w:b/>
          <w:snapToGrid w:val="0"/>
          <w:kern w:val="0"/>
          <w:sz w:val="24"/>
        </w:rPr>
        <w:t xml:space="preserve"> </w:t>
      </w:r>
      <w:r>
        <w:rPr>
          <w:rFonts w:hint="eastAsia" w:ascii="宋体" w:hAnsi="宋体"/>
          <w:snapToGrid w:val="0"/>
          <w:kern w:val="0"/>
          <w:sz w:val="24"/>
        </w:rPr>
        <w:t>乙方的责任</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应与甲方保持正常的业务交往，按照有关法律法规和程序开展业务工作，严格执行工程建设和监理的有关方针、政策，尤其是有关建筑施工安装和监理的强制性标准和规范，并遵守以下规定：</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（二）不准以任何理由为甲方和相关单位报销应由对方或个人支付的费用。</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snapToGrid w:val="0"/>
          <w:kern w:val="0"/>
          <w:sz w:val="24"/>
        </w:rPr>
      </w:pPr>
      <w:r>
        <w:rPr>
          <w:rFonts w:hint="eastAsia" w:ascii="宋体" w:hAnsi="宋体"/>
          <w:b/>
          <w:snapToGrid w:val="0"/>
          <w:kern w:val="0"/>
          <w:sz w:val="24"/>
        </w:rPr>
        <w:t>第四条</w:t>
      </w:r>
      <w:r>
        <w:rPr>
          <w:rFonts w:ascii="宋体" w:hAnsi="宋体"/>
          <w:b/>
          <w:snapToGrid w:val="0"/>
          <w:kern w:val="0"/>
          <w:sz w:val="24"/>
        </w:rPr>
        <w:t xml:space="preserve"> </w:t>
      </w:r>
      <w:r>
        <w:rPr>
          <w:rFonts w:hint="eastAsia" w:ascii="宋体" w:hAnsi="宋体"/>
          <w:snapToGrid w:val="0"/>
          <w:kern w:val="0"/>
          <w:sz w:val="24"/>
        </w:rPr>
        <w:t>违约责任</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snapToGrid w:val="0"/>
          <w:kern w:val="0"/>
          <w:sz w:val="24"/>
        </w:rPr>
      </w:pPr>
      <w:r>
        <w:rPr>
          <w:rFonts w:hint="eastAsia" w:ascii="宋体" w:hAnsi="宋体"/>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b/>
          <w:snapToGrid w:val="0"/>
          <w:kern w:val="0"/>
          <w:sz w:val="24"/>
        </w:rPr>
      </w:pPr>
      <w:r>
        <w:rPr>
          <w:rFonts w:hint="eastAsia" w:ascii="宋体" w:hAnsi="宋体"/>
          <w:b/>
          <w:snapToGrid w:val="0"/>
          <w:kern w:val="0"/>
          <w:sz w:val="24"/>
        </w:rPr>
        <w:t>第五条</w:t>
      </w:r>
      <w:r>
        <w:rPr>
          <w:rFonts w:ascii="宋体" w:hAnsi="宋体"/>
          <w:b/>
          <w:snapToGrid w:val="0"/>
          <w:kern w:val="0"/>
          <w:sz w:val="24"/>
        </w:rPr>
        <w:t xml:space="preserve"> </w:t>
      </w:r>
      <w:r>
        <w:rPr>
          <w:rFonts w:hint="eastAsia" w:ascii="宋体" w:hAnsi="宋体"/>
          <w:snapToGrid w:val="0"/>
          <w:kern w:val="0"/>
          <w:sz w:val="24"/>
        </w:rPr>
        <w:t>本廉政责任书作为本工程监理合同的附件，与本工程监理合同具有同等法律效力。经双方签署后立即生效。</w:t>
      </w:r>
    </w:p>
    <w:p>
      <w:pPr>
        <w:ind w:firstLine="482" w:firstLineChars="200"/>
        <w:jc w:val="both"/>
      </w:pPr>
      <w:r>
        <w:rPr>
          <w:rFonts w:hint="eastAsia" w:ascii="宋体" w:hAnsi="宋体"/>
          <w:b/>
          <w:snapToGrid w:val="0"/>
          <w:kern w:val="0"/>
          <w:sz w:val="24"/>
        </w:rPr>
        <w:t>第六条</w:t>
      </w:r>
      <w:r>
        <w:rPr>
          <w:rFonts w:ascii="宋体" w:hAnsi="宋体"/>
          <w:b/>
          <w:snapToGrid w:val="0"/>
          <w:kern w:val="0"/>
          <w:sz w:val="24"/>
        </w:rPr>
        <w:t xml:space="preserve"> </w:t>
      </w:r>
      <w:r>
        <w:rPr>
          <w:rFonts w:hint="eastAsia" w:ascii="宋体" w:hAnsi="宋体"/>
          <w:snapToGrid w:val="0"/>
          <w:kern w:val="0"/>
          <w:sz w:val="24"/>
        </w:rPr>
        <w:t>本廉政责任书的有效期与施工监理合同的有效期相同。</w:t>
      </w:r>
    </w:p>
    <w:sectPr>
      <w:pgSz w:w="12240" w:h="15840"/>
      <w:pgMar w:top="1480" w:right="1718" w:bottom="919" w:left="1718" w:header="85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E7hIDMEAgAABAQAAA4AAAAAAAAAAQAgAAAAHgEAAGRycy9lMm9E&#10;b2MueG1sUEsFBgAAAAAGAAYAWQEAAJQ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ZjRlMmFkNGM1NzY5ZTFlZmI5NjBmOWVkOTdiNDgifQ=="/>
  </w:docVars>
  <w:rsids>
    <w:rsidRoot w:val="0045048C"/>
    <w:rsid w:val="0000224E"/>
    <w:rsid w:val="00005C6A"/>
    <w:rsid w:val="00015B34"/>
    <w:rsid w:val="00037431"/>
    <w:rsid w:val="000407AD"/>
    <w:rsid w:val="00041EFD"/>
    <w:rsid w:val="00060CA5"/>
    <w:rsid w:val="00072D0A"/>
    <w:rsid w:val="00076362"/>
    <w:rsid w:val="00076F67"/>
    <w:rsid w:val="000842E1"/>
    <w:rsid w:val="00085E95"/>
    <w:rsid w:val="00092A1D"/>
    <w:rsid w:val="000A1729"/>
    <w:rsid w:val="000A2EAF"/>
    <w:rsid w:val="000B21AF"/>
    <w:rsid w:val="000C57C0"/>
    <w:rsid w:val="000D3D6C"/>
    <w:rsid w:val="000E37D0"/>
    <w:rsid w:val="000E3F73"/>
    <w:rsid w:val="000E7424"/>
    <w:rsid w:val="00104805"/>
    <w:rsid w:val="0011341B"/>
    <w:rsid w:val="001153BF"/>
    <w:rsid w:val="00115477"/>
    <w:rsid w:val="001220F5"/>
    <w:rsid w:val="00145800"/>
    <w:rsid w:val="0015691A"/>
    <w:rsid w:val="001610AF"/>
    <w:rsid w:val="00171D98"/>
    <w:rsid w:val="00171E0A"/>
    <w:rsid w:val="0017507B"/>
    <w:rsid w:val="00191439"/>
    <w:rsid w:val="001A4697"/>
    <w:rsid w:val="001A63CF"/>
    <w:rsid w:val="001A7294"/>
    <w:rsid w:val="001C60F7"/>
    <w:rsid w:val="001C73AE"/>
    <w:rsid w:val="001D0E96"/>
    <w:rsid w:val="001D14F1"/>
    <w:rsid w:val="001D53ED"/>
    <w:rsid w:val="001E217E"/>
    <w:rsid w:val="001F65D6"/>
    <w:rsid w:val="00200BC5"/>
    <w:rsid w:val="002104A7"/>
    <w:rsid w:val="00212EB6"/>
    <w:rsid w:val="00225172"/>
    <w:rsid w:val="0022620A"/>
    <w:rsid w:val="00237CC9"/>
    <w:rsid w:val="00253F3F"/>
    <w:rsid w:val="00267FC5"/>
    <w:rsid w:val="00280C6E"/>
    <w:rsid w:val="00281012"/>
    <w:rsid w:val="002A0EC2"/>
    <w:rsid w:val="002B3C54"/>
    <w:rsid w:val="002B5DDD"/>
    <w:rsid w:val="002C627A"/>
    <w:rsid w:val="002C7072"/>
    <w:rsid w:val="002E2F23"/>
    <w:rsid w:val="002F2705"/>
    <w:rsid w:val="002F7640"/>
    <w:rsid w:val="003059CE"/>
    <w:rsid w:val="00310FD3"/>
    <w:rsid w:val="003251D0"/>
    <w:rsid w:val="00332F04"/>
    <w:rsid w:val="0034371E"/>
    <w:rsid w:val="00353BC9"/>
    <w:rsid w:val="003740C3"/>
    <w:rsid w:val="003821B1"/>
    <w:rsid w:val="0039519E"/>
    <w:rsid w:val="00395308"/>
    <w:rsid w:val="003A1865"/>
    <w:rsid w:val="003A4350"/>
    <w:rsid w:val="003A4C78"/>
    <w:rsid w:val="003A5C1B"/>
    <w:rsid w:val="003A7417"/>
    <w:rsid w:val="003B475E"/>
    <w:rsid w:val="003B72CD"/>
    <w:rsid w:val="003D04D4"/>
    <w:rsid w:val="003E63FD"/>
    <w:rsid w:val="003F1C88"/>
    <w:rsid w:val="003F6CC1"/>
    <w:rsid w:val="004006A0"/>
    <w:rsid w:val="00402F1C"/>
    <w:rsid w:val="0041052B"/>
    <w:rsid w:val="0041274D"/>
    <w:rsid w:val="004133F5"/>
    <w:rsid w:val="00416437"/>
    <w:rsid w:val="00430B74"/>
    <w:rsid w:val="00437141"/>
    <w:rsid w:val="004432CB"/>
    <w:rsid w:val="0044560E"/>
    <w:rsid w:val="0045048C"/>
    <w:rsid w:val="00451728"/>
    <w:rsid w:val="00452B85"/>
    <w:rsid w:val="00453483"/>
    <w:rsid w:val="004559E5"/>
    <w:rsid w:val="0047148B"/>
    <w:rsid w:val="00473C9F"/>
    <w:rsid w:val="004958C0"/>
    <w:rsid w:val="00496657"/>
    <w:rsid w:val="00497171"/>
    <w:rsid w:val="0049735B"/>
    <w:rsid w:val="004B2BF9"/>
    <w:rsid w:val="004B454D"/>
    <w:rsid w:val="004B7AB6"/>
    <w:rsid w:val="004C26F3"/>
    <w:rsid w:val="004C5F5F"/>
    <w:rsid w:val="004D0F09"/>
    <w:rsid w:val="004D1446"/>
    <w:rsid w:val="004D286F"/>
    <w:rsid w:val="004D3AB0"/>
    <w:rsid w:val="004E249A"/>
    <w:rsid w:val="004F20BF"/>
    <w:rsid w:val="004F3DA1"/>
    <w:rsid w:val="00502AF8"/>
    <w:rsid w:val="0051665B"/>
    <w:rsid w:val="0051784D"/>
    <w:rsid w:val="005233EC"/>
    <w:rsid w:val="00535173"/>
    <w:rsid w:val="00551422"/>
    <w:rsid w:val="005546AC"/>
    <w:rsid w:val="005610C8"/>
    <w:rsid w:val="00567C51"/>
    <w:rsid w:val="005719E7"/>
    <w:rsid w:val="00571FF3"/>
    <w:rsid w:val="00572971"/>
    <w:rsid w:val="00577450"/>
    <w:rsid w:val="00584DE3"/>
    <w:rsid w:val="0059141B"/>
    <w:rsid w:val="005A293D"/>
    <w:rsid w:val="005B396F"/>
    <w:rsid w:val="005C05FA"/>
    <w:rsid w:val="005D5774"/>
    <w:rsid w:val="005D5B30"/>
    <w:rsid w:val="005D7BF4"/>
    <w:rsid w:val="005E0DC4"/>
    <w:rsid w:val="005E4D15"/>
    <w:rsid w:val="005F031F"/>
    <w:rsid w:val="005F4EF3"/>
    <w:rsid w:val="005F6418"/>
    <w:rsid w:val="005F71BC"/>
    <w:rsid w:val="00600838"/>
    <w:rsid w:val="00602722"/>
    <w:rsid w:val="0060625C"/>
    <w:rsid w:val="00623969"/>
    <w:rsid w:val="00624DD1"/>
    <w:rsid w:val="00630784"/>
    <w:rsid w:val="006738EF"/>
    <w:rsid w:val="00675C49"/>
    <w:rsid w:val="006774DE"/>
    <w:rsid w:val="00677564"/>
    <w:rsid w:val="00684977"/>
    <w:rsid w:val="006906DC"/>
    <w:rsid w:val="00694827"/>
    <w:rsid w:val="0069647B"/>
    <w:rsid w:val="00697275"/>
    <w:rsid w:val="006B6BAA"/>
    <w:rsid w:val="006C6F9F"/>
    <w:rsid w:val="006D12DB"/>
    <w:rsid w:val="006E02D4"/>
    <w:rsid w:val="006E4284"/>
    <w:rsid w:val="006E7A93"/>
    <w:rsid w:val="00704E50"/>
    <w:rsid w:val="00705E29"/>
    <w:rsid w:val="00712CC4"/>
    <w:rsid w:val="00713498"/>
    <w:rsid w:val="00723B7F"/>
    <w:rsid w:val="00724173"/>
    <w:rsid w:val="00732606"/>
    <w:rsid w:val="00733400"/>
    <w:rsid w:val="007546C5"/>
    <w:rsid w:val="00754A30"/>
    <w:rsid w:val="00762035"/>
    <w:rsid w:val="00770D51"/>
    <w:rsid w:val="00774F81"/>
    <w:rsid w:val="007757E2"/>
    <w:rsid w:val="00781E68"/>
    <w:rsid w:val="007917D5"/>
    <w:rsid w:val="007A3FED"/>
    <w:rsid w:val="007B2750"/>
    <w:rsid w:val="007B5306"/>
    <w:rsid w:val="007C3265"/>
    <w:rsid w:val="007C37AB"/>
    <w:rsid w:val="007C49F4"/>
    <w:rsid w:val="007C633A"/>
    <w:rsid w:val="007E0405"/>
    <w:rsid w:val="007F089C"/>
    <w:rsid w:val="008031A0"/>
    <w:rsid w:val="00817177"/>
    <w:rsid w:val="0082208B"/>
    <w:rsid w:val="00830DFB"/>
    <w:rsid w:val="00832515"/>
    <w:rsid w:val="00836089"/>
    <w:rsid w:val="00837E0E"/>
    <w:rsid w:val="0084303F"/>
    <w:rsid w:val="00845B3A"/>
    <w:rsid w:val="00854638"/>
    <w:rsid w:val="00857F0D"/>
    <w:rsid w:val="00861B5A"/>
    <w:rsid w:val="0087165B"/>
    <w:rsid w:val="008719B0"/>
    <w:rsid w:val="00880E83"/>
    <w:rsid w:val="0088147A"/>
    <w:rsid w:val="008842E2"/>
    <w:rsid w:val="00884B97"/>
    <w:rsid w:val="00885266"/>
    <w:rsid w:val="00894104"/>
    <w:rsid w:val="00896383"/>
    <w:rsid w:val="0089639D"/>
    <w:rsid w:val="008A03DA"/>
    <w:rsid w:val="008A2265"/>
    <w:rsid w:val="008A2EA2"/>
    <w:rsid w:val="008A3EAF"/>
    <w:rsid w:val="008A5EB4"/>
    <w:rsid w:val="008B5522"/>
    <w:rsid w:val="008B6F04"/>
    <w:rsid w:val="008B7E29"/>
    <w:rsid w:val="008B7FC0"/>
    <w:rsid w:val="008C112E"/>
    <w:rsid w:val="008C2156"/>
    <w:rsid w:val="008C2D14"/>
    <w:rsid w:val="008C5F03"/>
    <w:rsid w:val="008D2740"/>
    <w:rsid w:val="008D5B42"/>
    <w:rsid w:val="008F0463"/>
    <w:rsid w:val="008F44A7"/>
    <w:rsid w:val="008F5F42"/>
    <w:rsid w:val="00900650"/>
    <w:rsid w:val="009102D7"/>
    <w:rsid w:val="00912726"/>
    <w:rsid w:val="00914A2A"/>
    <w:rsid w:val="00922BF7"/>
    <w:rsid w:val="00933853"/>
    <w:rsid w:val="00951CB7"/>
    <w:rsid w:val="00955125"/>
    <w:rsid w:val="00956043"/>
    <w:rsid w:val="009707EC"/>
    <w:rsid w:val="009759F4"/>
    <w:rsid w:val="0097778B"/>
    <w:rsid w:val="0098197D"/>
    <w:rsid w:val="00984862"/>
    <w:rsid w:val="00992046"/>
    <w:rsid w:val="00992796"/>
    <w:rsid w:val="009A18A3"/>
    <w:rsid w:val="009A72A9"/>
    <w:rsid w:val="009B3E95"/>
    <w:rsid w:val="009C57BA"/>
    <w:rsid w:val="009D6F4C"/>
    <w:rsid w:val="009F0787"/>
    <w:rsid w:val="009F5B19"/>
    <w:rsid w:val="00A274EE"/>
    <w:rsid w:val="00A27565"/>
    <w:rsid w:val="00A27E78"/>
    <w:rsid w:val="00A3088D"/>
    <w:rsid w:val="00A34564"/>
    <w:rsid w:val="00A36097"/>
    <w:rsid w:val="00A43D4E"/>
    <w:rsid w:val="00A515FB"/>
    <w:rsid w:val="00A60C16"/>
    <w:rsid w:val="00A60C6B"/>
    <w:rsid w:val="00A6228A"/>
    <w:rsid w:val="00A74D1C"/>
    <w:rsid w:val="00A809D6"/>
    <w:rsid w:val="00A8161C"/>
    <w:rsid w:val="00A95134"/>
    <w:rsid w:val="00A960F6"/>
    <w:rsid w:val="00AA4755"/>
    <w:rsid w:val="00AA69EC"/>
    <w:rsid w:val="00AA7EEE"/>
    <w:rsid w:val="00AC2A10"/>
    <w:rsid w:val="00AC4F6B"/>
    <w:rsid w:val="00AC6473"/>
    <w:rsid w:val="00AD0EE6"/>
    <w:rsid w:val="00AE2D88"/>
    <w:rsid w:val="00AE6DD6"/>
    <w:rsid w:val="00AF338C"/>
    <w:rsid w:val="00AF5DDC"/>
    <w:rsid w:val="00AF6752"/>
    <w:rsid w:val="00B00A3B"/>
    <w:rsid w:val="00B0398A"/>
    <w:rsid w:val="00B130DF"/>
    <w:rsid w:val="00B2036A"/>
    <w:rsid w:val="00B26F69"/>
    <w:rsid w:val="00B3034A"/>
    <w:rsid w:val="00B40568"/>
    <w:rsid w:val="00B53BA6"/>
    <w:rsid w:val="00B61091"/>
    <w:rsid w:val="00B64877"/>
    <w:rsid w:val="00B706D1"/>
    <w:rsid w:val="00B76140"/>
    <w:rsid w:val="00B77400"/>
    <w:rsid w:val="00B776B7"/>
    <w:rsid w:val="00B80FFE"/>
    <w:rsid w:val="00B82B64"/>
    <w:rsid w:val="00B845EF"/>
    <w:rsid w:val="00B8597A"/>
    <w:rsid w:val="00B9262C"/>
    <w:rsid w:val="00BA5BEE"/>
    <w:rsid w:val="00BA7F5F"/>
    <w:rsid w:val="00BB1ED9"/>
    <w:rsid w:val="00BB25FB"/>
    <w:rsid w:val="00BC255A"/>
    <w:rsid w:val="00BD5978"/>
    <w:rsid w:val="00BD7374"/>
    <w:rsid w:val="00BD7AE7"/>
    <w:rsid w:val="00BE3161"/>
    <w:rsid w:val="00BF417A"/>
    <w:rsid w:val="00BF7962"/>
    <w:rsid w:val="00C0786C"/>
    <w:rsid w:val="00C13820"/>
    <w:rsid w:val="00C16FED"/>
    <w:rsid w:val="00C24BCE"/>
    <w:rsid w:val="00C3130B"/>
    <w:rsid w:val="00C33786"/>
    <w:rsid w:val="00C40A87"/>
    <w:rsid w:val="00C63AEC"/>
    <w:rsid w:val="00C7399D"/>
    <w:rsid w:val="00C760AC"/>
    <w:rsid w:val="00C80A20"/>
    <w:rsid w:val="00C84307"/>
    <w:rsid w:val="00C86238"/>
    <w:rsid w:val="00C87FDE"/>
    <w:rsid w:val="00C978AD"/>
    <w:rsid w:val="00CA239C"/>
    <w:rsid w:val="00CB696D"/>
    <w:rsid w:val="00CC3236"/>
    <w:rsid w:val="00CC6639"/>
    <w:rsid w:val="00CD3459"/>
    <w:rsid w:val="00CD7B3C"/>
    <w:rsid w:val="00CE1283"/>
    <w:rsid w:val="00D009C8"/>
    <w:rsid w:val="00D14BC3"/>
    <w:rsid w:val="00D2154A"/>
    <w:rsid w:val="00D467AF"/>
    <w:rsid w:val="00D642CA"/>
    <w:rsid w:val="00D6559B"/>
    <w:rsid w:val="00D704C0"/>
    <w:rsid w:val="00D900F8"/>
    <w:rsid w:val="00D949A1"/>
    <w:rsid w:val="00DA6F60"/>
    <w:rsid w:val="00DA7765"/>
    <w:rsid w:val="00DC2FA8"/>
    <w:rsid w:val="00DD0B57"/>
    <w:rsid w:val="00DD1408"/>
    <w:rsid w:val="00DD1BE7"/>
    <w:rsid w:val="00DE652B"/>
    <w:rsid w:val="00DE72AF"/>
    <w:rsid w:val="00DF1ED3"/>
    <w:rsid w:val="00E11EC2"/>
    <w:rsid w:val="00E217A0"/>
    <w:rsid w:val="00E33B0A"/>
    <w:rsid w:val="00E410E5"/>
    <w:rsid w:val="00E46301"/>
    <w:rsid w:val="00E67361"/>
    <w:rsid w:val="00E72693"/>
    <w:rsid w:val="00E81B93"/>
    <w:rsid w:val="00E917F9"/>
    <w:rsid w:val="00E95FCE"/>
    <w:rsid w:val="00EA6E5D"/>
    <w:rsid w:val="00EA6E85"/>
    <w:rsid w:val="00EC5E91"/>
    <w:rsid w:val="00ED0940"/>
    <w:rsid w:val="00ED4B41"/>
    <w:rsid w:val="00ED5BA3"/>
    <w:rsid w:val="00ED7BB4"/>
    <w:rsid w:val="00EE1E9D"/>
    <w:rsid w:val="00EE406F"/>
    <w:rsid w:val="00EF232A"/>
    <w:rsid w:val="00F06999"/>
    <w:rsid w:val="00F22939"/>
    <w:rsid w:val="00F2338C"/>
    <w:rsid w:val="00F2407C"/>
    <w:rsid w:val="00F26394"/>
    <w:rsid w:val="00F273C2"/>
    <w:rsid w:val="00F308A5"/>
    <w:rsid w:val="00F364FF"/>
    <w:rsid w:val="00F61044"/>
    <w:rsid w:val="00F726CF"/>
    <w:rsid w:val="00F72A46"/>
    <w:rsid w:val="00F73FDD"/>
    <w:rsid w:val="00F96E68"/>
    <w:rsid w:val="00FA5796"/>
    <w:rsid w:val="00FB0D89"/>
    <w:rsid w:val="00FB3D57"/>
    <w:rsid w:val="00FB495B"/>
    <w:rsid w:val="00FC2C4A"/>
    <w:rsid w:val="00FC61F1"/>
    <w:rsid w:val="00FC66C8"/>
    <w:rsid w:val="00FD3DA6"/>
    <w:rsid w:val="00FE6064"/>
    <w:rsid w:val="01A4292F"/>
    <w:rsid w:val="02844227"/>
    <w:rsid w:val="03246B60"/>
    <w:rsid w:val="03310326"/>
    <w:rsid w:val="05066FF8"/>
    <w:rsid w:val="05C27358"/>
    <w:rsid w:val="07945CD1"/>
    <w:rsid w:val="08D20B42"/>
    <w:rsid w:val="09036DBD"/>
    <w:rsid w:val="0AA558B4"/>
    <w:rsid w:val="0AD9078D"/>
    <w:rsid w:val="0BDA78FB"/>
    <w:rsid w:val="0C2013E6"/>
    <w:rsid w:val="0D2634C4"/>
    <w:rsid w:val="0D8E20D3"/>
    <w:rsid w:val="100557B8"/>
    <w:rsid w:val="10C56D79"/>
    <w:rsid w:val="117057F3"/>
    <w:rsid w:val="125A2A63"/>
    <w:rsid w:val="142769C1"/>
    <w:rsid w:val="14FD3784"/>
    <w:rsid w:val="155079BE"/>
    <w:rsid w:val="18874411"/>
    <w:rsid w:val="1A366C81"/>
    <w:rsid w:val="1D595340"/>
    <w:rsid w:val="1D89733C"/>
    <w:rsid w:val="1E323A81"/>
    <w:rsid w:val="1FB121C9"/>
    <w:rsid w:val="1FE22C37"/>
    <w:rsid w:val="1FF46BDE"/>
    <w:rsid w:val="20074099"/>
    <w:rsid w:val="2087153B"/>
    <w:rsid w:val="20F86E91"/>
    <w:rsid w:val="23ED73E7"/>
    <w:rsid w:val="23F73E0C"/>
    <w:rsid w:val="29767287"/>
    <w:rsid w:val="2AE47848"/>
    <w:rsid w:val="2BFD7CE9"/>
    <w:rsid w:val="2CD26BA3"/>
    <w:rsid w:val="2DAE5658"/>
    <w:rsid w:val="30490D72"/>
    <w:rsid w:val="317F4CA6"/>
    <w:rsid w:val="33D412C7"/>
    <w:rsid w:val="33F31A49"/>
    <w:rsid w:val="34320D70"/>
    <w:rsid w:val="38365A0F"/>
    <w:rsid w:val="38495DC4"/>
    <w:rsid w:val="39996F19"/>
    <w:rsid w:val="39C5614F"/>
    <w:rsid w:val="3DA016AF"/>
    <w:rsid w:val="3E5E6CF9"/>
    <w:rsid w:val="3EFB36E0"/>
    <w:rsid w:val="41170E22"/>
    <w:rsid w:val="426308AE"/>
    <w:rsid w:val="46CE316F"/>
    <w:rsid w:val="47BD6127"/>
    <w:rsid w:val="47C51DB8"/>
    <w:rsid w:val="4A137D46"/>
    <w:rsid w:val="4BB62FEE"/>
    <w:rsid w:val="4C517CAB"/>
    <w:rsid w:val="4EA23DC3"/>
    <w:rsid w:val="4FFB2959"/>
    <w:rsid w:val="512F7BED"/>
    <w:rsid w:val="52C7604B"/>
    <w:rsid w:val="5329006C"/>
    <w:rsid w:val="56633C13"/>
    <w:rsid w:val="570A58F0"/>
    <w:rsid w:val="58630360"/>
    <w:rsid w:val="5D1719E6"/>
    <w:rsid w:val="62646DEF"/>
    <w:rsid w:val="63617E6C"/>
    <w:rsid w:val="63BC4884"/>
    <w:rsid w:val="678A4BB3"/>
    <w:rsid w:val="689223FC"/>
    <w:rsid w:val="691672CE"/>
    <w:rsid w:val="6B1F63E4"/>
    <w:rsid w:val="6BFC6409"/>
    <w:rsid w:val="6C3C644B"/>
    <w:rsid w:val="6E4248CD"/>
    <w:rsid w:val="6FFD3E9E"/>
    <w:rsid w:val="71222F78"/>
    <w:rsid w:val="71285068"/>
    <w:rsid w:val="715E5F58"/>
    <w:rsid w:val="729E64AF"/>
    <w:rsid w:val="73B70B11"/>
    <w:rsid w:val="73CD0C6E"/>
    <w:rsid w:val="74FC7570"/>
    <w:rsid w:val="752C43D1"/>
    <w:rsid w:val="76366EB1"/>
    <w:rsid w:val="76E57F30"/>
    <w:rsid w:val="77735B63"/>
    <w:rsid w:val="789C633C"/>
    <w:rsid w:val="79DD67F8"/>
    <w:rsid w:val="7DD17E27"/>
    <w:rsid w:val="7F77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line="576" w:lineRule="auto"/>
      <w:jc w:val="center"/>
      <w:outlineLvl w:val="0"/>
    </w:pPr>
    <w:rPr>
      <w:b/>
      <w:kern w:val="44"/>
      <w:sz w:val="44"/>
    </w:rPr>
  </w:style>
  <w:style w:type="paragraph" w:styleId="4">
    <w:name w:val="heading 2"/>
    <w:basedOn w:val="1"/>
    <w:next w:val="1"/>
    <w:link w:val="37"/>
    <w:qFormat/>
    <w:uiPriority w:val="0"/>
    <w:pPr>
      <w:keepNext/>
      <w:keepLines/>
      <w:spacing w:line="360" w:lineRule="auto"/>
      <w:jc w:val="center"/>
      <w:outlineLvl w:val="1"/>
    </w:pPr>
    <w:rPr>
      <w:rFonts w:ascii="宋体" w:hAnsi="宋体"/>
      <w:b/>
      <w:sz w:val="32"/>
    </w:rPr>
  </w:style>
  <w:style w:type="paragraph" w:styleId="5">
    <w:name w:val="heading 3"/>
    <w:basedOn w:val="1"/>
    <w:next w:val="1"/>
    <w:link w:val="38"/>
    <w:qFormat/>
    <w:uiPriority w:val="0"/>
    <w:pPr>
      <w:keepNext/>
      <w:keepLines/>
      <w:spacing w:line="360" w:lineRule="auto"/>
      <w:jc w:val="center"/>
      <w:outlineLvl w:val="2"/>
    </w:pPr>
    <w:rPr>
      <w:b/>
      <w:bCs/>
      <w:sz w:val="24"/>
      <w:szCs w:val="32"/>
    </w:rPr>
  </w:style>
  <w:style w:type="paragraph" w:styleId="6">
    <w:name w:val="heading 4"/>
    <w:basedOn w:val="1"/>
    <w:next w:val="1"/>
    <w:link w:val="39"/>
    <w:qFormat/>
    <w:uiPriority w:val="0"/>
    <w:pPr>
      <w:keepNext/>
      <w:keepLines/>
      <w:spacing w:line="360" w:lineRule="auto"/>
      <w:outlineLvl w:val="3"/>
    </w:pPr>
    <w:rPr>
      <w:rFonts w:ascii="Arial" w:hAnsi="Arial"/>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adjustRightInd w:val="0"/>
      <w:spacing w:line="315" w:lineRule="atLeast"/>
      <w:ind w:firstLine="420" w:firstLineChars="200"/>
      <w:jc w:val="left"/>
      <w:textAlignment w:val="baseline"/>
    </w:pPr>
    <w:rPr>
      <w:rFonts w:ascii="宋体" w:hAnsi="CG Times (W1)"/>
      <w:kern w:val="0"/>
      <w:szCs w:val="20"/>
    </w:rPr>
  </w:style>
  <w:style w:type="paragraph" w:styleId="7">
    <w:name w:val="Normal Indent"/>
    <w:basedOn w:val="1"/>
    <w:qFormat/>
    <w:uiPriority w:val="0"/>
    <w:pPr>
      <w:ind w:firstLine="420"/>
    </w:pPr>
    <w:rPr>
      <w:szCs w:val="20"/>
    </w:rPr>
  </w:style>
  <w:style w:type="paragraph" w:styleId="8">
    <w:name w:val="Document Map"/>
    <w:basedOn w:val="1"/>
    <w:link w:val="40"/>
    <w:qFormat/>
    <w:uiPriority w:val="0"/>
    <w:rPr>
      <w:rFonts w:ascii="宋体" w:hAnsiTheme="minorHAnsi" w:eastAsiaTheme="minorEastAsia" w:cstheme="minorBidi"/>
      <w:sz w:val="18"/>
      <w:szCs w:val="18"/>
    </w:rPr>
  </w:style>
  <w:style w:type="paragraph" w:styleId="9">
    <w:name w:val="annotation text"/>
    <w:basedOn w:val="1"/>
    <w:link w:val="41"/>
    <w:qFormat/>
    <w:uiPriority w:val="0"/>
    <w:pPr>
      <w:adjustRightInd w:val="0"/>
      <w:spacing w:line="360" w:lineRule="atLeast"/>
      <w:jc w:val="left"/>
    </w:pPr>
    <w:rPr>
      <w:rFonts w:ascii="宋体" w:hAnsi="宋体" w:cstheme="minorBidi"/>
      <w:sz w:val="24"/>
    </w:rPr>
  </w:style>
  <w:style w:type="paragraph" w:styleId="10">
    <w:name w:val="Body Text 3"/>
    <w:basedOn w:val="1"/>
    <w:link w:val="42"/>
    <w:qFormat/>
    <w:uiPriority w:val="0"/>
    <w:pPr>
      <w:spacing w:after="120"/>
    </w:pPr>
    <w:rPr>
      <w:rFonts w:asciiTheme="minorHAnsi" w:hAnsiTheme="minorHAnsi" w:eastAsiaTheme="minorEastAsia" w:cstheme="minorBidi"/>
      <w:sz w:val="16"/>
      <w:szCs w:val="16"/>
    </w:rPr>
  </w:style>
  <w:style w:type="paragraph" w:styleId="11">
    <w:name w:val="Body Text"/>
    <w:basedOn w:val="1"/>
    <w:link w:val="43"/>
    <w:qFormat/>
    <w:uiPriority w:val="0"/>
    <w:pPr>
      <w:spacing w:after="120"/>
    </w:pPr>
    <w:rPr>
      <w:rFonts w:asciiTheme="minorHAnsi" w:hAnsiTheme="minorHAnsi" w:eastAsiaTheme="minorEastAsia" w:cstheme="minorBidi"/>
    </w:rPr>
  </w:style>
  <w:style w:type="paragraph" w:styleId="12">
    <w:name w:val="Body Text Indent"/>
    <w:basedOn w:val="1"/>
    <w:link w:val="44"/>
    <w:qFormat/>
    <w:uiPriority w:val="0"/>
    <w:pPr>
      <w:autoSpaceDE w:val="0"/>
      <w:autoSpaceDN w:val="0"/>
      <w:adjustRightInd w:val="0"/>
      <w:spacing w:line="0" w:lineRule="atLeast"/>
      <w:ind w:firstLine="525"/>
      <w:textAlignment w:val="top"/>
    </w:pPr>
    <w:rPr>
      <w:rFonts w:ascii="宋体" w:hAnsi="宋体" w:eastAsiaTheme="minorEastAsia" w:cstheme="minorBidi"/>
      <w:color w:val="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3"/>
    <w:basedOn w:val="1"/>
    <w:next w:val="1"/>
    <w:qFormat/>
    <w:uiPriority w:val="0"/>
    <w:pPr>
      <w:ind w:left="400" w:leftChars="400"/>
    </w:pPr>
  </w:style>
  <w:style w:type="paragraph" w:styleId="15">
    <w:name w:val="Plain Text"/>
    <w:basedOn w:val="1"/>
    <w:link w:val="45"/>
    <w:qFormat/>
    <w:uiPriority w:val="0"/>
    <w:rPr>
      <w:rFonts w:ascii="宋体" w:hAnsi="Courier New" w:cstheme="minorBidi"/>
      <w:sz w:val="24"/>
    </w:rPr>
  </w:style>
  <w:style w:type="paragraph" w:styleId="16">
    <w:name w:val="Date"/>
    <w:basedOn w:val="1"/>
    <w:next w:val="1"/>
    <w:link w:val="46"/>
    <w:qFormat/>
    <w:uiPriority w:val="0"/>
    <w:pPr>
      <w:ind w:left="100" w:leftChars="2500"/>
    </w:pPr>
    <w:rPr>
      <w:rFonts w:asciiTheme="minorHAnsi" w:hAnsiTheme="minorHAnsi" w:eastAsiaTheme="minorEastAsia" w:cstheme="minorBidi"/>
    </w:rPr>
  </w:style>
  <w:style w:type="paragraph" w:styleId="17">
    <w:name w:val="Balloon Text"/>
    <w:basedOn w:val="1"/>
    <w:link w:val="47"/>
    <w:qFormat/>
    <w:uiPriority w:val="0"/>
    <w:rPr>
      <w:rFonts w:asciiTheme="minorHAnsi" w:hAnsiTheme="minorHAnsi" w:eastAsiaTheme="minorEastAsia" w:cstheme="minorBidi"/>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toc 2"/>
    <w:basedOn w:val="1"/>
    <w:next w:val="1"/>
    <w:qFormat/>
    <w:uiPriority w:val="0"/>
    <w:pPr>
      <w:ind w:left="200" w:leftChars="200"/>
    </w:pPr>
  </w:style>
  <w:style w:type="paragraph" w:styleId="23">
    <w:name w:val="Body Text 2"/>
    <w:basedOn w:val="1"/>
    <w:link w:val="50"/>
    <w:qFormat/>
    <w:uiPriority w:val="0"/>
    <w:rPr>
      <w:sz w:val="4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9"/>
    <w:next w:val="9"/>
    <w:link w:val="51"/>
    <w:qFormat/>
    <w:uiPriority w:val="0"/>
    <w:pPr>
      <w:adjustRightInd/>
      <w:spacing w:line="240" w:lineRule="auto"/>
    </w:pPr>
  </w:style>
  <w:style w:type="paragraph" w:styleId="26">
    <w:name w:val="Body Text First Indent"/>
    <w:basedOn w:val="11"/>
    <w:link w:val="52"/>
    <w:qFormat/>
    <w:uiPriority w:val="0"/>
    <w:pPr>
      <w:ind w:firstLine="420" w:firstLineChars="100"/>
    </w:pPr>
  </w:style>
  <w:style w:type="paragraph" w:styleId="27">
    <w:name w:val="Body Text First Indent 2"/>
    <w:basedOn w:val="12"/>
    <w:link w:val="53"/>
    <w:unhideWhenUsed/>
    <w:qFormat/>
    <w:uiPriority w:val="99"/>
    <w:pPr>
      <w:autoSpaceDE/>
      <w:autoSpaceDN/>
      <w:adjustRightInd/>
      <w:spacing w:after="120" w:line="240" w:lineRule="auto"/>
      <w:ind w:left="420" w:leftChars="200" w:firstLine="420" w:firstLineChars="200"/>
      <w:textAlignment w:val="auto"/>
    </w:pPr>
    <w:rPr>
      <w:rFonts w:ascii="Times New Roman" w:hAnsi="Times New Roman" w:eastAsia="宋体" w:cs="Times New Roman"/>
      <w:color w:val="auto"/>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3">
    <w:name w:val="Emphasis"/>
    <w:qFormat/>
    <w:uiPriority w:val="0"/>
    <w:rPr>
      <w:i/>
    </w:rPr>
  </w:style>
  <w:style w:type="character" w:styleId="34">
    <w:name w:val="Hyperlink"/>
    <w:qFormat/>
    <w:uiPriority w:val="0"/>
    <w:rPr>
      <w:color w:val="12477D"/>
      <w:sz w:val="21"/>
      <w:szCs w:val="21"/>
      <w:u w:val="none"/>
    </w:rPr>
  </w:style>
  <w:style w:type="character" w:styleId="35">
    <w:name w:val="annotation reference"/>
    <w:qFormat/>
    <w:uiPriority w:val="0"/>
    <w:rPr>
      <w:sz w:val="21"/>
      <w:szCs w:val="21"/>
    </w:rPr>
  </w:style>
  <w:style w:type="character" w:customStyle="1" w:styleId="36">
    <w:name w:val="标题 1 字符"/>
    <w:basedOn w:val="30"/>
    <w:link w:val="3"/>
    <w:qFormat/>
    <w:uiPriority w:val="0"/>
    <w:rPr>
      <w:rFonts w:ascii="Times New Roman" w:hAnsi="Times New Roman" w:eastAsia="宋体" w:cs="Times New Roman"/>
      <w:b/>
      <w:kern w:val="44"/>
      <w:sz w:val="44"/>
      <w:szCs w:val="24"/>
    </w:rPr>
  </w:style>
  <w:style w:type="character" w:customStyle="1" w:styleId="37">
    <w:name w:val="标题 2 字符"/>
    <w:basedOn w:val="30"/>
    <w:link w:val="4"/>
    <w:qFormat/>
    <w:uiPriority w:val="0"/>
    <w:rPr>
      <w:rFonts w:ascii="宋体" w:hAnsi="宋体" w:eastAsia="宋体" w:cs="Times New Roman"/>
      <w:b/>
      <w:sz w:val="32"/>
      <w:szCs w:val="24"/>
    </w:rPr>
  </w:style>
  <w:style w:type="character" w:customStyle="1" w:styleId="38">
    <w:name w:val="标题 3 字符"/>
    <w:basedOn w:val="30"/>
    <w:link w:val="5"/>
    <w:qFormat/>
    <w:uiPriority w:val="0"/>
    <w:rPr>
      <w:rFonts w:ascii="Times New Roman" w:hAnsi="Times New Roman" w:eastAsia="宋体" w:cs="Times New Roman"/>
      <w:b/>
      <w:bCs/>
      <w:sz w:val="24"/>
      <w:szCs w:val="32"/>
    </w:rPr>
  </w:style>
  <w:style w:type="character" w:customStyle="1" w:styleId="39">
    <w:name w:val="标题 4 字符"/>
    <w:basedOn w:val="30"/>
    <w:link w:val="6"/>
    <w:qFormat/>
    <w:uiPriority w:val="0"/>
    <w:rPr>
      <w:rFonts w:ascii="Arial" w:hAnsi="Arial" w:eastAsia="宋体" w:cs="Times New Roman"/>
      <w:b/>
      <w:bCs/>
      <w:szCs w:val="28"/>
    </w:rPr>
  </w:style>
  <w:style w:type="character" w:customStyle="1" w:styleId="40">
    <w:name w:val="文档结构图 字符"/>
    <w:link w:val="8"/>
    <w:qFormat/>
    <w:uiPriority w:val="0"/>
    <w:rPr>
      <w:rFonts w:ascii="宋体"/>
      <w:sz w:val="18"/>
      <w:szCs w:val="18"/>
    </w:rPr>
  </w:style>
  <w:style w:type="character" w:customStyle="1" w:styleId="41">
    <w:name w:val="批注文字 字符"/>
    <w:link w:val="9"/>
    <w:qFormat/>
    <w:uiPriority w:val="0"/>
    <w:rPr>
      <w:rFonts w:ascii="宋体" w:hAnsi="宋体" w:eastAsia="宋体"/>
      <w:sz w:val="24"/>
      <w:szCs w:val="24"/>
    </w:rPr>
  </w:style>
  <w:style w:type="character" w:customStyle="1" w:styleId="42">
    <w:name w:val="正文文本 3 字符"/>
    <w:link w:val="10"/>
    <w:qFormat/>
    <w:uiPriority w:val="0"/>
    <w:rPr>
      <w:sz w:val="16"/>
      <w:szCs w:val="16"/>
    </w:rPr>
  </w:style>
  <w:style w:type="character" w:customStyle="1" w:styleId="43">
    <w:name w:val="正文文本 字符"/>
    <w:link w:val="11"/>
    <w:qFormat/>
    <w:uiPriority w:val="0"/>
    <w:rPr>
      <w:szCs w:val="24"/>
    </w:rPr>
  </w:style>
  <w:style w:type="character" w:customStyle="1" w:styleId="44">
    <w:name w:val="正文文本缩进 字符"/>
    <w:link w:val="12"/>
    <w:qFormat/>
    <w:uiPriority w:val="0"/>
    <w:rPr>
      <w:rFonts w:ascii="宋体" w:hAnsi="宋体"/>
      <w:color w:val="000000"/>
      <w:szCs w:val="24"/>
    </w:rPr>
  </w:style>
  <w:style w:type="character" w:customStyle="1" w:styleId="45">
    <w:name w:val="纯文本 字符"/>
    <w:link w:val="15"/>
    <w:qFormat/>
    <w:uiPriority w:val="0"/>
    <w:rPr>
      <w:rFonts w:ascii="宋体" w:hAnsi="Courier New" w:eastAsia="宋体"/>
      <w:sz w:val="24"/>
      <w:szCs w:val="24"/>
    </w:rPr>
  </w:style>
  <w:style w:type="character" w:customStyle="1" w:styleId="46">
    <w:name w:val="日期 字符"/>
    <w:link w:val="16"/>
    <w:qFormat/>
    <w:uiPriority w:val="0"/>
    <w:rPr>
      <w:szCs w:val="24"/>
    </w:rPr>
  </w:style>
  <w:style w:type="character" w:customStyle="1" w:styleId="47">
    <w:name w:val="批注框文本 字符"/>
    <w:link w:val="17"/>
    <w:qFormat/>
    <w:uiPriority w:val="0"/>
    <w:rPr>
      <w:sz w:val="18"/>
      <w:szCs w:val="18"/>
    </w:rPr>
  </w:style>
  <w:style w:type="character" w:customStyle="1" w:styleId="48">
    <w:name w:val="页脚 字符"/>
    <w:basedOn w:val="30"/>
    <w:link w:val="18"/>
    <w:qFormat/>
    <w:uiPriority w:val="99"/>
    <w:rPr>
      <w:sz w:val="18"/>
      <w:szCs w:val="18"/>
    </w:rPr>
  </w:style>
  <w:style w:type="character" w:customStyle="1" w:styleId="49">
    <w:name w:val="页眉 字符"/>
    <w:basedOn w:val="30"/>
    <w:link w:val="19"/>
    <w:qFormat/>
    <w:uiPriority w:val="0"/>
    <w:rPr>
      <w:sz w:val="18"/>
      <w:szCs w:val="18"/>
    </w:rPr>
  </w:style>
  <w:style w:type="character" w:customStyle="1" w:styleId="50">
    <w:name w:val="正文文本 2 字符"/>
    <w:basedOn w:val="30"/>
    <w:link w:val="23"/>
    <w:qFormat/>
    <w:uiPriority w:val="0"/>
    <w:rPr>
      <w:rFonts w:ascii="Times New Roman" w:hAnsi="Times New Roman" w:eastAsia="宋体" w:cs="Times New Roman"/>
      <w:sz w:val="44"/>
      <w:szCs w:val="24"/>
    </w:rPr>
  </w:style>
  <w:style w:type="character" w:customStyle="1" w:styleId="51">
    <w:name w:val="批注主题 字符"/>
    <w:basedOn w:val="41"/>
    <w:link w:val="25"/>
    <w:qFormat/>
    <w:uiPriority w:val="0"/>
    <w:rPr>
      <w:rFonts w:ascii="宋体" w:hAnsi="宋体" w:eastAsia="宋体"/>
      <w:sz w:val="24"/>
      <w:szCs w:val="24"/>
    </w:rPr>
  </w:style>
  <w:style w:type="character" w:customStyle="1" w:styleId="52">
    <w:name w:val="正文首行缩进 字符"/>
    <w:basedOn w:val="43"/>
    <w:link w:val="26"/>
    <w:qFormat/>
    <w:uiPriority w:val="0"/>
    <w:rPr>
      <w:szCs w:val="24"/>
    </w:rPr>
  </w:style>
  <w:style w:type="character" w:customStyle="1" w:styleId="53">
    <w:name w:val="正文首行缩进 2 字符"/>
    <w:basedOn w:val="44"/>
    <w:link w:val="27"/>
    <w:semiHidden/>
    <w:qFormat/>
    <w:uiPriority w:val="99"/>
    <w:rPr>
      <w:rFonts w:ascii="Times New Roman" w:hAnsi="Times New Roman" w:eastAsia="宋体" w:cs="Times New Roman"/>
      <w:color w:val="000000"/>
      <w:kern w:val="2"/>
      <w:sz w:val="21"/>
      <w:szCs w:val="24"/>
    </w:rPr>
  </w:style>
  <w:style w:type="paragraph" w:customStyle="1" w:styleId="54">
    <w:name w:val="_Style 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列出段落 字符"/>
    <w:link w:val="56"/>
    <w:qFormat/>
    <w:uiPriority w:val="0"/>
    <w:rPr>
      <w:rFonts w:ascii="Calibri" w:hAnsi="Calibri"/>
    </w:rPr>
  </w:style>
  <w:style w:type="paragraph" w:styleId="56">
    <w:name w:val="List Paragraph"/>
    <w:basedOn w:val="1"/>
    <w:link w:val="55"/>
    <w:qFormat/>
    <w:uiPriority w:val="34"/>
    <w:pPr>
      <w:widowControl/>
      <w:ind w:firstLine="420" w:firstLineChars="200"/>
      <w:jc w:val="left"/>
    </w:pPr>
    <w:rPr>
      <w:rFonts w:ascii="Calibri" w:hAnsi="Calibri" w:eastAsiaTheme="minorEastAsia" w:cstheme="minorBidi"/>
      <w:szCs w:val="22"/>
    </w:rPr>
  </w:style>
  <w:style w:type="character" w:customStyle="1" w:styleId="57">
    <w:name w:val="Char Char17"/>
    <w:qFormat/>
    <w:uiPriority w:val="0"/>
    <w:rPr>
      <w:rFonts w:ascii="Arial" w:hAnsi="Arial" w:eastAsia="黑体"/>
      <w:kern w:val="2"/>
      <w:sz w:val="24"/>
      <w:lang w:bidi="ar-SA"/>
    </w:rPr>
  </w:style>
  <w:style w:type="character" w:customStyle="1" w:styleId="58">
    <w:name w:val="文一 Char Char"/>
    <w:link w:val="59"/>
    <w:qFormat/>
    <w:uiPriority w:val="0"/>
    <w:rPr>
      <w:spacing w:val="4"/>
      <w:sz w:val="24"/>
      <w:szCs w:val="24"/>
    </w:rPr>
  </w:style>
  <w:style w:type="paragraph" w:customStyle="1" w:styleId="59">
    <w:name w:val="文一"/>
    <w:basedOn w:val="1"/>
    <w:link w:val="58"/>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60">
    <w:name w:val="fontorange1"/>
    <w:qFormat/>
    <w:uiPriority w:val="0"/>
    <w:rPr>
      <w:rFonts w:hint="default" w:ascii="ˎ̥" w:hAnsi="ˎ̥"/>
      <w:color w:val="FF6600"/>
      <w:sz w:val="18"/>
      <w:szCs w:val="18"/>
    </w:rPr>
  </w:style>
  <w:style w:type="character" w:customStyle="1" w:styleId="61">
    <w:name w:val="批注框文本 Char1"/>
    <w:basedOn w:val="30"/>
    <w:semiHidden/>
    <w:qFormat/>
    <w:uiPriority w:val="99"/>
    <w:rPr>
      <w:rFonts w:ascii="Times New Roman" w:hAnsi="Times New Roman" w:eastAsia="宋体" w:cs="Times New Roman"/>
      <w:sz w:val="18"/>
      <w:szCs w:val="18"/>
    </w:rPr>
  </w:style>
  <w:style w:type="character" w:customStyle="1" w:styleId="62">
    <w:name w:val="正文文本 3 Char1"/>
    <w:basedOn w:val="30"/>
    <w:semiHidden/>
    <w:qFormat/>
    <w:uiPriority w:val="99"/>
    <w:rPr>
      <w:rFonts w:ascii="Times New Roman" w:hAnsi="Times New Roman" w:eastAsia="宋体" w:cs="Times New Roman"/>
      <w:sz w:val="16"/>
      <w:szCs w:val="16"/>
    </w:rPr>
  </w:style>
  <w:style w:type="character" w:customStyle="1" w:styleId="63">
    <w:name w:val="正文文本 Char1"/>
    <w:basedOn w:val="30"/>
    <w:semiHidden/>
    <w:qFormat/>
    <w:uiPriority w:val="99"/>
    <w:rPr>
      <w:rFonts w:ascii="Times New Roman" w:hAnsi="Times New Roman" w:eastAsia="宋体" w:cs="Times New Roman"/>
      <w:szCs w:val="24"/>
    </w:rPr>
  </w:style>
  <w:style w:type="character" w:customStyle="1" w:styleId="64">
    <w:name w:val="批注文字 Char1"/>
    <w:basedOn w:val="30"/>
    <w:semiHidden/>
    <w:qFormat/>
    <w:uiPriority w:val="99"/>
    <w:rPr>
      <w:rFonts w:ascii="Times New Roman" w:hAnsi="Times New Roman" w:eastAsia="宋体" w:cs="Times New Roman"/>
      <w:szCs w:val="24"/>
    </w:rPr>
  </w:style>
  <w:style w:type="character" w:customStyle="1" w:styleId="65">
    <w:name w:val="正文文本缩进 Char1"/>
    <w:basedOn w:val="30"/>
    <w:semiHidden/>
    <w:qFormat/>
    <w:uiPriority w:val="99"/>
    <w:rPr>
      <w:rFonts w:ascii="Times New Roman" w:hAnsi="Times New Roman" w:eastAsia="宋体" w:cs="Times New Roman"/>
      <w:szCs w:val="24"/>
    </w:rPr>
  </w:style>
  <w:style w:type="character" w:customStyle="1" w:styleId="66">
    <w:name w:val="文档结构图 Char1"/>
    <w:basedOn w:val="30"/>
    <w:semiHidden/>
    <w:qFormat/>
    <w:uiPriority w:val="99"/>
    <w:rPr>
      <w:rFonts w:ascii="宋体" w:hAnsi="Times New Roman" w:eastAsia="宋体" w:cs="Times New Roman"/>
      <w:sz w:val="18"/>
      <w:szCs w:val="18"/>
    </w:rPr>
  </w:style>
  <w:style w:type="character" w:customStyle="1" w:styleId="67">
    <w:name w:val="正文首行缩进 Char1"/>
    <w:basedOn w:val="63"/>
    <w:semiHidden/>
    <w:qFormat/>
    <w:uiPriority w:val="99"/>
    <w:rPr>
      <w:rFonts w:ascii="Times New Roman" w:hAnsi="Times New Roman" w:eastAsia="宋体" w:cs="Times New Roman"/>
      <w:szCs w:val="24"/>
    </w:rPr>
  </w:style>
  <w:style w:type="character" w:customStyle="1" w:styleId="68">
    <w:name w:val="批注主题 Char1"/>
    <w:basedOn w:val="64"/>
    <w:semiHidden/>
    <w:qFormat/>
    <w:uiPriority w:val="99"/>
    <w:rPr>
      <w:rFonts w:ascii="Times New Roman" w:hAnsi="Times New Roman" w:eastAsia="宋体" w:cs="Times New Roman"/>
      <w:b/>
      <w:bCs/>
      <w:szCs w:val="24"/>
    </w:rPr>
  </w:style>
  <w:style w:type="character" w:customStyle="1" w:styleId="69">
    <w:name w:val="日期 Char1"/>
    <w:basedOn w:val="30"/>
    <w:semiHidden/>
    <w:qFormat/>
    <w:uiPriority w:val="99"/>
    <w:rPr>
      <w:rFonts w:ascii="Times New Roman" w:hAnsi="Times New Roman" w:eastAsia="宋体" w:cs="Times New Roman"/>
      <w:szCs w:val="24"/>
    </w:rPr>
  </w:style>
  <w:style w:type="character" w:customStyle="1" w:styleId="70">
    <w:name w:val="纯文本 Char1"/>
    <w:basedOn w:val="30"/>
    <w:semiHidden/>
    <w:qFormat/>
    <w:uiPriority w:val="99"/>
    <w:rPr>
      <w:rFonts w:ascii="宋体" w:hAnsi="Courier New" w:eastAsia="宋体" w:cs="Courier New"/>
      <w:szCs w:val="21"/>
    </w:rPr>
  </w:style>
  <w:style w:type="paragraph" w:customStyle="1" w:styleId="7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2">
    <w:name w:val="正文 New New New New New New New New New New New New New New New"/>
    <w:basedOn w:val="1"/>
    <w:qFormat/>
    <w:uiPriority w:val="0"/>
    <w:rPr>
      <w:rFonts w:hAnsi="宋体" w:eastAsia="仿宋_GB2312"/>
      <w:szCs w:val="21"/>
    </w:rPr>
  </w:style>
  <w:style w:type="paragraph" w:customStyle="1" w:styleId="73">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TOC 标题1"/>
    <w:basedOn w:val="3"/>
    <w:next w:val="1"/>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78">
    <w:name w:val="修订1"/>
    <w:qFormat/>
    <w:uiPriority w:val="0"/>
    <w:rPr>
      <w:rFonts w:ascii="Times New Roman" w:hAnsi="Times New Roman" w:eastAsia="宋体" w:cs="Times New Roman"/>
      <w:kern w:val="2"/>
      <w:sz w:val="21"/>
      <w:szCs w:val="24"/>
      <w:lang w:val="en-US" w:eastAsia="zh-CN" w:bidi="ar-SA"/>
    </w:rPr>
  </w:style>
  <w:style w:type="paragraph" w:customStyle="1" w:styleId="79">
    <w:name w:val="文二"/>
    <w:basedOn w:val="1"/>
    <w:qFormat/>
    <w:uiPriority w:val="0"/>
    <w:pPr>
      <w:jc w:val="left"/>
    </w:pPr>
    <w:rPr>
      <w:rFonts w:ascii="宋体" w:hAnsi="宋体"/>
      <w:szCs w:val="21"/>
    </w:rPr>
  </w:style>
  <w:style w:type="paragraph" w:customStyle="1" w:styleId="80">
    <w:name w:val="正  文"/>
    <w:basedOn w:val="1"/>
    <w:qFormat/>
    <w:uiPriority w:val="0"/>
    <w:pPr>
      <w:spacing w:line="360" w:lineRule="auto"/>
      <w:ind w:firstLine="200" w:firstLineChars="200"/>
    </w:pPr>
    <w:rPr>
      <w:rFonts w:ascii="宋体"/>
      <w:sz w:val="24"/>
    </w:rPr>
  </w:style>
  <w:style w:type="paragraph" w:customStyle="1" w:styleId="81">
    <w:name w:val="表中"/>
    <w:basedOn w:val="1"/>
    <w:qFormat/>
    <w:uiPriority w:val="0"/>
    <w:pPr>
      <w:adjustRightInd w:val="0"/>
      <w:spacing w:line="360" w:lineRule="atLeast"/>
      <w:jc w:val="center"/>
      <w:textAlignment w:val="baseline"/>
    </w:pPr>
    <w:rPr>
      <w:kern w:val="0"/>
      <w:szCs w:val="20"/>
    </w:rPr>
  </w:style>
  <w:style w:type="paragraph" w:customStyle="1" w:styleId="82">
    <w:name w:val="页脚 New New New New New New New New New New"/>
    <w:basedOn w:val="1"/>
    <w:qFormat/>
    <w:uiPriority w:val="0"/>
    <w:pPr>
      <w:tabs>
        <w:tab w:val="center" w:pos="4153"/>
        <w:tab w:val="right" w:pos="8306"/>
      </w:tabs>
      <w:snapToGrid w:val="0"/>
      <w:jc w:val="left"/>
    </w:pPr>
    <w:rPr>
      <w:sz w:val="18"/>
      <w:szCs w:val="18"/>
    </w:rPr>
  </w:style>
  <w:style w:type="character" w:customStyle="1" w:styleId="83">
    <w:name w:val="font21"/>
    <w:qFormat/>
    <w:uiPriority w:val="99"/>
    <w:rPr>
      <w:rFonts w:hint="eastAsia" w:ascii="仿宋" w:hAnsi="仿宋" w:eastAsia="仿宋"/>
      <w:b/>
      <w:color w:val="000000"/>
      <w:sz w:val="28"/>
      <w:u w:val="none"/>
    </w:rPr>
  </w:style>
  <w:style w:type="character" w:customStyle="1" w:styleId="84">
    <w:name w:val="font11"/>
    <w:qFormat/>
    <w:uiPriority w:val="99"/>
    <w:rPr>
      <w:rFonts w:hint="eastAsia" w:ascii="仿宋" w:hAnsi="仿宋" w:eastAsia="仿宋"/>
      <w:color w:val="000000"/>
      <w:sz w:val="28"/>
      <w:u w:val="none"/>
    </w:rPr>
  </w:style>
  <w:style w:type="paragraph" w:styleId="85">
    <w:name w:val="No Spacing"/>
    <w:qFormat/>
    <w:uiPriority w:val="1"/>
    <w:pPr>
      <w:widowControl w:val="0"/>
      <w:jc w:val="both"/>
    </w:pPr>
    <w:rPr>
      <w:rFonts w:ascii="等线" w:hAnsi="等线" w:eastAsia="等线" w:cs="等线"/>
      <w:kern w:val="2"/>
      <w:sz w:val="21"/>
      <w:szCs w:val="24"/>
      <w:lang w:val="en-US" w:eastAsia="zh-CN" w:bidi="ar-SA"/>
    </w:rPr>
  </w:style>
  <w:style w:type="character" w:customStyle="1" w:styleId="86">
    <w:name w:val="页脚 字符1"/>
    <w:qFormat/>
    <w:uiPriority w:val="0"/>
    <w:rPr>
      <w:rFonts w:eastAsia="宋体"/>
      <w:kern w:val="2"/>
      <w:sz w:val="18"/>
      <w:szCs w:val="18"/>
      <w:lang w:val="en-US" w:eastAsia="zh-CN" w:bidi="ar-SA"/>
    </w:rPr>
  </w:style>
  <w:style w:type="paragraph" w:customStyle="1" w:styleId="8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39</Pages>
  <Words>27245</Words>
  <Characters>27542</Characters>
  <Lines>211</Lines>
  <Paragraphs>59</Paragraphs>
  <TotalTime>4</TotalTime>
  <ScaleCrop>false</ScaleCrop>
  <LinksUpToDate>false</LinksUpToDate>
  <CharactersWithSpaces>28552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2023-05-23T11:01:00Z</dcterms:created>
  <dc:creator>Administrator</dc:creator>
  <cp:lastModifiedBy>WPS_1669167259</cp:lastModifiedBy>
  <cp:lastPrinted>2021-06-09T03:41:00Z</cp:lastPrinted>
  <dcterms:modified xsi:type="dcterms:W3CDTF">2025-08-18T01:30:00Z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25424872FC0E4BD9A5346C69CA4A64B4_13</vt:lpwstr>
  </property>
  <property fmtid="{D5CDD505-2E9C-101B-9397-08002B2CF9AE}" pid="4" name="KSOTemplateDocerSaveRecord">
    <vt:lpwstr>eyJoZGlkIjoiMWE3NjBjYzg5ZDJhYzllYmY4NGQzMWFhNTI3Yzk5YjAiLCJ1c2VySWQiOiIxMTI2OTYzMTcxIn0=</vt:lpwstr>
  </property>
</Properties>
</file>