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46468">
      <w:pPr>
        <w:spacing w:line="360" w:lineRule="auto"/>
        <w:jc w:val="center"/>
        <w:rPr>
          <w:rFonts w:ascii="宋体" w:hAnsi="宋体" w:cs="宋体"/>
          <w:b/>
          <w:bCs/>
          <w:color w:val="auto"/>
          <w:sz w:val="48"/>
          <w:szCs w:val="48"/>
          <w:highlight w:val="none"/>
        </w:rPr>
      </w:pPr>
    </w:p>
    <w:p w14:paraId="2E5DC31C">
      <w:pPr>
        <w:spacing w:line="360" w:lineRule="auto"/>
        <w:jc w:val="center"/>
        <w:rPr>
          <w:rFonts w:hint="default" w:ascii="宋体" w:hAnsi="宋体" w:eastAsia="宋体" w:cs="宋体"/>
          <w:b/>
          <w:color w:val="auto"/>
          <w:sz w:val="52"/>
          <w:szCs w:val="52"/>
          <w:highlight w:val="none"/>
          <w:lang w:val="en-US" w:eastAsia="zh-CN"/>
        </w:rPr>
      </w:pPr>
      <w:r>
        <w:rPr>
          <w:rFonts w:hint="eastAsia" w:ascii="宋体" w:hAnsi="宋体" w:cs="宋体"/>
          <w:b/>
          <w:color w:val="auto"/>
          <w:sz w:val="52"/>
          <w:szCs w:val="52"/>
          <w:highlight w:val="none"/>
          <w:lang w:eastAsia="zh-CN"/>
        </w:rPr>
        <w:t>广州市南沙区南沙污水处理厂项目第三方工程检测监测</w:t>
      </w:r>
    </w:p>
    <w:p w14:paraId="3D53588C">
      <w:pPr>
        <w:spacing w:line="360" w:lineRule="auto"/>
        <w:jc w:val="center"/>
        <w:rPr>
          <w:rFonts w:ascii="宋体" w:hAnsi="宋体" w:cs="宋体"/>
          <w:b/>
          <w:color w:val="auto"/>
          <w:sz w:val="44"/>
          <w:szCs w:val="44"/>
          <w:highlight w:val="none"/>
        </w:rPr>
      </w:pPr>
    </w:p>
    <w:p w14:paraId="514184E6">
      <w:pPr>
        <w:spacing w:line="360" w:lineRule="auto"/>
        <w:jc w:val="center"/>
        <w:rPr>
          <w:rFonts w:ascii="宋体" w:hAnsi="宋体" w:cs="宋体"/>
          <w:b/>
          <w:color w:val="auto"/>
          <w:sz w:val="44"/>
          <w:szCs w:val="44"/>
          <w:highlight w:val="none"/>
        </w:rPr>
      </w:pPr>
    </w:p>
    <w:p w14:paraId="7B5F270B">
      <w:pPr>
        <w:pStyle w:val="11"/>
        <w:adjustRightInd w:val="0"/>
        <w:snapToGrid w:val="0"/>
        <w:spacing w:after="0" w:line="360" w:lineRule="auto"/>
        <w:jc w:val="center"/>
        <w:rPr>
          <w:rFonts w:hint="eastAsia" w:ascii="宋体" w:hAnsi="宋体" w:cs="宋体"/>
          <w:b/>
          <w:snapToGrid w:val="0"/>
          <w:color w:val="auto"/>
          <w:kern w:val="0"/>
          <w:sz w:val="72"/>
          <w:szCs w:val="72"/>
          <w:highlight w:val="none"/>
        </w:rPr>
      </w:pPr>
    </w:p>
    <w:p w14:paraId="552047BC">
      <w:pPr>
        <w:pStyle w:val="11"/>
        <w:adjustRightInd w:val="0"/>
        <w:snapToGrid w:val="0"/>
        <w:spacing w:after="0" w:line="360" w:lineRule="auto"/>
        <w:jc w:val="center"/>
        <w:rPr>
          <w:rFonts w:ascii="宋体" w:hAnsi="宋体" w:cs="宋体"/>
          <w:b/>
          <w:snapToGrid w:val="0"/>
          <w:color w:val="auto"/>
          <w:kern w:val="0"/>
          <w:sz w:val="72"/>
          <w:szCs w:val="72"/>
          <w:highlight w:val="none"/>
        </w:rPr>
      </w:pPr>
      <w:r>
        <w:rPr>
          <w:rFonts w:hint="eastAsia" w:ascii="宋体" w:hAnsi="宋体" w:cs="宋体"/>
          <w:b/>
          <w:snapToGrid w:val="0"/>
          <w:color w:val="auto"/>
          <w:kern w:val="0"/>
          <w:sz w:val="72"/>
          <w:szCs w:val="72"/>
          <w:highlight w:val="none"/>
        </w:rPr>
        <w:t>招 标 公 告</w:t>
      </w:r>
    </w:p>
    <w:p w14:paraId="7A23B25C">
      <w:pPr>
        <w:spacing w:line="360" w:lineRule="auto"/>
        <w:jc w:val="center"/>
        <w:rPr>
          <w:rFonts w:ascii="宋体" w:hAnsi="宋体" w:cs="宋体"/>
          <w:color w:val="auto"/>
          <w:sz w:val="32"/>
          <w:szCs w:val="32"/>
          <w:highlight w:val="none"/>
        </w:rPr>
      </w:pPr>
    </w:p>
    <w:p w14:paraId="541E5752">
      <w:pPr>
        <w:spacing w:line="360" w:lineRule="auto"/>
        <w:jc w:val="center"/>
        <w:rPr>
          <w:rFonts w:ascii="宋体" w:hAnsi="宋体" w:cs="宋体"/>
          <w:color w:val="auto"/>
          <w:sz w:val="32"/>
          <w:szCs w:val="32"/>
          <w:highlight w:val="none"/>
        </w:rPr>
      </w:pPr>
    </w:p>
    <w:p w14:paraId="60FA5A23">
      <w:pPr>
        <w:spacing w:line="360" w:lineRule="auto"/>
        <w:jc w:val="center"/>
        <w:rPr>
          <w:rFonts w:ascii="宋体" w:hAnsi="宋体" w:cs="宋体"/>
          <w:color w:val="auto"/>
          <w:sz w:val="32"/>
          <w:szCs w:val="32"/>
          <w:highlight w:val="none"/>
        </w:rPr>
      </w:pPr>
    </w:p>
    <w:p w14:paraId="36AB5652">
      <w:pPr>
        <w:rPr>
          <w:color w:val="auto"/>
          <w:highlight w:val="none"/>
        </w:rPr>
      </w:pPr>
    </w:p>
    <w:p w14:paraId="6BF325EA">
      <w:pPr>
        <w:spacing w:line="360" w:lineRule="auto"/>
        <w:jc w:val="center"/>
        <w:rPr>
          <w:rFonts w:ascii="宋体" w:hAnsi="宋体" w:cs="宋体"/>
          <w:color w:val="auto"/>
          <w:sz w:val="32"/>
          <w:szCs w:val="32"/>
          <w:highlight w:val="none"/>
        </w:rPr>
      </w:pPr>
    </w:p>
    <w:p w14:paraId="31DB9B7D">
      <w:pPr>
        <w:spacing w:line="360" w:lineRule="auto"/>
        <w:jc w:val="center"/>
        <w:rPr>
          <w:rFonts w:ascii="宋体" w:hAnsi="宋体" w:cs="宋体"/>
          <w:color w:val="auto"/>
          <w:sz w:val="32"/>
          <w:szCs w:val="32"/>
          <w:highlight w:val="none"/>
        </w:rPr>
      </w:pPr>
    </w:p>
    <w:p w14:paraId="047213F3">
      <w:pPr>
        <w:pStyle w:val="5"/>
        <w:rPr>
          <w:rFonts w:ascii="宋体" w:hAnsi="宋体" w:cs="宋体"/>
          <w:color w:val="auto"/>
          <w:sz w:val="32"/>
          <w:szCs w:val="32"/>
          <w:highlight w:val="none"/>
        </w:rPr>
      </w:pPr>
    </w:p>
    <w:p w14:paraId="48B69F46">
      <w:pPr>
        <w:rPr>
          <w:color w:val="auto"/>
          <w:highlight w:val="none"/>
        </w:rPr>
      </w:pPr>
    </w:p>
    <w:p w14:paraId="500F3E40">
      <w:pPr>
        <w:widowControl/>
        <w:adjustRightInd w:val="0"/>
        <w:snapToGrid w:val="0"/>
        <w:spacing w:line="360" w:lineRule="auto"/>
        <w:ind w:firstLine="1400" w:firstLineChars="500"/>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招   标   人：</w:t>
      </w:r>
      <w:r>
        <w:rPr>
          <w:rFonts w:hint="eastAsia" w:ascii="宋体" w:hAnsi="宋体" w:cs="宋体"/>
          <w:color w:val="auto"/>
          <w:sz w:val="28"/>
          <w:szCs w:val="28"/>
          <w:highlight w:val="none"/>
          <w:u w:val="single"/>
          <w:lang w:eastAsia="zh-CN"/>
        </w:rPr>
        <w:t>广州南沙广业生态发展有限公司</w:t>
      </w:r>
    </w:p>
    <w:p w14:paraId="6DBF49C6">
      <w:pPr>
        <w:widowControl/>
        <w:adjustRightInd w:val="0"/>
        <w:snapToGrid w:val="0"/>
        <w:spacing w:line="360" w:lineRule="auto"/>
        <w:ind w:firstLine="1400" w:firstLineChars="500"/>
        <w:jc w:val="left"/>
        <w:rPr>
          <w:rFonts w:hint="eastAsia" w:ascii="宋体" w:hAnsi="宋体" w:eastAsia="宋体" w:cs="宋体"/>
          <w:color w:val="auto"/>
          <w:sz w:val="28"/>
          <w:szCs w:val="28"/>
          <w:highlight w:val="none"/>
          <w:u w:val="single"/>
          <w:lang w:eastAsia="zh-CN"/>
        </w:rPr>
      </w:pPr>
      <w:r>
        <w:rPr>
          <w:rFonts w:hint="eastAsia" w:ascii="宋体" w:hAnsi="宋体" w:cs="宋体"/>
          <w:color w:val="auto"/>
          <w:sz w:val="28"/>
          <w:szCs w:val="28"/>
          <w:highlight w:val="none"/>
        </w:rPr>
        <w:t>招标代理机构：</w:t>
      </w:r>
      <w:r>
        <w:rPr>
          <w:rFonts w:hint="eastAsia" w:ascii="宋体" w:hAnsi="宋体" w:cs="宋体"/>
          <w:color w:val="auto"/>
          <w:sz w:val="28"/>
          <w:highlight w:val="none"/>
          <w:u w:val="single"/>
          <w:lang w:val="en-US" w:eastAsia="zh-CN"/>
        </w:rPr>
        <w:t>广东省国际工程咨询</w:t>
      </w:r>
      <w:r>
        <w:rPr>
          <w:rFonts w:hint="eastAsia" w:ascii="宋体" w:hAnsi="宋体" w:cs="宋体"/>
          <w:color w:val="auto"/>
          <w:sz w:val="28"/>
          <w:highlight w:val="none"/>
          <w:u w:val="single"/>
          <w:lang w:eastAsia="zh-CN"/>
        </w:rPr>
        <w:t>有限公司</w:t>
      </w:r>
    </w:p>
    <w:p w14:paraId="710C4C8B">
      <w:pPr>
        <w:widowControl/>
        <w:adjustRightInd w:val="0"/>
        <w:snapToGrid w:val="0"/>
        <w:spacing w:line="360" w:lineRule="auto"/>
        <w:ind w:firstLine="1400" w:firstLineChars="500"/>
        <w:jc w:val="left"/>
        <w:rPr>
          <w:rFonts w:ascii="宋体" w:hAnsi="宋体" w:cs="宋体"/>
          <w:bCs/>
          <w:color w:val="auto"/>
          <w:sz w:val="28"/>
          <w:szCs w:val="28"/>
          <w:highlight w:val="none"/>
          <w:u w:val="none"/>
        </w:rPr>
        <w:sectPr>
          <w:pgSz w:w="11906" w:h="16838"/>
          <w:pgMar w:top="1304" w:right="1304" w:bottom="1304" w:left="1304" w:header="851" w:footer="992" w:gutter="113"/>
          <w:cols w:space="720" w:num="1"/>
          <w:docGrid w:type="lines" w:linePitch="312" w:charSpace="0"/>
        </w:sect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20</w:t>
      </w:r>
      <w:r>
        <w:rPr>
          <w:rFonts w:hint="eastAsia" w:ascii="宋体" w:hAnsi="宋体" w:cs="宋体"/>
          <w:color w:val="auto"/>
          <w:sz w:val="28"/>
          <w:szCs w:val="28"/>
          <w:highlight w:val="none"/>
          <w:u w:val="single"/>
          <w:lang w:val="en-US" w:eastAsia="zh-CN"/>
        </w:rPr>
        <w:t>25</w:t>
      </w:r>
      <w:r>
        <w:rPr>
          <w:rFonts w:hint="eastAsia" w:ascii="宋体" w:hAnsi="宋体" w:cs="宋体"/>
          <w:color w:val="auto"/>
          <w:sz w:val="28"/>
          <w:szCs w:val="28"/>
          <w:highlight w:val="none"/>
          <w:u w:val="none"/>
        </w:rPr>
        <w:t>年</w:t>
      </w:r>
      <w:r>
        <w:rPr>
          <w:rFonts w:hint="eastAsia" w:ascii="宋体" w:hAnsi="宋体" w:cs="宋体"/>
          <w:color w:val="auto"/>
          <w:sz w:val="28"/>
          <w:szCs w:val="28"/>
          <w:highlight w:val="none"/>
          <w:u w:val="single"/>
          <w:lang w:val="en-US" w:eastAsia="zh-CN"/>
        </w:rPr>
        <w:t xml:space="preserve"> 8 </w:t>
      </w:r>
      <w:r>
        <w:rPr>
          <w:rFonts w:hint="eastAsia" w:ascii="宋体" w:hAnsi="宋体" w:cs="宋体"/>
          <w:color w:val="auto"/>
          <w:sz w:val="28"/>
          <w:szCs w:val="28"/>
          <w:highlight w:val="none"/>
          <w:u w:val="none"/>
        </w:rPr>
        <w:t>月</w:t>
      </w:r>
    </w:p>
    <w:p w14:paraId="019C4AB5">
      <w:pPr>
        <w:pStyle w:val="4"/>
        <w:keepNext/>
        <w:keepLines/>
        <w:pageBreakBefore w:val="0"/>
        <w:widowControl w:val="0"/>
        <w:kinsoku/>
        <w:wordWrap/>
        <w:overflowPunct/>
        <w:topLinePunct w:val="0"/>
        <w:autoSpaceDE/>
        <w:autoSpaceDN/>
        <w:bidi w:val="0"/>
        <w:adjustRightInd/>
        <w:snapToGrid/>
        <w:spacing w:before="20" w:after="20" w:line="360" w:lineRule="auto"/>
        <w:jc w:val="center"/>
        <w:textAlignment w:val="auto"/>
        <w:rPr>
          <w:rFonts w:hint="eastAsia" w:ascii="宋体" w:hAnsi="宋体" w:eastAsia="宋体" w:cs="宋体"/>
          <w:bCs/>
          <w:color w:val="auto"/>
          <w:kern w:val="2"/>
          <w:sz w:val="32"/>
          <w:szCs w:val="32"/>
          <w:highlight w:val="none"/>
          <w:lang w:eastAsia="zh-CN"/>
        </w:rPr>
      </w:pPr>
      <w:r>
        <w:rPr>
          <w:rFonts w:hint="eastAsia" w:ascii="宋体" w:hAnsi="宋体" w:cs="宋体"/>
          <w:bCs/>
          <w:color w:val="auto"/>
          <w:kern w:val="2"/>
          <w:sz w:val="32"/>
          <w:szCs w:val="32"/>
          <w:highlight w:val="none"/>
          <w:lang w:eastAsia="zh-CN"/>
        </w:rPr>
        <w:t>广州市南沙区南沙污水处理厂项目第三方工程检测监测</w:t>
      </w:r>
    </w:p>
    <w:p w14:paraId="38F9C0EF">
      <w:pPr>
        <w:pStyle w:val="4"/>
        <w:keepNext/>
        <w:keepLines/>
        <w:pageBreakBefore w:val="0"/>
        <w:widowControl w:val="0"/>
        <w:kinsoku/>
        <w:wordWrap/>
        <w:overflowPunct/>
        <w:topLinePunct w:val="0"/>
        <w:autoSpaceDE/>
        <w:autoSpaceDN/>
        <w:bidi w:val="0"/>
        <w:adjustRightInd/>
        <w:snapToGrid/>
        <w:spacing w:before="20" w:after="20" w:line="360" w:lineRule="auto"/>
        <w:jc w:val="center"/>
        <w:textAlignment w:val="auto"/>
        <w:rPr>
          <w:rFonts w:ascii="宋体" w:hAnsi="宋体" w:cs="宋体"/>
          <w:bCs/>
          <w:color w:val="auto"/>
          <w:kern w:val="2"/>
          <w:sz w:val="32"/>
          <w:szCs w:val="32"/>
          <w:highlight w:val="none"/>
        </w:rPr>
      </w:pPr>
      <w:r>
        <w:rPr>
          <w:rFonts w:hint="eastAsia" w:ascii="宋体" w:hAnsi="宋体" w:cs="宋体"/>
          <w:bCs/>
          <w:color w:val="auto"/>
          <w:kern w:val="2"/>
          <w:sz w:val="32"/>
          <w:szCs w:val="32"/>
          <w:highlight w:val="none"/>
        </w:rPr>
        <w:t>招标公告</w:t>
      </w:r>
    </w:p>
    <w:p w14:paraId="266E7354">
      <w:pPr>
        <w:pStyle w:val="5"/>
        <w:spacing w:before="0" w:after="0" w:line="360" w:lineRule="auto"/>
        <w:jc w:val="left"/>
        <w:rPr>
          <w:rFonts w:ascii="宋体" w:hAnsi="宋体" w:eastAsia="宋体" w:cs="宋体"/>
          <w:color w:val="auto"/>
          <w:szCs w:val="32"/>
          <w:highlight w:val="none"/>
        </w:rPr>
      </w:pPr>
      <w:bookmarkStart w:id="0" w:name="_Toc492300546"/>
      <w:r>
        <w:rPr>
          <w:rFonts w:hint="eastAsia" w:ascii="宋体" w:hAnsi="宋体" w:eastAsia="宋体" w:cs="宋体"/>
          <w:color w:val="auto"/>
          <w:szCs w:val="32"/>
          <w:highlight w:val="none"/>
        </w:rPr>
        <w:t>1. 招标条件</w:t>
      </w:r>
      <w:bookmarkEnd w:id="0"/>
    </w:p>
    <w:p w14:paraId="6B2FF6CF">
      <w:pPr>
        <w:pStyle w:val="4"/>
        <w:spacing w:line="360" w:lineRule="auto"/>
        <w:ind w:firstLine="480" w:firstLineChars="200"/>
        <w:rPr>
          <w:rFonts w:ascii="宋体" w:hAnsi="宋体" w:cs="宋体"/>
          <w:b w:val="0"/>
          <w:bCs/>
          <w:color w:val="auto"/>
          <w:sz w:val="24"/>
          <w:szCs w:val="24"/>
          <w:highlight w:val="none"/>
          <w:u w:val="single"/>
        </w:rPr>
      </w:pPr>
      <w:r>
        <w:rPr>
          <w:rFonts w:hint="eastAsia" w:ascii="宋体" w:hAnsi="宋体" w:cs="宋体"/>
          <w:b w:val="0"/>
          <w:bCs/>
          <w:color w:val="auto"/>
          <w:sz w:val="24"/>
          <w:szCs w:val="24"/>
          <w:highlight w:val="none"/>
        </w:rPr>
        <w:t>本招标项目广州市南沙区南沙污水处理厂项目已由相关文件批准建设，项目业主为</w:t>
      </w:r>
      <w:r>
        <w:rPr>
          <w:rFonts w:hint="eastAsia" w:ascii="宋体" w:hAnsi="宋体" w:cs="宋体"/>
          <w:b w:val="0"/>
          <w:bCs/>
          <w:color w:val="auto"/>
          <w:sz w:val="24"/>
          <w:szCs w:val="24"/>
          <w:highlight w:val="none"/>
          <w:u w:val="single"/>
          <w:lang w:eastAsia="zh-CN"/>
        </w:rPr>
        <w:t>广州南沙广业生态发展有限公司</w:t>
      </w:r>
      <w:r>
        <w:rPr>
          <w:rFonts w:hint="eastAsia" w:ascii="宋体" w:hAnsi="宋体" w:cs="宋体"/>
          <w:b w:val="0"/>
          <w:bCs/>
          <w:color w:val="auto"/>
          <w:sz w:val="24"/>
          <w:szCs w:val="24"/>
          <w:highlight w:val="none"/>
        </w:rPr>
        <w:t>，建设资金来自</w:t>
      </w:r>
      <w:r>
        <w:rPr>
          <w:rFonts w:hint="eastAsia" w:ascii="宋体" w:hAnsi="宋体" w:cs="宋体"/>
          <w:b w:val="0"/>
          <w:bCs/>
          <w:color w:val="auto"/>
          <w:sz w:val="24"/>
          <w:szCs w:val="24"/>
          <w:highlight w:val="none"/>
          <w:u w:val="single"/>
          <w:lang w:val="en-US" w:eastAsia="zh-CN"/>
        </w:rPr>
        <w:t>企业自筹资金</w:t>
      </w:r>
      <w:r>
        <w:rPr>
          <w:rFonts w:hint="eastAsia" w:ascii="宋体" w:hAnsi="宋体" w:cs="宋体"/>
          <w:b w:val="0"/>
          <w:bCs/>
          <w:color w:val="auto"/>
          <w:sz w:val="24"/>
          <w:szCs w:val="24"/>
          <w:highlight w:val="none"/>
        </w:rPr>
        <w:t>，出资比例为</w:t>
      </w:r>
      <w:r>
        <w:rPr>
          <w:rFonts w:hint="eastAsia" w:ascii="宋体" w:hAnsi="宋体" w:cs="宋体"/>
          <w:b w:val="0"/>
          <w:bCs/>
          <w:color w:val="auto"/>
          <w:sz w:val="24"/>
          <w:szCs w:val="24"/>
          <w:highlight w:val="none"/>
          <w:u w:val="single"/>
        </w:rPr>
        <w:t>100%</w:t>
      </w:r>
      <w:r>
        <w:rPr>
          <w:rFonts w:hint="eastAsia" w:ascii="宋体" w:hAnsi="宋体" w:cs="宋体"/>
          <w:b w:val="0"/>
          <w:bCs/>
          <w:color w:val="auto"/>
          <w:sz w:val="24"/>
          <w:szCs w:val="24"/>
          <w:highlight w:val="none"/>
        </w:rPr>
        <w:t>，招标人为</w:t>
      </w:r>
      <w:r>
        <w:rPr>
          <w:rFonts w:hint="eastAsia" w:ascii="宋体" w:hAnsi="宋体" w:cs="宋体"/>
          <w:b w:val="0"/>
          <w:bCs/>
          <w:color w:val="auto"/>
          <w:sz w:val="24"/>
          <w:szCs w:val="24"/>
          <w:highlight w:val="none"/>
          <w:u w:val="single"/>
          <w:lang w:eastAsia="zh-CN"/>
        </w:rPr>
        <w:t>广州南沙广业生态发展有限公司</w:t>
      </w:r>
      <w:r>
        <w:rPr>
          <w:rFonts w:hint="eastAsia" w:ascii="宋体" w:hAnsi="宋体" w:cs="宋体"/>
          <w:b w:val="0"/>
          <w:bCs/>
          <w:color w:val="auto"/>
          <w:sz w:val="24"/>
          <w:szCs w:val="24"/>
          <w:highlight w:val="none"/>
        </w:rPr>
        <w:t>。项目已具备招标条件，现对该项目的第三方工程</w:t>
      </w:r>
      <w:r>
        <w:rPr>
          <w:rFonts w:hint="eastAsia" w:ascii="宋体" w:hAnsi="宋体" w:cs="宋体"/>
          <w:b w:val="0"/>
          <w:bCs/>
          <w:color w:val="auto"/>
          <w:sz w:val="24"/>
          <w:szCs w:val="24"/>
          <w:highlight w:val="none"/>
          <w:u w:val="single"/>
        </w:rPr>
        <w:t>检测</w:t>
      </w:r>
      <w:r>
        <w:rPr>
          <w:rFonts w:hint="eastAsia" w:ascii="宋体" w:hAnsi="宋体" w:cs="宋体"/>
          <w:b w:val="0"/>
          <w:bCs/>
          <w:color w:val="auto"/>
          <w:sz w:val="24"/>
          <w:szCs w:val="24"/>
          <w:highlight w:val="none"/>
          <w:u w:val="single"/>
          <w:lang w:val="en-US" w:eastAsia="zh-CN"/>
        </w:rPr>
        <w:t>监测</w:t>
      </w:r>
      <w:r>
        <w:rPr>
          <w:rFonts w:hint="eastAsia" w:ascii="宋体" w:hAnsi="宋体" w:cs="宋体"/>
          <w:b w:val="0"/>
          <w:bCs/>
          <w:color w:val="auto"/>
          <w:sz w:val="24"/>
          <w:szCs w:val="24"/>
          <w:highlight w:val="none"/>
          <w:u w:val="single"/>
        </w:rPr>
        <w:t>服务</w:t>
      </w:r>
      <w:r>
        <w:rPr>
          <w:rFonts w:hint="eastAsia" w:ascii="宋体" w:hAnsi="宋体" w:cs="宋体"/>
          <w:b w:val="0"/>
          <w:bCs/>
          <w:color w:val="auto"/>
          <w:sz w:val="24"/>
          <w:szCs w:val="24"/>
          <w:highlight w:val="none"/>
        </w:rPr>
        <w:t>进行公开招标。</w:t>
      </w:r>
    </w:p>
    <w:p w14:paraId="2EDE65EB">
      <w:pPr>
        <w:pStyle w:val="5"/>
        <w:spacing w:before="0" w:after="0" w:line="360" w:lineRule="auto"/>
        <w:jc w:val="left"/>
        <w:rPr>
          <w:rFonts w:ascii="宋体" w:hAnsi="宋体" w:eastAsia="宋体" w:cs="宋体"/>
          <w:color w:val="auto"/>
          <w:szCs w:val="32"/>
          <w:highlight w:val="none"/>
        </w:rPr>
      </w:pPr>
      <w:bookmarkStart w:id="1" w:name="_Toc492300547"/>
      <w:r>
        <w:rPr>
          <w:rFonts w:hint="eastAsia" w:ascii="宋体" w:hAnsi="宋体" w:eastAsia="宋体" w:cs="宋体"/>
          <w:color w:val="auto"/>
          <w:szCs w:val="32"/>
          <w:highlight w:val="none"/>
        </w:rPr>
        <w:t>2. 项目概况与招标范围</w:t>
      </w:r>
      <w:bookmarkEnd w:id="1"/>
    </w:p>
    <w:p w14:paraId="42CE44E7">
      <w:pPr>
        <w:spacing w:line="360" w:lineRule="auto"/>
        <w:ind w:firstLine="422" w:firstLineChars="175"/>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2.1招标项目概况</w:t>
      </w:r>
    </w:p>
    <w:p w14:paraId="28BED226">
      <w:pPr>
        <w:spacing w:line="360" w:lineRule="auto"/>
        <w:ind w:firstLine="480" w:firstLineChars="200"/>
        <w:rPr>
          <w:rFonts w:hint="eastAsia" w:ascii="宋体" w:hAnsi="宋体" w:eastAsia="宋体" w:cs="宋体"/>
          <w:bCs/>
          <w:color w:val="auto"/>
          <w:sz w:val="24"/>
          <w:highlight w:val="none"/>
          <w:u w:val="single"/>
          <w:lang w:eastAsia="zh-CN"/>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lang w:eastAsia="zh-CN"/>
        </w:rPr>
        <w:t>广州市南沙区南沙污水处理厂项目第三方工程检测监测</w:t>
      </w:r>
    </w:p>
    <w:p w14:paraId="2D26D6B0">
      <w:pPr>
        <w:pageBreakBefore w:val="0"/>
        <w:tabs>
          <w:tab w:val="left" w:pos="7513"/>
        </w:tabs>
        <w:kinsoku/>
        <w:overflowPunct/>
        <w:autoSpaceDE/>
        <w:autoSpaceDN/>
        <w:bidi w:val="0"/>
        <w:snapToGrid/>
        <w:spacing w:line="360" w:lineRule="auto"/>
        <w:ind w:left="0" w:leftChars="0" w:firstLine="480" w:firstLineChars="200"/>
        <w:textAlignment w:val="auto"/>
        <w:rPr>
          <w:rFonts w:hint="eastAsia" w:ascii="宋体" w:hAnsi="宋体" w:eastAsia="宋体" w:cs="宋体"/>
          <w:bCs/>
          <w:color w:val="auto"/>
          <w:sz w:val="24"/>
          <w:highlight w:val="none"/>
          <w:u w:val="single"/>
          <w:lang w:val="en-US" w:eastAsia="zh-CN"/>
        </w:rPr>
      </w:pPr>
      <w:r>
        <w:rPr>
          <w:rFonts w:ascii="宋体" w:hAnsi="宋体" w:cs="宋体"/>
          <w:color w:val="auto"/>
          <w:sz w:val="24"/>
          <w:szCs w:val="24"/>
          <w:highlight w:val="none"/>
        </w:rPr>
        <w:t>2.1.2工程建设规模：</w:t>
      </w:r>
      <w:r>
        <w:rPr>
          <w:rFonts w:hint="eastAsia" w:ascii="宋体" w:hAnsi="宋体" w:cs="宋体"/>
          <w:color w:val="auto"/>
          <w:sz w:val="24"/>
          <w:szCs w:val="24"/>
          <w:highlight w:val="none"/>
        </w:rPr>
        <w:t>南沙区南沙污水处理厂分期建设，现状已建规模10万m3/d，二期（即2025年）扩建规模为10万m3/d（含中水回用建设工程），污泥资源化车间同步考虑一期建设的情况，按照处理规模20万m3/d配套建设；新建南沙污水系统分区污水收集系统提升工程，项目公司投资建设新建/改造污水收集管网（DN300~DN1600），提高污水厂进水水质浓度、提高区域内污水收集率，保障南沙污水处理系统分区污染负荷削减。本项目总投资140566.56万元，其中工程费用79343.96万元，工程建设其他费用</w:t>
      </w:r>
      <w:r>
        <w:rPr>
          <w:rFonts w:hint="eastAsia" w:ascii="宋体" w:hAnsi="宋体" w:eastAsia="宋体" w:cs="宋体"/>
          <w:color w:val="auto"/>
          <w:sz w:val="24"/>
          <w:szCs w:val="24"/>
          <w:highlight w:val="none"/>
        </w:rPr>
        <w:t>11520.23万元，特许经营权出让价款41739.68万元。最终建设规模以批复的项目初步设计文件为准</w:t>
      </w:r>
      <w:r>
        <w:rPr>
          <w:rFonts w:hint="eastAsia" w:ascii="宋体" w:hAnsi="宋体" w:eastAsia="宋体" w:cs="宋体"/>
          <w:color w:val="auto"/>
          <w:sz w:val="24"/>
          <w:szCs w:val="24"/>
          <w:highlight w:val="none"/>
          <w:u w:val="none"/>
          <w:lang w:eastAsia="zh-CN"/>
        </w:rPr>
        <w:t>。</w:t>
      </w:r>
    </w:p>
    <w:p w14:paraId="078AA1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2.1.3工程建设地点：</w:t>
      </w:r>
      <w:r>
        <w:rPr>
          <w:rFonts w:hint="eastAsia" w:ascii="宋体" w:hAnsi="宋体" w:eastAsia="宋体" w:cs="宋体"/>
          <w:color w:val="auto"/>
          <w:sz w:val="24"/>
          <w:szCs w:val="24"/>
          <w:highlight w:val="none"/>
          <w:u w:val="single"/>
        </w:rPr>
        <w:t>广州市南沙区。</w:t>
      </w:r>
    </w:p>
    <w:p w14:paraId="32AD1B3E">
      <w:pPr>
        <w:spacing w:line="360" w:lineRule="auto"/>
        <w:ind w:firstLine="422" w:firstLineChars="175"/>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2.2招标范围</w:t>
      </w:r>
    </w:p>
    <w:p w14:paraId="4A500FEE">
      <w:pPr>
        <w:pStyle w:val="18"/>
        <w:spacing w:beforeLines="0" w:line="360" w:lineRule="auto"/>
        <w:ind w:firstLine="420" w:firstLineChars="175"/>
        <w:jc w:val="left"/>
        <w:rPr>
          <w:rFonts w:hint="eastAsia" w:ascii="宋体" w:hAnsi="宋体" w:eastAsia="宋体" w:cs="宋体"/>
          <w:color w:val="auto"/>
          <w:highlight w:val="none"/>
          <w:u w:val="single"/>
        </w:rPr>
      </w:pPr>
      <w:r>
        <w:rPr>
          <w:rFonts w:hint="eastAsia" w:ascii="宋体" w:hAnsi="宋体" w:eastAsia="宋体" w:cs="宋体"/>
          <w:color w:val="auto"/>
          <w:highlight w:val="none"/>
        </w:rPr>
        <w:t>2.2.1标段划分：</w:t>
      </w:r>
      <w:r>
        <w:rPr>
          <w:rFonts w:hint="eastAsia" w:ascii="宋体" w:hAnsi="宋体" w:eastAsia="宋体" w:cs="宋体"/>
          <w:color w:val="auto"/>
          <w:highlight w:val="none"/>
          <w:u w:val="single"/>
        </w:rPr>
        <w:t>本项目设</w:t>
      </w:r>
      <w:r>
        <w:rPr>
          <w:rFonts w:hint="eastAsia" w:cs="宋体"/>
          <w:color w:val="auto"/>
          <w:highlight w:val="none"/>
          <w:u w:val="single"/>
          <w:lang w:val="en-US" w:eastAsia="zh-CN"/>
        </w:rPr>
        <w:t>2</w:t>
      </w:r>
      <w:r>
        <w:rPr>
          <w:rFonts w:hint="eastAsia" w:ascii="宋体" w:hAnsi="宋体" w:eastAsia="宋体" w:cs="宋体"/>
          <w:color w:val="auto"/>
          <w:highlight w:val="none"/>
          <w:u w:val="single"/>
        </w:rPr>
        <w:t>个标段。</w:t>
      </w:r>
    </w:p>
    <w:p w14:paraId="01EB667F">
      <w:pPr>
        <w:pStyle w:val="18"/>
        <w:spacing w:beforeLines="0" w:line="360" w:lineRule="auto"/>
        <w:ind w:firstLine="422" w:firstLineChars="175"/>
        <w:jc w:val="left"/>
        <w:rPr>
          <w:rFonts w:hint="eastAsia" w:cs="宋体"/>
          <w:b/>
          <w:bCs/>
          <w:color w:val="auto"/>
          <w:highlight w:val="none"/>
          <w:u w:val="single"/>
          <w:lang w:val="en-US" w:eastAsia="zh-CN"/>
        </w:rPr>
      </w:pPr>
      <w:r>
        <w:rPr>
          <w:rFonts w:hint="eastAsia" w:cs="宋体"/>
          <w:b/>
          <w:bCs/>
          <w:color w:val="auto"/>
          <w:highlight w:val="none"/>
          <w:u w:val="single"/>
          <w:lang w:val="en-US" w:eastAsia="zh-CN"/>
        </w:rPr>
        <w:t>标段一：广州市南沙区南沙污水处理厂项目第三方工程检测</w:t>
      </w:r>
    </w:p>
    <w:p w14:paraId="1406C35E">
      <w:pPr>
        <w:pStyle w:val="18"/>
        <w:spacing w:beforeLines="0" w:line="360" w:lineRule="auto"/>
        <w:ind w:firstLine="422" w:firstLineChars="175"/>
        <w:jc w:val="left"/>
        <w:rPr>
          <w:rFonts w:hint="default" w:cs="宋体"/>
          <w:b/>
          <w:bCs/>
          <w:color w:val="auto"/>
          <w:highlight w:val="none"/>
          <w:u w:val="single"/>
          <w:lang w:val="en-US" w:eastAsia="zh-CN"/>
        </w:rPr>
      </w:pPr>
      <w:r>
        <w:rPr>
          <w:rFonts w:hint="eastAsia" w:cs="宋体"/>
          <w:b/>
          <w:bCs/>
          <w:color w:val="auto"/>
          <w:highlight w:val="none"/>
          <w:u w:val="single"/>
          <w:lang w:val="en-US" w:eastAsia="zh-CN"/>
        </w:rPr>
        <w:t>标段二：广州市南沙区南沙污水处理厂项目第三方工程监测</w:t>
      </w:r>
    </w:p>
    <w:p w14:paraId="1CF88A56">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2.2.2招标范围：</w:t>
      </w:r>
      <w:bookmarkStart w:id="2" w:name="_Hlk522890080"/>
      <w:bookmarkStart w:id="3" w:name="_Hlk513643872"/>
    </w:p>
    <w:p w14:paraId="7156D622">
      <w:pPr>
        <w:pStyle w:val="18"/>
        <w:keepNext w:val="0"/>
        <w:keepLines w:val="0"/>
        <w:pageBreakBefore w:val="0"/>
        <w:widowControl/>
        <w:kinsoku/>
        <w:wordWrap/>
        <w:overflowPunct/>
        <w:topLinePunct w:val="0"/>
        <w:autoSpaceDE/>
        <w:autoSpaceDN/>
        <w:bidi w:val="0"/>
        <w:adjustRightInd/>
        <w:snapToGrid/>
        <w:spacing w:beforeLines="0" w:line="360" w:lineRule="auto"/>
        <w:ind w:firstLine="422" w:firstLineChars="175"/>
        <w:jc w:val="left"/>
        <w:textAlignment w:val="auto"/>
        <w:rPr>
          <w:rFonts w:hint="default" w:cs="宋体"/>
          <w:b/>
          <w:bCs/>
          <w:color w:val="auto"/>
          <w:highlight w:val="none"/>
          <w:lang w:val="en-US" w:eastAsia="zh-CN"/>
        </w:rPr>
      </w:pPr>
      <w:r>
        <w:rPr>
          <w:rFonts w:hint="eastAsia" w:cs="宋体"/>
          <w:b/>
          <w:bCs/>
          <w:color w:val="auto"/>
          <w:highlight w:val="none"/>
          <w:lang w:val="en-US" w:eastAsia="zh-CN"/>
        </w:rPr>
        <w:t>标段一：</w:t>
      </w:r>
    </w:p>
    <w:p w14:paraId="5038A572">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（一）双方约定的检测服务范围：</w:t>
      </w:r>
    </w:p>
    <w:p w14:paraId="16A13E07">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包括但不限于广州市南沙区南沙污水处理厂项目永久工程、临时工程等，具体以本项目有效的施工图纸、设计变更以及施工合同所确定的内容为准。</w:t>
      </w:r>
    </w:p>
    <w:p w14:paraId="20DBF266">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甲方保留根据相关依据调整检测范围的权利，乙方应无条件接受。</w:t>
      </w:r>
    </w:p>
    <w:p w14:paraId="17DEFB9F">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（二）工作内容：</w:t>
      </w:r>
    </w:p>
    <w:p w14:paraId="5A867931">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工作内容为对广州市南沙区南沙污水处理厂进行检验、检测、试验等，以便为安全施工及工程验收提供依据，包括但不限于以下内容：</w:t>
      </w:r>
    </w:p>
    <w:p w14:paraId="6317D6E7">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1、广州市南沙区南沙污水处理厂项目第三方工程检测等试验工作（具体以工程量清单、施工图纸为准）。</w:t>
      </w:r>
    </w:p>
    <w:p w14:paraId="5CF363BB">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default" w:cs="宋体"/>
          <w:color w:val="auto"/>
          <w:highlight w:val="none"/>
          <w:lang w:val="en-US" w:eastAsia="zh-CN"/>
        </w:rPr>
      </w:pPr>
      <w:r>
        <w:rPr>
          <w:rFonts w:hint="eastAsia" w:cs="宋体"/>
          <w:color w:val="auto"/>
          <w:highlight w:val="none"/>
          <w:lang w:val="en-US" w:eastAsia="zh-CN"/>
        </w:rPr>
        <w:t>工作内容包括（但不限于）：见证取样检测、地基基础检测、主体结构工程检测、市政道路工程检测、市政管道检测、节能工程检测、建筑智能检测、防雷检测等。</w:t>
      </w:r>
    </w:p>
    <w:p w14:paraId="724F1BE7">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根据本项目具体情况，如遇该项目的投资规模、结构形式、项目名称或者造价等发生调整（或变更，或增减），也可能会新增或减少、甚至取消部分子项工程，乙方应充分理解此风险并无条件接受不得拒绝，且投标下浮率固定不变。</w:t>
      </w:r>
    </w:p>
    <w:p w14:paraId="28782D67">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2、除按要求完成本次范围内的检验检测试验工作外，还应完成以下工作：</w:t>
      </w:r>
    </w:p>
    <w:p w14:paraId="10C97008">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1）根据设计文件、施工组织设计、相关规范和相关行政职能部门要求和甲方要求，结合项目实际情况，编制检验检测试验方案，并确保检验检测试验方案符合有关规范要求及通过工程所在行政区域的相关建设行政主管部门和监督部门的审批，同时负责协调相关工作，申报检测技术成果的审批，保证技术成果能够通过相关部门认可，确保不因检测工作影响本工程项目的建设进度和竣工验收。</w:t>
      </w:r>
    </w:p>
    <w:p w14:paraId="7D45DD56">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（2）在进行检验检测试验服务过程中，与该工程相关的施工、监理、设计、咨询等相关单位及建设相关行政主管部门和监督部门的协调工作，合同价中已包含该项协调工作费用，不作另行计算。</w:t>
      </w:r>
    </w:p>
    <w:p w14:paraId="070688D7">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（3）负责将工程检测数据的有关信息通过连接系统进行传输报送，确保不因传输报送工作影响本工程项目的建设进度和竣工验收，合同价中已包含该项费用，不作另行计算。</w:t>
      </w:r>
    </w:p>
    <w:p w14:paraId="71D00758">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4）检测项目需求及检测频次应至少满足工程质量监督、验收规范或相关质量监督部门所需检测项目及检测频次的最低限度要求。但甲方对于乙方超出最低限度要求之外进行的检测项目及检测频次不再计算支付检测费用，由乙方自行承担。</w:t>
      </w:r>
    </w:p>
    <w:p w14:paraId="503F3F62">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5）对于检测项目中的个别参数，属于检测设备昂贵或使用率低等原因的，乙方未具有相关资质，应在取得甲方书面同意后，乙方需自行委托其他具备资质的检测单位完成该项目参数的检验检测试验业务，保证完成整体项目所有检验检测试验工作，由此产生之费用已包含在投标报价中，不作另行计算。</w:t>
      </w:r>
    </w:p>
    <w:p w14:paraId="2EB183E1">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（6）ESG要求：配合业主构建ESG管理体系，建立ESG动态评价模型，在检测工作中严格落实业主关于开展ESG工作的各项要求。</w:t>
      </w:r>
    </w:p>
    <w:p w14:paraId="3FD41DE2">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（7）关于工程建设数字化、智能化、BIM及数字工地要求：配备工程建设数字化、智能化专业人员，配合业主关于项目建设中各项数字化、智能化要求，负责按照业主要求将相关数据上传至业主数字化平台。</w:t>
      </w:r>
    </w:p>
    <w:p w14:paraId="52094456">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（三）检测要求及标准</w:t>
      </w:r>
    </w:p>
    <w:p w14:paraId="4256D025">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cs="宋体"/>
          <w:color w:val="auto"/>
          <w:highlight w:val="none"/>
          <w:lang w:val="en-US" w:eastAsia="zh-CN"/>
        </w:rPr>
      </w:pPr>
      <w:r>
        <w:rPr>
          <w:rFonts w:hint="eastAsia" w:cs="宋体"/>
          <w:color w:val="auto"/>
          <w:highlight w:val="none"/>
          <w:lang w:val="en-US" w:eastAsia="zh-CN"/>
        </w:rPr>
        <w:t>1、检测的要求：</w:t>
      </w:r>
    </w:p>
    <w:p w14:paraId="325D82B0">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检测技术方案必须符合国家及地方现行有关技术规范或规定以及设计单位的技术要求。包括但不限于以下内容：检测方案编制、方案送审（有关行政管理部门）、试验及相关需要的配套工作、编制并提交检测、成果报告等全部工作。</w:t>
      </w:r>
    </w:p>
    <w:p w14:paraId="3E57C721">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最终具体检测项目及数量以南沙区质量监督部门及甲方要求为准，按实际检测发生量进行结算，但超出质量监督部门及甲方要求完成的数量不予结算。</w:t>
      </w:r>
    </w:p>
    <w:p w14:paraId="673E440E">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2、检测标准</w:t>
      </w:r>
    </w:p>
    <w:p w14:paraId="040DF84D">
      <w:pPr>
        <w:pStyle w:val="18"/>
        <w:keepNext w:val="0"/>
        <w:keepLines w:val="0"/>
        <w:pageBreakBefore w:val="0"/>
        <w:widowControl/>
        <w:kinsoku/>
        <w:wordWrap/>
        <w:overflowPunct/>
        <w:topLinePunct w:val="0"/>
        <w:autoSpaceDE/>
        <w:autoSpaceDN/>
        <w:bidi w:val="0"/>
        <w:adjustRightInd/>
        <w:snapToGrid/>
        <w:spacing w:beforeLines="0" w:line="360" w:lineRule="auto"/>
        <w:ind w:firstLine="420" w:firstLineChars="175"/>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检验检测试验工作必须满足国家、广东省、广州市、南沙区相关检测规范、强制性标准。</w:t>
      </w:r>
      <w:bookmarkEnd w:id="2"/>
      <w:bookmarkEnd w:id="3"/>
    </w:p>
    <w:p w14:paraId="1ACBB155">
      <w:pPr>
        <w:pStyle w:val="9"/>
        <w:spacing w:line="360" w:lineRule="auto"/>
        <w:ind w:left="0" w:leftChars="0"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标段二：</w:t>
      </w:r>
    </w:p>
    <w:p w14:paraId="639F3103">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监测</w:t>
      </w:r>
      <w:r>
        <w:rPr>
          <w:rFonts w:hint="eastAsia" w:ascii="宋体" w:hAnsi="宋体" w:cs="宋体"/>
          <w:color w:val="auto"/>
          <w:sz w:val="24"/>
          <w:szCs w:val="24"/>
          <w:highlight w:val="none"/>
        </w:rPr>
        <w:t>服务范围包括但不限于</w:t>
      </w:r>
      <w:r>
        <w:rPr>
          <w:rFonts w:hint="eastAsia" w:ascii="宋体" w:hAnsi="宋体" w:cs="宋体"/>
          <w:color w:val="auto"/>
          <w:sz w:val="24"/>
          <w:szCs w:val="24"/>
          <w:highlight w:val="none"/>
          <w:lang w:val="en-US" w:eastAsia="zh-CN"/>
        </w:rPr>
        <w:t>广州市南沙区南沙污水处理厂</w:t>
      </w:r>
      <w:r>
        <w:rPr>
          <w:rFonts w:hint="eastAsia" w:ascii="宋体" w:hAnsi="宋体" w:cs="宋体"/>
          <w:color w:val="auto"/>
          <w:sz w:val="24"/>
          <w:szCs w:val="24"/>
          <w:highlight w:val="none"/>
        </w:rPr>
        <w:t>永久工程、临时工程等，具体以本区域内有效的施工图纸、设计变更以及施工合同所确定的内容为准。</w:t>
      </w:r>
    </w:p>
    <w:p w14:paraId="5AFC8B26">
      <w:pPr>
        <w:pStyle w:val="9"/>
        <w:spacing w:line="360" w:lineRule="auto"/>
        <w:ind w:left="0" w:leftChars="0"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对</w:t>
      </w:r>
      <w:r>
        <w:rPr>
          <w:rFonts w:hint="eastAsia" w:ascii="宋体" w:hAnsi="宋体" w:cs="宋体"/>
          <w:color w:val="auto"/>
          <w:sz w:val="24"/>
          <w:szCs w:val="24"/>
          <w:highlight w:val="none"/>
          <w:lang w:val="en-US" w:eastAsia="zh-CN"/>
        </w:rPr>
        <w:t>广州市南沙区南沙污水处理厂进行</w:t>
      </w:r>
      <w:r>
        <w:rPr>
          <w:rFonts w:hint="eastAsia" w:ascii="宋体" w:hAnsi="宋体" w:cs="宋体"/>
          <w:color w:val="auto"/>
          <w:sz w:val="24"/>
          <w:szCs w:val="24"/>
          <w:highlight w:val="none"/>
          <w:lang w:eastAsia="zh-CN"/>
        </w:rPr>
        <w:t>监测等，以便为安全施工及工程验收提供依据，包括但不限于以下内容：</w:t>
      </w:r>
    </w:p>
    <w:p w14:paraId="1434BA6A">
      <w:pPr>
        <w:pStyle w:val="9"/>
        <w:spacing w:line="360" w:lineRule="auto"/>
        <w:ind w:left="0" w:leftChars="0"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1、主要监测内容：</w:t>
      </w:r>
    </w:p>
    <w:p w14:paraId="1B7F172B">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监测对象包括但不限于：1）</w:t>
      </w:r>
      <w:r>
        <w:rPr>
          <w:rFonts w:hint="eastAsia" w:ascii="宋体" w:hAnsi="宋体" w:cs="宋体"/>
          <w:color w:val="auto"/>
          <w:sz w:val="24"/>
          <w:szCs w:val="24"/>
          <w:highlight w:val="none"/>
          <w:lang w:eastAsia="zh-CN"/>
        </w:rPr>
        <w:t>管线工程</w:t>
      </w:r>
      <w:r>
        <w:rPr>
          <w:rFonts w:hint="eastAsia" w:ascii="宋体" w:hAnsi="宋体" w:cs="宋体"/>
          <w:color w:val="auto"/>
          <w:sz w:val="24"/>
          <w:szCs w:val="24"/>
          <w:highlight w:val="none"/>
        </w:rPr>
        <w:t>；2）基坑工程；</w:t>
      </w:r>
      <w:r>
        <w:rPr>
          <w:rFonts w:hint="eastAsia" w:ascii="宋体" w:hAnsi="宋体" w:cs="宋体"/>
          <w:color w:val="auto"/>
          <w:sz w:val="24"/>
          <w:szCs w:val="24"/>
          <w:highlight w:val="none"/>
          <w:lang w:val="en-US" w:eastAsia="zh-CN"/>
        </w:rPr>
        <w:t>3)排水工程；4）</w:t>
      </w:r>
      <w:r>
        <w:rPr>
          <w:rFonts w:hint="eastAsia" w:ascii="宋体" w:hAnsi="宋体" w:cs="宋体"/>
          <w:color w:val="auto"/>
          <w:sz w:val="24"/>
          <w:szCs w:val="24"/>
          <w:highlight w:val="none"/>
        </w:rPr>
        <w:t>其他应监测的对象</w:t>
      </w:r>
      <w:r>
        <w:rPr>
          <w:rFonts w:hint="eastAsia" w:ascii="宋体" w:hAnsi="宋体" w:cs="宋体"/>
          <w:color w:val="auto"/>
          <w:sz w:val="24"/>
          <w:szCs w:val="24"/>
          <w:highlight w:val="none"/>
          <w:lang w:eastAsia="zh-CN"/>
        </w:rPr>
        <w:t>（包含对项目周边建筑物的相应监测等）</w:t>
      </w:r>
      <w:r>
        <w:rPr>
          <w:rFonts w:hint="eastAsia" w:ascii="宋体" w:hAnsi="宋体" w:cs="宋体"/>
          <w:color w:val="auto"/>
          <w:sz w:val="24"/>
          <w:szCs w:val="24"/>
          <w:highlight w:val="none"/>
        </w:rPr>
        <w:t>。</w:t>
      </w:r>
    </w:p>
    <w:p w14:paraId="554353C9">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仪器监测项目包括但不限于：</w:t>
      </w:r>
      <w:r>
        <w:rPr>
          <w:rFonts w:hint="eastAsia" w:ascii="宋体" w:hAnsi="宋体" w:cs="宋体"/>
          <w:color w:val="auto"/>
          <w:sz w:val="24"/>
          <w:szCs w:val="24"/>
          <w:highlight w:val="none"/>
          <w:lang w:eastAsia="zh-CN"/>
        </w:rPr>
        <w:t>电力管沟、顶管结构、基坑监测、排水基坑监测、高支模监测</w:t>
      </w:r>
      <w:r>
        <w:rPr>
          <w:rFonts w:hint="eastAsia" w:ascii="宋体" w:hAnsi="宋体" w:cs="宋体"/>
          <w:color w:val="auto"/>
          <w:sz w:val="24"/>
          <w:szCs w:val="24"/>
          <w:highlight w:val="none"/>
        </w:rPr>
        <w:t>等。</w:t>
      </w:r>
    </w:p>
    <w:p w14:paraId="66A9F936">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2、除按要求完成本次范围内的监测工作外，还应完成以下工作：</w:t>
      </w:r>
    </w:p>
    <w:p w14:paraId="4E339356">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（1）根据设计文件、施工组织设计、相关规范和相关行政职能部门要求和</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要求，结合项目实际情况，编制监测方案，并确保监测方案符合有关规范要求及通过工程所在行政区域的相关建设行政主管部门和监督部门的审批，同时负责协调相关工作，保证技术成果能够通过相关部门认可，确保不因监测工作影响本工程项目的建设进度和竣工验收；</w:t>
      </w:r>
    </w:p>
    <w:p w14:paraId="2A64DB48">
      <w:pPr>
        <w:pStyle w:val="9"/>
        <w:spacing w:line="360" w:lineRule="auto"/>
        <w:ind w:left="0" w:leftChars="0"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（2）在进行监测服务过程中，与该工程相关的施工、监理、设计、咨询等相关单位及建设行政主管部门和监督部门的协调工作，合同价中已包含该项协调工作费用，不作另行计算。</w:t>
      </w:r>
    </w:p>
    <w:p w14:paraId="3B6D61A8">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（3）负责监测数据的有关信息通过连接系统进行传输报送，合同价中已包含该项费用，不作另行计算。</w:t>
      </w:r>
    </w:p>
    <w:p w14:paraId="711A5903">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监测</w:t>
      </w:r>
      <w:r>
        <w:rPr>
          <w:rFonts w:hint="eastAsia" w:ascii="宋体" w:hAnsi="宋体" w:cs="宋体"/>
          <w:color w:val="auto"/>
          <w:sz w:val="24"/>
          <w:szCs w:val="24"/>
          <w:highlight w:val="none"/>
        </w:rPr>
        <w:t>项目需求及</w:t>
      </w:r>
      <w:r>
        <w:rPr>
          <w:rFonts w:hint="eastAsia" w:ascii="宋体" w:hAnsi="宋体" w:cs="宋体"/>
          <w:color w:val="auto"/>
          <w:sz w:val="24"/>
          <w:szCs w:val="24"/>
          <w:highlight w:val="none"/>
          <w:lang w:eastAsia="zh-CN"/>
        </w:rPr>
        <w:t>监测</w:t>
      </w:r>
      <w:r>
        <w:rPr>
          <w:rFonts w:hint="eastAsia" w:ascii="宋体" w:hAnsi="宋体" w:cs="宋体"/>
          <w:color w:val="auto"/>
          <w:sz w:val="24"/>
          <w:szCs w:val="24"/>
          <w:highlight w:val="none"/>
        </w:rPr>
        <w:t>频次应至少满足工程质量监督、验收规范或相关质量监督部门所需</w:t>
      </w:r>
      <w:r>
        <w:rPr>
          <w:rFonts w:hint="eastAsia" w:ascii="宋体" w:hAnsi="宋体" w:cs="宋体"/>
          <w:color w:val="auto"/>
          <w:sz w:val="24"/>
          <w:szCs w:val="24"/>
          <w:highlight w:val="none"/>
          <w:lang w:eastAsia="zh-CN"/>
        </w:rPr>
        <w:t>监测</w:t>
      </w:r>
      <w:r>
        <w:rPr>
          <w:rFonts w:hint="eastAsia" w:ascii="宋体" w:hAnsi="宋体" w:cs="宋体"/>
          <w:color w:val="auto"/>
          <w:sz w:val="24"/>
          <w:szCs w:val="24"/>
          <w:highlight w:val="none"/>
        </w:rPr>
        <w:t>项目及</w:t>
      </w:r>
      <w:r>
        <w:rPr>
          <w:rFonts w:hint="eastAsia" w:ascii="宋体" w:hAnsi="宋体" w:cs="宋体"/>
          <w:color w:val="auto"/>
          <w:sz w:val="24"/>
          <w:szCs w:val="24"/>
          <w:highlight w:val="none"/>
          <w:lang w:eastAsia="zh-CN"/>
        </w:rPr>
        <w:t>监测</w:t>
      </w:r>
      <w:r>
        <w:rPr>
          <w:rFonts w:hint="eastAsia" w:ascii="宋体" w:hAnsi="宋体" w:cs="宋体"/>
          <w:color w:val="auto"/>
          <w:sz w:val="24"/>
          <w:szCs w:val="24"/>
          <w:highlight w:val="none"/>
        </w:rPr>
        <w:t>频次的最低限度要求。但</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对于</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超出最低限度要求之外进行的</w:t>
      </w:r>
      <w:r>
        <w:rPr>
          <w:rFonts w:hint="eastAsia" w:ascii="宋体" w:hAnsi="宋体" w:cs="宋体"/>
          <w:color w:val="auto"/>
          <w:sz w:val="24"/>
          <w:szCs w:val="24"/>
          <w:highlight w:val="none"/>
          <w:lang w:eastAsia="zh-CN"/>
        </w:rPr>
        <w:t>监测</w:t>
      </w:r>
      <w:r>
        <w:rPr>
          <w:rFonts w:hint="eastAsia" w:ascii="宋体" w:hAnsi="宋体" w:cs="宋体"/>
          <w:color w:val="auto"/>
          <w:sz w:val="24"/>
          <w:szCs w:val="24"/>
          <w:highlight w:val="none"/>
        </w:rPr>
        <w:t>项目及</w:t>
      </w:r>
      <w:r>
        <w:rPr>
          <w:rFonts w:hint="eastAsia" w:ascii="宋体" w:hAnsi="宋体" w:cs="宋体"/>
          <w:color w:val="auto"/>
          <w:sz w:val="24"/>
          <w:szCs w:val="24"/>
          <w:highlight w:val="none"/>
          <w:lang w:eastAsia="zh-CN"/>
        </w:rPr>
        <w:t>监测</w:t>
      </w:r>
      <w:r>
        <w:rPr>
          <w:rFonts w:hint="eastAsia" w:ascii="宋体" w:hAnsi="宋体" w:cs="宋体"/>
          <w:color w:val="auto"/>
          <w:sz w:val="24"/>
          <w:szCs w:val="24"/>
          <w:highlight w:val="none"/>
        </w:rPr>
        <w:t>频次不再计算支付</w:t>
      </w:r>
      <w:r>
        <w:rPr>
          <w:rFonts w:hint="eastAsia" w:ascii="宋体" w:hAnsi="宋体" w:cs="宋体"/>
          <w:color w:val="auto"/>
          <w:sz w:val="24"/>
          <w:szCs w:val="24"/>
          <w:highlight w:val="none"/>
          <w:lang w:eastAsia="zh-CN"/>
        </w:rPr>
        <w:t>监测</w:t>
      </w:r>
      <w:r>
        <w:rPr>
          <w:rFonts w:hint="eastAsia" w:ascii="宋体" w:hAnsi="宋体" w:cs="宋体"/>
          <w:color w:val="auto"/>
          <w:sz w:val="24"/>
          <w:szCs w:val="24"/>
          <w:highlight w:val="none"/>
        </w:rPr>
        <w:t>费用，由</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自行承担。</w:t>
      </w:r>
    </w:p>
    <w:p w14:paraId="14DAE5CF">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（5）对于</w:t>
      </w:r>
      <w:r>
        <w:rPr>
          <w:rFonts w:hint="eastAsia" w:ascii="宋体" w:hAnsi="宋体" w:cs="宋体"/>
          <w:color w:val="auto"/>
          <w:sz w:val="24"/>
          <w:szCs w:val="24"/>
          <w:highlight w:val="none"/>
          <w:lang w:eastAsia="zh-CN"/>
        </w:rPr>
        <w:t>监测</w:t>
      </w:r>
      <w:r>
        <w:rPr>
          <w:rFonts w:hint="eastAsia" w:ascii="宋体" w:hAnsi="宋体" w:cs="宋体"/>
          <w:color w:val="auto"/>
          <w:sz w:val="24"/>
          <w:szCs w:val="24"/>
          <w:highlight w:val="none"/>
        </w:rPr>
        <w:t>项目中的个别参数，属于</w:t>
      </w:r>
      <w:r>
        <w:rPr>
          <w:rFonts w:hint="eastAsia" w:ascii="宋体" w:hAnsi="宋体" w:cs="宋体"/>
          <w:color w:val="auto"/>
          <w:sz w:val="24"/>
          <w:szCs w:val="24"/>
          <w:highlight w:val="none"/>
          <w:lang w:eastAsia="zh-CN"/>
        </w:rPr>
        <w:t>监测</w:t>
      </w:r>
      <w:r>
        <w:rPr>
          <w:rFonts w:hint="eastAsia" w:ascii="宋体" w:hAnsi="宋体" w:cs="宋体"/>
          <w:color w:val="auto"/>
          <w:sz w:val="24"/>
          <w:szCs w:val="24"/>
          <w:highlight w:val="none"/>
        </w:rPr>
        <w:t>设备昂贵或使用率低等原因的，</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未具有相关资质，应在取得</w:t>
      </w:r>
      <w:r>
        <w:rPr>
          <w:rFonts w:hint="eastAsia" w:ascii="宋体" w:hAnsi="宋体" w:cs="宋体"/>
          <w:color w:val="auto"/>
          <w:sz w:val="24"/>
          <w:szCs w:val="24"/>
          <w:highlight w:val="none"/>
          <w:lang w:eastAsia="zh-CN"/>
        </w:rPr>
        <w:t>招标人书面</w:t>
      </w:r>
      <w:r>
        <w:rPr>
          <w:rFonts w:hint="eastAsia" w:ascii="宋体" w:hAnsi="宋体" w:cs="宋体"/>
          <w:color w:val="auto"/>
          <w:sz w:val="24"/>
          <w:szCs w:val="24"/>
          <w:highlight w:val="none"/>
        </w:rPr>
        <w:t>同意后，</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需自行委托其他具备资质的</w:t>
      </w:r>
      <w:r>
        <w:rPr>
          <w:rFonts w:hint="eastAsia" w:ascii="宋体" w:hAnsi="宋体" w:cs="宋体"/>
          <w:color w:val="auto"/>
          <w:sz w:val="24"/>
          <w:szCs w:val="24"/>
          <w:highlight w:val="none"/>
          <w:lang w:eastAsia="zh-CN"/>
        </w:rPr>
        <w:t>监测</w:t>
      </w:r>
      <w:r>
        <w:rPr>
          <w:rFonts w:hint="eastAsia" w:ascii="宋体" w:hAnsi="宋体" w:cs="宋体"/>
          <w:color w:val="auto"/>
          <w:sz w:val="24"/>
          <w:szCs w:val="24"/>
          <w:highlight w:val="none"/>
        </w:rPr>
        <w:t>单位完成该项目参数的</w:t>
      </w:r>
      <w:r>
        <w:rPr>
          <w:rFonts w:hint="eastAsia" w:ascii="宋体" w:hAnsi="宋体" w:cs="宋体"/>
          <w:color w:val="auto"/>
          <w:sz w:val="24"/>
          <w:szCs w:val="24"/>
          <w:highlight w:val="none"/>
          <w:lang w:eastAsia="zh-CN"/>
        </w:rPr>
        <w:t>监测</w:t>
      </w:r>
      <w:r>
        <w:rPr>
          <w:rFonts w:hint="eastAsia" w:ascii="宋体" w:hAnsi="宋体" w:cs="宋体"/>
          <w:color w:val="auto"/>
          <w:sz w:val="24"/>
          <w:szCs w:val="24"/>
          <w:highlight w:val="none"/>
        </w:rPr>
        <w:t>业务，保证完成整体项目所有</w:t>
      </w:r>
      <w:r>
        <w:rPr>
          <w:rFonts w:hint="eastAsia" w:ascii="宋体" w:hAnsi="宋体" w:cs="宋体"/>
          <w:color w:val="auto"/>
          <w:sz w:val="24"/>
          <w:szCs w:val="24"/>
          <w:highlight w:val="none"/>
          <w:lang w:eastAsia="zh-CN"/>
        </w:rPr>
        <w:t>监测</w:t>
      </w:r>
      <w:r>
        <w:rPr>
          <w:rFonts w:hint="eastAsia" w:ascii="宋体" w:hAnsi="宋体" w:cs="宋体"/>
          <w:color w:val="auto"/>
          <w:sz w:val="24"/>
          <w:szCs w:val="24"/>
          <w:highlight w:val="none"/>
        </w:rPr>
        <w:t>工作，由此产生之费用已包含在投标报价中，不作另行计算。因项目规划正在完善中，</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保留在后期工作中视情况按有关规定调整范围和建设规模的权利，且</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应无条件接受调整事宜，并按调整要求完成相关专业的工作。</w:t>
      </w:r>
    </w:p>
    <w:p w14:paraId="56DAD6A5">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（6）配合招标人或施工单位做好ESG管理、BIM管理。</w:t>
      </w:r>
    </w:p>
    <w:p w14:paraId="539057A0">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监测要求及标准</w:t>
      </w:r>
    </w:p>
    <w:p w14:paraId="5F4F7C2E">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1、监测的要求：</w:t>
      </w:r>
    </w:p>
    <w:p w14:paraId="63DF9699">
      <w:pPr>
        <w:pStyle w:val="9"/>
        <w:spacing w:line="360" w:lineRule="auto"/>
        <w:ind w:left="0" w:leftChars="0"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监测技术方案必须符合国家及地方现行有关技术规范或规定以及设计单位的技术要求。包括但不限于以下内容：监测方案编制、方案送审（有关行政管理部门）、试验及相关需要的配套工作、编制并提交监测、成果报告等全部工作。</w:t>
      </w:r>
    </w:p>
    <w:p w14:paraId="5B57F84F">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最终具体监测项目及数量以南沙区质量监督部门及</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要求为准，按实际监测发生量进行结算，超出质量监督部门及</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要求完成的数量不予结算。</w:t>
      </w:r>
    </w:p>
    <w:p w14:paraId="64CD293D">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2、监测标准</w:t>
      </w:r>
    </w:p>
    <w:p w14:paraId="7B472EAC">
      <w:pPr>
        <w:pStyle w:val="9"/>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监测工作必须满足国家、广东省、广州市相关监测规范、强制性和推荐性标准。</w:t>
      </w:r>
    </w:p>
    <w:p w14:paraId="09858463">
      <w:pPr>
        <w:pStyle w:val="9"/>
        <w:spacing w:line="360" w:lineRule="auto"/>
        <w:ind w:left="0" w:leftChars="0"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2.2.3最高投标限价：</w:t>
      </w:r>
      <w:r>
        <w:rPr>
          <w:rFonts w:hint="eastAsia" w:ascii="宋体" w:hAnsi="宋体" w:cs="宋体"/>
          <w:color w:val="auto"/>
          <w:sz w:val="24"/>
          <w:szCs w:val="24"/>
          <w:highlight w:val="none"/>
          <w:u w:val="single"/>
          <w:lang w:val="en-US" w:eastAsia="zh-CN"/>
        </w:rPr>
        <w:t>872.46万</w:t>
      </w:r>
      <w:r>
        <w:rPr>
          <w:rFonts w:hint="eastAsia" w:ascii="宋体" w:hAnsi="宋体" w:cs="宋体"/>
          <w:color w:val="auto"/>
          <w:sz w:val="24"/>
          <w:szCs w:val="24"/>
          <w:highlight w:val="none"/>
          <w:u w:val="none"/>
        </w:rPr>
        <w:t>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其中标段一</w:t>
      </w:r>
      <w:r>
        <w:rPr>
          <w:rFonts w:hint="eastAsia" w:ascii="宋体" w:hAnsi="宋体" w:cs="宋体"/>
          <w:color w:val="auto"/>
          <w:sz w:val="24"/>
          <w:szCs w:val="24"/>
          <w:highlight w:val="none"/>
        </w:rPr>
        <w:t>最高投标限价：</w:t>
      </w:r>
      <w:r>
        <w:rPr>
          <w:rFonts w:hint="eastAsia" w:ascii="宋体" w:hAnsi="宋体" w:cs="宋体"/>
          <w:color w:val="auto"/>
          <w:sz w:val="24"/>
          <w:szCs w:val="24"/>
          <w:highlight w:val="none"/>
          <w:u w:val="single"/>
          <w:lang w:val="en-US" w:eastAsia="zh-CN"/>
        </w:rPr>
        <w:t>610.72万</w:t>
      </w:r>
      <w:r>
        <w:rPr>
          <w:rFonts w:hint="eastAsia" w:ascii="宋体" w:hAnsi="宋体" w:cs="宋体"/>
          <w:color w:val="auto"/>
          <w:sz w:val="24"/>
          <w:szCs w:val="24"/>
          <w:highlight w:val="none"/>
          <w:u w:val="none"/>
        </w:rPr>
        <w:t>元</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其中厂区部分为321.25万元，管网部分为289.47万元</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标段二</w:t>
      </w:r>
      <w:r>
        <w:rPr>
          <w:rFonts w:hint="eastAsia" w:ascii="宋体" w:hAnsi="宋体" w:cs="宋体"/>
          <w:color w:val="auto"/>
          <w:sz w:val="24"/>
          <w:szCs w:val="24"/>
          <w:highlight w:val="none"/>
        </w:rPr>
        <w:t>最高投标限价：</w:t>
      </w:r>
      <w:r>
        <w:rPr>
          <w:rFonts w:hint="eastAsia" w:ascii="宋体" w:hAnsi="宋体" w:cs="宋体"/>
          <w:color w:val="auto"/>
          <w:sz w:val="24"/>
          <w:szCs w:val="24"/>
          <w:highlight w:val="none"/>
          <w:u w:val="single"/>
          <w:lang w:val="en-US" w:eastAsia="zh-CN"/>
        </w:rPr>
        <w:t>261.74万</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其中厂区部分为137.68万元，管网部分为124.06万元</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w:t>
      </w:r>
    </w:p>
    <w:p w14:paraId="239793A6">
      <w:pPr>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特别说明：</w:t>
      </w:r>
    </w:p>
    <w:p w14:paraId="459C7C0C">
      <w:pPr>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1、定标原则</w:t>
      </w:r>
    </w:p>
    <w:p w14:paraId="1F292709">
      <w:pPr>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本项目采用资格后审，其中任意一个标段的投标登记或满足资格审查合格条件的投标人不足3名、或通过形式评审、响应性评审的投标单位不足3名时为该标段招标失败；本项目为2个标段同时招标且不允许兼中，2个标段共计满足资格审查合格条件的投标人不足4名或通过形式评审、响应性评审的投标人不足4名时为招标失败。招标人分析招标失败原因，修正招标方案，重新组织招标。如其中一个标段重新组织招标，不影响另一标段的正常招标。</w:t>
      </w:r>
    </w:p>
    <w:p w14:paraId="1D16C9B0">
      <w:pPr>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2、中标原则</w:t>
      </w:r>
    </w:p>
    <w:p w14:paraId="1D7FD76A">
      <w:pPr>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①、投标申请人可以自行选择参加1个或1个以上标段的投标，各标段可拟派同一套项目人员，但不可以兼中，只能中1个标段。评标时2个标段同时进行，按照各标段的最高投标限价金额从大至小的先后顺序进行评标工作，并依次推荐各有效标段的中标候选人。若投标人在两个或两个以上标段同时评审排名第一，则确定其为最高投标限价金额最大的标段的第一中标候选人，同时自动放弃其他标段的中标资格；其他标段的中标候选人，按评审排名先后顺序依次上升替补确定，以此类推。</w:t>
      </w:r>
    </w:p>
    <w:p w14:paraId="7A9075FC">
      <w:pPr>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②、如果出现某标段的第一中标候选人放弃中标或因其他原因被取消中标资格的，仅在该标段内按照已确定的中标候选人顺序依次上升替补定标，以此类推，不影响其他标段的中标候选人顺序及定标工作。</w:t>
      </w:r>
    </w:p>
    <w:p w14:paraId="00388A58">
      <w:pPr>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③、若某标段在确定中标候选人后，因其他原因导致该标段重新招标或中标通知书尚未发出，将不影响其他标段的中标人的确定。</w:t>
      </w:r>
    </w:p>
    <w:p w14:paraId="6E323A88">
      <w:pPr>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④若某标段招标失败而重新招标的，其他标段的中标人不能再成为该项目重新招标标段的中标人。</w:t>
      </w:r>
    </w:p>
    <w:p w14:paraId="5B3217FF">
      <w:pPr>
        <w:spacing w:line="360" w:lineRule="auto"/>
        <w:ind w:firstLine="422" w:firstLineChars="175"/>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2.3服务期限</w:t>
      </w:r>
    </w:p>
    <w:p w14:paraId="10D22A2F">
      <w:pPr>
        <w:pStyle w:val="9"/>
        <w:spacing w:line="360" w:lineRule="auto"/>
        <w:ind w:left="0" w:leftChars="0"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自招标人向中标人发出中标通知书之日起至中标人按合同约定时间完成合同约定的全部工作内容止</w:t>
      </w:r>
      <w:r>
        <w:rPr>
          <w:rFonts w:hint="eastAsia" w:ascii="宋体" w:hAnsi="宋体" w:cs="宋体"/>
          <w:color w:val="auto"/>
          <w:sz w:val="24"/>
          <w:szCs w:val="24"/>
          <w:highlight w:val="none"/>
          <w:u w:val="single"/>
        </w:rPr>
        <w:t>。</w:t>
      </w:r>
    </w:p>
    <w:p w14:paraId="7436D7D3">
      <w:pPr>
        <w:pStyle w:val="5"/>
        <w:spacing w:before="0" w:after="0" w:line="360" w:lineRule="auto"/>
        <w:jc w:val="left"/>
        <w:rPr>
          <w:rFonts w:hint="eastAsia" w:ascii="宋体" w:hAnsi="宋体" w:eastAsia="宋体" w:cs="宋体"/>
          <w:color w:val="auto"/>
          <w:szCs w:val="32"/>
          <w:highlight w:val="none"/>
          <w:lang w:eastAsia="zh-CN"/>
        </w:rPr>
      </w:pPr>
      <w:r>
        <w:rPr>
          <w:rFonts w:hint="eastAsia" w:ascii="宋体" w:hAnsi="宋体" w:eastAsia="宋体" w:cs="宋体"/>
          <w:color w:val="auto"/>
          <w:szCs w:val="32"/>
          <w:highlight w:val="none"/>
        </w:rPr>
        <w:t>3. 投标人资格要求</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lang w:val="en-US" w:eastAsia="zh-CN"/>
        </w:rPr>
        <w:t>适用于各标段</w:t>
      </w:r>
      <w:r>
        <w:rPr>
          <w:rFonts w:hint="eastAsia" w:ascii="宋体" w:hAnsi="宋体" w:eastAsia="宋体" w:cs="宋体"/>
          <w:color w:val="auto"/>
          <w:szCs w:val="32"/>
          <w:highlight w:val="none"/>
          <w:lang w:eastAsia="zh-CN"/>
        </w:rPr>
        <w:t>）</w:t>
      </w:r>
    </w:p>
    <w:p w14:paraId="4B42EEAD">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3.1投标人参加投标的意思表达清楚，投标人代表被授权有效；</w:t>
      </w:r>
    </w:p>
    <w:p w14:paraId="5BE1D5DD">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3.2投标人具备独立法人资格，持有事业单位登记管理部门核发的事业单位法人证书或工商行政管理部门核发的企业法人营业执照，且在营业期限内；</w:t>
      </w:r>
    </w:p>
    <w:p w14:paraId="0F350CF9">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仅适用于标段一</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投标人须具备</w:t>
      </w:r>
      <w:r>
        <w:rPr>
          <w:rFonts w:hint="eastAsia" w:ascii="宋体" w:hAnsi="宋体" w:cs="宋体"/>
          <w:color w:val="auto"/>
          <w:sz w:val="24"/>
          <w:highlight w:val="none"/>
          <w:lang w:val="en-US" w:eastAsia="zh-CN"/>
        </w:rPr>
        <w:t>以下资质</w:t>
      </w:r>
    </w:p>
    <w:p w14:paraId="711F79BA">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建设行政主管部门颁发的建设工程质量检测机构资质证书（检测范围覆盖</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见证取样检测、</w:t>
      </w:r>
      <w:r>
        <w:rPr>
          <w:rFonts w:hint="eastAsia" w:ascii="宋体" w:hAnsi="宋体" w:cs="宋体"/>
          <w:color w:val="auto"/>
          <w:sz w:val="24"/>
          <w:highlight w:val="none"/>
        </w:rPr>
        <w:t>地基基础工程检测、主体结构工程现场检测），且证书在有效期内。或根据《住房和城乡建设部关于印发《建设工程质量检测机构资质标准》的通知》（建质规〔2023〕1号，以下简称新标准）具有有效的建设行政主管部门颁发的建设工程质量检测机构综合资质证书或专项资质证书（专项资质证书包括：</w:t>
      </w:r>
      <w:r>
        <w:rPr>
          <w:rFonts w:hint="eastAsia" w:ascii="宋体" w:hAnsi="宋体" w:cs="宋体"/>
          <w:color w:val="auto"/>
          <w:sz w:val="24"/>
          <w:highlight w:val="none"/>
          <w:lang w:val="en-US" w:eastAsia="zh-CN"/>
        </w:rPr>
        <w:t>建筑材料及构配件、</w:t>
      </w:r>
      <w:r>
        <w:rPr>
          <w:rFonts w:hint="eastAsia" w:ascii="宋体" w:hAnsi="宋体" w:cs="宋体"/>
          <w:color w:val="auto"/>
          <w:sz w:val="24"/>
          <w:highlight w:val="none"/>
        </w:rPr>
        <w:t>主体结构及装饰装修、地基基础、</w:t>
      </w:r>
      <w:r>
        <w:rPr>
          <w:rFonts w:hint="eastAsia" w:ascii="宋体" w:hAnsi="宋体" w:cs="宋体"/>
          <w:color w:val="auto"/>
          <w:sz w:val="24"/>
          <w:highlight w:val="none"/>
          <w:lang w:val="en-US" w:eastAsia="zh-CN"/>
        </w:rPr>
        <w:t>建筑节能、市政工程材料、</w:t>
      </w:r>
      <w:r>
        <w:rPr>
          <w:rFonts w:hint="eastAsia" w:ascii="宋体" w:hAnsi="宋体" w:cs="宋体"/>
          <w:color w:val="auto"/>
          <w:sz w:val="24"/>
          <w:highlight w:val="none"/>
        </w:rPr>
        <w:t>道路工程）。</w:t>
      </w:r>
    </w:p>
    <w:p w14:paraId="71964FFA">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旧资质标准按《住房和城乡建设部办公厅关于做好建设工程质量检测机构新旧资质标准过渡工作的通知》（建办质函〔2023〕100号）执行；新资质标准按《住房和城乡建设部关于印发〈建设工程质量检测机构资质标准〉的通知》（建质规〔2023〕1号）执行。</w:t>
      </w:r>
    </w:p>
    <w:p w14:paraId="54B835B0">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仅适用于标段一</w:t>
      </w:r>
      <w:r>
        <w:rPr>
          <w:rFonts w:hint="eastAsia" w:ascii="宋体" w:hAnsi="宋体" w:cs="宋体"/>
          <w:color w:val="auto"/>
          <w:sz w:val="24"/>
          <w:highlight w:val="none"/>
          <w:lang w:eastAsia="zh-CN"/>
        </w:rPr>
        <w:t>）</w:t>
      </w:r>
      <w:bookmarkStart w:id="4" w:name="_Hlk153895407"/>
      <w:r>
        <w:rPr>
          <w:rFonts w:hint="eastAsia" w:ascii="宋体" w:hAnsi="宋体" w:cs="宋体"/>
          <w:color w:val="auto"/>
          <w:sz w:val="24"/>
          <w:highlight w:val="none"/>
        </w:rPr>
        <w:t>投标人须具有质量技术监督部门颁发的CMA计量认证合格证书（CMA计量认证合格证书附表的认证范围覆盖招标主要内容：</w:t>
      </w:r>
      <w:r>
        <w:rPr>
          <w:rFonts w:hint="eastAsia" w:ascii="宋体" w:hAnsi="宋体" w:cs="宋体"/>
          <w:color w:val="auto"/>
          <w:sz w:val="24"/>
          <w:highlight w:val="none"/>
          <w:lang w:val="en-US" w:eastAsia="zh-CN"/>
        </w:rPr>
        <w:t>见证取样检测、</w:t>
      </w:r>
      <w:r>
        <w:rPr>
          <w:rFonts w:hint="eastAsia" w:ascii="宋体" w:hAnsi="宋体" w:cs="宋体"/>
          <w:color w:val="auto"/>
          <w:sz w:val="24"/>
          <w:highlight w:val="none"/>
        </w:rPr>
        <w:t>地基基础工程检测、主体结构工程现场检测），且证书在有效期内。如投标人CMA计量认证合格证书中的检测项目与上述名称不同，但表达的意思一致也视为满足该项条件。</w:t>
      </w:r>
    </w:p>
    <w:bookmarkEnd w:id="4"/>
    <w:p w14:paraId="24054F31">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3.5（仅适用于标段二）投标人须具备以下①、②、③资质之一：</w:t>
      </w:r>
    </w:p>
    <w:p w14:paraId="1269D6C9">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①工程勘察综合资质甲级；</w:t>
      </w:r>
    </w:p>
    <w:p w14:paraId="686FBBD6">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②工程勘察专业资质岩土工程甲级资质和工程勘察专业资质工程测量甲级资质；</w:t>
      </w:r>
    </w:p>
    <w:p w14:paraId="484785AB">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③工程勘察专业资质岩土工程勘察（分项）甲级、岩土工程物探测试检测监测（分项）甲级资质和工程勘察专业资质工程测量甲级资质。</w:t>
      </w:r>
    </w:p>
    <w:p w14:paraId="78061CC4">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strike w:val="0"/>
          <w:dstrike w:val="0"/>
          <w:color w:val="auto"/>
          <w:sz w:val="24"/>
          <w:highlight w:val="none"/>
          <w:lang w:val="en-US" w:eastAsia="zh-CN"/>
        </w:rPr>
        <w:t>3.6</w:t>
      </w:r>
      <w:r>
        <w:rPr>
          <w:rFonts w:hint="eastAsia" w:ascii="宋体" w:hAnsi="宋体" w:cs="宋体"/>
          <w:color w:val="auto"/>
          <w:sz w:val="24"/>
          <w:highlight w:val="none"/>
          <w:lang w:val="en-US" w:eastAsia="zh-CN"/>
        </w:rPr>
        <w:t>（仅适用于标段二）投标人须具有质量技术监督部门颁发的CMA计量认证合格证书（CMA计量认证合格证书附表的认证范围覆盖招标主要内容：基坑监测、高支模监测、工程监测与测量），且证书在有效期内。如投标人CMA计量认证合格证书中的检测项目与上述名称不同，但表达的意思一致也视为满足该项条件。</w:t>
      </w:r>
    </w:p>
    <w:p w14:paraId="54EC9F07">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投标人拟委派项目负责人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如为联合体，由联合体主办方委派</w:t>
      </w:r>
      <w:r>
        <w:rPr>
          <w:rFonts w:hint="eastAsia" w:ascii="宋体" w:hAnsi="宋体" w:cs="宋体"/>
          <w:color w:val="auto"/>
          <w:sz w:val="24"/>
          <w:highlight w:val="none"/>
          <w:lang w:eastAsia="zh-CN"/>
        </w:rPr>
        <w:t>）</w:t>
      </w:r>
      <w:r>
        <w:rPr>
          <w:rFonts w:hint="eastAsia" w:ascii="宋体" w:hAnsi="宋体" w:cs="宋体"/>
          <w:color w:val="auto"/>
          <w:sz w:val="24"/>
          <w:highlight w:val="none"/>
        </w:rPr>
        <w:t>要求具备工程类工程师或以上技术职称；</w:t>
      </w:r>
    </w:p>
    <w:p w14:paraId="1F54766F">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投标登记前，投标人（联合体各成员）须在广州交易集团有限公司（广州公共资源交易中心）办理企业信息登记；</w:t>
      </w:r>
    </w:p>
    <w:p w14:paraId="39F78167">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投标人（联合体各成员）已按照招标公告附件一的内容签署盖章的《投标人声明》；</w:t>
      </w:r>
    </w:p>
    <w:p w14:paraId="43AD7DF7">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投标人（联合体各成员）已按照招标公告附件二的内容签署盖章的《投标承诺函》；</w:t>
      </w:r>
    </w:p>
    <w:p w14:paraId="1E475BDE">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本项目</w:t>
      </w:r>
      <w:r>
        <w:rPr>
          <w:rFonts w:hint="eastAsia" w:ascii="宋体" w:hAnsi="宋体" w:cs="宋体"/>
          <w:color w:val="auto"/>
          <w:sz w:val="24"/>
          <w:highlight w:val="none"/>
          <w:lang w:val="en-US" w:eastAsia="zh-CN"/>
        </w:rPr>
        <w:t>标段一、标段二均</w:t>
      </w:r>
      <w:r>
        <w:rPr>
          <w:rFonts w:hint="eastAsia" w:ascii="宋体" w:hAnsi="宋体" w:cs="宋体"/>
          <w:color w:val="auto"/>
          <w:sz w:val="24"/>
          <w:highlight w:val="none"/>
        </w:rPr>
        <w:t>接受联合体投标。</w:t>
      </w:r>
      <w:r>
        <w:rPr>
          <w:rFonts w:hint="eastAsia" w:ascii="宋体" w:hAnsi="宋体" w:cs="宋体"/>
          <w:color w:val="auto"/>
          <w:sz w:val="24"/>
          <w:highlight w:val="none"/>
          <w:lang w:val="en-US" w:eastAsia="zh-CN"/>
        </w:rPr>
        <w:t>标段一、标段二均</w:t>
      </w:r>
      <w:r>
        <w:rPr>
          <w:rFonts w:hint="eastAsia" w:ascii="宋体" w:hAnsi="宋体" w:cs="宋体"/>
          <w:color w:val="auto"/>
          <w:sz w:val="24"/>
          <w:highlight w:val="none"/>
        </w:rPr>
        <w:t>只接受不多于2家单位组成的联合体，并签订联合体协议书（格式见</w:t>
      </w:r>
      <w:r>
        <w:rPr>
          <w:rFonts w:hint="eastAsia" w:ascii="宋体" w:hAnsi="宋体" w:cs="宋体"/>
          <w:color w:val="auto"/>
          <w:sz w:val="24"/>
          <w:highlight w:val="none"/>
          <w:lang w:val="en-US" w:eastAsia="zh-CN"/>
        </w:rPr>
        <w:t>招标公告附件三</w:t>
      </w:r>
      <w:r>
        <w:rPr>
          <w:rFonts w:hint="eastAsia" w:ascii="宋体" w:hAnsi="宋体" w:cs="宋体"/>
          <w:color w:val="auto"/>
          <w:sz w:val="24"/>
          <w:highlight w:val="none"/>
        </w:rPr>
        <w:t>）。联合体共同投标协议应明确约定各方拟承担的工作和责任。</w:t>
      </w:r>
    </w:p>
    <w:p w14:paraId="78AB7350">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注：①参加联合体的各成员不得再以自己的名义单独投标，也不得同时参加两个或两个以上的联合体投标。出现上述情况者，其投标和与此有关的联合体的投标将被拒绝。</w:t>
      </w:r>
    </w:p>
    <w:p w14:paraId="7E87A013">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②投标人拟任本工程的项目负责人必须是联合体主办方的正式员工；以上人员不得重复兼任，须同时附上截止投标前一个月或以上（必须包含2025年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月）有效的社保证明材料，社保证明需能反映参保人在相应单位（含分公司等分支机构）缴纳。</w:t>
      </w:r>
    </w:p>
    <w:p w14:paraId="310CB18E">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③组成联合体的投标人，应在联合体协议中明确承担每一类工程任务（按资质标准划分）的成员单位。在资格审查环节，具有同一专业资质的单位组成联合体的，按照资质等级较低的单位确定资质等级。</w:t>
      </w:r>
    </w:p>
    <w:p w14:paraId="3113BEB3">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投标截止时间前，未被最高人民法院在“信用中国”网站（www.creditchina.gov.cn）或各级信用信息共享平台中列入失信被执行人名单。</w:t>
      </w:r>
    </w:p>
    <w:p w14:paraId="72868DC9">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注：未在招标公告第3条单列的投标人资格要求条件，不作为资审不合格的依据。</w:t>
      </w:r>
      <w:bookmarkStart w:id="5" w:name="_Hlk74093652"/>
    </w:p>
    <w:bookmarkEnd w:id="5"/>
    <w:p w14:paraId="46D54C85">
      <w:pPr>
        <w:spacing w:line="36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t>4. 招标文件的获取</w:t>
      </w:r>
    </w:p>
    <w:p w14:paraId="2ADF9636">
      <w:pPr>
        <w:spacing w:line="360" w:lineRule="auto"/>
        <w:ind w:firstLine="482"/>
        <w:rPr>
          <w:rFonts w:hint="eastAsia" w:ascii="宋体" w:hAnsi="宋体"/>
          <w:color w:val="auto"/>
          <w:sz w:val="24"/>
          <w:highlight w:val="none"/>
        </w:rPr>
      </w:pPr>
      <w:bookmarkStart w:id="6" w:name="_Toc515033014"/>
      <w:bookmarkStart w:id="7" w:name="_Toc511557029"/>
      <w:r>
        <w:rPr>
          <w:rFonts w:ascii="宋体" w:hAnsi="宋体"/>
          <w:color w:val="auto"/>
          <w:sz w:val="24"/>
          <w:highlight w:val="none"/>
        </w:rPr>
        <w:t>4.1 凡有意参加投标者，请于</w:t>
      </w:r>
      <w:r>
        <w:rPr>
          <w:rFonts w:hint="eastAsia" w:ascii="宋体" w:hAnsi="宋体"/>
          <w:color w:val="auto"/>
          <w:sz w:val="24"/>
          <w:highlight w:val="none"/>
          <w:u w:val="single"/>
          <w:lang w:eastAsia="zh-CN"/>
        </w:rPr>
        <w:t>2025</w:t>
      </w:r>
      <w:r>
        <w:rPr>
          <w:rFonts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日00时00 分至</w:t>
      </w:r>
      <w:r>
        <w:rPr>
          <w:rFonts w:hint="eastAsia" w:ascii="宋体" w:hAnsi="宋体"/>
          <w:color w:val="auto"/>
          <w:sz w:val="24"/>
          <w:highlight w:val="none"/>
          <w:u w:val="single"/>
          <w:lang w:eastAsia="zh-CN"/>
        </w:rPr>
        <w:t>2025</w:t>
      </w:r>
      <w:r>
        <w:rPr>
          <w:rFonts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日</w:t>
      </w:r>
      <w:r>
        <w:rPr>
          <w:rFonts w:hint="eastAsia" w:ascii="宋体" w:hAnsi="宋体"/>
          <w:color w:val="auto"/>
          <w:sz w:val="24"/>
          <w:highlight w:val="none"/>
          <w:u w:val="single"/>
          <w:lang w:val="en-US" w:eastAsia="zh-CN"/>
        </w:rPr>
        <w:t>10</w:t>
      </w:r>
      <w:r>
        <w:rPr>
          <w:rFonts w:ascii="宋体" w:hAnsi="宋体"/>
          <w:color w:val="auto"/>
          <w:sz w:val="24"/>
          <w:highlight w:val="none"/>
          <w:u w:val="single"/>
        </w:rPr>
        <w:t>时0</w:t>
      </w:r>
      <w:r>
        <w:rPr>
          <w:rFonts w:hint="eastAsia" w:ascii="宋体" w:hAnsi="宋体"/>
          <w:color w:val="auto"/>
          <w:sz w:val="24"/>
          <w:highlight w:val="none"/>
          <w:u w:val="single"/>
        </w:rPr>
        <w:t>0</w:t>
      </w:r>
      <w:r>
        <w:rPr>
          <w:rFonts w:ascii="宋体" w:hAnsi="宋体"/>
          <w:color w:val="auto"/>
          <w:sz w:val="24"/>
          <w:highlight w:val="none"/>
          <w:u w:val="single"/>
        </w:rPr>
        <w:t>分</w:t>
      </w:r>
      <w:r>
        <w:rPr>
          <w:rFonts w:ascii="宋体" w:hAnsi="宋体"/>
          <w:color w:val="auto"/>
          <w:sz w:val="24"/>
          <w:highlight w:val="none"/>
        </w:rPr>
        <w:t>(北京时间，下同)，登录</w:t>
      </w:r>
      <w:r>
        <w:rPr>
          <w:rFonts w:ascii="宋体" w:hAnsi="宋体"/>
          <w:color w:val="auto"/>
          <w:sz w:val="24"/>
          <w:highlight w:val="none"/>
          <w:u w:val="single"/>
        </w:rPr>
        <w:t>广州公共资源交易中心网站（http://www.gzggzy.cn）（电子招标投标交易平台）</w:t>
      </w:r>
      <w:r>
        <w:rPr>
          <w:rFonts w:ascii="宋体" w:hAnsi="宋体"/>
          <w:color w:val="auto"/>
          <w:sz w:val="24"/>
          <w:highlight w:val="none"/>
        </w:rPr>
        <w:t>下载电子招标文件。</w:t>
      </w:r>
    </w:p>
    <w:p w14:paraId="66AD6358">
      <w:pPr>
        <w:spacing w:line="360" w:lineRule="auto"/>
        <w:ind w:firstLine="482"/>
        <w:jc w:val="left"/>
        <w:rPr>
          <w:rFonts w:ascii="宋体" w:hAnsi="宋体" w:cs="宋体"/>
          <w:color w:val="auto"/>
          <w:sz w:val="24"/>
          <w:szCs w:val="24"/>
          <w:highlight w:val="none"/>
        </w:rPr>
      </w:pPr>
      <w:r>
        <w:rPr>
          <w:color w:val="auto"/>
          <w:sz w:val="24"/>
          <w:highlight w:val="none"/>
        </w:rPr>
        <w:t>4.</w:t>
      </w:r>
      <w:r>
        <w:rPr>
          <w:rFonts w:hint="eastAsia"/>
          <w:color w:val="auto"/>
          <w:sz w:val="24"/>
          <w:highlight w:val="none"/>
        </w:rPr>
        <w:t>2</w:t>
      </w:r>
      <w:r>
        <w:rPr>
          <w:color w:val="auto"/>
          <w:sz w:val="24"/>
          <w:highlight w:val="none"/>
        </w:rPr>
        <w:t xml:space="preserve"> 本项目采用资格后审方式。</w:t>
      </w:r>
    </w:p>
    <w:p w14:paraId="30B9E7C9">
      <w:pPr>
        <w:spacing w:line="360" w:lineRule="auto"/>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5. 发布招标公告、递交投标文件、开标时间</w:t>
      </w:r>
    </w:p>
    <w:p w14:paraId="50851C51">
      <w:pPr>
        <w:spacing w:line="360" w:lineRule="auto"/>
        <w:ind w:left="500" w:leftChars="238"/>
        <w:rPr>
          <w:rFonts w:hint="eastAsia" w:ascii="宋体" w:hAnsi="宋体"/>
          <w:color w:val="auto"/>
          <w:sz w:val="24"/>
          <w:highlight w:val="none"/>
        </w:rPr>
      </w:pPr>
      <w:r>
        <w:rPr>
          <w:rFonts w:hint="eastAsia" w:ascii="宋体" w:hAnsi="宋体"/>
          <w:color w:val="auto"/>
          <w:sz w:val="24"/>
          <w:highlight w:val="none"/>
        </w:rPr>
        <w:t>5.1招标公告发布日期（含本日）：自</w:t>
      </w:r>
      <w:r>
        <w:rPr>
          <w:rFonts w:hint="eastAsia" w:ascii="宋体" w:hAnsi="宋体"/>
          <w:color w:val="auto"/>
          <w:sz w:val="24"/>
          <w:highlight w:val="none"/>
          <w:u w:val="single"/>
          <w:lang w:eastAsia="zh-CN"/>
        </w:rPr>
        <w:t>2025</w:t>
      </w:r>
      <w:r>
        <w:rPr>
          <w:rFonts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日00时00 分至</w:t>
      </w:r>
      <w:r>
        <w:rPr>
          <w:rFonts w:hint="eastAsia" w:ascii="宋体" w:hAnsi="宋体"/>
          <w:color w:val="auto"/>
          <w:sz w:val="24"/>
          <w:highlight w:val="none"/>
          <w:u w:val="single"/>
          <w:lang w:eastAsia="zh-CN"/>
        </w:rPr>
        <w:t>2025</w:t>
      </w:r>
      <w:r>
        <w:rPr>
          <w:rFonts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分</w:t>
      </w:r>
      <w:r>
        <w:rPr>
          <w:rFonts w:hint="eastAsia" w:ascii="宋体" w:hAnsi="宋体"/>
          <w:color w:val="auto"/>
          <w:sz w:val="24"/>
          <w:highlight w:val="none"/>
        </w:rPr>
        <w:t>。</w:t>
      </w:r>
    </w:p>
    <w:p w14:paraId="2CA5FBAA">
      <w:pPr>
        <w:spacing w:line="360" w:lineRule="auto"/>
        <w:ind w:left="210" w:leftChars="100" w:firstLine="297" w:firstLineChars="124"/>
        <w:rPr>
          <w:rFonts w:ascii="宋体" w:hAnsi="宋体"/>
          <w:color w:val="auto"/>
          <w:sz w:val="24"/>
          <w:highlight w:val="none"/>
        </w:rPr>
      </w:pPr>
      <w:r>
        <w:rPr>
          <w:rFonts w:hint="eastAsia" w:ascii="宋体" w:hAnsi="宋体"/>
          <w:color w:val="auto"/>
          <w:sz w:val="24"/>
          <w:highlight w:val="none"/>
        </w:rPr>
        <w:t>注：发布招标公告的时间为招标公告发出之日起至递交投标文件截止时间止。</w:t>
      </w:r>
    </w:p>
    <w:p w14:paraId="2B10F09B">
      <w:pPr>
        <w:spacing w:line="360" w:lineRule="auto"/>
        <w:ind w:left="105" w:leftChars="50" w:firstLine="417" w:firstLineChars="174"/>
        <w:rPr>
          <w:rFonts w:hint="eastAsia" w:ascii="宋体" w:hAnsi="宋体"/>
          <w:color w:val="auto"/>
          <w:spacing w:val="4"/>
          <w:sz w:val="24"/>
          <w:highlight w:val="none"/>
          <w:u w:val="single"/>
        </w:rPr>
      </w:pPr>
      <w:r>
        <w:rPr>
          <w:rFonts w:hint="eastAsia" w:ascii="宋体" w:hAnsi="宋体"/>
          <w:color w:val="auto"/>
          <w:sz w:val="24"/>
          <w:highlight w:val="none"/>
        </w:rPr>
        <w:t>5.2</w:t>
      </w:r>
      <w:r>
        <w:rPr>
          <w:rFonts w:hint="eastAsia" w:ascii="宋体" w:hAnsi="宋体"/>
          <w:color w:val="auto"/>
          <w:spacing w:val="4"/>
          <w:sz w:val="24"/>
          <w:highlight w:val="none"/>
        </w:rPr>
        <w:t>投标人通过</w:t>
      </w:r>
      <w:r>
        <w:rPr>
          <w:rFonts w:hint="eastAsia" w:ascii="宋体" w:hAnsi="宋体"/>
          <w:color w:val="auto"/>
          <w:spacing w:val="4"/>
          <w:sz w:val="24"/>
          <w:highlight w:val="none"/>
          <w:u w:val="single"/>
        </w:rPr>
        <w:t>广州公共资源交易中心</w:t>
      </w:r>
      <w:r>
        <w:rPr>
          <w:rFonts w:hint="eastAsia" w:ascii="宋体" w:hAnsi="宋体"/>
          <w:color w:val="auto"/>
          <w:spacing w:val="4"/>
          <w:sz w:val="24"/>
          <w:highlight w:val="none"/>
        </w:rPr>
        <w:t>交易平台递交电子投标文件。投标人应在递交电子投标文件截止时间前，登陆</w:t>
      </w:r>
      <w:r>
        <w:rPr>
          <w:rFonts w:hint="eastAsia" w:ascii="宋体" w:hAnsi="宋体"/>
          <w:color w:val="auto"/>
          <w:spacing w:val="4"/>
          <w:sz w:val="24"/>
          <w:highlight w:val="none"/>
          <w:u w:val="single"/>
        </w:rPr>
        <w:t>广州公共资源交易中心</w:t>
      </w:r>
      <w:r>
        <w:rPr>
          <w:rFonts w:hint="eastAsia" w:ascii="宋体" w:hAnsi="宋体"/>
          <w:color w:val="auto"/>
          <w:spacing w:val="4"/>
          <w:sz w:val="24"/>
          <w:highlight w:val="none"/>
        </w:rPr>
        <w:t>交易平台网站办理网上投标登记手续。按照交易平台关于全流程电子化项目的相关指南进行操作。详见</w:t>
      </w:r>
      <w:r>
        <w:rPr>
          <w:rFonts w:hint="eastAsia" w:ascii="宋体" w:hAnsi="宋体"/>
          <w:color w:val="auto"/>
          <w:spacing w:val="4"/>
          <w:sz w:val="24"/>
          <w:highlight w:val="none"/>
          <w:u w:val="single"/>
        </w:rPr>
        <w:t>广州公共资源交易中心交易网站</w:t>
      </w:r>
      <w:r>
        <w:rPr>
          <w:color w:val="auto"/>
          <w:sz w:val="24"/>
          <w:highlight w:val="none"/>
          <w:u w:val="single"/>
        </w:rPr>
        <w:t>（网址：http://www.gzggzy.cn）</w:t>
      </w:r>
      <w:r>
        <w:rPr>
          <w:rFonts w:hint="eastAsia" w:ascii="宋体" w:hAnsi="宋体"/>
          <w:color w:val="auto"/>
          <w:spacing w:val="4"/>
          <w:sz w:val="24"/>
          <w:highlight w:val="none"/>
          <w:u w:val="single"/>
        </w:rPr>
        <w:t>。</w:t>
      </w:r>
    </w:p>
    <w:p w14:paraId="0FFCC670">
      <w:pPr>
        <w:spacing w:line="360" w:lineRule="auto"/>
        <w:ind w:firstLine="540" w:firstLineChars="225"/>
        <w:rPr>
          <w:rFonts w:hint="eastAsia" w:ascii="宋体" w:hAnsi="宋体" w:cs="宋体"/>
          <w:color w:val="auto"/>
          <w:kern w:val="0"/>
          <w:sz w:val="24"/>
          <w:szCs w:val="21"/>
          <w:highlight w:val="none"/>
        </w:rPr>
      </w:pPr>
      <w:r>
        <w:rPr>
          <w:rFonts w:hint="eastAsia" w:ascii="宋体" w:hAnsi="宋体"/>
          <w:color w:val="auto"/>
          <w:sz w:val="24"/>
          <w:highlight w:val="none"/>
        </w:rPr>
        <w:t>5.3递交电子投标文件备用光盘时间：</w:t>
      </w:r>
      <w:r>
        <w:rPr>
          <w:rFonts w:hint="eastAsia" w:ascii="宋体" w:hAnsi="宋体"/>
          <w:color w:val="auto"/>
          <w:sz w:val="24"/>
          <w:highlight w:val="none"/>
          <w:u w:val="single"/>
          <w:lang w:eastAsia="zh-CN"/>
        </w:rPr>
        <w:t>2025</w:t>
      </w:r>
      <w:r>
        <w:rPr>
          <w:rFonts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分至</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w:t>
      </w:r>
      <w:r>
        <w:rPr>
          <w:rFonts w:hint="eastAsia" w:ascii="宋体" w:hAnsi="宋体"/>
          <w:color w:val="auto"/>
          <w:sz w:val="24"/>
          <w:highlight w:val="none"/>
        </w:rPr>
        <w:t>，</w:t>
      </w:r>
      <w:r>
        <w:rPr>
          <w:rFonts w:hint="eastAsia" w:ascii="宋体" w:hAnsi="宋体" w:cs="宋体"/>
          <w:color w:val="auto"/>
          <w:kern w:val="0"/>
          <w:sz w:val="24"/>
          <w:highlight w:val="none"/>
        </w:rPr>
        <w:t>递交</w:t>
      </w:r>
      <w:r>
        <w:rPr>
          <w:rFonts w:ascii="宋体" w:hAnsi="宋体" w:cs="宋体"/>
          <w:color w:val="auto"/>
          <w:kern w:val="0"/>
          <w:sz w:val="24"/>
          <w:highlight w:val="none"/>
        </w:rPr>
        <w:t>地点：</w:t>
      </w:r>
      <w:r>
        <w:rPr>
          <w:rFonts w:hint="eastAsia" w:ascii="宋体" w:hAnsi="宋体" w:cs="宋体"/>
          <w:color w:val="auto"/>
          <w:sz w:val="24"/>
          <w:highlight w:val="none"/>
          <w:u w:val="single"/>
        </w:rPr>
        <w:t>本项目具体的招投标活动日程安排及场地安排以广州公共资源交易中心网站公布的为准</w:t>
      </w:r>
      <w:r>
        <w:rPr>
          <w:rFonts w:hint="eastAsia" w:ascii="宋体" w:hAnsi="宋体" w:cs="宋体"/>
          <w:color w:val="auto"/>
          <w:kern w:val="0"/>
          <w:sz w:val="24"/>
          <w:szCs w:val="21"/>
          <w:highlight w:val="none"/>
        </w:rPr>
        <w:t>。电子光盘需按规定封装。投标人在将数据刻录到光盘之后，投标前自行检查文件是否可以读取。</w:t>
      </w:r>
    </w:p>
    <w:p w14:paraId="11C3D796">
      <w:pPr>
        <w:spacing w:line="360" w:lineRule="auto"/>
        <w:ind w:firstLine="537" w:firstLineChars="224"/>
        <w:rPr>
          <w:rFonts w:ascii="宋体" w:hAnsi="宋体" w:cs="宋体"/>
          <w:color w:val="auto"/>
          <w:sz w:val="24"/>
          <w:highlight w:val="none"/>
        </w:rPr>
      </w:pPr>
      <w:r>
        <w:rPr>
          <w:rFonts w:hint="eastAsia" w:ascii="宋体" w:hAnsi="宋体" w:cs="仿宋_GB2312"/>
          <w:color w:val="auto"/>
          <w:sz w:val="24"/>
          <w:highlight w:val="none"/>
        </w:rPr>
        <w:t>5.4开标时间：</w:t>
      </w:r>
      <w:r>
        <w:rPr>
          <w:rFonts w:hint="eastAsia" w:ascii="宋体" w:hAnsi="宋体"/>
          <w:color w:val="auto"/>
          <w:sz w:val="24"/>
          <w:highlight w:val="none"/>
          <w:u w:val="single"/>
          <w:lang w:eastAsia="zh-CN"/>
        </w:rPr>
        <w:t>2025</w:t>
      </w:r>
      <w:r>
        <w:rPr>
          <w:rFonts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w:t>
      </w:r>
      <w:r>
        <w:rPr>
          <w:rFonts w:hint="eastAsia" w:ascii="宋体" w:hAnsi="宋体"/>
          <w:color w:val="auto"/>
          <w:spacing w:val="4"/>
          <w:sz w:val="24"/>
          <w:highlight w:val="none"/>
        </w:rPr>
        <w:t>，地点：</w:t>
      </w:r>
      <w:r>
        <w:rPr>
          <w:rFonts w:hint="eastAsia" w:ascii="宋体" w:hAnsi="宋体" w:cs="宋体"/>
          <w:color w:val="auto"/>
          <w:sz w:val="24"/>
          <w:highlight w:val="none"/>
          <w:u w:val="single"/>
        </w:rPr>
        <w:t>本项目具体的招投标活动日程安排及场地安排以广州公共资源交易中心网站公布的为准</w:t>
      </w:r>
      <w:r>
        <w:rPr>
          <w:rFonts w:hint="eastAsia" w:ascii="宋体" w:hAnsi="宋体" w:cs="宋体"/>
          <w:color w:val="auto"/>
          <w:sz w:val="24"/>
          <w:highlight w:val="none"/>
        </w:rPr>
        <w:t>。</w:t>
      </w:r>
    </w:p>
    <w:p w14:paraId="07D5E65E">
      <w:pPr>
        <w:spacing w:line="360" w:lineRule="auto"/>
        <w:ind w:firstLine="537" w:firstLineChars="224"/>
        <w:rPr>
          <w:rFonts w:hint="eastAsia" w:ascii="宋体" w:hAnsi="宋体" w:cs="宋体"/>
          <w:color w:val="auto"/>
          <w:sz w:val="24"/>
          <w:highlight w:val="none"/>
        </w:rPr>
      </w:pPr>
      <w:r>
        <w:rPr>
          <w:rFonts w:hint="eastAsia" w:ascii="宋体" w:hAnsi="宋体" w:cs="仿宋_GB2312"/>
          <w:color w:val="auto"/>
          <w:sz w:val="24"/>
          <w:highlight w:val="none"/>
        </w:rPr>
        <w:t>5</w:t>
      </w:r>
      <w:r>
        <w:rPr>
          <w:rFonts w:ascii="宋体" w:hAnsi="宋体" w:cs="仿宋_GB2312"/>
          <w:color w:val="auto"/>
          <w:sz w:val="24"/>
          <w:highlight w:val="none"/>
        </w:rPr>
        <w:t>.</w:t>
      </w:r>
      <w:r>
        <w:rPr>
          <w:rFonts w:hint="eastAsia" w:ascii="宋体" w:hAnsi="宋体" w:cs="仿宋_GB2312"/>
          <w:color w:val="auto"/>
          <w:sz w:val="24"/>
          <w:highlight w:val="none"/>
        </w:rPr>
        <w:t>5</w:t>
      </w:r>
      <w:r>
        <w:rPr>
          <w:rFonts w:ascii="宋体" w:hAnsi="宋体" w:cs="仿宋_GB2312"/>
          <w:color w:val="auto"/>
          <w:sz w:val="24"/>
          <w:highlight w:val="none"/>
        </w:rPr>
        <w:t xml:space="preserve"> </w:t>
      </w:r>
      <w:r>
        <w:rPr>
          <w:rFonts w:hint="eastAsia" w:ascii="宋体" w:hAnsi="宋体" w:cs="仿宋_GB2312"/>
          <w:color w:val="auto"/>
          <w:sz w:val="24"/>
          <w:highlight w:val="none"/>
        </w:rPr>
        <w:t>投标文件解密时间：</w:t>
      </w:r>
      <w:r>
        <w:rPr>
          <w:rFonts w:hint="eastAsia" w:ascii="宋体" w:hAnsi="宋体"/>
          <w:color w:val="auto"/>
          <w:sz w:val="24"/>
          <w:highlight w:val="none"/>
          <w:u w:val="single"/>
          <w:lang w:eastAsia="zh-CN"/>
        </w:rPr>
        <w:t>2025</w:t>
      </w:r>
      <w:r>
        <w:rPr>
          <w:rFonts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分至</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w:t>
      </w:r>
      <w:r>
        <w:rPr>
          <w:rFonts w:hint="eastAsia" w:ascii="宋体" w:hAnsi="宋体"/>
          <w:color w:val="auto"/>
          <w:spacing w:val="4"/>
          <w:sz w:val="24"/>
          <w:highlight w:val="none"/>
        </w:rPr>
        <w:t>。</w:t>
      </w:r>
      <w:bookmarkStart w:id="42" w:name="_GoBack"/>
      <w:bookmarkEnd w:id="42"/>
    </w:p>
    <w:p w14:paraId="561872D9">
      <w:pPr>
        <w:spacing w:line="360" w:lineRule="auto"/>
        <w:ind w:firstLine="537" w:firstLineChars="224"/>
        <w:rPr>
          <w:rFonts w:ascii="宋体" w:hAnsi="宋体"/>
          <w:color w:val="auto"/>
          <w:sz w:val="24"/>
          <w:highlight w:val="none"/>
        </w:rPr>
      </w:pPr>
      <w:r>
        <w:rPr>
          <w:rFonts w:hint="eastAsia" w:ascii="宋体" w:hAnsi="宋体" w:cs="仿宋_GB2312"/>
          <w:color w:val="auto"/>
          <w:sz w:val="24"/>
          <w:highlight w:val="none"/>
        </w:rPr>
        <w:t>5</w:t>
      </w:r>
      <w:r>
        <w:rPr>
          <w:rFonts w:ascii="宋体" w:hAnsi="宋体" w:cs="仿宋_GB2312"/>
          <w:color w:val="auto"/>
          <w:sz w:val="24"/>
          <w:highlight w:val="none"/>
        </w:rPr>
        <w:t>.</w:t>
      </w:r>
      <w:r>
        <w:rPr>
          <w:rFonts w:hint="eastAsia" w:ascii="宋体" w:hAnsi="宋体" w:cs="仿宋_GB2312"/>
          <w:color w:val="auto"/>
          <w:sz w:val="24"/>
          <w:highlight w:val="none"/>
        </w:rPr>
        <w:t>6</w:t>
      </w:r>
      <w:r>
        <w:rPr>
          <w:rFonts w:ascii="宋体" w:hAnsi="宋体" w:cs="仿宋_GB2312"/>
          <w:color w:val="auto"/>
          <w:sz w:val="24"/>
          <w:highlight w:val="none"/>
        </w:rPr>
        <w:t xml:space="preserve"> </w:t>
      </w:r>
      <w:r>
        <w:rPr>
          <w:rFonts w:hint="eastAsia" w:ascii="宋体" w:hAnsi="宋体" w:cs="仿宋_GB2312"/>
          <w:color w:val="auto"/>
          <w:sz w:val="24"/>
          <w:highlight w:val="none"/>
        </w:rPr>
        <w:t>递交投标</w:t>
      </w:r>
      <w:r>
        <w:rPr>
          <w:rFonts w:ascii="宋体" w:hAnsi="宋体" w:cs="仿宋_GB2312"/>
          <w:color w:val="auto"/>
          <w:sz w:val="24"/>
          <w:highlight w:val="none"/>
        </w:rPr>
        <w:t>文件截止时间</w:t>
      </w:r>
      <w:r>
        <w:rPr>
          <w:rFonts w:hint="eastAsia" w:ascii="宋体" w:hAnsi="宋体" w:cs="仿宋_GB2312"/>
          <w:color w:val="auto"/>
          <w:sz w:val="24"/>
          <w:highlight w:val="none"/>
        </w:rPr>
        <w:t>及开标时间</w:t>
      </w:r>
      <w:r>
        <w:rPr>
          <w:rFonts w:ascii="宋体" w:hAnsi="宋体" w:cs="仿宋_GB2312"/>
          <w:color w:val="auto"/>
          <w:sz w:val="24"/>
          <w:highlight w:val="none"/>
        </w:rPr>
        <w:t>是否有变化，请密切留意</w:t>
      </w:r>
      <w:r>
        <w:rPr>
          <w:rFonts w:hint="eastAsia" w:ascii="宋体" w:hAnsi="宋体" w:cs="仿宋_GB2312"/>
          <w:color w:val="auto"/>
          <w:sz w:val="24"/>
          <w:highlight w:val="none"/>
        </w:rPr>
        <w:t>广州公共资源交易中心</w:t>
      </w:r>
      <w:r>
        <w:rPr>
          <w:rFonts w:ascii="宋体" w:hAnsi="宋体" w:cs="仿宋_GB2312"/>
          <w:color w:val="auto"/>
          <w:sz w:val="24"/>
          <w:highlight w:val="none"/>
        </w:rPr>
        <w:t>网站的相关信息。</w:t>
      </w:r>
    </w:p>
    <w:p w14:paraId="50C6875D">
      <w:pPr>
        <w:spacing w:line="360" w:lineRule="auto"/>
        <w:ind w:firstLine="537" w:firstLineChars="224"/>
        <w:rPr>
          <w:rFonts w:ascii="宋体" w:hAnsi="宋体"/>
          <w:color w:val="auto"/>
          <w:sz w:val="24"/>
          <w:highlight w:val="none"/>
        </w:rPr>
      </w:pPr>
      <w:r>
        <w:rPr>
          <w:rFonts w:hint="eastAsia" w:ascii="宋体" w:hAnsi="宋体" w:cs="仿宋_GB2312"/>
          <w:color w:val="auto"/>
          <w:sz w:val="24"/>
          <w:highlight w:val="none"/>
        </w:rPr>
        <w:t>5</w:t>
      </w:r>
      <w:r>
        <w:rPr>
          <w:rFonts w:ascii="宋体" w:hAnsi="宋体" w:cs="仿宋_GB2312"/>
          <w:color w:val="auto"/>
          <w:sz w:val="24"/>
          <w:highlight w:val="none"/>
        </w:rPr>
        <w:t>.</w:t>
      </w:r>
      <w:r>
        <w:rPr>
          <w:rFonts w:hint="eastAsia" w:ascii="宋体" w:hAnsi="宋体" w:cs="仿宋_GB2312"/>
          <w:color w:val="auto"/>
          <w:sz w:val="24"/>
          <w:highlight w:val="none"/>
        </w:rPr>
        <w:t>7逾期送达的投标文件，电子招标投标交易平台将予以拒收。</w:t>
      </w:r>
    </w:p>
    <w:bookmarkEnd w:id="6"/>
    <w:bookmarkEnd w:id="7"/>
    <w:p w14:paraId="6BE54034">
      <w:pPr>
        <w:pStyle w:val="5"/>
        <w:spacing w:before="0" w:after="0" w:line="360" w:lineRule="auto"/>
        <w:jc w:val="left"/>
        <w:rPr>
          <w:rFonts w:ascii="宋体" w:hAnsi="宋体" w:eastAsia="宋体" w:cs="宋体"/>
          <w:color w:val="auto"/>
          <w:sz w:val="28"/>
          <w:szCs w:val="28"/>
          <w:highlight w:val="none"/>
        </w:rPr>
      </w:pPr>
      <w:bookmarkStart w:id="8" w:name="_Toc511557030"/>
      <w:bookmarkStart w:id="9" w:name="_Toc515033015"/>
      <w:r>
        <w:rPr>
          <w:rFonts w:hint="eastAsia" w:ascii="宋体" w:hAnsi="宋体" w:eastAsia="宋体" w:cs="宋体"/>
          <w:color w:val="auto"/>
          <w:sz w:val="28"/>
          <w:szCs w:val="28"/>
          <w:highlight w:val="none"/>
        </w:rPr>
        <w:t>6. 发布公告的媒介</w:t>
      </w:r>
      <w:bookmarkEnd w:id="8"/>
      <w:bookmarkEnd w:id="9"/>
    </w:p>
    <w:p w14:paraId="4984007C">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本次招标公告同时在</w:t>
      </w:r>
      <w:r>
        <w:rPr>
          <w:rFonts w:hint="eastAsia" w:ascii="宋体" w:hAnsi="宋体" w:cs="宋体"/>
          <w:color w:val="auto"/>
          <w:sz w:val="24"/>
          <w:szCs w:val="24"/>
          <w:highlight w:val="none"/>
          <w:u w:val="single"/>
        </w:rPr>
        <w:t>广州公共资源交易网（网址：http://www.gzggzy.cn）、中国招标投标公共服务平台（网址：http://www.cebpubservice.com/）、广东省招标投标监管网(网址：</w:t>
      </w:r>
      <w:r>
        <w:rPr>
          <w:rStyle w:val="16"/>
          <w:rFonts w:ascii="宋体" w:hAnsi="宋体" w:cs="宋体"/>
          <w:color w:val="auto"/>
          <w:sz w:val="24"/>
          <w:szCs w:val="24"/>
          <w:highlight w:val="none"/>
        </w:rPr>
        <w:t>http://zbtb.gd.gov.cn</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发布，本公告的修改、补充，在广州公共资源交易网发布。本公告在各媒体发布的文本如有不同之处，以在广州公共资源交易网发布的文本为准。</w:t>
      </w:r>
    </w:p>
    <w:p w14:paraId="3FDDF7B4">
      <w:pPr>
        <w:pStyle w:val="5"/>
        <w:spacing w:before="0" w:after="0" w:line="360" w:lineRule="auto"/>
        <w:jc w:val="left"/>
        <w:rPr>
          <w:rFonts w:ascii="宋体" w:hAnsi="宋体" w:eastAsia="宋体" w:cs="宋体"/>
          <w:color w:val="auto"/>
          <w:sz w:val="28"/>
          <w:szCs w:val="28"/>
          <w:highlight w:val="none"/>
        </w:rPr>
      </w:pPr>
      <w:bookmarkStart w:id="10" w:name="_Toc511557031"/>
      <w:bookmarkStart w:id="11" w:name="_Toc515033016"/>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 联系方式</w:t>
      </w:r>
      <w:bookmarkEnd w:id="10"/>
      <w:bookmarkEnd w:id="11"/>
    </w:p>
    <w:p w14:paraId="19D93C69">
      <w:pPr>
        <w:snapToGrid w:val="0"/>
        <w:spacing w:line="360" w:lineRule="auto"/>
        <w:ind w:firstLine="480" w:firstLineChars="200"/>
        <w:rPr>
          <w:rFonts w:hint="eastAsia" w:ascii="宋体" w:hAnsi="宋体" w:eastAsia="宋体" w:cs="宋体"/>
          <w:color w:val="auto"/>
          <w:sz w:val="24"/>
          <w:highlight w:val="none"/>
          <w:u w:val="single"/>
          <w:lang w:eastAsia="zh-CN"/>
        </w:rPr>
      </w:pPr>
      <w:bookmarkStart w:id="12" w:name="_Toc384308188"/>
      <w:bookmarkEnd w:id="12"/>
      <w:bookmarkStart w:id="13" w:name="_Toc369531495"/>
      <w:bookmarkEnd w:id="13"/>
      <w:bookmarkStart w:id="14" w:name="_Toc352691455"/>
      <w:bookmarkEnd w:id="14"/>
      <w:bookmarkStart w:id="15" w:name="_Toc17972"/>
      <w:bookmarkEnd w:id="15"/>
      <w:bookmarkStart w:id="16" w:name="_Toc152042288"/>
      <w:bookmarkEnd w:id="16"/>
      <w:bookmarkStart w:id="17" w:name="_Toc384308185"/>
      <w:bookmarkEnd w:id="17"/>
      <w:bookmarkStart w:id="18" w:name="_Toc300834929"/>
      <w:bookmarkEnd w:id="18"/>
      <w:bookmarkStart w:id="19" w:name="_Toc352691453"/>
      <w:bookmarkEnd w:id="19"/>
      <w:bookmarkStart w:id="20" w:name="_Toc144974481"/>
      <w:bookmarkEnd w:id="20"/>
      <w:bookmarkStart w:id="21" w:name="_Toc361508563"/>
      <w:bookmarkEnd w:id="21"/>
      <w:bookmarkStart w:id="22" w:name="_Toc369531497"/>
      <w:bookmarkEnd w:id="22"/>
      <w:bookmarkStart w:id="23" w:name="_Toc247527536"/>
      <w:bookmarkEnd w:id="23"/>
      <w:bookmarkStart w:id="24" w:name="_Toc247527535"/>
      <w:bookmarkEnd w:id="24"/>
      <w:bookmarkStart w:id="25" w:name="_Toc369531498"/>
      <w:bookmarkEnd w:id="25"/>
      <w:bookmarkStart w:id="26" w:name="_Toc144974480"/>
      <w:bookmarkEnd w:id="26"/>
      <w:bookmarkStart w:id="27" w:name="_Toc352691456"/>
      <w:bookmarkEnd w:id="27"/>
      <w:bookmarkStart w:id="28" w:name="_Toc152045512"/>
      <w:bookmarkEnd w:id="28"/>
      <w:bookmarkStart w:id="29" w:name="_Toc152045513"/>
      <w:bookmarkEnd w:id="29"/>
      <w:bookmarkStart w:id="30" w:name="_Toc361508560"/>
      <w:bookmarkEnd w:id="30"/>
      <w:bookmarkStart w:id="31" w:name="_Toc384308187"/>
      <w:bookmarkEnd w:id="31"/>
      <w:bookmarkStart w:id="32" w:name="_Toc10785"/>
      <w:bookmarkEnd w:id="32"/>
      <w:bookmarkStart w:id="33" w:name="_Toc361508562"/>
      <w:bookmarkEnd w:id="33"/>
      <w:bookmarkStart w:id="34" w:name="_Toc247513934"/>
      <w:bookmarkEnd w:id="34"/>
      <w:bookmarkStart w:id="35" w:name="_Toc247513935"/>
      <w:bookmarkEnd w:id="35"/>
      <w:bookmarkStart w:id="36" w:name="_Toc152042289"/>
      <w:bookmarkEnd w:id="36"/>
      <w:bookmarkStart w:id="37" w:name="_Toc30817"/>
      <w:bookmarkEnd w:id="37"/>
      <w:bookmarkStart w:id="38" w:name="_Toc300834930"/>
      <w:bookmarkEnd w:id="38"/>
      <w:bookmarkStart w:id="39" w:name="_Toc300834927"/>
      <w:bookmarkEnd w:id="39"/>
      <w:bookmarkStart w:id="40" w:name="_Hlk73475959"/>
      <w:r>
        <w:rPr>
          <w:rFonts w:hint="eastAsia" w:ascii="宋体" w:hAnsi="宋体" w:cs="宋体"/>
          <w:color w:val="auto"/>
          <w:sz w:val="24"/>
          <w:highlight w:val="none"/>
        </w:rPr>
        <w:t>招</w:t>
      </w:r>
      <w:r>
        <w:rPr>
          <w:rFonts w:ascii="宋体" w:hAnsi="宋体" w:cs="宋体"/>
          <w:color w:val="auto"/>
          <w:sz w:val="24"/>
          <w:highlight w:val="none"/>
        </w:rPr>
        <w:t xml:space="preserve"> </w:t>
      </w:r>
      <w:r>
        <w:rPr>
          <w:rFonts w:hint="eastAsia" w:ascii="宋体" w:hAnsi="宋体" w:cs="宋体"/>
          <w:color w:val="auto"/>
          <w:sz w:val="24"/>
          <w:highlight w:val="none"/>
        </w:rPr>
        <w:t xml:space="preserve">  标</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人：</w:t>
      </w:r>
      <w:r>
        <w:rPr>
          <w:rFonts w:hint="eastAsia" w:ascii="宋体" w:hAnsi="宋体" w:cs="宋体"/>
          <w:color w:val="auto"/>
          <w:sz w:val="24"/>
          <w:highlight w:val="none"/>
          <w:u w:val="single"/>
          <w:lang w:eastAsia="zh-CN"/>
        </w:rPr>
        <w:t>广州南沙广业生态发展有限公司</w:t>
      </w:r>
    </w:p>
    <w:p w14:paraId="2972F987">
      <w:pPr>
        <w:snapToGrid w:val="0"/>
        <w:spacing w:line="360" w:lineRule="auto"/>
        <w:ind w:firstLine="480" w:firstLineChars="200"/>
        <w:rPr>
          <w:rFonts w:hint="default" w:ascii="宋体" w:hAnsi="宋体" w:eastAsia="宋体" w:cs="宋体"/>
          <w:color w:val="auto"/>
          <w:sz w:val="24"/>
          <w:highlight w:val="none"/>
          <w:u w:val="single"/>
          <w:lang w:val="en-US" w:eastAsia="zh-CN"/>
        </w:rPr>
      </w:pPr>
      <w:r>
        <w:rPr>
          <w:rFonts w:ascii="宋体" w:hAnsi="宋体" w:cs="宋体"/>
          <w:color w:val="auto"/>
          <w:sz w:val="24"/>
          <w:highlight w:val="none"/>
        </w:rPr>
        <w:t xml:space="preserve">地   </w:t>
      </w:r>
      <w:r>
        <w:rPr>
          <w:rFonts w:hint="eastAsia" w:ascii="宋体" w:hAnsi="宋体" w:cs="宋体"/>
          <w:color w:val="auto"/>
          <w:sz w:val="24"/>
          <w:highlight w:val="none"/>
        </w:rPr>
        <w:t xml:space="preserve">    </w:t>
      </w:r>
      <w:r>
        <w:rPr>
          <w:rFonts w:ascii="宋体" w:hAnsi="宋体" w:cs="宋体"/>
          <w:color w:val="auto"/>
          <w:sz w:val="24"/>
          <w:highlight w:val="none"/>
        </w:rPr>
        <w:t xml:space="preserve"> 址：</w:t>
      </w:r>
      <w:r>
        <w:rPr>
          <w:rFonts w:hint="eastAsia" w:ascii="宋体" w:hAnsi="宋体"/>
          <w:color w:val="auto"/>
          <w:sz w:val="24"/>
          <w:highlight w:val="none"/>
          <w:u w:val="single"/>
          <w:lang w:val="en-US" w:eastAsia="zh-CN"/>
        </w:rPr>
        <w:t>广州市南沙区万顷沙镇兴举二路1号</w:t>
      </w:r>
    </w:p>
    <w:p w14:paraId="25F3AB3D">
      <w:pPr>
        <w:snapToGrid w:val="0"/>
        <w:spacing w:line="360" w:lineRule="auto"/>
        <w:ind w:firstLine="480" w:firstLineChars="200"/>
        <w:rPr>
          <w:rFonts w:hint="default" w:ascii="宋体" w:hAnsi="宋体" w:eastAsia="宋体" w:cs="宋体"/>
          <w:color w:val="auto"/>
          <w:sz w:val="24"/>
          <w:highlight w:val="none"/>
          <w:u w:val="single"/>
          <w:lang w:val="en-US" w:eastAsia="zh-CN"/>
        </w:rPr>
      </w:pPr>
      <w:r>
        <w:rPr>
          <w:rFonts w:ascii="宋体" w:hAnsi="宋体" w:cs="宋体"/>
          <w:color w:val="auto"/>
          <w:sz w:val="24"/>
          <w:highlight w:val="none"/>
        </w:rPr>
        <w:t xml:space="preserve">联 </w:t>
      </w:r>
      <w:r>
        <w:rPr>
          <w:rFonts w:hint="eastAsia" w:ascii="宋体" w:hAnsi="宋体" w:cs="宋体"/>
          <w:color w:val="auto"/>
          <w:sz w:val="24"/>
          <w:highlight w:val="none"/>
        </w:rPr>
        <w:t xml:space="preserve">  </w:t>
      </w:r>
      <w:r>
        <w:rPr>
          <w:rFonts w:ascii="宋体" w:hAnsi="宋体" w:cs="宋体"/>
          <w:color w:val="auto"/>
          <w:sz w:val="24"/>
          <w:highlight w:val="none"/>
        </w:rPr>
        <w:t xml:space="preserve">系 </w:t>
      </w:r>
      <w:r>
        <w:rPr>
          <w:rFonts w:hint="eastAsia" w:ascii="宋体" w:hAnsi="宋体" w:cs="宋体"/>
          <w:color w:val="auto"/>
          <w:sz w:val="24"/>
          <w:highlight w:val="none"/>
        </w:rPr>
        <w:t xml:space="preserve">  </w:t>
      </w:r>
      <w:r>
        <w:rPr>
          <w:rFonts w:ascii="宋体" w:hAnsi="宋体" w:cs="宋体"/>
          <w:color w:val="auto"/>
          <w:sz w:val="24"/>
          <w:highlight w:val="none"/>
        </w:rPr>
        <w:t>人：</w:t>
      </w:r>
      <w:r>
        <w:rPr>
          <w:rFonts w:hint="eastAsia" w:ascii="宋体" w:hAnsi="宋体" w:cs="宋体"/>
          <w:color w:val="auto"/>
          <w:sz w:val="24"/>
          <w:highlight w:val="none"/>
          <w:u w:val="single"/>
          <w:lang w:val="en-US" w:eastAsia="zh-CN"/>
        </w:rPr>
        <w:t>李经理</w:t>
      </w:r>
      <w:r>
        <w:rPr>
          <w:rFonts w:hint="eastAsia" w:ascii="宋体" w:hAnsi="宋体"/>
          <w:color w:val="auto"/>
          <w:sz w:val="24"/>
          <w:highlight w:val="none"/>
        </w:rPr>
        <w:t xml:space="preserve">            联系电话：</w:t>
      </w:r>
      <w:r>
        <w:rPr>
          <w:rFonts w:hint="eastAsia" w:ascii="宋体" w:hAnsi="宋体"/>
          <w:color w:val="auto"/>
          <w:sz w:val="24"/>
          <w:highlight w:val="none"/>
          <w:u w:val="single"/>
          <w:lang w:val="en-US" w:eastAsia="zh-CN"/>
        </w:rPr>
        <w:t>020-22160079</w:t>
      </w:r>
    </w:p>
    <w:p w14:paraId="0AAC1DE0">
      <w:pPr>
        <w:snapToGrid w:val="0"/>
        <w:spacing w:line="360" w:lineRule="auto"/>
        <w:ind w:firstLine="480" w:firstLineChars="200"/>
        <w:rPr>
          <w:rFonts w:hint="eastAsia" w:ascii="宋体" w:hAnsi="宋体" w:cs="宋体"/>
          <w:color w:val="auto"/>
          <w:sz w:val="24"/>
          <w:highlight w:val="none"/>
        </w:rPr>
      </w:pPr>
    </w:p>
    <w:p w14:paraId="7C95232F">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lang w:val="en-US" w:eastAsia="zh-CN"/>
        </w:rPr>
        <w:t>广东省国际工程咨询有限公司</w:t>
      </w:r>
    </w:p>
    <w:p w14:paraId="14DCA079">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地    址：广州市越秀区环市中路316号金鹰大厦</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楼</w:t>
      </w:r>
    </w:p>
    <w:p w14:paraId="26B0CE76">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i w:val="0"/>
          <w:iCs w:val="0"/>
          <w:color w:val="auto"/>
          <w:sz w:val="24"/>
          <w:highlight w:val="none"/>
          <w:u w:val="single"/>
          <w:lang w:val="en-US" w:eastAsia="zh-CN"/>
        </w:rPr>
        <w:t>梁鸿茵</w:t>
      </w:r>
      <w:r>
        <w:rPr>
          <w:rFonts w:hint="eastAsia" w:ascii="宋体" w:hAnsi="宋体" w:cs="宋体"/>
          <w:color w:val="auto"/>
          <w:sz w:val="24"/>
          <w:highlight w:val="none"/>
        </w:rPr>
        <w:tab/>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val="en-US" w:eastAsia="zh-CN"/>
        </w:rPr>
        <w:t>020-83543598</w:t>
      </w:r>
    </w:p>
    <w:p w14:paraId="73D11167">
      <w:pPr>
        <w:snapToGrid w:val="0"/>
        <w:spacing w:line="360" w:lineRule="auto"/>
        <w:ind w:firstLine="480" w:firstLineChars="200"/>
        <w:rPr>
          <w:rFonts w:hint="eastAsia" w:ascii="宋体" w:hAnsi="宋体" w:cs="宋体"/>
          <w:color w:val="auto"/>
          <w:sz w:val="24"/>
          <w:highlight w:val="none"/>
        </w:rPr>
      </w:pPr>
    </w:p>
    <w:p w14:paraId="50F82981">
      <w:pPr>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广州南沙广业生态发展有限公司</w:t>
      </w:r>
    </w:p>
    <w:p w14:paraId="51C0065C">
      <w:pPr>
        <w:snapToGrid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异议受理电话：</w:t>
      </w:r>
      <w:r>
        <w:rPr>
          <w:rFonts w:hint="eastAsia" w:ascii="宋体" w:hAnsi="宋体"/>
          <w:color w:val="auto"/>
          <w:sz w:val="24"/>
          <w:highlight w:val="none"/>
          <w:u w:val="single"/>
          <w:lang w:val="en-US" w:eastAsia="zh-CN"/>
        </w:rPr>
        <w:t>020-22160079</w:t>
      </w:r>
    </w:p>
    <w:p w14:paraId="18EE2F11">
      <w:pPr>
        <w:snapToGrid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地        址：</w:t>
      </w:r>
      <w:bookmarkEnd w:id="40"/>
      <w:r>
        <w:rPr>
          <w:rFonts w:hint="eastAsia" w:ascii="宋体" w:hAnsi="宋体"/>
          <w:color w:val="auto"/>
          <w:sz w:val="24"/>
          <w:highlight w:val="none"/>
          <w:u w:val="single"/>
          <w:lang w:val="en-US" w:eastAsia="zh-CN"/>
        </w:rPr>
        <w:t>李经理</w:t>
      </w:r>
    </w:p>
    <w:p w14:paraId="132972D9">
      <w:pPr>
        <w:snapToGrid w:val="0"/>
        <w:spacing w:line="360" w:lineRule="auto"/>
        <w:ind w:firstLine="480" w:firstLineChars="200"/>
        <w:rPr>
          <w:rFonts w:hint="eastAsia" w:ascii="宋体" w:hAnsi="宋体" w:cs="宋体"/>
          <w:color w:val="auto"/>
          <w:sz w:val="24"/>
          <w:highlight w:val="none"/>
        </w:rPr>
      </w:pPr>
    </w:p>
    <w:p w14:paraId="48DC7655">
      <w:pPr>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招标监督机构：广东省广业环保产业集团有限公司</w:t>
      </w:r>
    </w:p>
    <w:p w14:paraId="542EC128">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招标监督电话：</w:t>
      </w:r>
      <w:r>
        <w:rPr>
          <w:rFonts w:hint="eastAsia" w:ascii="宋体" w:hAnsi="宋体" w:cs="宋体"/>
          <w:b w:val="0"/>
          <w:bCs/>
          <w:color w:val="auto"/>
          <w:sz w:val="24"/>
          <w:szCs w:val="24"/>
          <w:highlight w:val="none"/>
        </w:rPr>
        <w:t>020-38116803</w:t>
      </w:r>
    </w:p>
    <w:p w14:paraId="3FA7E3F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址：广州市越秀区越华路112号珠江国际大厦9楼</w:t>
      </w:r>
    </w:p>
    <w:p w14:paraId="4146B42B">
      <w:pPr>
        <w:snapToGrid w:val="0"/>
        <w:spacing w:line="400" w:lineRule="exact"/>
        <w:rPr>
          <w:rFonts w:hint="eastAsia" w:ascii="宋体" w:hAnsi="宋体" w:cs="宋体"/>
          <w:color w:val="auto"/>
          <w:sz w:val="24"/>
          <w:highlight w:val="none"/>
        </w:rPr>
      </w:pPr>
    </w:p>
    <w:p w14:paraId="7D79FAD8">
      <w:pPr>
        <w:snapToGrid/>
        <w:spacing w:line="240" w:lineRule="auto"/>
        <w:rPr>
          <w:rFonts w:ascii="宋体" w:hAnsi="宋体" w:cs="宋体"/>
          <w:color w:val="auto"/>
          <w:sz w:val="24"/>
          <w:highlight w:val="none"/>
        </w:rPr>
      </w:pPr>
      <w:r>
        <w:rPr>
          <w:rFonts w:ascii="宋体" w:hAnsi="宋体" w:cs="宋体"/>
          <w:color w:val="auto"/>
          <w:sz w:val="24"/>
          <w:highlight w:val="none"/>
        </w:rPr>
        <w:br w:type="page"/>
      </w:r>
    </w:p>
    <w:p w14:paraId="45319096">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附件一：</w:t>
      </w:r>
    </w:p>
    <w:p w14:paraId="710F11B3">
      <w:pPr>
        <w:widowControl/>
        <w:snapToGrid w:val="0"/>
        <w:spacing w:before="260" w:after="260" w:line="360" w:lineRule="auto"/>
        <w:ind w:right="384"/>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投标人声明</w:t>
      </w:r>
    </w:p>
    <w:p w14:paraId="207C8EAA">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本招标项目招标人及招标监管机构：</w:t>
      </w:r>
    </w:p>
    <w:p w14:paraId="2005085A">
      <w:pPr>
        <w:spacing w:line="360" w:lineRule="auto"/>
        <w:ind w:firstLine="480" w:firstLineChars="200"/>
        <w:rPr>
          <w:rFonts w:hint="eastAsia"/>
          <w:color w:val="auto"/>
          <w:sz w:val="24"/>
          <w:highlight w:val="none"/>
        </w:rPr>
      </w:pPr>
      <w:r>
        <w:rPr>
          <w:rFonts w:hint="eastAsia"/>
          <w:color w:val="auto"/>
          <w:sz w:val="24"/>
          <w:highlight w:val="none"/>
        </w:rPr>
        <w:t>本公司就参加</w:t>
      </w:r>
      <w:r>
        <w:rPr>
          <w:rFonts w:hint="eastAsia"/>
          <w:color w:val="auto"/>
          <w:sz w:val="24"/>
          <w:highlight w:val="none"/>
          <w:u w:val="single"/>
        </w:rPr>
        <w:t xml:space="preserve">                              </w:t>
      </w:r>
      <w:r>
        <w:rPr>
          <w:rFonts w:hint="eastAsia"/>
          <w:color w:val="auto"/>
          <w:sz w:val="24"/>
          <w:highlight w:val="none"/>
        </w:rPr>
        <w:t>投标工作，作出郑重声明：</w:t>
      </w:r>
    </w:p>
    <w:p w14:paraId="241AD3CD">
      <w:pPr>
        <w:spacing w:line="360" w:lineRule="auto"/>
        <w:ind w:firstLine="480" w:firstLineChars="200"/>
        <w:rPr>
          <w:color w:val="auto"/>
          <w:sz w:val="24"/>
          <w:highlight w:val="none"/>
        </w:rPr>
      </w:pPr>
      <w:r>
        <w:rPr>
          <w:color w:val="auto"/>
          <w:sz w:val="24"/>
          <w:highlight w:val="none"/>
        </w:rPr>
        <w:t>一、本公司保证投标资格审查材料及其后提供的一切材料都是真实的，如我司成为本项目中标候选人，我司同意并授权招标人将我司投标文件商务部分文件的所有内容（包括报价清单、人员、业绩、奖项等资料）进行公开。</w:t>
      </w:r>
    </w:p>
    <w:p w14:paraId="260CC71A">
      <w:pPr>
        <w:spacing w:line="360" w:lineRule="auto"/>
        <w:ind w:firstLine="480" w:firstLineChars="200"/>
        <w:rPr>
          <w:color w:val="auto"/>
          <w:sz w:val="24"/>
          <w:highlight w:val="none"/>
        </w:rPr>
      </w:pPr>
      <w:r>
        <w:rPr>
          <w:color w:val="auto"/>
          <w:sz w:val="24"/>
          <w:highlight w:val="none"/>
        </w:rPr>
        <w:t>二、本公司保证在本项目投标中不与其他单位围标、串标，不出让投标资格，不向招标人或评标委员会成员行贿。</w:t>
      </w:r>
    </w:p>
    <w:p w14:paraId="7C256CC3">
      <w:pPr>
        <w:spacing w:line="360" w:lineRule="auto"/>
        <w:ind w:firstLine="480" w:firstLineChars="200"/>
        <w:rPr>
          <w:rFonts w:hint="eastAsia" w:ascii="宋体" w:hAnsi="宋体" w:cs="宋体"/>
          <w:b/>
          <w:bCs/>
          <w:color w:val="auto"/>
          <w:sz w:val="24"/>
          <w:highlight w:val="none"/>
        </w:rPr>
      </w:pPr>
      <w:r>
        <w:rPr>
          <w:color w:val="auto"/>
          <w:sz w:val="24"/>
          <w:highlight w:val="none"/>
        </w:rPr>
        <w:t>三、本公司没有处于被责令停业的状态；没有处于被建设行政主管部门取消投标资格的处罚期内；没有处于财产被接管、冻结、破产的状态；本公司没有在投标</w:t>
      </w:r>
      <w:r>
        <w:rPr>
          <w:rFonts w:hint="eastAsia"/>
          <w:color w:val="auto"/>
          <w:sz w:val="24"/>
          <w:highlight w:val="none"/>
        </w:rPr>
        <w:t>登记</w:t>
      </w:r>
      <w:r>
        <w:rPr>
          <w:color w:val="auto"/>
          <w:sz w:val="24"/>
          <w:highlight w:val="none"/>
        </w:rPr>
        <w:t>截止时间前三年内被人民法院判决犯有行贿罪的记录。投标</w:t>
      </w:r>
      <w:r>
        <w:rPr>
          <w:rFonts w:hint="eastAsia"/>
          <w:color w:val="auto"/>
          <w:sz w:val="24"/>
          <w:highlight w:val="none"/>
        </w:rPr>
        <w:t>登记</w:t>
      </w:r>
      <w:r>
        <w:rPr>
          <w:color w:val="auto"/>
          <w:sz w:val="24"/>
          <w:highlight w:val="none"/>
        </w:rPr>
        <w:t>截止日期前三年内，本公司没有弄虚作假骗取中标、围标串标行为（以行政主管部门或 法院或检察院书面认定为准），本公司没有被人民法院列入失信被执行人名单。在投标</w:t>
      </w:r>
      <w:r>
        <w:rPr>
          <w:rFonts w:hint="eastAsia"/>
          <w:color w:val="auto"/>
          <w:sz w:val="24"/>
          <w:highlight w:val="none"/>
        </w:rPr>
        <w:t>登记</w:t>
      </w:r>
      <w:r>
        <w:rPr>
          <w:color w:val="auto"/>
          <w:sz w:val="24"/>
          <w:highlight w:val="none"/>
        </w:rPr>
        <w:t>截止日期前三年内没有建设行政主管部门</w:t>
      </w:r>
      <w:r>
        <w:rPr>
          <w:rFonts w:hint="eastAsia"/>
          <w:color w:val="auto"/>
          <w:sz w:val="24"/>
          <w:highlight w:val="none"/>
          <w:lang w:val="en-US" w:eastAsia="zh-CN"/>
        </w:rPr>
        <w:t>已</w:t>
      </w:r>
      <w:r>
        <w:rPr>
          <w:color w:val="auto"/>
          <w:sz w:val="24"/>
          <w:highlight w:val="none"/>
        </w:rPr>
        <w:t>书面认定的重大工程质量问题。本公司未在以往工程中因不诚信行为或不充分履约行为被本项目招标人书面拒绝投标；</w:t>
      </w:r>
      <w:r>
        <w:rPr>
          <w:rFonts w:hint="eastAsia" w:ascii="宋体" w:hAnsi="宋体" w:cs="宋体"/>
          <w:b/>
          <w:bCs/>
          <w:color w:val="auto"/>
          <w:sz w:val="24"/>
          <w:highlight w:val="none"/>
        </w:rPr>
        <w:t>本公司自202</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年1月1日至今未因以往</w:t>
      </w:r>
      <w:r>
        <w:rPr>
          <w:rFonts w:hint="eastAsia" w:ascii="宋体" w:hAnsi="宋体" w:cs="宋体"/>
          <w:b/>
          <w:bCs/>
          <w:color w:val="auto"/>
          <w:sz w:val="24"/>
          <w:highlight w:val="none"/>
          <w:lang w:val="en-US" w:eastAsia="zh-CN"/>
        </w:rPr>
        <w:t>检测</w:t>
      </w:r>
      <w:r>
        <w:rPr>
          <w:rFonts w:hint="eastAsia" w:ascii="宋体" w:hAnsi="宋体" w:cs="宋体"/>
          <w:b/>
          <w:bCs/>
          <w:color w:val="auto"/>
          <w:sz w:val="24"/>
          <w:highlight w:val="none"/>
        </w:rPr>
        <w:t>监测工作中存在伪造监测数据、出具虚假</w:t>
      </w:r>
      <w:r>
        <w:rPr>
          <w:rFonts w:hint="eastAsia" w:ascii="宋体" w:hAnsi="宋体" w:cs="宋体"/>
          <w:b/>
          <w:bCs/>
          <w:color w:val="auto"/>
          <w:sz w:val="24"/>
          <w:highlight w:val="none"/>
          <w:lang w:val="en-US" w:eastAsia="zh-CN"/>
        </w:rPr>
        <w:t>检测</w:t>
      </w:r>
      <w:r>
        <w:rPr>
          <w:rFonts w:hint="eastAsia" w:ascii="宋体" w:hAnsi="宋体" w:cs="宋体"/>
          <w:b/>
          <w:bCs/>
          <w:color w:val="auto"/>
          <w:sz w:val="24"/>
          <w:highlight w:val="none"/>
        </w:rPr>
        <w:t>监测报告的行为被各级建设行政主管部门或市场监督管理部门行政处罚或通报的。</w:t>
      </w:r>
    </w:p>
    <w:p w14:paraId="4CECADF1">
      <w:pPr>
        <w:spacing w:line="360" w:lineRule="auto"/>
        <w:ind w:firstLine="480" w:firstLineChars="200"/>
        <w:rPr>
          <w:color w:val="auto"/>
          <w:sz w:val="24"/>
          <w:highlight w:val="none"/>
        </w:rPr>
      </w:pPr>
      <w:r>
        <w:rPr>
          <w:color w:val="auto"/>
          <w:sz w:val="24"/>
          <w:highlight w:val="none"/>
        </w:rPr>
        <w:t>四</w:t>
      </w:r>
      <w:r>
        <w:rPr>
          <w:rFonts w:hint="eastAsia"/>
          <w:color w:val="auto"/>
          <w:sz w:val="24"/>
          <w:highlight w:val="none"/>
        </w:rPr>
        <w:t>、本公司不存在招标文件第二章投标人须知第1.4.3项所规定的任何一种情形。</w:t>
      </w:r>
    </w:p>
    <w:p w14:paraId="456E5A46">
      <w:pPr>
        <w:spacing w:line="360" w:lineRule="auto"/>
        <w:ind w:firstLine="480" w:firstLineChars="200"/>
        <w:rPr>
          <w:color w:val="auto"/>
          <w:sz w:val="24"/>
          <w:highlight w:val="none"/>
        </w:rPr>
      </w:pPr>
      <w:r>
        <w:rPr>
          <w:color w:val="auto"/>
          <w:sz w:val="24"/>
          <w:highlight w:val="none"/>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4A96D9E8">
      <w:pPr>
        <w:spacing w:line="360" w:lineRule="auto"/>
        <w:ind w:firstLine="482" w:firstLineChars="200"/>
        <w:rPr>
          <w:b/>
          <w:color w:val="auto"/>
          <w:sz w:val="24"/>
          <w:highlight w:val="none"/>
        </w:rPr>
      </w:pPr>
      <w:r>
        <w:rPr>
          <w:b/>
          <w:color w:val="auto"/>
          <w:sz w:val="24"/>
          <w:highlight w:val="none"/>
        </w:rPr>
        <w:t>六、与本公司单位负责人为同一人或者与本公司存在控股、管理关系的其他单位包括</w:t>
      </w:r>
      <w:r>
        <w:rPr>
          <w:b/>
          <w:color w:val="auto"/>
          <w:sz w:val="24"/>
          <w:highlight w:val="none"/>
          <w:u w:val="single"/>
        </w:rPr>
        <w:t xml:space="preserve">  </w:t>
      </w:r>
      <w:r>
        <w:rPr>
          <w:rFonts w:hint="eastAsia"/>
          <w:b/>
          <w:color w:val="auto"/>
          <w:sz w:val="24"/>
          <w:highlight w:val="none"/>
          <w:u w:val="single"/>
        </w:rPr>
        <w:t xml:space="preserve">                </w:t>
      </w:r>
      <w:r>
        <w:rPr>
          <w:b/>
          <w:color w:val="auto"/>
          <w:sz w:val="24"/>
          <w:highlight w:val="none"/>
          <w:u w:val="single"/>
        </w:rPr>
        <w:t xml:space="preserve">  </w:t>
      </w:r>
      <w:r>
        <w:rPr>
          <w:b/>
          <w:color w:val="auto"/>
          <w:sz w:val="24"/>
          <w:highlight w:val="none"/>
        </w:rPr>
        <w:t>。（注：本条由投标人如实填写， 如有，应列出全部满足招标公告资质要求的相关单位的名称；如无，则填写“无”。)</w:t>
      </w:r>
    </w:p>
    <w:p w14:paraId="0AEB8351">
      <w:pPr>
        <w:spacing w:line="360" w:lineRule="auto"/>
        <w:ind w:firstLine="480" w:firstLineChars="200"/>
        <w:rPr>
          <w:color w:val="auto"/>
          <w:sz w:val="24"/>
          <w:highlight w:val="none"/>
        </w:rPr>
      </w:pPr>
      <w:r>
        <w:rPr>
          <w:color w:val="auto"/>
          <w:sz w:val="24"/>
          <w:highlight w:val="none"/>
        </w:rPr>
        <w:t xml:space="preserve">七、本公司承诺，中标后严格执行安全生产相关管理规定。 </w:t>
      </w:r>
    </w:p>
    <w:p w14:paraId="0C963A63">
      <w:pPr>
        <w:spacing w:line="360" w:lineRule="auto"/>
        <w:ind w:firstLine="480" w:firstLineChars="200"/>
        <w:rPr>
          <w:color w:val="auto"/>
          <w:sz w:val="24"/>
          <w:highlight w:val="none"/>
        </w:rPr>
      </w:pPr>
      <w:r>
        <w:rPr>
          <w:rFonts w:hint="eastAsia"/>
          <w:color w:val="auto"/>
          <w:sz w:val="24"/>
          <w:highlight w:val="none"/>
        </w:rPr>
        <w:t>八</w:t>
      </w:r>
      <w:r>
        <w:rPr>
          <w:color w:val="auto"/>
          <w:sz w:val="24"/>
          <w:highlight w:val="none"/>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29EDC5EE">
      <w:pPr>
        <w:spacing w:line="360" w:lineRule="auto"/>
        <w:ind w:firstLine="480" w:firstLineChars="200"/>
        <w:rPr>
          <w:color w:val="auto"/>
          <w:sz w:val="24"/>
          <w:highlight w:val="none"/>
        </w:rPr>
      </w:pPr>
      <w:r>
        <w:rPr>
          <w:color w:val="auto"/>
          <w:sz w:val="24"/>
          <w:highlight w:val="none"/>
        </w:rPr>
        <w:t>本公司违反上述保证，或本声明陈述与事实不符，经查实， 本公司愿意接受公开通报，承担由此带来的法律后果，并自愿停止参加广州市行政辖区内的招标投标活动三个月。</w:t>
      </w:r>
    </w:p>
    <w:p w14:paraId="3AB093CE">
      <w:pPr>
        <w:spacing w:line="360" w:lineRule="auto"/>
        <w:ind w:firstLine="480" w:firstLineChars="200"/>
        <w:rPr>
          <w:color w:val="auto"/>
          <w:sz w:val="24"/>
          <w:highlight w:val="none"/>
        </w:rPr>
      </w:pPr>
      <w:r>
        <w:rPr>
          <w:color w:val="auto"/>
          <w:sz w:val="24"/>
          <w:highlight w:val="none"/>
        </w:rPr>
        <w:t>特此声明。</w:t>
      </w:r>
    </w:p>
    <w:p w14:paraId="22CE9605">
      <w:pPr>
        <w:pStyle w:val="3"/>
        <w:spacing w:line="360" w:lineRule="auto"/>
        <w:rPr>
          <w:color w:val="auto"/>
          <w:sz w:val="24"/>
          <w:highlight w:val="none"/>
        </w:rPr>
      </w:pPr>
    </w:p>
    <w:p w14:paraId="03DF4B5F">
      <w:pPr>
        <w:pStyle w:val="3"/>
        <w:spacing w:line="360" w:lineRule="auto"/>
        <w:rPr>
          <w:color w:val="auto"/>
          <w:sz w:val="24"/>
          <w:highlight w:val="none"/>
        </w:rPr>
      </w:pPr>
    </w:p>
    <w:p w14:paraId="172735B0">
      <w:pPr>
        <w:spacing w:line="480" w:lineRule="auto"/>
        <w:jc w:val="center"/>
        <w:rPr>
          <w:rFonts w:hint="eastAsia"/>
          <w:color w:val="auto"/>
          <w:sz w:val="24"/>
          <w:highlight w:val="none"/>
        </w:rPr>
      </w:pPr>
      <w:r>
        <w:rPr>
          <w:rFonts w:hint="eastAsia"/>
          <w:color w:val="auto"/>
          <w:sz w:val="24"/>
          <w:highlight w:val="none"/>
        </w:rPr>
        <w:t xml:space="preserve">           投标单位（盖公章）： </w:t>
      </w:r>
    </w:p>
    <w:p w14:paraId="0FEBCE1C">
      <w:pPr>
        <w:spacing w:line="480" w:lineRule="auto"/>
        <w:jc w:val="center"/>
        <w:rPr>
          <w:rFonts w:hint="eastAsia"/>
          <w:color w:val="auto"/>
          <w:sz w:val="24"/>
          <w:highlight w:val="none"/>
        </w:rPr>
      </w:pPr>
      <w:r>
        <w:rPr>
          <w:rFonts w:hint="eastAsia"/>
          <w:color w:val="auto"/>
          <w:sz w:val="24"/>
          <w:highlight w:val="none"/>
        </w:rPr>
        <w:t xml:space="preserve">                             法定代表人或授权委托人（签字或盖章）：</w:t>
      </w:r>
    </w:p>
    <w:p w14:paraId="2C0C8854">
      <w:pPr>
        <w:shd w:val="clear" w:color="auto" w:fill="FFFFFF"/>
        <w:spacing w:line="360" w:lineRule="auto"/>
        <w:rPr>
          <w:rFonts w:hint="eastAsia"/>
          <w:color w:val="auto"/>
          <w:sz w:val="24"/>
          <w:highlight w:val="none"/>
        </w:rPr>
      </w:pP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日期：  年  月   日</w:t>
      </w:r>
    </w:p>
    <w:p w14:paraId="2DD45C6B">
      <w:pPr>
        <w:shd w:val="clear" w:color="auto" w:fill="FFFFFF"/>
        <w:spacing w:line="360" w:lineRule="auto"/>
        <w:rPr>
          <w:rFonts w:ascii="宋体" w:hAnsi="宋体" w:cs="宋体"/>
          <w:color w:val="auto"/>
          <w:kern w:val="0"/>
          <w:sz w:val="24"/>
          <w:szCs w:val="24"/>
          <w:highlight w:val="none"/>
        </w:rPr>
      </w:pPr>
      <w:r>
        <w:rPr>
          <w:rFonts w:hint="eastAsia"/>
          <w:color w:val="auto"/>
          <w:sz w:val="24"/>
          <w:highlight w:val="none"/>
        </w:rPr>
        <w:br w:type="page"/>
      </w:r>
      <w:r>
        <w:rPr>
          <w:rFonts w:hint="eastAsia" w:ascii="宋体" w:hAnsi="宋体" w:cs="宋体"/>
          <w:color w:val="auto"/>
          <w:kern w:val="0"/>
          <w:sz w:val="24"/>
          <w:szCs w:val="24"/>
          <w:highlight w:val="none"/>
        </w:rPr>
        <w:t>附件二：</w:t>
      </w:r>
    </w:p>
    <w:p w14:paraId="287EE4A6">
      <w:pPr>
        <w:spacing w:line="360" w:lineRule="auto"/>
        <w:ind w:left="-4" w:firstLine="4"/>
        <w:jc w:val="center"/>
        <w:rPr>
          <w:rFonts w:ascii="宋体" w:hAnsi="宋体" w:cs="宋体"/>
          <w:b/>
          <w:color w:val="auto"/>
          <w:sz w:val="32"/>
          <w:highlight w:val="none"/>
        </w:rPr>
      </w:pPr>
    </w:p>
    <w:p w14:paraId="1D2B25EC">
      <w:pPr>
        <w:spacing w:line="360" w:lineRule="auto"/>
        <w:ind w:left="-4" w:firstLine="4"/>
        <w:jc w:val="center"/>
        <w:rPr>
          <w:rFonts w:ascii="宋体" w:hAnsi="宋体" w:cs="宋体"/>
          <w:b/>
          <w:color w:val="auto"/>
          <w:sz w:val="32"/>
          <w:highlight w:val="none"/>
        </w:rPr>
      </w:pPr>
      <w:r>
        <w:rPr>
          <w:rFonts w:hint="eastAsia" w:ascii="宋体" w:hAnsi="宋体" w:cs="宋体"/>
          <w:b/>
          <w:color w:val="auto"/>
          <w:sz w:val="32"/>
          <w:highlight w:val="none"/>
        </w:rPr>
        <w:t>投标承诺函</w:t>
      </w:r>
    </w:p>
    <w:p w14:paraId="3B637B86">
      <w:pPr>
        <w:adjustRightInd w:val="0"/>
        <w:snapToGrid w:val="0"/>
        <w:spacing w:line="360" w:lineRule="auto"/>
        <w:jc w:val="center"/>
        <w:rPr>
          <w:rFonts w:ascii="宋体" w:hAnsi="宋体" w:cs="宋体"/>
          <w:b/>
          <w:color w:val="auto"/>
          <w:sz w:val="32"/>
          <w:highlight w:val="none"/>
        </w:rPr>
      </w:pPr>
    </w:p>
    <w:p w14:paraId="7660544C">
      <w:pPr>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lang w:eastAsia="zh-CN"/>
        </w:rPr>
        <w:t>（招标人）</w:t>
      </w:r>
    </w:p>
    <w:p w14:paraId="59B0BAE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经认真研究</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的招标公告要求，现郑重承诺：</w:t>
      </w:r>
    </w:p>
    <w:p w14:paraId="3B58D36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我方一旦中标，跟本项目相关的施工承包方委托的相关检测监测业务均不再承接。</w:t>
      </w:r>
    </w:p>
    <w:p w14:paraId="534EC28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7A367DB5">
      <w:pPr>
        <w:adjustRightInd w:val="0"/>
        <w:snapToGrid w:val="0"/>
        <w:spacing w:line="360" w:lineRule="auto"/>
        <w:ind w:right="482" w:firstLine="3960" w:firstLineChars="1650"/>
        <w:rPr>
          <w:rFonts w:ascii="宋体" w:hAnsi="宋体" w:cs="宋体"/>
          <w:color w:val="auto"/>
          <w:sz w:val="24"/>
          <w:highlight w:val="none"/>
        </w:rPr>
      </w:pPr>
    </w:p>
    <w:p w14:paraId="3955A2E5">
      <w:pPr>
        <w:adjustRightInd w:val="0"/>
        <w:snapToGrid w:val="0"/>
        <w:spacing w:line="360" w:lineRule="auto"/>
        <w:ind w:right="482" w:firstLine="3960" w:firstLineChars="1650"/>
        <w:rPr>
          <w:rFonts w:ascii="宋体" w:hAnsi="宋体" w:cs="宋体"/>
          <w:color w:val="auto"/>
          <w:sz w:val="24"/>
          <w:highlight w:val="none"/>
        </w:rPr>
      </w:pPr>
    </w:p>
    <w:p w14:paraId="044B8D30">
      <w:pPr>
        <w:adjustRightInd w:val="0"/>
        <w:snapToGrid w:val="0"/>
        <w:spacing w:line="360" w:lineRule="auto"/>
        <w:ind w:right="482" w:firstLine="3960" w:firstLineChars="1650"/>
        <w:rPr>
          <w:rFonts w:ascii="宋体" w:hAnsi="宋体" w:cs="宋体"/>
          <w:color w:val="auto"/>
          <w:sz w:val="24"/>
          <w:highlight w:val="none"/>
        </w:rPr>
      </w:pPr>
    </w:p>
    <w:p w14:paraId="4092CA42">
      <w:pPr>
        <w:wordWrap w:val="0"/>
        <w:spacing w:line="360" w:lineRule="exact"/>
        <w:ind w:firstLine="3240" w:firstLineChars="1350"/>
        <w:jc w:val="right"/>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3FEA58EF">
      <w:pPr>
        <w:spacing w:line="360" w:lineRule="exact"/>
        <w:ind w:firstLine="3240" w:firstLineChars="1350"/>
        <w:jc w:val="right"/>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r>
        <w:rPr>
          <w:rFonts w:hint="eastAsia"/>
          <w:color w:val="auto"/>
          <w:sz w:val="24"/>
          <w:highlight w:val="none"/>
        </w:rPr>
        <w:t>或盖章</w:t>
      </w:r>
      <w:r>
        <w:rPr>
          <w:rFonts w:hint="eastAsia" w:ascii="宋体" w:hAnsi="宋体"/>
          <w:color w:val="auto"/>
          <w:sz w:val="24"/>
          <w:highlight w:val="none"/>
        </w:rPr>
        <w:t>）</w:t>
      </w:r>
    </w:p>
    <w:p w14:paraId="5AE21921">
      <w:pPr>
        <w:spacing w:line="360" w:lineRule="exact"/>
        <w:ind w:firstLine="5640" w:firstLineChars="235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6518CA4">
      <w:pPr>
        <w:rPr>
          <w:rFonts w:hint="eastAsia" w:ascii="宋体" w:hAnsi="宋体"/>
          <w:color w:val="auto"/>
          <w:sz w:val="24"/>
          <w:highlight w:val="none"/>
        </w:rPr>
      </w:pPr>
      <w:r>
        <w:rPr>
          <w:rFonts w:hint="eastAsia" w:ascii="宋体" w:hAnsi="宋体"/>
          <w:color w:val="auto"/>
          <w:sz w:val="24"/>
          <w:highlight w:val="none"/>
        </w:rPr>
        <w:br w:type="page"/>
      </w:r>
    </w:p>
    <w:p w14:paraId="2779FAC8">
      <w:pPr>
        <w:pStyle w:val="6"/>
        <w:jc w:val="left"/>
        <w:outlineLvl w:val="1"/>
        <w:rPr>
          <w:rFonts w:hint="default"/>
          <w:strike w:val="0"/>
          <w:color w:val="auto"/>
          <w:sz w:val="28"/>
          <w:szCs w:val="24"/>
          <w:highlight w:val="none"/>
        </w:rPr>
      </w:pPr>
      <w:r>
        <w:rPr>
          <w:rFonts w:hint="default"/>
          <w:strike w:val="0"/>
          <w:color w:val="auto"/>
          <w:sz w:val="28"/>
          <w:szCs w:val="24"/>
          <w:highlight w:val="none"/>
        </w:rPr>
        <w:t>附件</w:t>
      </w:r>
      <w:r>
        <w:rPr>
          <w:rFonts w:hint="eastAsia"/>
          <w:strike w:val="0"/>
          <w:color w:val="auto"/>
          <w:sz w:val="28"/>
          <w:szCs w:val="24"/>
          <w:highlight w:val="none"/>
          <w:lang w:val="en-US" w:eastAsia="zh-CN"/>
        </w:rPr>
        <w:t>三</w:t>
      </w:r>
      <w:r>
        <w:rPr>
          <w:rFonts w:hint="default"/>
          <w:strike w:val="0"/>
          <w:color w:val="auto"/>
          <w:sz w:val="28"/>
          <w:szCs w:val="24"/>
          <w:highlight w:val="none"/>
        </w:rPr>
        <w:t>：</w:t>
      </w:r>
    </w:p>
    <w:p w14:paraId="579002F0">
      <w:pPr>
        <w:pStyle w:val="6"/>
        <w:jc w:val="center"/>
        <w:outlineLvl w:val="1"/>
        <w:rPr>
          <w:rFonts w:hint="default"/>
          <w:strike w:val="0"/>
          <w:color w:val="auto"/>
          <w:sz w:val="28"/>
          <w:szCs w:val="24"/>
          <w:highlight w:val="none"/>
        </w:rPr>
      </w:pPr>
      <w:r>
        <w:rPr>
          <w:rFonts w:hint="default"/>
          <w:strike w:val="0"/>
          <w:color w:val="auto"/>
          <w:sz w:val="28"/>
          <w:szCs w:val="24"/>
          <w:highlight w:val="none"/>
        </w:rPr>
        <w:t>联合体协议书</w:t>
      </w:r>
    </w:p>
    <w:p w14:paraId="07A7CBA9">
      <w:pPr>
        <w:pStyle w:val="3"/>
        <w:tabs>
          <w:tab w:val="left" w:pos="2202"/>
          <w:tab w:val="left" w:pos="6000"/>
        </w:tabs>
        <w:kinsoku w:val="0"/>
        <w:overflowPunct w:val="0"/>
        <w:spacing w:line="360" w:lineRule="auto"/>
        <w:ind w:left="0" w:firstLine="480" w:firstLineChars="200"/>
        <w:rPr>
          <w:rFonts w:hint="eastAsia" w:ascii="宋体" w:hAnsi="宋体" w:eastAsia="宋体" w:cs="宋体"/>
          <w:strike w:val="0"/>
          <w:color w:val="auto"/>
          <w:spacing w:val="-1"/>
          <w:sz w:val="24"/>
          <w:szCs w:val="24"/>
          <w:highlight w:val="none"/>
        </w:rPr>
      </w:pPr>
      <w:r>
        <w:rPr>
          <w:rFonts w:hint="eastAsia" w:ascii="宋体" w:hAnsi="宋体" w:eastAsia="宋体" w:cs="宋体"/>
          <w:strike w:val="0"/>
          <w:color w:val="auto"/>
          <w:sz w:val="24"/>
          <w:szCs w:val="24"/>
          <w:highlight w:val="none"/>
          <w:u w:val="single"/>
        </w:rPr>
        <w:t xml:space="preserve"> </w:t>
      </w:r>
      <w:r>
        <w:rPr>
          <w:rFonts w:hint="eastAsia" w:ascii="宋体" w:hAnsi="宋体" w:eastAsia="宋体" w:cs="宋体"/>
          <w:strike w:val="0"/>
          <w:color w:val="auto"/>
          <w:sz w:val="24"/>
          <w:szCs w:val="24"/>
          <w:highlight w:val="none"/>
          <w:u w:val="single"/>
        </w:rPr>
        <w:tab/>
      </w:r>
      <w:r>
        <w:rPr>
          <w:rFonts w:hint="eastAsia" w:ascii="宋体" w:hAnsi="宋体" w:eastAsia="宋体" w:cs="宋体"/>
          <w:strike w:val="0"/>
          <w:color w:val="auto"/>
          <w:spacing w:val="-1"/>
          <w:sz w:val="24"/>
          <w:szCs w:val="24"/>
          <w:highlight w:val="none"/>
        </w:rPr>
        <w:t>（所有成员单位名称）自愿组成</w:t>
      </w:r>
      <w:r>
        <w:rPr>
          <w:rFonts w:hint="eastAsia" w:ascii="宋体" w:hAnsi="宋体" w:eastAsia="宋体" w:cs="宋体"/>
          <w:strike w:val="0"/>
          <w:color w:val="auto"/>
          <w:spacing w:val="-1"/>
          <w:sz w:val="24"/>
          <w:szCs w:val="24"/>
          <w:highlight w:val="none"/>
          <w:u w:val="single"/>
        </w:rPr>
        <w:tab/>
      </w:r>
      <w:r>
        <w:rPr>
          <w:rFonts w:hint="eastAsia" w:ascii="宋体" w:hAnsi="宋体" w:eastAsia="宋体" w:cs="宋体"/>
          <w:strike w:val="0"/>
          <w:color w:val="auto"/>
          <w:sz w:val="24"/>
          <w:szCs w:val="24"/>
          <w:highlight w:val="none"/>
        </w:rPr>
        <w:t>（联合体名称）联合体，共同</w:t>
      </w:r>
      <w:r>
        <w:rPr>
          <w:rFonts w:hint="eastAsia" w:ascii="宋体" w:hAnsi="宋体" w:eastAsia="宋体" w:cs="宋体"/>
          <w:strike w:val="0"/>
          <w:color w:val="auto"/>
          <w:spacing w:val="-1"/>
          <w:sz w:val="24"/>
          <w:szCs w:val="24"/>
          <w:highlight w:val="none"/>
        </w:rPr>
        <w:t>参加</w:t>
      </w:r>
      <w:r>
        <w:rPr>
          <w:rFonts w:hint="eastAsia" w:ascii="宋体" w:hAnsi="宋体" w:eastAsia="宋体" w:cs="宋体"/>
          <w:strike w:val="0"/>
          <w:color w:val="auto"/>
          <w:spacing w:val="-1"/>
          <w:sz w:val="24"/>
          <w:szCs w:val="24"/>
          <w:highlight w:val="none"/>
          <w:u w:val="single"/>
        </w:rPr>
        <w:tab/>
      </w:r>
      <w:r>
        <w:rPr>
          <w:rFonts w:hint="eastAsia" w:ascii="宋体" w:hAnsi="宋体" w:eastAsia="宋体" w:cs="宋体"/>
          <w:strike w:val="0"/>
          <w:color w:val="auto"/>
          <w:spacing w:val="-1"/>
          <w:sz w:val="24"/>
          <w:szCs w:val="24"/>
          <w:highlight w:val="none"/>
        </w:rPr>
        <w:t>（项目名称）招标项目投标。现就联合体投标事宜订立如下协议。</w:t>
      </w:r>
    </w:p>
    <w:p w14:paraId="12524ABB">
      <w:pPr>
        <w:pStyle w:val="3"/>
        <w:tabs>
          <w:tab w:val="left" w:pos="2673"/>
          <w:tab w:val="left" w:pos="5614"/>
        </w:tabs>
        <w:kinsoku w:val="0"/>
        <w:overflowPunct w:val="0"/>
        <w:spacing w:before="36" w:line="360" w:lineRule="auto"/>
        <w:ind w:firstLine="480" w:firstLineChars="200"/>
        <w:rPr>
          <w:rFonts w:hint="eastAsia" w:ascii="宋体" w:hAnsi="宋体" w:eastAsia="宋体" w:cs="宋体"/>
          <w:strike w:val="0"/>
          <w:color w:val="auto"/>
          <w:spacing w:val="-2"/>
          <w:sz w:val="24"/>
          <w:szCs w:val="24"/>
          <w:highlight w:val="none"/>
        </w:rPr>
      </w:pPr>
      <w:r>
        <w:rPr>
          <w:rFonts w:hint="eastAsia" w:ascii="宋体" w:hAnsi="宋体" w:eastAsia="宋体" w:cs="宋体"/>
          <w:strike w:val="0"/>
          <w:color w:val="auto"/>
          <w:sz w:val="24"/>
          <w:szCs w:val="24"/>
          <w:highlight w:val="none"/>
        </w:rPr>
        <w:t>1.</w:t>
      </w:r>
      <w:r>
        <w:rPr>
          <w:rFonts w:hint="eastAsia" w:ascii="宋体" w:hAnsi="宋体" w:eastAsia="宋体" w:cs="宋体"/>
          <w:strike w:val="0"/>
          <w:color w:val="auto"/>
          <w:sz w:val="24"/>
          <w:szCs w:val="24"/>
          <w:highlight w:val="none"/>
          <w:u w:val="single"/>
        </w:rPr>
        <w:tab/>
      </w:r>
      <w:r>
        <w:rPr>
          <w:rFonts w:hint="eastAsia" w:ascii="宋体" w:hAnsi="宋体" w:eastAsia="宋体" w:cs="宋体"/>
          <w:strike w:val="0"/>
          <w:color w:val="auto"/>
          <w:spacing w:val="-2"/>
          <w:sz w:val="24"/>
          <w:szCs w:val="24"/>
          <w:highlight w:val="none"/>
        </w:rPr>
        <w:t>（某成员单位名称）为</w:t>
      </w:r>
      <w:r>
        <w:rPr>
          <w:rFonts w:hint="eastAsia" w:ascii="宋体" w:hAnsi="宋体" w:eastAsia="宋体" w:cs="宋体"/>
          <w:strike w:val="0"/>
          <w:color w:val="auto"/>
          <w:spacing w:val="-2"/>
          <w:sz w:val="24"/>
          <w:szCs w:val="24"/>
          <w:highlight w:val="none"/>
          <w:u w:val="single"/>
        </w:rPr>
        <w:tab/>
      </w:r>
      <w:r>
        <w:rPr>
          <w:rFonts w:hint="eastAsia" w:ascii="宋体" w:hAnsi="宋体" w:eastAsia="宋体" w:cs="宋体"/>
          <w:strike w:val="0"/>
          <w:color w:val="auto"/>
          <w:spacing w:val="-2"/>
          <w:sz w:val="24"/>
          <w:szCs w:val="24"/>
          <w:highlight w:val="none"/>
        </w:rPr>
        <w:t>（联合体名称）</w:t>
      </w:r>
      <w:r>
        <w:rPr>
          <w:rFonts w:hint="eastAsia" w:ascii="宋体" w:hAnsi="宋体" w:eastAsia="宋体" w:cs="宋体"/>
          <w:strike w:val="0"/>
          <w:color w:val="auto"/>
          <w:spacing w:val="-2"/>
          <w:sz w:val="24"/>
          <w:szCs w:val="24"/>
          <w:highlight w:val="none"/>
          <w:lang w:eastAsia="zh-CN"/>
        </w:rPr>
        <w:t>主办方</w:t>
      </w:r>
      <w:r>
        <w:rPr>
          <w:rFonts w:hint="eastAsia" w:ascii="宋体" w:hAnsi="宋体" w:eastAsia="宋体" w:cs="宋体"/>
          <w:strike w:val="0"/>
          <w:color w:val="auto"/>
          <w:spacing w:val="-2"/>
          <w:sz w:val="24"/>
          <w:szCs w:val="24"/>
          <w:highlight w:val="none"/>
        </w:rPr>
        <w:t>。</w:t>
      </w:r>
    </w:p>
    <w:p w14:paraId="78A624BC">
      <w:pPr>
        <w:pStyle w:val="3"/>
        <w:kinsoku w:val="0"/>
        <w:overflowPunct w:val="0"/>
        <w:spacing w:before="148" w:line="360" w:lineRule="auto"/>
        <w:ind w:left="100" w:firstLine="419"/>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2.</w:t>
      </w:r>
      <w:r>
        <w:rPr>
          <w:rFonts w:hint="eastAsia" w:ascii="宋体" w:hAnsi="宋体" w:eastAsia="宋体" w:cs="宋体"/>
          <w:strike w:val="0"/>
          <w:color w:val="auto"/>
          <w:spacing w:val="50"/>
          <w:sz w:val="24"/>
          <w:szCs w:val="24"/>
          <w:highlight w:val="none"/>
        </w:rPr>
        <w:t xml:space="preserve"> </w:t>
      </w:r>
      <w:r>
        <w:rPr>
          <w:rFonts w:hint="eastAsia" w:ascii="宋体" w:hAnsi="宋体" w:eastAsia="宋体" w:cs="宋体"/>
          <w:strike w:val="0"/>
          <w:color w:val="auto"/>
          <w:spacing w:val="-5"/>
          <w:sz w:val="24"/>
          <w:szCs w:val="24"/>
          <w:highlight w:val="none"/>
        </w:rPr>
        <w:t>联合体各成员授权</w:t>
      </w:r>
      <w:r>
        <w:rPr>
          <w:rFonts w:hint="eastAsia" w:ascii="宋体" w:hAnsi="宋体" w:eastAsia="宋体" w:cs="宋体"/>
          <w:strike w:val="0"/>
          <w:color w:val="auto"/>
          <w:spacing w:val="-2"/>
          <w:sz w:val="24"/>
          <w:szCs w:val="24"/>
          <w:highlight w:val="none"/>
          <w:lang w:eastAsia="zh-CN"/>
        </w:rPr>
        <w:t>主办方</w:t>
      </w:r>
      <w:r>
        <w:rPr>
          <w:rFonts w:hint="eastAsia" w:ascii="宋体" w:hAnsi="宋体" w:eastAsia="宋体" w:cs="宋体"/>
          <w:strike w:val="0"/>
          <w:color w:val="auto"/>
          <w:spacing w:val="-5"/>
          <w:sz w:val="24"/>
          <w:szCs w:val="24"/>
          <w:highlight w:val="none"/>
        </w:rPr>
        <w:t>代表联合体参加投标活动，签署文件，提交和接收相关的资料、</w:t>
      </w:r>
      <w:r>
        <w:rPr>
          <w:rFonts w:hint="eastAsia" w:ascii="宋体" w:hAnsi="宋体" w:eastAsia="宋体" w:cs="宋体"/>
          <w:strike w:val="0"/>
          <w:color w:val="auto"/>
          <w:sz w:val="24"/>
          <w:szCs w:val="24"/>
          <w:highlight w:val="none"/>
        </w:rPr>
        <w:t xml:space="preserve"> 信息及指示，进行合同谈判活动，负责合同实施阶段的组织和协调工作，以及处理与本招标项</w:t>
      </w:r>
      <w:r>
        <w:rPr>
          <w:rFonts w:hint="eastAsia" w:ascii="宋体" w:hAnsi="宋体" w:eastAsia="宋体" w:cs="宋体"/>
          <w:strike w:val="0"/>
          <w:color w:val="auto"/>
          <w:spacing w:val="-78"/>
          <w:sz w:val="24"/>
          <w:szCs w:val="24"/>
          <w:highlight w:val="none"/>
        </w:rPr>
        <w:t xml:space="preserve"> </w:t>
      </w:r>
      <w:r>
        <w:rPr>
          <w:rFonts w:hint="eastAsia" w:ascii="宋体" w:hAnsi="宋体" w:eastAsia="宋体" w:cs="宋体"/>
          <w:strike w:val="0"/>
          <w:color w:val="auto"/>
          <w:sz w:val="24"/>
          <w:szCs w:val="24"/>
          <w:highlight w:val="none"/>
        </w:rPr>
        <w:t>目有关的一切事宜。</w:t>
      </w:r>
    </w:p>
    <w:p w14:paraId="24C90E8C">
      <w:pPr>
        <w:pStyle w:val="3"/>
        <w:kinsoku w:val="0"/>
        <w:overflowPunct w:val="0"/>
        <w:spacing w:before="46" w:line="360" w:lineRule="auto"/>
        <w:ind w:left="100" w:firstLine="419"/>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3.</w:t>
      </w:r>
      <w:r>
        <w:rPr>
          <w:rFonts w:hint="eastAsia" w:ascii="宋体" w:hAnsi="宋体" w:eastAsia="宋体" w:cs="宋体"/>
          <w:strike w:val="0"/>
          <w:color w:val="auto"/>
          <w:spacing w:val="20"/>
          <w:sz w:val="24"/>
          <w:szCs w:val="24"/>
          <w:highlight w:val="none"/>
        </w:rPr>
        <w:t xml:space="preserve"> </w:t>
      </w:r>
      <w:r>
        <w:rPr>
          <w:rFonts w:hint="eastAsia" w:ascii="宋体" w:hAnsi="宋体" w:eastAsia="宋体" w:cs="宋体"/>
          <w:strike w:val="0"/>
          <w:color w:val="auto"/>
          <w:spacing w:val="-3"/>
          <w:sz w:val="24"/>
          <w:szCs w:val="24"/>
          <w:highlight w:val="none"/>
        </w:rPr>
        <w:t>联合体</w:t>
      </w:r>
      <w:r>
        <w:rPr>
          <w:rFonts w:hint="eastAsia" w:ascii="宋体" w:hAnsi="宋体" w:eastAsia="宋体" w:cs="宋体"/>
          <w:strike w:val="0"/>
          <w:color w:val="auto"/>
          <w:spacing w:val="-2"/>
          <w:sz w:val="24"/>
          <w:szCs w:val="24"/>
          <w:highlight w:val="none"/>
          <w:lang w:eastAsia="zh-CN"/>
        </w:rPr>
        <w:t>主办方</w:t>
      </w:r>
      <w:r>
        <w:rPr>
          <w:rFonts w:hint="eastAsia" w:ascii="宋体" w:hAnsi="宋体" w:eastAsia="宋体" w:cs="宋体"/>
          <w:strike w:val="0"/>
          <w:color w:val="auto"/>
          <w:spacing w:val="-3"/>
          <w:sz w:val="24"/>
          <w:szCs w:val="24"/>
          <w:highlight w:val="none"/>
        </w:rPr>
        <w:t>在本项目中签署的一切文件和处理的一切事宜，联合体各成员均予以承认。</w:t>
      </w:r>
      <w:r>
        <w:rPr>
          <w:rFonts w:hint="eastAsia" w:ascii="宋体" w:hAnsi="宋体" w:eastAsia="宋体" w:cs="宋体"/>
          <w:strike w:val="0"/>
          <w:color w:val="auto"/>
          <w:sz w:val="24"/>
          <w:szCs w:val="24"/>
          <w:highlight w:val="none"/>
        </w:rPr>
        <w:t xml:space="preserve"> 联合体各成员将严格按照招标文件、投标文件和合同的要求全面履行义务，并向招标人承担连</w:t>
      </w:r>
      <w:r>
        <w:rPr>
          <w:rFonts w:hint="eastAsia" w:ascii="宋体" w:hAnsi="宋体" w:eastAsia="宋体" w:cs="宋体"/>
          <w:strike w:val="0"/>
          <w:color w:val="auto"/>
          <w:spacing w:val="-77"/>
          <w:sz w:val="24"/>
          <w:szCs w:val="24"/>
          <w:highlight w:val="none"/>
        </w:rPr>
        <w:t xml:space="preserve"> </w:t>
      </w:r>
      <w:r>
        <w:rPr>
          <w:rFonts w:hint="eastAsia" w:ascii="宋体" w:hAnsi="宋体" w:eastAsia="宋体" w:cs="宋体"/>
          <w:strike w:val="0"/>
          <w:color w:val="auto"/>
          <w:sz w:val="24"/>
          <w:szCs w:val="24"/>
          <w:highlight w:val="none"/>
        </w:rPr>
        <w:t>带责任。</w:t>
      </w:r>
    </w:p>
    <w:p w14:paraId="6318E0C9">
      <w:pPr>
        <w:pStyle w:val="3"/>
        <w:kinsoku w:val="0"/>
        <w:overflowPunct w:val="0"/>
        <w:spacing w:before="46" w:line="360" w:lineRule="auto"/>
        <w:ind w:left="100" w:firstLine="419"/>
        <w:rPr>
          <w:rFonts w:hint="eastAsia" w:ascii="宋体" w:hAnsi="宋体" w:eastAsia="宋体" w:cs="宋体"/>
          <w:strike w:val="0"/>
          <w:color w:val="auto"/>
          <w:spacing w:val="-3"/>
          <w:sz w:val="24"/>
          <w:szCs w:val="24"/>
          <w:highlight w:val="none"/>
        </w:rPr>
      </w:pPr>
      <w:bookmarkStart w:id="41" w:name="_Toc29760"/>
      <w:r>
        <w:rPr>
          <w:rFonts w:hint="eastAsia" w:ascii="宋体" w:hAnsi="宋体" w:eastAsia="宋体" w:cs="宋体"/>
          <w:strike w:val="0"/>
          <w:color w:val="auto"/>
          <w:spacing w:val="-3"/>
          <w:sz w:val="24"/>
          <w:szCs w:val="24"/>
          <w:highlight w:val="none"/>
        </w:rPr>
        <w:t>4.联合体各成员单位内部的职责分工如下：</w:t>
      </w:r>
      <w:r>
        <w:rPr>
          <w:rFonts w:hint="eastAsia" w:ascii="宋体" w:hAnsi="宋体" w:eastAsia="宋体" w:cs="宋体"/>
          <w:strike w:val="0"/>
          <w:color w:val="auto"/>
          <w:spacing w:val="-3"/>
          <w:sz w:val="24"/>
          <w:szCs w:val="24"/>
          <w:highlight w:val="none"/>
          <w:u w:val="single"/>
          <w:lang w:val="en-US" w:eastAsia="zh-CN"/>
        </w:rPr>
        <w:t xml:space="preserve">                     </w:t>
      </w:r>
      <w:r>
        <w:rPr>
          <w:rFonts w:hint="eastAsia" w:ascii="宋体" w:hAnsi="宋体" w:eastAsia="宋体" w:cs="宋体"/>
          <w:strike w:val="0"/>
          <w:color w:val="auto"/>
          <w:spacing w:val="-3"/>
          <w:sz w:val="24"/>
          <w:szCs w:val="24"/>
          <w:highlight w:val="none"/>
          <w:u w:val="single"/>
        </w:rPr>
        <w:tab/>
      </w:r>
      <w:r>
        <w:rPr>
          <w:rFonts w:hint="eastAsia" w:ascii="宋体" w:hAnsi="宋体" w:eastAsia="宋体" w:cs="宋体"/>
          <w:strike w:val="0"/>
          <w:color w:val="auto"/>
          <w:spacing w:val="-3"/>
          <w:sz w:val="24"/>
          <w:szCs w:val="24"/>
          <w:highlight w:val="none"/>
        </w:rPr>
        <w:t>。</w:t>
      </w:r>
      <w:bookmarkEnd w:id="41"/>
    </w:p>
    <w:p w14:paraId="69461C1C">
      <w:pPr>
        <w:pStyle w:val="3"/>
        <w:kinsoku w:val="0"/>
        <w:overflowPunct w:val="0"/>
        <w:spacing w:before="151" w:line="360" w:lineRule="auto"/>
        <w:ind w:left="100" w:firstLine="419"/>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5.</w:t>
      </w:r>
      <w:r>
        <w:rPr>
          <w:rFonts w:hint="eastAsia" w:ascii="宋体" w:hAnsi="宋体" w:eastAsia="宋体" w:cs="宋体"/>
          <w:strike w:val="0"/>
          <w:color w:val="auto"/>
          <w:spacing w:val="27"/>
          <w:sz w:val="24"/>
          <w:szCs w:val="24"/>
          <w:highlight w:val="none"/>
        </w:rPr>
        <w:t xml:space="preserve"> </w:t>
      </w:r>
      <w:r>
        <w:rPr>
          <w:rFonts w:hint="eastAsia" w:ascii="宋体" w:hAnsi="宋体" w:eastAsia="宋体" w:cs="宋体"/>
          <w:strike w:val="0"/>
          <w:color w:val="auto"/>
          <w:sz w:val="24"/>
          <w:szCs w:val="24"/>
          <w:highlight w:val="none"/>
        </w:rPr>
        <w:t>本协议书自所有成员单位法定代表人或其委托代理人签字或盖单位章之日起生效，合同 履行完毕后自动失效。</w:t>
      </w:r>
    </w:p>
    <w:p w14:paraId="444D2105">
      <w:pPr>
        <w:pStyle w:val="3"/>
        <w:tabs>
          <w:tab w:val="left" w:pos="2464"/>
        </w:tabs>
        <w:kinsoku w:val="0"/>
        <w:overflowPunct w:val="0"/>
        <w:spacing w:before="57" w:line="360" w:lineRule="auto"/>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6.</w:t>
      </w:r>
      <w:r>
        <w:rPr>
          <w:rFonts w:hint="eastAsia" w:ascii="宋体" w:hAnsi="宋体" w:eastAsia="宋体" w:cs="宋体"/>
          <w:strike w:val="0"/>
          <w:color w:val="auto"/>
          <w:spacing w:val="50"/>
          <w:sz w:val="24"/>
          <w:szCs w:val="24"/>
          <w:highlight w:val="none"/>
        </w:rPr>
        <w:t xml:space="preserve"> </w:t>
      </w:r>
      <w:r>
        <w:rPr>
          <w:rFonts w:hint="eastAsia" w:ascii="宋体" w:hAnsi="宋体" w:eastAsia="宋体" w:cs="宋体"/>
          <w:strike w:val="0"/>
          <w:color w:val="auto"/>
          <w:sz w:val="24"/>
          <w:szCs w:val="24"/>
          <w:highlight w:val="none"/>
        </w:rPr>
        <w:t>本协议书一式</w:t>
      </w:r>
      <w:r>
        <w:rPr>
          <w:rFonts w:hint="eastAsia" w:ascii="宋体" w:hAnsi="宋体" w:eastAsia="宋体" w:cs="宋体"/>
          <w:strike w:val="0"/>
          <w:color w:val="auto"/>
          <w:sz w:val="24"/>
          <w:szCs w:val="24"/>
          <w:highlight w:val="none"/>
          <w:u w:val="single"/>
        </w:rPr>
        <w:tab/>
      </w:r>
      <w:r>
        <w:rPr>
          <w:rFonts w:hint="eastAsia" w:ascii="宋体" w:hAnsi="宋体" w:eastAsia="宋体" w:cs="宋体"/>
          <w:strike w:val="0"/>
          <w:color w:val="auto"/>
          <w:sz w:val="24"/>
          <w:szCs w:val="24"/>
          <w:highlight w:val="none"/>
          <w:u w:val="single"/>
          <w:lang w:val="en-US" w:eastAsia="zh-CN"/>
        </w:rPr>
        <w:t xml:space="preserve">     </w:t>
      </w:r>
      <w:r>
        <w:rPr>
          <w:rFonts w:hint="eastAsia" w:ascii="宋体" w:hAnsi="宋体" w:eastAsia="宋体" w:cs="宋体"/>
          <w:strike w:val="0"/>
          <w:color w:val="auto"/>
          <w:sz w:val="24"/>
          <w:szCs w:val="24"/>
          <w:highlight w:val="none"/>
        </w:rPr>
        <w:t>份，联合体成员和招标人各执一份。</w:t>
      </w:r>
    </w:p>
    <w:p w14:paraId="7C0C2D2B">
      <w:pPr>
        <w:pStyle w:val="3"/>
        <w:kinsoku w:val="0"/>
        <w:overflowPunct w:val="0"/>
        <w:spacing w:before="36" w:line="360" w:lineRule="auto"/>
        <w:ind w:left="100" w:firstLine="419"/>
        <w:rPr>
          <w:rFonts w:hint="eastAsia" w:ascii="宋体" w:hAnsi="宋体" w:eastAsia="宋体" w:cs="宋体"/>
          <w:strike w:val="0"/>
          <w:color w:val="auto"/>
          <w:sz w:val="24"/>
          <w:szCs w:val="24"/>
          <w:highlight w:val="none"/>
        </w:rPr>
      </w:pPr>
      <w:r>
        <w:rPr>
          <w:rFonts w:hint="eastAsia" w:ascii="宋体" w:hAnsi="宋体" w:eastAsia="宋体" w:cs="宋体"/>
          <w:strike w:val="0"/>
          <w:color w:val="auto"/>
          <w:spacing w:val="-1"/>
          <w:sz w:val="24"/>
          <w:szCs w:val="24"/>
          <w:highlight w:val="none"/>
        </w:rPr>
        <w:t>注：本协议书由法定代表人签字</w:t>
      </w:r>
      <w:r>
        <w:rPr>
          <w:rFonts w:hint="eastAsia" w:ascii="宋体" w:hAnsi="宋体" w:eastAsia="宋体" w:cs="宋体"/>
          <w:strike w:val="0"/>
          <w:color w:val="auto"/>
          <w:spacing w:val="-1"/>
          <w:sz w:val="24"/>
          <w:szCs w:val="24"/>
          <w:highlight w:val="none"/>
          <w:lang w:val="en-US" w:eastAsia="zh-CN"/>
        </w:rPr>
        <w:t>或盖章</w:t>
      </w:r>
      <w:r>
        <w:rPr>
          <w:rFonts w:hint="eastAsia" w:ascii="宋体" w:hAnsi="宋体" w:eastAsia="宋体" w:cs="宋体"/>
          <w:strike w:val="0"/>
          <w:color w:val="auto"/>
          <w:spacing w:val="-1"/>
          <w:sz w:val="24"/>
          <w:szCs w:val="24"/>
          <w:highlight w:val="none"/>
        </w:rPr>
        <w:t>的，应附法定代表人身份证明；由委托代理人签字的，应附法定代表人身份证明</w:t>
      </w:r>
      <w:r>
        <w:rPr>
          <w:rFonts w:hint="eastAsia" w:ascii="宋体" w:hAnsi="宋体" w:eastAsia="宋体" w:cs="宋体"/>
          <w:strike w:val="0"/>
          <w:color w:val="auto"/>
          <w:spacing w:val="-1"/>
          <w:sz w:val="24"/>
          <w:szCs w:val="24"/>
          <w:highlight w:val="none"/>
          <w:lang w:eastAsia="zh-CN"/>
        </w:rPr>
        <w:t>和</w:t>
      </w:r>
      <w:r>
        <w:rPr>
          <w:rFonts w:hint="eastAsia" w:ascii="宋体" w:hAnsi="宋体" w:eastAsia="宋体" w:cs="宋体"/>
          <w:strike w:val="0"/>
          <w:color w:val="auto"/>
          <w:sz w:val="24"/>
          <w:szCs w:val="24"/>
          <w:highlight w:val="none"/>
        </w:rPr>
        <w:t>授权委托书。</w:t>
      </w:r>
    </w:p>
    <w:p w14:paraId="1DCEC375">
      <w:pPr>
        <w:pStyle w:val="3"/>
        <w:tabs>
          <w:tab w:val="left" w:pos="7241"/>
        </w:tabs>
        <w:kinsoku w:val="0"/>
        <w:overflowPunct w:val="0"/>
        <w:spacing w:line="360" w:lineRule="auto"/>
        <w:ind w:left="2510"/>
        <w:rPr>
          <w:rFonts w:hint="eastAsia" w:ascii="宋体" w:hAnsi="宋体" w:eastAsia="宋体" w:cs="宋体"/>
          <w:strike w:val="0"/>
          <w:color w:val="auto"/>
          <w:sz w:val="24"/>
          <w:szCs w:val="24"/>
          <w:highlight w:val="none"/>
        </w:rPr>
      </w:pPr>
      <w:r>
        <w:rPr>
          <w:rFonts w:hint="eastAsia" w:ascii="宋体" w:hAnsi="宋体" w:eastAsia="宋体" w:cs="宋体"/>
          <w:strike w:val="0"/>
          <w:color w:val="auto"/>
          <w:spacing w:val="-2"/>
          <w:sz w:val="24"/>
          <w:szCs w:val="24"/>
          <w:highlight w:val="none"/>
        </w:rPr>
        <w:t>联合体</w:t>
      </w:r>
      <w:r>
        <w:rPr>
          <w:rFonts w:hint="eastAsia" w:ascii="宋体" w:hAnsi="宋体" w:eastAsia="宋体" w:cs="宋体"/>
          <w:strike w:val="0"/>
          <w:color w:val="auto"/>
          <w:spacing w:val="-2"/>
          <w:sz w:val="24"/>
          <w:szCs w:val="24"/>
          <w:highlight w:val="none"/>
          <w:lang w:eastAsia="zh-CN"/>
        </w:rPr>
        <w:t>主办方</w:t>
      </w:r>
      <w:r>
        <w:rPr>
          <w:rFonts w:hint="eastAsia" w:ascii="宋体" w:hAnsi="宋体" w:eastAsia="宋体" w:cs="宋体"/>
          <w:strike w:val="0"/>
          <w:color w:val="auto"/>
          <w:spacing w:val="-2"/>
          <w:sz w:val="24"/>
          <w:szCs w:val="24"/>
          <w:highlight w:val="none"/>
        </w:rPr>
        <w:t>名称：</w:t>
      </w:r>
      <w:r>
        <w:rPr>
          <w:rFonts w:hint="eastAsia" w:ascii="宋体" w:hAnsi="宋体" w:eastAsia="宋体" w:cs="宋体"/>
          <w:strike w:val="0"/>
          <w:color w:val="auto"/>
          <w:spacing w:val="-2"/>
          <w:sz w:val="24"/>
          <w:szCs w:val="24"/>
          <w:highlight w:val="none"/>
          <w:u w:val="single"/>
        </w:rPr>
        <w:tab/>
      </w:r>
      <w:r>
        <w:rPr>
          <w:rFonts w:hint="eastAsia" w:ascii="宋体" w:hAnsi="宋体" w:eastAsia="宋体" w:cs="宋体"/>
          <w:strike w:val="0"/>
          <w:color w:val="auto"/>
          <w:spacing w:val="-1"/>
          <w:sz w:val="24"/>
          <w:szCs w:val="24"/>
          <w:highlight w:val="none"/>
        </w:rPr>
        <w:t>（盖单位章）</w:t>
      </w:r>
    </w:p>
    <w:p w14:paraId="4F72A72D">
      <w:pPr>
        <w:pStyle w:val="3"/>
        <w:tabs>
          <w:tab w:val="left" w:pos="6401"/>
        </w:tabs>
        <w:kinsoku w:val="0"/>
        <w:overflowPunct w:val="0"/>
        <w:spacing w:before="36" w:line="360" w:lineRule="auto"/>
        <w:ind w:left="2510"/>
        <w:rPr>
          <w:rFonts w:hint="eastAsia" w:ascii="宋体" w:hAnsi="宋体" w:eastAsia="宋体" w:cs="宋体"/>
          <w:strike w:val="0"/>
          <w:color w:val="auto"/>
          <w:sz w:val="24"/>
          <w:szCs w:val="24"/>
          <w:highlight w:val="none"/>
        </w:rPr>
      </w:pPr>
      <w:r>
        <w:rPr>
          <w:rFonts w:hint="eastAsia" w:ascii="宋体" w:hAnsi="宋体" w:eastAsia="宋体" w:cs="宋体"/>
          <w:strike w:val="0"/>
          <w:color w:val="auto"/>
          <w:spacing w:val="-2"/>
          <w:sz w:val="24"/>
          <w:szCs w:val="24"/>
          <w:highlight w:val="none"/>
        </w:rPr>
        <w:t>法定代表人或其委托代理人：</w:t>
      </w:r>
      <w:r>
        <w:rPr>
          <w:rFonts w:hint="eastAsia" w:ascii="宋体" w:hAnsi="宋体" w:eastAsia="宋体" w:cs="宋体"/>
          <w:strike w:val="0"/>
          <w:color w:val="auto"/>
          <w:spacing w:val="-2"/>
          <w:sz w:val="24"/>
          <w:szCs w:val="24"/>
          <w:highlight w:val="none"/>
          <w:u w:val="single"/>
        </w:rPr>
        <w:tab/>
      </w:r>
      <w:r>
        <w:rPr>
          <w:rFonts w:hint="eastAsia" w:ascii="宋体" w:hAnsi="宋体" w:eastAsia="宋体" w:cs="宋体"/>
          <w:strike w:val="0"/>
          <w:color w:val="auto"/>
          <w:spacing w:val="-2"/>
          <w:sz w:val="24"/>
          <w:szCs w:val="24"/>
          <w:highlight w:val="none"/>
          <w:u w:val="single"/>
          <w:lang w:val="en-US" w:eastAsia="zh-CN"/>
        </w:rPr>
        <w:t xml:space="preserve">       </w:t>
      </w:r>
      <w:r>
        <w:rPr>
          <w:rFonts w:hint="eastAsia" w:ascii="宋体" w:hAnsi="宋体" w:eastAsia="宋体" w:cs="宋体"/>
          <w:strike w:val="0"/>
          <w:color w:val="auto"/>
          <w:spacing w:val="-1"/>
          <w:sz w:val="24"/>
          <w:szCs w:val="24"/>
          <w:highlight w:val="none"/>
        </w:rPr>
        <w:t>（签字</w:t>
      </w:r>
      <w:r>
        <w:rPr>
          <w:rFonts w:hint="eastAsia" w:ascii="宋体" w:hAnsi="宋体" w:eastAsia="宋体" w:cs="宋体"/>
          <w:strike w:val="0"/>
          <w:color w:val="auto"/>
          <w:spacing w:val="-1"/>
          <w:sz w:val="24"/>
          <w:szCs w:val="24"/>
          <w:highlight w:val="none"/>
          <w:lang w:val="en-US" w:eastAsia="zh-CN"/>
        </w:rPr>
        <w:t>或盖章</w:t>
      </w:r>
      <w:r>
        <w:rPr>
          <w:rFonts w:hint="eastAsia" w:ascii="宋体" w:hAnsi="宋体" w:eastAsia="宋体" w:cs="宋体"/>
          <w:strike w:val="0"/>
          <w:color w:val="auto"/>
          <w:spacing w:val="-1"/>
          <w:sz w:val="24"/>
          <w:szCs w:val="24"/>
          <w:highlight w:val="none"/>
        </w:rPr>
        <w:t>）</w:t>
      </w:r>
    </w:p>
    <w:p w14:paraId="0C9F3863">
      <w:pPr>
        <w:pStyle w:val="3"/>
        <w:tabs>
          <w:tab w:val="left" w:pos="7241"/>
        </w:tabs>
        <w:kinsoku w:val="0"/>
        <w:overflowPunct w:val="0"/>
        <w:spacing w:before="36" w:line="360" w:lineRule="auto"/>
        <w:ind w:left="2510"/>
        <w:rPr>
          <w:rFonts w:hint="eastAsia" w:ascii="宋体" w:hAnsi="宋体" w:eastAsia="宋体" w:cs="宋体"/>
          <w:strike w:val="0"/>
          <w:color w:val="auto"/>
          <w:sz w:val="24"/>
          <w:szCs w:val="24"/>
          <w:highlight w:val="none"/>
        </w:rPr>
      </w:pPr>
      <w:r>
        <w:rPr>
          <w:rFonts w:hint="eastAsia" w:ascii="宋体" w:hAnsi="宋体" w:eastAsia="宋体" w:cs="宋体"/>
          <w:strike w:val="0"/>
          <w:color w:val="auto"/>
          <w:spacing w:val="-2"/>
          <w:sz w:val="24"/>
          <w:szCs w:val="24"/>
          <w:highlight w:val="none"/>
        </w:rPr>
        <w:t>联合体成员名称：</w:t>
      </w:r>
      <w:r>
        <w:rPr>
          <w:rFonts w:hint="eastAsia" w:ascii="宋体" w:hAnsi="宋体" w:eastAsia="宋体" w:cs="宋体"/>
          <w:strike w:val="0"/>
          <w:color w:val="auto"/>
          <w:spacing w:val="-2"/>
          <w:sz w:val="24"/>
          <w:szCs w:val="24"/>
          <w:highlight w:val="none"/>
          <w:u w:val="single"/>
        </w:rPr>
        <w:tab/>
      </w:r>
      <w:r>
        <w:rPr>
          <w:rFonts w:hint="eastAsia" w:ascii="宋体" w:hAnsi="宋体" w:eastAsia="宋体" w:cs="宋体"/>
          <w:strike w:val="0"/>
          <w:color w:val="auto"/>
          <w:spacing w:val="-1"/>
          <w:sz w:val="24"/>
          <w:szCs w:val="24"/>
          <w:highlight w:val="none"/>
        </w:rPr>
        <w:t>（盖单位章）</w:t>
      </w:r>
    </w:p>
    <w:p w14:paraId="587077EE">
      <w:pPr>
        <w:pStyle w:val="3"/>
        <w:tabs>
          <w:tab w:val="left" w:pos="6187"/>
        </w:tabs>
        <w:kinsoku w:val="0"/>
        <w:overflowPunct w:val="0"/>
        <w:spacing w:before="36" w:line="360" w:lineRule="auto"/>
        <w:ind w:left="2510"/>
        <w:rPr>
          <w:rFonts w:hint="eastAsia" w:ascii="宋体" w:hAnsi="宋体" w:eastAsia="宋体" w:cs="宋体"/>
          <w:strike w:val="0"/>
          <w:color w:val="auto"/>
          <w:sz w:val="24"/>
          <w:szCs w:val="24"/>
          <w:highlight w:val="none"/>
        </w:rPr>
      </w:pPr>
      <w:r>
        <w:rPr>
          <w:rFonts w:hint="eastAsia" w:ascii="宋体" w:hAnsi="宋体" w:eastAsia="宋体" w:cs="宋体"/>
          <w:strike w:val="0"/>
          <w:color w:val="auto"/>
          <w:spacing w:val="-2"/>
          <w:sz w:val="24"/>
          <w:szCs w:val="24"/>
          <w:highlight w:val="none"/>
        </w:rPr>
        <w:t>法定代表人或其委托代理人：</w:t>
      </w:r>
      <w:r>
        <w:rPr>
          <w:rFonts w:hint="eastAsia" w:ascii="宋体" w:hAnsi="宋体" w:eastAsia="宋体" w:cs="宋体"/>
          <w:strike w:val="0"/>
          <w:color w:val="auto"/>
          <w:spacing w:val="-2"/>
          <w:sz w:val="24"/>
          <w:szCs w:val="24"/>
          <w:highlight w:val="none"/>
          <w:u w:val="single"/>
        </w:rPr>
        <w:tab/>
      </w:r>
      <w:r>
        <w:rPr>
          <w:rFonts w:hint="eastAsia" w:ascii="宋体" w:hAnsi="宋体" w:eastAsia="宋体" w:cs="宋体"/>
          <w:strike w:val="0"/>
          <w:color w:val="auto"/>
          <w:spacing w:val="-2"/>
          <w:sz w:val="24"/>
          <w:szCs w:val="24"/>
          <w:highlight w:val="none"/>
          <w:u w:val="single"/>
          <w:lang w:val="en-US" w:eastAsia="zh-CN"/>
        </w:rPr>
        <w:t xml:space="preserve">         </w:t>
      </w:r>
      <w:r>
        <w:rPr>
          <w:rFonts w:hint="eastAsia" w:ascii="宋体" w:hAnsi="宋体" w:eastAsia="宋体" w:cs="宋体"/>
          <w:strike w:val="0"/>
          <w:color w:val="auto"/>
          <w:spacing w:val="-1"/>
          <w:sz w:val="24"/>
          <w:szCs w:val="24"/>
          <w:highlight w:val="none"/>
        </w:rPr>
        <w:t>（签字</w:t>
      </w:r>
      <w:r>
        <w:rPr>
          <w:rFonts w:hint="eastAsia" w:ascii="宋体" w:hAnsi="宋体" w:eastAsia="宋体" w:cs="宋体"/>
          <w:strike w:val="0"/>
          <w:color w:val="auto"/>
          <w:spacing w:val="-1"/>
          <w:sz w:val="24"/>
          <w:szCs w:val="24"/>
          <w:highlight w:val="none"/>
          <w:lang w:val="en-US" w:eastAsia="zh-CN"/>
        </w:rPr>
        <w:t>或盖章</w:t>
      </w:r>
      <w:r>
        <w:rPr>
          <w:rFonts w:hint="eastAsia" w:ascii="宋体" w:hAnsi="宋体" w:eastAsia="宋体" w:cs="宋体"/>
          <w:strike w:val="0"/>
          <w:color w:val="auto"/>
          <w:spacing w:val="-1"/>
          <w:sz w:val="24"/>
          <w:szCs w:val="24"/>
          <w:highlight w:val="none"/>
        </w:rPr>
        <w:t>）</w:t>
      </w:r>
    </w:p>
    <w:p w14:paraId="2127DC26">
      <w:pPr>
        <w:pStyle w:val="3"/>
        <w:kinsoku w:val="0"/>
        <w:overflowPunct w:val="0"/>
        <w:spacing w:before="12"/>
        <w:ind w:left="0"/>
        <w:rPr>
          <w:rFonts w:hint="eastAsia" w:ascii="宋体" w:hAnsi="宋体" w:eastAsia="宋体" w:cs="宋体"/>
          <w:strike w:val="0"/>
          <w:color w:val="auto"/>
          <w:sz w:val="24"/>
          <w:szCs w:val="24"/>
          <w:highlight w:val="none"/>
        </w:rPr>
      </w:pPr>
    </w:p>
    <w:p w14:paraId="5E376684">
      <w:pPr>
        <w:pStyle w:val="3"/>
        <w:tabs>
          <w:tab w:val="left" w:pos="4538"/>
          <w:tab w:val="left" w:pos="5484"/>
          <w:tab w:val="left" w:pos="6427"/>
        </w:tabs>
        <w:kinsoku w:val="0"/>
        <w:overflowPunct w:val="0"/>
        <w:spacing w:before="36"/>
        <w:ind w:left="3801"/>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u w:val="single"/>
        </w:rPr>
        <w:t xml:space="preserve"> </w:t>
      </w:r>
      <w:r>
        <w:rPr>
          <w:rFonts w:hint="eastAsia" w:ascii="宋体" w:hAnsi="宋体" w:eastAsia="宋体" w:cs="宋体"/>
          <w:strike w:val="0"/>
          <w:color w:val="auto"/>
          <w:sz w:val="24"/>
          <w:szCs w:val="24"/>
          <w:highlight w:val="none"/>
          <w:u w:val="single"/>
        </w:rPr>
        <w:tab/>
      </w:r>
      <w:r>
        <w:rPr>
          <w:rFonts w:hint="eastAsia" w:ascii="宋体" w:hAnsi="宋体" w:eastAsia="宋体" w:cs="宋体"/>
          <w:strike w:val="0"/>
          <w:color w:val="auto"/>
          <w:sz w:val="24"/>
          <w:szCs w:val="24"/>
          <w:highlight w:val="none"/>
        </w:rPr>
        <w:t>年</w:t>
      </w:r>
      <w:r>
        <w:rPr>
          <w:rFonts w:hint="eastAsia" w:ascii="宋体" w:hAnsi="宋体" w:eastAsia="宋体" w:cs="宋体"/>
          <w:strike w:val="0"/>
          <w:color w:val="auto"/>
          <w:sz w:val="24"/>
          <w:szCs w:val="24"/>
          <w:highlight w:val="none"/>
          <w:u w:val="single"/>
        </w:rPr>
        <w:tab/>
      </w:r>
      <w:r>
        <w:rPr>
          <w:rFonts w:hint="eastAsia" w:ascii="宋体" w:hAnsi="宋体" w:eastAsia="宋体" w:cs="宋体"/>
          <w:strike w:val="0"/>
          <w:color w:val="auto"/>
          <w:spacing w:val="-3"/>
          <w:sz w:val="24"/>
          <w:szCs w:val="24"/>
          <w:highlight w:val="none"/>
        </w:rPr>
        <w:t>月</w:t>
      </w:r>
      <w:r>
        <w:rPr>
          <w:rFonts w:hint="eastAsia" w:ascii="宋体" w:hAnsi="宋体" w:eastAsia="宋体" w:cs="宋体"/>
          <w:strike w:val="0"/>
          <w:color w:val="auto"/>
          <w:spacing w:val="-3"/>
          <w:sz w:val="24"/>
          <w:szCs w:val="24"/>
          <w:highlight w:val="none"/>
          <w:u w:val="single"/>
        </w:rPr>
        <w:tab/>
      </w:r>
      <w:r>
        <w:rPr>
          <w:rFonts w:hint="eastAsia" w:ascii="宋体" w:hAnsi="宋体" w:eastAsia="宋体" w:cs="宋体"/>
          <w:strike w:val="0"/>
          <w:color w:val="auto"/>
          <w:sz w:val="24"/>
          <w:szCs w:val="24"/>
          <w:highlight w:val="none"/>
        </w:rPr>
        <w:t>日</w:t>
      </w:r>
    </w:p>
    <w:p w14:paraId="09CD795B">
      <w:pPr>
        <w:rPr>
          <w:rFonts w:hint="eastAsia" w:ascii="宋体" w:hAnsi="宋体" w:cs="宋体"/>
          <w:color w:val="auto"/>
          <w:sz w:val="24"/>
          <w:szCs w:val="24"/>
          <w:highlight w:val="none"/>
        </w:rPr>
      </w:pPr>
    </w:p>
    <w:sectPr>
      <w:footerReference r:id="rId3" w:type="default"/>
      <w:pgSz w:w="11906" w:h="16838"/>
      <w:pgMar w:top="1304" w:right="1304" w:bottom="1304" w:left="1304" w:header="851" w:footer="992" w:gutter="113"/>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0831F">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7F1B00">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F7F1B00">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0ODk0MDA0OGYyYzIyYWZhZWE4MGZlNWJjNmFjNjQifQ=="/>
    <w:docVar w:name="KGWebUrl" w:val="http://oa.gdguangye.com:80/defaultroot/public/iWebOfficeSign/attachmentServer.jsp"/>
    <w:docVar w:name="KSO_WPS_MARK_KEY" w:val="3b923e16-1594-44c9-9bfd-fc5685123e5b"/>
  </w:docVars>
  <w:rsids>
    <w:rsidRoot w:val="00000000"/>
    <w:rsid w:val="0883660A"/>
    <w:rsid w:val="189F773C"/>
    <w:rsid w:val="33B870C3"/>
    <w:rsid w:val="53E33CB4"/>
    <w:rsid w:val="76700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qFormat/>
    <w:uiPriority w:val="0"/>
    <w:pPr>
      <w:keepNext/>
      <w:keepLines/>
      <w:spacing w:before="260" w:after="260" w:line="412" w:lineRule="auto"/>
      <w:outlineLvl w:val="1"/>
    </w:pPr>
    <w:rPr>
      <w:rFonts w:ascii="Arial" w:hAnsi="Arial" w:eastAsia="黑体"/>
      <w:b/>
      <w:sz w:val="32"/>
    </w:rPr>
  </w:style>
  <w:style w:type="paragraph" w:styleId="6">
    <w:name w:val="heading 3"/>
    <w:basedOn w:val="1"/>
    <w:next w:val="1"/>
    <w:unhideWhenUsed/>
    <w:qFormat/>
    <w:uiPriority w:val="1"/>
    <w:pPr>
      <w:spacing w:before="50" w:beforeLines="50" w:after="50" w:afterLines="50" w:line="360" w:lineRule="auto"/>
      <w:outlineLvl w:val="2"/>
    </w:pPr>
    <w:rPr>
      <w:rFonts w:hint="default" w:ascii="宋体" w:hAnsi="宋体" w:eastAsia="宋体"/>
      <w:b/>
      <w:sz w:val="24"/>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 w:val="21"/>
      <w:lang w:val="en-US" w:eastAsia="zh-CN" w:bidi="ar-SA"/>
    </w:rPr>
  </w:style>
  <w:style w:type="paragraph" w:styleId="3">
    <w:name w:val="Body Text"/>
    <w:basedOn w:val="1"/>
    <w:next w:val="1"/>
    <w:qFormat/>
    <w:uiPriority w:val="0"/>
    <w:pPr>
      <w:spacing w:after="120"/>
    </w:pPr>
  </w:style>
  <w:style w:type="paragraph" w:styleId="7">
    <w:name w:val="Normal Indent"/>
    <w:basedOn w:val="1"/>
    <w:qFormat/>
    <w:uiPriority w:val="0"/>
    <w:pPr>
      <w:ind w:firstLine="420" w:firstLineChars="200"/>
    </w:pPr>
    <w:rPr>
      <w:szCs w:val="24"/>
    </w:rPr>
  </w:style>
  <w:style w:type="paragraph" w:styleId="8">
    <w:name w:val="annotation text"/>
    <w:basedOn w:val="1"/>
    <w:qFormat/>
    <w:uiPriority w:val="0"/>
    <w:pPr>
      <w:jc w:val="left"/>
    </w:pPr>
  </w:style>
  <w:style w:type="paragraph" w:styleId="9">
    <w:name w:val="Body Text Indent"/>
    <w:basedOn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2"/>
    <w:basedOn w:val="1"/>
    <w:qFormat/>
    <w:uiPriority w:val="0"/>
    <w:pPr>
      <w:spacing w:after="120" w:line="480" w:lineRule="auto"/>
    </w:pPr>
    <w:rPr>
      <w:szCs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qFormat/>
    <w:uiPriority w:val="0"/>
    <w:pPr>
      <w:spacing w:line="420" w:lineRule="exact"/>
      <w:ind w:firstLine="420"/>
      <w:jc w:val="left"/>
    </w:pPr>
    <w:rPr>
      <w:rFonts w:ascii="宋体" w:hAnsi="宋体"/>
      <w:color w:val="000000"/>
      <w:sz w:val="24"/>
      <w:szCs w:val="18"/>
    </w:rPr>
  </w:style>
  <w:style w:type="character" w:styleId="16">
    <w:name w:val="Hyperlink"/>
    <w:qFormat/>
    <w:uiPriority w:val="0"/>
    <w:rPr>
      <w:color w:val="0000FF"/>
      <w:u w:val="single"/>
    </w:rPr>
  </w:style>
  <w:style w:type="paragraph" w:customStyle="1" w:styleId="17">
    <w:name w:val="Plain Text1"/>
    <w:basedOn w:val="1"/>
    <w:qFormat/>
    <w:uiPriority w:val="0"/>
    <w:rPr>
      <w:rFonts w:ascii="Courier New" w:hAnsi="Courier New" w:eastAsia="楷体_GB2312"/>
    </w:rPr>
  </w:style>
  <w:style w:type="paragraph" w:customStyle="1" w:styleId="18">
    <w:name w:val="样式1"/>
    <w:basedOn w:val="1"/>
    <w:qFormat/>
    <w:uiPriority w:val="0"/>
    <w:pPr>
      <w:spacing w:beforeLines="70" w:line="460" w:lineRule="exact"/>
      <w:ind w:firstLine="480" w:firstLineChars="200"/>
    </w:pPr>
    <w:rPr>
      <w:rFonts w:ascii="宋体" w:hAnsi="宋体"/>
      <w:sz w:val="24"/>
      <w:szCs w:val="24"/>
    </w:rPr>
  </w:style>
  <w:style w:type="paragraph" w:customStyle="1" w:styleId="19">
    <w:name w:val="PlainText"/>
    <w:qFormat/>
    <w:uiPriority w:val="0"/>
    <w:pPr>
      <w:widowControl w:val="0"/>
      <w:jc w:val="both"/>
    </w:pPr>
    <w:rPr>
      <w:rFonts w:ascii="等线" w:hAnsi="Courier New" w:eastAsia="等线"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7937</Words>
  <Characters>8383</Characters>
  <Lines>0</Lines>
  <Paragraphs>0</Paragraphs>
  <TotalTime>49</TotalTime>
  <ScaleCrop>false</ScaleCrop>
  <LinksUpToDate>false</LinksUpToDate>
  <CharactersWithSpaces>8793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2024-03-04T08:39:00Z</dcterms:created>
  <dc:creator>NTKO</dc:creator>
  <cp:lastModifiedBy>Gz</cp:lastModifiedBy>
  <cp:lastPrinted>2024-06-24T01:37:00Z</cp:lastPrinted>
  <dcterms:modified xsi:type="dcterms:W3CDTF">2025-08-19T12:43:07Z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2222F25D43614F46A14300F47F9195D1_11</vt:lpwstr>
  </property>
  <property fmtid="{D5CDD505-2E9C-101B-9397-08002B2CF9AE}" pid="3" name="KSOProductBuildVer">
    <vt:lpwstr>2052-12.1.0.21915</vt:lpwstr>
  </property>
  <property fmtid="{D5CDD505-2E9C-101B-9397-08002B2CF9AE}" pid="4" name="KSOTemplateDocerSaveRecord">
    <vt:lpwstr>eyJoZGlkIjoiOTc3M2Y5NzIzMDFlZjAyY2Q4Njk5ODkyYjFjNzBiNTQiLCJ1c2VySWQiOiI2NjIyNDQwOTgifQ==</vt:lpwstr>
  </property>
</Properties>
</file>