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89C23F">
      <w:pPr>
        <w:pStyle w:val="31"/>
        <w:rPr>
          <w:rFonts w:hint="eastAsia" w:ascii="宋体" w:hAnsi="宋体" w:eastAsia="宋体" w:cs="宋体"/>
          <w:color w:val="auto"/>
          <w:highlight w:val="none"/>
        </w:rPr>
      </w:pPr>
    </w:p>
    <w:p w14:paraId="75D385AD">
      <w:pPr>
        <w:pStyle w:val="12"/>
        <w:kinsoku w:val="0"/>
        <w:overflowPunct w:val="0"/>
        <w:ind w:left="0"/>
        <w:rPr>
          <w:rFonts w:hint="eastAsia" w:ascii="宋体" w:hAnsi="宋体" w:eastAsia="宋体" w:cs="宋体"/>
          <w:color w:val="auto"/>
          <w:sz w:val="20"/>
          <w:szCs w:val="24"/>
          <w:highlight w:val="none"/>
        </w:rPr>
      </w:pPr>
    </w:p>
    <w:p w14:paraId="3B2506B1">
      <w:pPr>
        <w:pStyle w:val="12"/>
        <w:kinsoku w:val="0"/>
        <w:overflowPunct w:val="0"/>
        <w:ind w:left="0"/>
        <w:rPr>
          <w:rFonts w:hint="eastAsia" w:ascii="宋体" w:hAnsi="宋体" w:eastAsia="宋体" w:cs="宋体"/>
          <w:color w:val="auto"/>
          <w:sz w:val="20"/>
          <w:szCs w:val="24"/>
          <w:highlight w:val="none"/>
        </w:rPr>
      </w:pPr>
    </w:p>
    <w:p w14:paraId="02EDDCCF">
      <w:pPr>
        <w:pStyle w:val="12"/>
        <w:kinsoku w:val="0"/>
        <w:overflowPunct w:val="0"/>
        <w:ind w:left="0"/>
        <w:rPr>
          <w:rFonts w:hint="eastAsia" w:ascii="宋体" w:hAnsi="宋体" w:eastAsia="宋体" w:cs="宋体"/>
          <w:color w:val="auto"/>
          <w:sz w:val="20"/>
          <w:szCs w:val="24"/>
          <w:highlight w:val="none"/>
        </w:rPr>
      </w:pPr>
    </w:p>
    <w:p w14:paraId="1ECB5739">
      <w:pPr>
        <w:pStyle w:val="12"/>
        <w:kinsoku w:val="0"/>
        <w:overflowPunct w:val="0"/>
        <w:ind w:left="0"/>
        <w:rPr>
          <w:rFonts w:hint="eastAsia" w:ascii="宋体" w:hAnsi="宋体" w:eastAsia="宋体" w:cs="宋体"/>
          <w:color w:val="auto"/>
          <w:sz w:val="20"/>
          <w:szCs w:val="24"/>
          <w:highlight w:val="none"/>
        </w:rPr>
      </w:pPr>
    </w:p>
    <w:p w14:paraId="4A56C3D9">
      <w:pPr>
        <w:pStyle w:val="12"/>
        <w:kinsoku w:val="0"/>
        <w:overflowPunct w:val="0"/>
        <w:ind w:left="0"/>
        <w:rPr>
          <w:rFonts w:hint="eastAsia" w:ascii="宋体" w:hAnsi="宋体" w:eastAsia="宋体" w:cs="宋体"/>
          <w:color w:val="auto"/>
          <w:sz w:val="20"/>
          <w:szCs w:val="24"/>
          <w:highlight w:val="none"/>
        </w:rPr>
      </w:pPr>
    </w:p>
    <w:p w14:paraId="5CB80EB7">
      <w:pPr>
        <w:pStyle w:val="21"/>
        <w:spacing w:line="360" w:lineRule="auto"/>
        <w:jc w:val="center"/>
        <w:rPr>
          <w:rFonts w:hint="eastAsia" w:ascii="宋体" w:hAnsi="宋体" w:eastAsia="宋体" w:cs="宋体"/>
          <w:b/>
          <w:bCs/>
          <w:color w:val="auto"/>
          <w:sz w:val="36"/>
          <w:szCs w:val="36"/>
          <w:highlight w:val="none"/>
          <w:u w:val="none"/>
        </w:rPr>
      </w:pPr>
      <w:r>
        <w:rPr>
          <w:rFonts w:hint="eastAsia" w:eastAsia="宋体" w:cs="宋体"/>
          <w:b/>
          <w:bCs/>
          <w:color w:val="auto"/>
          <w:sz w:val="44"/>
          <w:szCs w:val="44"/>
          <w:highlight w:val="none"/>
          <w:u w:val="none"/>
          <w:lang w:eastAsia="zh-CN"/>
        </w:rPr>
        <w:t>南村污水系统水环境系统化治理查缺补漏工程施工监理（标段一）</w:t>
      </w:r>
    </w:p>
    <w:p w14:paraId="4A069990">
      <w:pPr>
        <w:pStyle w:val="12"/>
        <w:kinsoku w:val="0"/>
        <w:overflowPunct w:val="0"/>
        <w:spacing w:before="2"/>
        <w:ind w:left="0"/>
        <w:rPr>
          <w:rFonts w:hint="eastAsia" w:cs="宋体"/>
          <w:color w:val="auto"/>
          <w:sz w:val="23"/>
          <w:szCs w:val="24"/>
          <w:highlight w:val="none"/>
        </w:rPr>
      </w:pPr>
    </w:p>
    <w:p w14:paraId="698195BB">
      <w:pPr>
        <w:pStyle w:val="12"/>
        <w:kinsoku w:val="0"/>
        <w:overflowPunct w:val="0"/>
        <w:ind w:left="0"/>
        <w:rPr>
          <w:rFonts w:hint="eastAsia" w:cs="宋体"/>
          <w:color w:val="auto"/>
          <w:sz w:val="20"/>
          <w:szCs w:val="24"/>
          <w:highlight w:val="none"/>
        </w:rPr>
      </w:pPr>
    </w:p>
    <w:p w14:paraId="4A628C78">
      <w:pPr>
        <w:pStyle w:val="12"/>
        <w:kinsoku w:val="0"/>
        <w:overflowPunct w:val="0"/>
        <w:ind w:left="0"/>
        <w:rPr>
          <w:rFonts w:hint="eastAsia" w:cs="宋体"/>
          <w:color w:val="auto"/>
          <w:sz w:val="20"/>
          <w:szCs w:val="24"/>
          <w:highlight w:val="none"/>
        </w:rPr>
      </w:pPr>
    </w:p>
    <w:p w14:paraId="045BFE43">
      <w:pPr>
        <w:pStyle w:val="12"/>
        <w:kinsoku w:val="0"/>
        <w:overflowPunct w:val="0"/>
        <w:ind w:left="0"/>
        <w:rPr>
          <w:rFonts w:hint="eastAsia" w:cs="宋体"/>
          <w:color w:val="auto"/>
          <w:sz w:val="20"/>
          <w:szCs w:val="24"/>
          <w:highlight w:val="none"/>
        </w:rPr>
      </w:pPr>
    </w:p>
    <w:p w14:paraId="043771A8">
      <w:pPr>
        <w:pStyle w:val="12"/>
        <w:kinsoku w:val="0"/>
        <w:overflowPunct w:val="0"/>
        <w:ind w:left="0"/>
        <w:rPr>
          <w:rFonts w:hint="eastAsia" w:cs="宋体"/>
          <w:color w:val="auto"/>
          <w:sz w:val="20"/>
          <w:szCs w:val="24"/>
          <w:highlight w:val="none"/>
        </w:rPr>
      </w:pPr>
    </w:p>
    <w:p w14:paraId="7D960BF9">
      <w:pPr>
        <w:pStyle w:val="12"/>
        <w:kinsoku w:val="0"/>
        <w:overflowPunct w:val="0"/>
        <w:ind w:left="0"/>
        <w:rPr>
          <w:rFonts w:hint="eastAsia" w:cs="宋体"/>
          <w:color w:val="auto"/>
          <w:sz w:val="20"/>
          <w:szCs w:val="24"/>
          <w:highlight w:val="none"/>
        </w:rPr>
      </w:pPr>
    </w:p>
    <w:p w14:paraId="66A8F466">
      <w:pPr>
        <w:pStyle w:val="12"/>
        <w:kinsoku w:val="0"/>
        <w:overflowPunct w:val="0"/>
        <w:ind w:left="0"/>
        <w:rPr>
          <w:rFonts w:hint="eastAsia" w:cs="宋体"/>
          <w:color w:val="auto"/>
          <w:sz w:val="20"/>
          <w:szCs w:val="24"/>
          <w:highlight w:val="none"/>
        </w:rPr>
      </w:pPr>
    </w:p>
    <w:p w14:paraId="58D5A95C">
      <w:pPr>
        <w:pStyle w:val="12"/>
        <w:kinsoku w:val="0"/>
        <w:overflowPunct w:val="0"/>
        <w:spacing w:before="106"/>
        <w:ind w:left="3" w:right="4"/>
        <w:jc w:val="center"/>
        <w:rPr>
          <w:rFonts w:hint="eastAsia" w:cs="宋体"/>
          <w:color w:val="auto"/>
          <w:sz w:val="44"/>
          <w:szCs w:val="24"/>
          <w:highlight w:val="none"/>
        </w:rPr>
      </w:pPr>
      <w:r>
        <w:rPr>
          <w:rFonts w:hint="eastAsia" w:ascii="宋体" w:hAnsi="宋体" w:eastAsia="宋体" w:cs="宋体"/>
          <w:color w:val="auto"/>
          <w:sz w:val="84"/>
          <w:szCs w:val="24"/>
          <w:highlight w:val="none"/>
        </w:rPr>
        <w:t>招标文件</w:t>
      </w:r>
    </w:p>
    <w:p w14:paraId="4D9EBE8B">
      <w:pPr>
        <w:pStyle w:val="12"/>
        <w:kinsoku w:val="0"/>
        <w:overflowPunct w:val="0"/>
        <w:ind w:left="0"/>
        <w:rPr>
          <w:rFonts w:hint="eastAsia" w:cs="宋体"/>
          <w:color w:val="auto"/>
          <w:sz w:val="44"/>
          <w:szCs w:val="24"/>
          <w:highlight w:val="none"/>
        </w:rPr>
      </w:pPr>
    </w:p>
    <w:p w14:paraId="2451D6EF">
      <w:pPr>
        <w:pStyle w:val="12"/>
        <w:kinsoku w:val="0"/>
        <w:overflowPunct w:val="0"/>
        <w:ind w:left="0"/>
        <w:rPr>
          <w:rFonts w:hint="eastAsia" w:cs="宋体"/>
          <w:color w:val="auto"/>
          <w:sz w:val="44"/>
          <w:szCs w:val="24"/>
          <w:highlight w:val="none"/>
        </w:rPr>
      </w:pPr>
    </w:p>
    <w:p w14:paraId="5D1F850A">
      <w:pPr>
        <w:pStyle w:val="12"/>
        <w:kinsoku w:val="0"/>
        <w:overflowPunct w:val="0"/>
        <w:ind w:left="0"/>
        <w:rPr>
          <w:rFonts w:hint="eastAsia" w:cs="宋体"/>
          <w:color w:val="auto"/>
          <w:sz w:val="44"/>
          <w:szCs w:val="24"/>
          <w:highlight w:val="none"/>
        </w:rPr>
      </w:pPr>
    </w:p>
    <w:p w14:paraId="37BE0C21">
      <w:pPr>
        <w:pStyle w:val="12"/>
        <w:kinsoku w:val="0"/>
        <w:overflowPunct w:val="0"/>
        <w:ind w:left="0"/>
        <w:rPr>
          <w:rFonts w:hint="eastAsia" w:cs="宋体"/>
          <w:color w:val="auto"/>
          <w:sz w:val="44"/>
          <w:szCs w:val="24"/>
          <w:highlight w:val="none"/>
        </w:rPr>
      </w:pPr>
    </w:p>
    <w:p w14:paraId="49E5D0DA">
      <w:pPr>
        <w:pStyle w:val="12"/>
        <w:kinsoku w:val="0"/>
        <w:overflowPunct w:val="0"/>
        <w:ind w:left="0"/>
        <w:rPr>
          <w:rFonts w:hint="eastAsia" w:cs="宋体"/>
          <w:color w:val="auto"/>
          <w:sz w:val="44"/>
          <w:szCs w:val="24"/>
          <w:highlight w:val="none"/>
        </w:rPr>
      </w:pPr>
    </w:p>
    <w:p w14:paraId="5376CC99">
      <w:pPr>
        <w:pStyle w:val="12"/>
        <w:kinsoku w:val="0"/>
        <w:overflowPunct w:val="0"/>
        <w:ind w:left="0"/>
        <w:rPr>
          <w:rFonts w:hint="eastAsia" w:cs="宋体"/>
          <w:color w:val="auto"/>
          <w:sz w:val="44"/>
          <w:szCs w:val="24"/>
          <w:highlight w:val="none"/>
        </w:rPr>
      </w:pPr>
    </w:p>
    <w:p w14:paraId="3B55C069">
      <w:pPr>
        <w:pStyle w:val="12"/>
        <w:kinsoku w:val="0"/>
        <w:overflowPunct w:val="0"/>
        <w:ind w:left="0"/>
        <w:rPr>
          <w:rFonts w:hint="eastAsia" w:cs="宋体"/>
          <w:color w:val="auto"/>
          <w:sz w:val="44"/>
          <w:szCs w:val="24"/>
          <w:highlight w:val="none"/>
        </w:rPr>
      </w:pPr>
    </w:p>
    <w:p w14:paraId="4EB70A30">
      <w:pPr>
        <w:pStyle w:val="12"/>
        <w:kinsoku w:val="0"/>
        <w:overflowPunct w:val="0"/>
        <w:spacing w:before="8"/>
        <w:ind w:left="0"/>
        <w:rPr>
          <w:rFonts w:hint="eastAsia" w:cs="宋体"/>
          <w:color w:val="auto"/>
          <w:sz w:val="33"/>
          <w:szCs w:val="24"/>
          <w:highlight w:val="none"/>
        </w:rPr>
      </w:pPr>
    </w:p>
    <w:p w14:paraId="7F87651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招   标   人：</w:t>
      </w:r>
      <w:r>
        <w:rPr>
          <w:rFonts w:hint="eastAsia" w:ascii="宋体" w:hAnsi="宋体" w:cs="宋体"/>
          <w:b/>
          <w:bCs/>
          <w:color w:val="auto"/>
          <w:sz w:val="30"/>
          <w:szCs w:val="30"/>
          <w:highlight w:val="none"/>
          <w:u w:val="single"/>
        </w:rPr>
        <w:t>广州市番禺区水务工程建管中心</w:t>
      </w:r>
    </w:p>
    <w:p w14:paraId="3F6F481C">
      <w:pPr>
        <w:keepNext w:val="0"/>
        <w:keepLines w:val="0"/>
        <w:pageBreakBefore w:val="0"/>
        <w:widowControl/>
        <w:kinsoku/>
        <w:wordWrap/>
        <w:overflowPunct/>
        <w:topLinePunct w:val="0"/>
        <w:autoSpaceDE/>
        <w:autoSpaceDN/>
        <w:bidi w:val="0"/>
        <w:adjustRightInd/>
        <w:snapToGrid/>
        <w:spacing w:line="360" w:lineRule="auto"/>
        <w:ind w:firstLine="1807" w:firstLineChars="600"/>
        <w:textAlignment w:val="auto"/>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u w:val="single"/>
        </w:rPr>
        <w:t>（广州市番禺区水旱灾害防御中心）（盖单位章）</w:t>
      </w:r>
    </w:p>
    <w:p w14:paraId="3D6064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招标代理机构：</w:t>
      </w:r>
      <w:r>
        <w:rPr>
          <w:rFonts w:hint="eastAsia" w:ascii="宋体" w:hAnsi="宋体" w:cs="宋体"/>
          <w:b/>
          <w:bCs/>
          <w:color w:val="auto"/>
          <w:sz w:val="30"/>
          <w:szCs w:val="30"/>
          <w:highlight w:val="none"/>
          <w:u w:val="single"/>
          <w:lang w:eastAsia="zh-CN"/>
        </w:rPr>
        <w:t>广东省广大工程顾问有限公司</w:t>
      </w:r>
      <w:r>
        <w:rPr>
          <w:rFonts w:hint="eastAsia" w:ascii="宋体" w:hAnsi="宋体" w:cs="宋体"/>
          <w:b/>
          <w:bCs/>
          <w:color w:val="auto"/>
          <w:sz w:val="30"/>
          <w:szCs w:val="30"/>
          <w:highlight w:val="none"/>
          <w:u w:val="single"/>
        </w:rPr>
        <w:t>（盖单位章）</w:t>
      </w:r>
    </w:p>
    <w:p w14:paraId="5B7D78D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u w:val="none"/>
          <w:lang w:eastAsia="zh-CN"/>
        </w:rPr>
        <w:t>日</w:t>
      </w:r>
      <w:r>
        <w:rPr>
          <w:rFonts w:hint="eastAsia" w:ascii="宋体" w:hAnsi="宋体" w:cs="宋体"/>
          <w:b/>
          <w:bCs/>
          <w:color w:val="auto"/>
          <w:sz w:val="30"/>
          <w:szCs w:val="30"/>
          <w:highlight w:val="none"/>
          <w:u w:val="none"/>
          <w:lang w:val="en-US" w:eastAsia="zh-CN"/>
        </w:rPr>
        <w:t xml:space="preserve">        </w:t>
      </w:r>
      <w:r>
        <w:rPr>
          <w:rFonts w:hint="eastAsia" w:ascii="宋体" w:hAnsi="宋体" w:cs="宋体"/>
          <w:b/>
          <w:bCs/>
          <w:color w:val="auto"/>
          <w:sz w:val="30"/>
          <w:szCs w:val="30"/>
          <w:highlight w:val="none"/>
          <w:u w:val="none"/>
          <w:lang w:eastAsia="zh-CN"/>
        </w:rPr>
        <w:t>期：</w:t>
      </w:r>
      <w:r>
        <w:rPr>
          <w:rFonts w:hint="eastAsia" w:ascii="宋体" w:hAnsi="宋体" w:cs="宋体"/>
          <w:b/>
          <w:bCs/>
          <w:color w:val="auto"/>
          <w:sz w:val="30"/>
          <w:szCs w:val="30"/>
          <w:highlight w:val="none"/>
          <w:u w:val="single"/>
        </w:rPr>
        <w:t>202</w:t>
      </w:r>
      <w:r>
        <w:rPr>
          <w:rFonts w:hint="eastAsia" w:ascii="宋体" w:hAnsi="宋体" w:cs="宋体"/>
          <w:b/>
          <w:bCs/>
          <w:color w:val="auto"/>
          <w:sz w:val="30"/>
          <w:szCs w:val="30"/>
          <w:highlight w:val="none"/>
          <w:u w:val="single"/>
          <w:lang w:val="en-US" w:eastAsia="zh-CN"/>
        </w:rPr>
        <w:t>5</w:t>
      </w:r>
      <w:r>
        <w:rPr>
          <w:rFonts w:hint="eastAsia" w:ascii="宋体" w:hAnsi="宋体" w:cs="宋体"/>
          <w:b/>
          <w:bCs/>
          <w:color w:val="auto"/>
          <w:sz w:val="30"/>
          <w:szCs w:val="30"/>
          <w:highlight w:val="none"/>
        </w:rPr>
        <w:t>年</w:t>
      </w:r>
      <w:bookmarkStart w:id="152" w:name="_GoBack"/>
      <w:bookmarkEnd w:id="152"/>
      <w:r>
        <w:rPr>
          <w:rFonts w:hint="eastAsia" w:ascii="宋体" w:hAnsi="宋体" w:cs="宋体"/>
          <w:b/>
          <w:bCs/>
          <w:color w:val="auto"/>
          <w:sz w:val="30"/>
          <w:szCs w:val="30"/>
          <w:highlight w:val="none"/>
          <w:u w:val="single"/>
          <w:lang w:val="en-US" w:eastAsia="zh-CN"/>
        </w:rPr>
        <w:t>8</w:t>
      </w:r>
      <w:r>
        <w:rPr>
          <w:rFonts w:hint="eastAsia" w:ascii="宋体" w:hAnsi="宋体" w:cs="宋体"/>
          <w:b/>
          <w:bCs/>
          <w:color w:val="auto"/>
          <w:sz w:val="30"/>
          <w:szCs w:val="30"/>
          <w:highlight w:val="none"/>
        </w:rPr>
        <w:t>月</w:t>
      </w:r>
    </w:p>
    <w:p w14:paraId="3FBA15A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pP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3CC4B495">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235392F5">
          <w:pPr>
            <w:pStyle w:val="19"/>
            <w:tabs>
              <w:tab w:val="right" w:leader="dot" w:pos="9071"/>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_Toc1556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cs="宋体"/>
              <w:b/>
              <w:bCs/>
              <w:color w:val="auto"/>
              <w:sz w:val="24"/>
              <w:szCs w:val="24"/>
              <w:highlight w:val="none"/>
            </w:rPr>
            <w:t>第一卷</w:t>
          </w:r>
          <w:r>
            <w:rPr>
              <w:rFonts w:hint="eastAsia" w:ascii="宋体" w:hAnsi="宋体" w:cs="宋体"/>
              <w:b/>
              <w:bCs/>
              <w:color w:val="auto"/>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color w:val="auto"/>
              <w:sz w:val="24"/>
              <w:szCs w:val="24"/>
              <w:highlight w:val="none"/>
              <w:lang w:val="en-US" w:eastAsia="zh-CN"/>
            </w:rPr>
            <w:t>1</w:t>
          </w:r>
        </w:p>
        <w:p w14:paraId="56DE45B6">
          <w:pPr>
            <w:pStyle w:val="20"/>
            <w:tabs>
              <w:tab w:val="right" w:leader="dot" w:pos="9071"/>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_Toc29772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第一章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招标公告</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2</w:t>
          </w:r>
        </w:p>
        <w:p w14:paraId="1CC23CC0">
          <w:pPr>
            <w:pStyle w:val="20"/>
            <w:tabs>
              <w:tab w:val="right" w:leader="dot" w:pos="9071"/>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_Toc15097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第二章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投标人须知</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3</w:t>
          </w:r>
        </w:p>
        <w:p w14:paraId="31B4AABA">
          <w:pPr>
            <w:pStyle w:val="20"/>
            <w:tabs>
              <w:tab w:val="right" w:leader="dot" w:pos="9071"/>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_Toc23003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第三章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评标</w:t>
          </w:r>
          <w:r>
            <w:rPr>
              <w:rFonts w:hint="eastAsia" w:ascii="宋体" w:hAnsi="宋体" w:cs="宋体"/>
              <w:color w:val="auto"/>
              <w:sz w:val="24"/>
              <w:szCs w:val="24"/>
              <w:highlight w:val="none"/>
              <w:lang w:val="en-US" w:eastAsia="zh-CN"/>
            </w:rPr>
            <w:t>、定标</w:t>
          </w:r>
          <w:r>
            <w:rPr>
              <w:rFonts w:hint="eastAsia" w:ascii="宋体" w:hAnsi="宋体" w:cs="宋体"/>
              <w:color w:val="auto"/>
              <w:sz w:val="24"/>
              <w:szCs w:val="24"/>
              <w:highlight w:val="none"/>
            </w:rPr>
            <w:t>办法</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38</w:t>
          </w:r>
        </w:p>
        <w:p w14:paraId="7B258D85">
          <w:pPr>
            <w:pStyle w:val="20"/>
            <w:tabs>
              <w:tab w:val="right" w:leader="dot" w:pos="9071"/>
            </w:tabs>
            <w:spacing w:line="360" w:lineRule="auto"/>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_Toc14321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第四章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2</w:t>
          </w:r>
        </w:p>
        <w:p w14:paraId="10A70FA9">
          <w:pPr>
            <w:pStyle w:val="19"/>
            <w:tabs>
              <w:tab w:val="right" w:leader="dot" w:pos="9071"/>
            </w:tabs>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_Toc2872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cs="宋体"/>
              <w:b/>
              <w:bCs/>
              <w:color w:val="auto"/>
              <w:sz w:val="24"/>
              <w:szCs w:val="24"/>
              <w:highlight w:val="none"/>
            </w:rPr>
            <w:t>第二卷</w:t>
          </w:r>
          <w:r>
            <w:rPr>
              <w:rFonts w:hint="eastAsia" w:ascii="宋体" w:hAnsi="宋体" w:cs="宋体"/>
              <w:b/>
              <w:bCs/>
              <w:color w:val="auto"/>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color w:val="auto"/>
              <w:sz w:val="24"/>
              <w:szCs w:val="24"/>
              <w:highlight w:val="none"/>
              <w:lang w:val="en-US" w:eastAsia="zh-CN"/>
            </w:rPr>
            <w:t>63</w:t>
          </w:r>
        </w:p>
        <w:p w14:paraId="459336C1">
          <w:pPr>
            <w:pStyle w:val="20"/>
            <w:tabs>
              <w:tab w:val="right" w:leader="dot" w:pos="9071"/>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_Toc23118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第五章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委托人要求</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64</w:t>
          </w:r>
        </w:p>
        <w:p w14:paraId="47FDB7B9">
          <w:pPr>
            <w:pStyle w:val="19"/>
            <w:tabs>
              <w:tab w:val="right" w:leader="dot" w:pos="9071"/>
            </w:tabs>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_Toc12210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cs="宋体"/>
              <w:b/>
              <w:bCs/>
              <w:color w:val="auto"/>
              <w:sz w:val="24"/>
              <w:szCs w:val="24"/>
              <w:highlight w:val="none"/>
            </w:rPr>
            <w:t>第三卷</w:t>
          </w:r>
          <w:r>
            <w:rPr>
              <w:rFonts w:hint="eastAsia" w:ascii="宋体" w:hAnsi="宋体" w:cs="宋体"/>
              <w:b/>
              <w:bCs/>
              <w:color w:val="auto"/>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color w:val="auto"/>
              <w:sz w:val="24"/>
              <w:szCs w:val="24"/>
              <w:highlight w:val="none"/>
              <w:lang w:val="en-US" w:eastAsia="zh-CN"/>
            </w:rPr>
            <w:t>70</w:t>
          </w:r>
        </w:p>
        <w:p w14:paraId="530E572A">
          <w:pPr>
            <w:pStyle w:val="20"/>
            <w:tabs>
              <w:tab w:val="right" w:leader="dot" w:pos="9071"/>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_Toc26661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第六章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71</w:t>
          </w:r>
        </w:p>
        <w:p w14:paraId="0DF4C305">
          <w:pPr>
            <w:pStyle w:val="20"/>
            <w:tabs>
              <w:tab w:val="right" w:leader="dot" w:pos="9071"/>
            </w:tabs>
            <w:spacing w:line="360" w:lineRule="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_Toc17258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lang w:val="en-US" w:eastAsia="zh-CN"/>
            </w:rPr>
            <w:t xml:space="preserve">第七章 </w:t>
          </w:r>
          <w:r>
            <w:rPr>
              <w:rFonts w:hint="eastAsia" w:ascii="宋体" w:hAnsi="宋体" w:cs="宋体"/>
              <w:color w:val="auto"/>
              <w:sz w:val="24"/>
              <w:szCs w:val="24"/>
              <w:highlight w:val="none"/>
            </w:rPr>
            <w:t>投标人须知前附表规定的其他资料。</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94</w:t>
          </w:r>
        </w:p>
        <w:p w14:paraId="12CC2AA8">
          <w:pPr>
            <w:rPr>
              <w:rFonts w:hint="default"/>
              <w:color w:val="auto"/>
              <w:highlight w:val="none"/>
              <w:lang w:val="en-US" w:eastAsia="zh-CN"/>
            </w:rPr>
          </w:pPr>
        </w:p>
        <w:p w14:paraId="353D899D">
          <w:pPr>
            <w:pStyle w:val="15"/>
            <w:tabs>
              <w:tab w:val="right" w:leader="dot" w:pos="9071"/>
            </w:tabs>
            <w:spacing w:line="360" w:lineRule="auto"/>
            <w:ind w:left="0" w:leftChars="0" w:firstLine="0" w:firstLineChars="0"/>
            <w:rPr>
              <w:rFonts w:hint="eastAsia" w:ascii="宋体" w:hAnsi="宋体" w:cs="宋体"/>
              <w:color w:val="auto"/>
              <w:sz w:val="24"/>
              <w:szCs w:val="24"/>
              <w:highlight w:val="none"/>
            </w:rPr>
          </w:pPr>
        </w:p>
        <w:p w14:paraId="654432F4">
          <w:pPr>
            <w:pStyle w:val="12"/>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6FE7A5AE">
      <w:pPr>
        <w:pStyle w:val="45"/>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41C5D98E">
      <w:pPr>
        <w:pStyle w:val="12"/>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footerReference r:id="rId3" w:type="default"/>
          <w:pgSz w:w="11905" w:h="16838"/>
          <w:pgMar w:top="1417" w:right="1417" w:bottom="1417" w:left="1417" w:header="720" w:footer="720" w:gutter="0"/>
          <w:lnNumType w:countBy="0" w:distance="360"/>
          <w:cols w:space="720" w:num="1"/>
        </w:sectPr>
      </w:pPr>
    </w:p>
    <w:p w14:paraId="51843B58">
      <w:pPr>
        <w:pStyle w:val="12"/>
        <w:kinsoku w:val="0"/>
        <w:overflowPunct w:val="0"/>
        <w:ind w:left="0"/>
        <w:rPr>
          <w:rFonts w:hint="eastAsia" w:ascii="宋体" w:hAnsi="宋体" w:eastAsia="宋体" w:cs="宋体"/>
          <w:color w:val="auto"/>
          <w:sz w:val="44"/>
          <w:szCs w:val="24"/>
          <w:highlight w:val="none"/>
        </w:rPr>
      </w:pPr>
    </w:p>
    <w:p w14:paraId="45A5A783">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0" w:name="bookmark0"/>
      <w:bookmarkEnd w:id="0"/>
      <w:bookmarkStart w:id="1" w:name="_Toc1556"/>
      <w:r>
        <w:rPr>
          <w:rFonts w:hint="eastAsia" w:ascii="宋体" w:hAnsi="宋体" w:eastAsia="宋体" w:cs="宋体"/>
          <w:color w:val="auto"/>
          <w:sz w:val="52"/>
          <w:szCs w:val="52"/>
          <w:highlight w:val="none"/>
        </w:rPr>
        <w:t>第一卷</w:t>
      </w:r>
      <w:bookmarkEnd w:id="1"/>
    </w:p>
    <w:p w14:paraId="78F38257">
      <w:pPr>
        <w:pStyle w:val="12"/>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pgNumType w:start="1"/>
          <w:cols w:space="720" w:num="1"/>
        </w:sectPr>
      </w:pPr>
    </w:p>
    <w:p w14:paraId="08E9F2A8">
      <w:pPr>
        <w:pStyle w:val="3"/>
        <w:spacing w:line="360" w:lineRule="auto"/>
        <w:outlineLvl w:val="0"/>
        <w:rPr>
          <w:rFonts w:hint="eastAsia" w:cs="宋体"/>
          <w:color w:val="auto"/>
          <w:sz w:val="44"/>
          <w:szCs w:val="24"/>
          <w:highlight w:val="none"/>
        </w:rPr>
      </w:pPr>
      <w:bookmarkStart w:id="2" w:name="bookmark1"/>
      <w:bookmarkEnd w:id="2"/>
      <w:bookmarkStart w:id="3" w:name="_Toc29772"/>
      <w:r>
        <w:rPr>
          <w:rFonts w:hint="eastAsia" w:cs="宋体"/>
          <w:color w:val="auto"/>
          <w:sz w:val="44"/>
          <w:szCs w:val="24"/>
          <w:highlight w:val="none"/>
        </w:rPr>
        <w:t>第一章</w:t>
      </w:r>
      <w:r>
        <w:rPr>
          <w:rFonts w:hint="eastAsia" w:cs="宋体"/>
          <w:color w:val="auto"/>
          <w:sz w:val="44"/>
          <w:szCs w:val="24"/>
          <w:highlight w:val="none"/>
          <w:lang w:val="en-US" w:eastAsia="zh-CN"/>
        </w:rPr>
        <w:t xml:space="preserve"> </w:t>
      </w:r>
      <w:r>
        <w:rPr>
          <w:rFonts w:hint="eastAsia" w:cs="宋体"/>
          <w:color w:val="auto"/>
          <w:sz w:val="44"/>
          <w:szCs w:val="24"/>
          <w:highlight w:val="none"/>
        </w:rPr>
        <w:t>招标公告</w:t>
      </w:r>
      <w:bookmarkEnd w:id="3"/>
    </w:p>
    <w:p w14:paraId="449042BA">
      <w:pPr>
        <w:spacing w:line="360" w:lineRule="auto"/>
        <w:jc w:val="cente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t>(另册)</w:t>
      </w:r>
    </w:p>
    <w:p w14:paraId="6359DB3E">
      <w:pP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br w:type="page"/>
      </w:r>
    </w:p>
    <w:p w14:paraId="6F99DFAE">
      <w:pPr>
        <w:pStyle w:val="3"/>
        <w:ind w:left="0"/>
        <w:outlineLvl w:val="0"/>
        <w:rPr>
          <w:rFonts w:hint="eastAsia" w:ascii="宋体" w:hAnsi="宋体" w:eastAsia="宋体" w:cs="宋体"/>
          <w:b w:val="0"/>
          <w:color w:val="auto"/>
          <w:sz w:val="57"/>
          <w:szCs w:val="24"/>
          <w:highlight w:val="none"/>
        </w:rPr>
      </w:pPr>
      <w:bookmarkStart w:id="4" w:name="bookmark18"/>
      <w:bookmarkEnd w:id="4"/>
      <w:bookmarkStart w:id="5" w:name="bookmark9"/>
      <w:bookmarkEnd w:id="5"/>
      <w:bookmarkStart w:id="6" w:name="_Toc15097"/>
      <w:r>
        <w:rPr>
          <w:rFonts w:hint="eastAsia" w:cs="宋体"/>
          <w:color w:val="auto"/>
          <w:sz w:val="44"/>
          <w:szCs w:val="24"/>
          <w:highlight w:val="none"/>
        </w:rPr>
        <w:t>第二章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投标人须知</w:t>
      </w:r>
      <w:bookmarkEnd w:id="6"/>
    </w:p>
    <w:p w14:paraId="17F90476">
      <w:pPr>
        <w:pStyle w:val="4"/>
        <w:kinsoku w:val="0"/>
        <w:overflowPunct w:val="0"/>
        <w:ind w:left="220"/>
        <w:jc w:val="center"/>
        <w:outlineLvl w:val="1"/>
        <w:rPr>
          <w:rFonts w:hint="eastAsia" w:ascii="宋体" w:hAnsi="宋体" w:eastAsia="宋体" w:cs="宋体"/>
          <w:b w:val="0"/>
          <w:color w:val="auto"/>
          <w:sz w:val="20"/>
          <w:szCs w:val="24"/>
          <w:highlight w:val="none"/>
        </w:rPr>
      </w:pPr>
      <w:bookmarkStart w:id="7" w:name="bookmark19"/>
      <w:bookmarkEnd w:id="7"/>
      <w:bookmarkStart w:id="8" w:name="_Toc6280"/>
      <w:r>
        <w:rPr>
          <w:rFonts w:hint="eastAsia" w:cs="宋体"/>
          <w:color w:val="auto"/>
          <w:sz w:val="32"/>
          <w:szCs w:val="24"/>
          <w:highlight w:val="none"/>
        </w:rPr>
        <w:t>投标人须知前附表</w:t>
      </w:r>
      <w:bookmarkEnd w:id="8"/>
    </w:p>
    <w:tbl>
      <w:tblPr>
        <w:tblStyle w:val="2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1922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B9AF3">
            <w:pPr>
              <w:pStyle w:val="34"/>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C7ACEB">
            <w:pPr>
              <w:pStyle w:val="34"/>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B6B1F">
            <w:pPr>
              <w:pStyle w:val="34"/>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编列内容</w:t>
            </w:r>
          </w:p>
        </w:tc>
      </w:tr>
      <w:tr w14:paraId="525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666F2">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74BE7">
            <w:pPr>
              <w:pStyle w:val="34"/>
              <w:kinsoku w:val="0"/>
              <w:overflowPunct w:val="0"/>
              <w:spacing w:line="360" w:lineRule="auto"/>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1BA736">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广州市番禺区水务工程建管中心（广州市番禺区水旱灾害防御中心）</w:t>
            </w:r>
          </w:p>
          <w:p w14:paraId="64DB921F">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广州市番禺区市桥街环城东路20号首二层</w:t>
            </w:r>
          </w:p>
          <w:p w14:paraId="08C52E0C">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何工</w:t>
            </w:r>
          </w:p>
          <w:p w14:paraId="74A9A785">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020-84614573</w:t>
            </w:r>
          </w:p>
        </w:tc>
      </w:tr>
      <w:tr w14:paraId="06E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A28B8">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12169">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2EAA">
            <w:pPr>
              <w:pStyle w:val="34"/>
              <w:kinsoku w:val="0"/>
              <w:overflowPunct w:val="0"/>
              <w:adjustRightInd/>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pacing w:val="0"/>
                <w:sz w:val="21"/>
                <w:szCs w:val="21"/>
                <w:highlight w:val="none"/>
                <w:u w:val="single"/>
              </w:rPr>
              <w:t xml:space="preserve"> </w:t>
            </w:r>
            <w:r>
              <w:rPr>
                <w:rFonts w:hint="eastAsia" w:ascii="宋体" w:hAnsi="宋体" w:cs="宋体"/>
                <w:color w:val="auto"/>
                <w:sz w:val="21"/>
                <w:szCs w:val="21"/>
                <w:highlight w:val="none"/>
                <w:u w:val="single"/>
                <w:lang w:eastAsia="zh-CN"/>
              </w:rPr>
              <w:t>广东省广大工程顾问有限公司</w:t>
            </w:r>
          </w:p>
          <w:p w14:paraId="2A85922F">
            <w:pPr>
              <w:pStyle w:val="34"/>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广州市番禺区东环街文坡路8号8楼</w:t>
            </w:r>
          </w:p>
          <w:p w14:paraId="4AF2C176">
            <w:pPr>
              <w:pStyle w:val="34"/>
              <w:kinsoku w:val="0"/>
              <w:overflowPunct w:val="0"/>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肖</w:t>
            </w:r>
            <w:r>
              <w:rPr>
                <w:rFonts w:hint="eastAsia" w:ascii="宋体" w:hAnsi="宋体" w:eastAsia="宋体" w:cs="宋体"/>
                <w:color w:val="auto"/>
                <w:sz w:val="21"/>
                <w:szCs w:val="21"/>
                <w:highlight w:val="none"/>
                <w:u w:val="single"/>
              </w:rPr>
              <w:t>工</w:t>
            </w:r>
          </w:p>
          <w:p w14:paraId="0D3F36F4">
            <w:pPr>
              <w:pStyle w:val="34"/>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w:t>
            </w:r>
            <w:r>
              <w:rPr>
                <w:rFonts w:hint="eastAsia" w:ascii="宋体" w:hAnsi="宋体" w:eastAsia="宋体" w:cs="宋体"/>
                <w:color w:val="auto"/>
                <w:sz w:val="21"/>
                <w:szCs w:val="21"/>
                <w:highlight w:val="none"/>
                <w:u w:val="single"/>
                <w:lang w:val="en-US" w:eastAsia="zh-CN"/>
              </w:rPr>
              <w:t>38293607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13560479885</w:t>
            </w:r>
          </w:p>
        </w:tc>
      </w:tr>
      <w:tr w14:paraId="7E6C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01F72">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F471F">
            <w:pPr>
              <w:pStyle w:val="34"/>
              <w:kinsoku w:val="0"/>
              <w:overflowPunct w:val="0"/>
              <w:jc w:val="both"/>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标段</w:t>
            </w:r>
            <w:r>
              <w:rPr>
                <w:rFonts w:hint="eastAsia" w:ascii="宋体" w:hAnsi="宋体" w:eastAsia="宋体" w:cs="宋体"/>
                <w:color w:val="auto"/>
                <w:sz w:val="21"/>
                <w:szCs w:val="24"/>
                <w:highlight w:val="none"/>
              </w:rPr>
              <w:t>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1CC8">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eastAsia="zh-CN"/>
              </w:rPr>
              <w:t>南村污水系统水环境系统化治理查缺补漏工程施工监理（标段一）</w:t>
            </w:r>
          </w:p>
        </w:tc>
      </w:tr>
      <w:tr w14:paraId="2EA3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6AB71">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DA8ED">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E36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7007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7D8B0">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A24EF">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F26E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4607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B14D6">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AA0A7">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7C8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工程施工预计开工日期：</w:t>
            </w:r>
            <w:r>
              <w:rPr>
                <w:rFonts w:hint="eastAsia" w:ascii="宋体" w:hAnsi="宋体" w:eastAsia="宋体" w:cs="宋体"/>
                <w:color w:val="auto"/>
                <w:sz w:val="21"/>
                <w:szCs w:val="21"/>
                <w:highlight w:val="none"/>
                <w:lang w:bidi="ar"/>
              </w:rPr>
              <w:t>具体以施工项目的工期执行。</w:t>
            </w:r>
          </w:p>
        </w:tc>
      </w:tr>
      <w:tr w14:paraId="2AFD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F76683">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6E07D">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71A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5D5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B6331">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B0FDB">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A4B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263C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A6B2A">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EF10B7">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BF9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675C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37227">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E47E7">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6415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486A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D19915">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1726B">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EE9F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2F48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C4D59">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1080A">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2489D">
            <w:pPr>
              <w:jc w:val="center"/>
              <w:rPr>
                <w:rFonts w:hint="eastAsia" w:ascii="宋体" w:hAnsi="宋体" w:eastAsia="宋体" w:cs="宋体"/>
                <w:color w:val="auto"/>
                <w:sz w:val="21"/>
                <w:szCs w:val="21"/>
                <w:highlight w:val="none"/>
              </w:rPr>
            </w:pPr>
          </w:p>
          <w:p w14:paraId="6180864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合格</w:t>
            </w:r>
          </w:p>
          <w:p w14:paraId="1620F556">
            <w:pPr>
              <w:rPr>
                <w:rFonts w:hint="eastAsia" w:ascii="宋体" w:hAnsi="宋体" w:eastAsia="宋体" w:cs="宋体"/>
                <w:color w:val="auto"/>
                <w:sz w:val="21"/>
                <w:szCs w:val="21"/>
                <w:highlight w:val="none"/>
              </w:rPr>
            </w:pPr>
          </w:p>
        </w:tc>
      </w:tr>
      <w:tr w14:paraId="10C4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06C33">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29EE5">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DB8E0">
            <w:pPr>
              <w:pStyle w:val="34"/>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50B0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9DB18">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17645">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40DFB">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6A81FE9C">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接受，应满足下列要求：</w:t>
            </w:r>
          </w:p>
        </w:tc>
      </w:tr>
      <w:tr w14:paraId="3043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E82CD">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FDCC4">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02D6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0" w:firstLineChars="0"/>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w:t>
            </w:r>
          </w:p>
        </w:tc>
      </w:tr>
      <w:tr w14:paraId="1B09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4ED56">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62D03">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A01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招标人不集中组织，由投标人自行踏勘；</w:t>
            </w:r>
          </w:p>
          <w:p w14:paraId="4090A0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自本项目招标公告发布即日</w:t>
            </w:r>
            <w:r>
              <w:rPr>
                <w:rFonts w:hint="eastAsia" w:ascii="宋体" w:hAnsi="宋体" w:eastAsia="宋体" w:cs="宋体"/>
                <w:color w:val="auto"/>
                <w:sz w:val="21"/>
                <w:szCs w:val="21"/>
                <w:highlight w:val="none"/>
              </w:rPr>
              <w:t>起具备现场踏勘条件；</w:t>
            </w:r>
          </w:p>
          <w:p w14:paraId="09F803BE">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现场详细地点：</w:t>
            </w:r>
            <w:r>
              <w:rPr>
                <w:rFonts w:hint="eastAsia" w:ascii="宋体" w:hAnsi="宋体" w:eastAsia="宋体" w:cs="宋体"/>
                <w:color w:val="auto"/>
                <w:sz w:val="21"/>
                <w:szCs w:val="21"/>
                <w:highlight w:val="none"/>
                <w:u w:val="single"/>
                <w:lang w:eastAsia="zh-CN"/>
              </w:rPr>
              <w:t>详见本项目招标公告</w:t>
            </w:r>
            <w:r>
              <w:rPr>
                <w:rFonts w:hint="eastAsia" w:ascii="宋体" w:hAnsi="宋体" w:eastAsia="宋体" w:cs="宋体"/>
                <w:color w:val="auto"/>
                <w:sz w:val="21"/>
                <w:szCs w:val="21"/>
                <w:highlight w:val="none"/>
                <w:u w:val="single"/>
              </w:rPr>
              <w:t>；</w:t>
            </w:r>
          </w:p>
        </w:tc>
      </w:tr>
      <w:tr w14:paraId="118B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723BE950">
            <w:pPr>
              <w:spacing w:line="283" w:lineRule="auto"/>
              <w:rPr>
                <w:rFonts w:hint="eastAsia" w:ascii="宋体" w:hAnsi="宋体" w:eastAsia="宋体" w:cs="宋体"/>
                <w:color w:val="auto"/>
                <w:sz w:val="21"/>
                <w:szCs w:val="24"/>
                <w:highlight w:val="none"/>
              </w:rPr>
            </w:pPr>
          </w:p>
          <w:p w14:paraId="2F85D994">
            <w:pPr>
              <w:spacing w:line="284" w:lineRule="auto"/>
              <w:rPr>
                <w:rFonts w:hint="eastAsia" w:ascii="宋体" w:hAnsi="宋体" w:eastAsia="宋体" w:cs="宋体"/>
                <w:color w:val="auto"/>
                <w:sz w:val="21"/>
                <w:szCs w:val="24"/>
                <w:highlight w:val="none"/>
              </w:rPr>
            </w:pPr>
          </w:p>
          <w:p w14:paraId="5DCF9058">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27CF26DF">
            <w:pPr>
              <w:spacing w:line="260" w:lineRule="auto"/>
              <w:rPr>
                <w:rFonts w:hint="eastAsia" w:ascii="宋体" w:hAnsi="宋体" w:eastAsia="宋体" w:cs="宋体"/>
                <w:color w:val="auto"/>
                <w:sz w:val="21"/>
                <w:szCs w:val="24"/>
                <w:highlight w:val="none"/>
              </w:rPr>
            </w:pPr>
          </w:p>
          <w:p w14:paraId="0C1604ED">
            <w:pPr>
              <w:spacing w:line="260" w:lineRule="auto"/>
              <w:rPr>
                <w:rFonts w:hint="eastAsia" w:ascii="宋体" w:hAnsi="宋体" w:eastAsia="宋体" w:cs="宋体"/>
                <w:color w:val="auto"/>
                <w:sz w:val="21"/>
                <w:szCs w:val="24"/>
                <w:highlight w:val="none"/>
              </w:rPr>
            </w:pPr>
          </w:p>
          <w:p w14:paraId="06671957">
            <w:pPr>
              <w:spacing w:before="68" w:line="217"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0DD7DE6F">
            <w:pPr>
              <w:pStyle w:val="11"/>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17A3F191">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召开，召开时间：</w:t>
            </w:r>
          </w:p>
          <w:p w14:paraId="711E2877">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14:paraId="6CD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B568FF9">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B9D7BD">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38ED6">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4D6C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F1124C">
            <w:pPr>
              <w:pStyle w:val="34"/>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52EEB5">
            <w:pPr>
              <w:pStyle w:val="34"/>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1E5579">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0D36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82C49">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0686F">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6670A">
            <w:pPr>
              <w:autoSpaceDE/>
              <w:autoSpaceDN/>
              <w:adjustRightInd/>
              <w:spacing w:before="63" w:beforeLines="20" w:after="63" w:afterLines="20"/>
              <w:ind w:left="48" w:leftChars="20" w:right="48"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0DD7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C0F13">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85A1C">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5AA21">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14:paraId="0088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6D085">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334A8">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0EC6B">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41778D16">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允许，偏差范围：</w:t>
            </w:r>
          </w:p>
          <w:p w14:paraId="3520259B">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偏差幅度：</w:t>
            </w:r>
          </w:p>
        </w:tc>
      </w:tr>
      <w:tr w14:paraId="78CC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FC453">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8B2AA">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D6FAF">
            <w:pPr>
              <w:jc w:val="both"/>
              <w:rPr>
                <w:rFonts w:hint="eastAsia" w:ascii="宋体" w:hAnsi="宋体" w:eastAsia="宋体" w:cs="宋体"/>
                <w:b/>
                <w:color w:val="auto"/>
                <w:sz w:val="21"/>
                <w:szCs w:val="21"/>
                <w:highlight w:val="none"/>
              </w:rPr>
            </w:pPr>
            <w:r>
              <w:rPr>
                <w:rFonts w:hint="eastAsia" w:ascii="宋体" w:hAnsi="宋体" w:cs="宋体"/>
                <w:color w:val="auto"/>
                <w:sz w:val="24"/>
                <w:szCs w:val="24"/>
                <w:highlight w:val="none"/>
              </w:rPr>
              <w:t>/</w:t>
            </w:r>
          </w:p>
        </w:tc>
      </w:tr>
      <w:tr w14:paraId="2088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705E7">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EDB7B">
            <w:pPr>
              <w:spacing w:line="272" w:lineRule="auto"/>
              <w:jc w:val="center"/>
              <w:rPr>
                <w:rFonts w:hint="eastAsia" w:ascii="宋体" w:hAnsi="宋体" w:cs="宋体"/>
                <w:color w:val="auto"/>
                <w:sz w:val="21"/>
                <w:szCs w:val="24"/>
                <w:highlight w:val="none"/>
              </w:rPr>
            </w:pPr>
          </w:p>
          <w:p w14:paraId="14EBC00E">
            <w:pPr>
              <w:spacing w:before="69" w:line="220" w:lineRule="auto"/>
              <w:jc w:val="center"/>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14:paraId="2FDFBE42">
            <w:pPr>
              <w:jc w:val="center"/>
              <w:rPr>
                <w:rFonts w:hint="eastAsia" w:ascii="宋体" w:hAnsi="宋体" w:cs="宋体"/>
                <w:color w:val="auto"/>
                <w:sz w:val="21"/>
                <w:szCs w:val="24"/>
                <w:highlight w:val="none"/>
                <w:lang w:eastAsia="zh-CN"/>
              </w:rPr>
            </w:pPr>
          </w:p>
          <w:p w14:paraId="693BD88C">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26740510">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rPr>
              <w:t>在提交投标文件截止时间18天前提出。</w:t>
            </w:r>
          </w:p>
          <w:p w14:paraId="5672C331">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提交。</w:t>
            </w:r>
          </w:p>
          <w:p w14:paraId="4ECADCBA">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关于全流程电子化项目的相关指南进行操作，提问一律不得署名。</w:t>
            </w:r>
          </w:p>
        </w:tc>
      </w:tr>
      <w:tr w14:paraId="1E4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39598">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727F8F">
            <w:pPr>
              <w:spacing w:before="170" w:line="220"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4218F">
            <w:pPr>
              <w:ind w:left="91" w:leftChars="38"/>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14:paraId="1A76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B71B71">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AE01C">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93E6CC">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4639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9F805">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AC801">
            <w:pPr>
              <w:pStyle w:val="34"/>
              <w:kinsoku w:val="0"/>
              <w:overflowPunct w:val="0"/>
              <w:jc w:val="both"/>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065B93">
            <w:pPr>
              <w:jc w:val="both"/>
              <w:rPr>
                <w:rFonts w:hint="eastAsia" w:ascii="宋体" w:hAnsi="宋体" w:eastAsia="宋体" w:cs="宋体"/>
                <w:b w:val="0"/>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一般计税方法计算</w:t>
            </w:r>
          </w:p>
        </w:tc>
      </w:tr>
      <w:tr w14:paraId="6386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8DF0D">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A1878">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05D37">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各投标人自行报价，以元为单位（小数点后保留两位小数，第三位小数四舍五入）。</w:t>
            </w:r>
          </w:p>
        </w:tc>
      </w:tr>
      <w:tr w14:paraId="22AD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760A3D">
            <w:pPr>
              <w:pStyle w:val="34"/>
              <w:kinsoku w:val="0"/>
              <w:overflowPunct w:val="0"/>
              <w:jc w:val="center"/>
              <w:rPr>
                <w:rFonts w:hint="eastAsia" w:ascii="宋体" w:hAnsi="宋体" w:eastAsia="宋体" w:cs="宋体"/>
                <w:color w:val="auto"/>
                <w:sz w:val="21"/>
                <w:szCs w:val="24"/>
                <w:highlight w:val="none"/>
              </w:rPr>
            </w:pPr>
          </w:p>
          <w:p w14:paraId="0EA4FA56">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2640A2">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E9EE05">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无</w:t>
            </w:r>
          </w:p>
          <w:p w14:paraId="6512CB24">
            <w:pPr>
              <w:pStyle w:val="34"/>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有，最高投标限价：</w:t>
            </w:r>
            <w:r>
              <w:rPr>
                <w:rFonts w:hint="eastAsia" w:ascii="宋体" w:hAnsi="宋体" w:eastAsia="宋体" w:cs="宋体"/>
                <w:color w:val="auto"/>
                <w:sz w:val="21"/>
                <w:szCs w:val="24"/>
                <w:highlight w:val="none"/>
                <w:u w:val="single"/>
                <w:lang w:val="en-US" w:eastAsia="zh-CN"/>
              </w:rPr>
              <w:t>3746753.07</w:t>
            </w:r>
            <w:r>
              <w:rPr>
                <w:rFonts w:hint="eastAsia" w:ascii="宋体" w:hAnsi="宋体" w:cs="宋体"/>
                <w:color w:val="auto"/>
                <w:sz w:val="21"/>
                <w:szCs w:val="24"/>
                <w:highlight w:val="none"/>
                <w:u w:val="single"/>
                <w:lang w:val="en-US" w:eastAsia="zh-CN"/>
              </w:rPr>
              <w:t>元</w:t>
            </w:r>
          </w:p>
        </w:tc>
      </w:tr>
      <w:tr w14:paraId="75A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14A97">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2B3DC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43703">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投标报价超过最高投标限价的投标文件将被否决其投标。</w:t>
            </w:r>
          </w:p>
          <w:p w14:paraId="271BDAD4">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76D9390A">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投标人必须详细审阅全部招标文件及招标图纸，充分考虑职责和义务,全面地理解招标文件对投标报价的要求,并按招标人提出的条件及内容进行报价。</w:t>
            </w:r>
          </w:p>
        </w:tc>
      </w:tr>
      <w:tr w14:paraId="66B7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55EFB">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F1D4F">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CDB09">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single"/>
                <w:lang w:val="en-US" w:eastAsia="zh-CN"/>
              </w:rPr>
              <w:t xml:space="preserve"> 120 </w:t>
            </w:r>
            <w:r>
              <w:rPr>
                <w:rFonts w:hint="eastAsia" w:ascii="宋体" w:hAnsi="宋体" w:eastAsia="宋体" w:cs="宋体"/>
                <w:color w:val="auto"/>
                <w:sz w:val="21"/>
                <w:szCs w:val="24"/>
                <w:highlight w:val="none"/>
              </w:rPr>
              <w:t>日历天（从投标截止之日计起）</w:t>
            </w:r>
          </w:p>
        </w:tc>
      </w:tr>
      <w:tr w14:paraId="6C7C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930AE">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5ACB6">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F46DC">
            <w:pPr>
              <w:spacing w:before="139" w:line="240" w:lineRule="auto"/>
              <w:ind w:left="117"/>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14:paraId="4E0E80AC">
            <w:pPr>
              <w:pStyle w:val="34"/>
              <w:kinsoku w:val="0"/>
              <w:overflowPunct w:val="0"/>
              <w:spacing w:line="240" w:lineRule="auto"/>
              <w:ind w:firstLine="198" w:firstLineChars="100"/>
              <w:jc w:val="both"/>
              <w:rPr>
                <w:rFonts w:hint="eastAsia" w:ascii="宋体" w:hAnsi="宋体" w:eastAsia="宋体" w:cs="宋体"/>
                <w:color w:val="auto"/>
                <w:spacing w:val="-6"/>
                <w:sz w:val="21"/>
                <w:szCs w:val="21"/>
                <w:highlight w:val="none"/>
              </w:rPr>
            </w:pPr>
          </w:p>
          <w:p w14:paraId="53C4F2DB">
            <w:pPr>
              <w:spacing w:line="24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sym w:font="Wingdings 2" w:char="0052"/>
            </w:r>
            <w:r>
              <w:rPr>
                <w:rFonts w:hint="eastAsia" w:ascii="宋体" w:hAnsi="宋体" w:eastAsia="宋体" w:cs="宋体"/>
                <w:color w:val="auto"/>
                <w:spacing w:val="0"/>
                <w:sz w:val="21"/>
                <w:szCs w:val="21"/>
                <w:highlight w:val="none"/>
              </w:rPr>
              <w:t>不要求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具体规定如下：</w:t>
            </w:r>
          </w:p>
          <w:p w14:paraId="3E3D1A98">
            <w:pPr>
              <w:spacing w:line="24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1、提供《关于投标保证金的承诺》（详见第六章投标文件格式）。</w:t>
            </w:r>
          </w:p>
          <w:p w14:paraId="6715D270">
            <w:pPr>
              <w:spacing w:before="0" w:line="240" w:lineRule="auto"/>
              <w:ind w:right="0"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2、对于投标人已提供《关于投标保证金的承诺》，若投标人存在3.4.4条款所列情形，投标人应按照招标人的要求在发现存在 3.4.4条款所列情形之日起5个工作日内补交人民币</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万元投标保证金;若未按要求补交投标保证金的，将暂停其参与招标人后续工程投标，直至完成补交手续为止。</w:t>
            </w:r>
          </w:p>
          <w:p w14:paraId="57D474B7">
            <w:pPr>
              <w:spacing w:before="0"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sym w:font="Wingdings 2" w:char="00A3"/>
            </w:r>
            <w:r>
              <w:rPr>
                <w:rFonts w:hint="eastAsia" w:ascii="宋体" w:hAnsi="宋体" w:eastAsia="宋体" w:cs="宋体"/>
                <w:color w:val="auto"/>
                <w:spacing w:val="0"/>
                <w:sz w:val="21"/>
                <w:szCs w:val="21"/>
                <w:highlight w:val="none"/>
              </w:rPr>
              <w:t>要求，投标保证金的形式：</w:t>
            </w:r>
            <w:r>
              <w:rPr>
                <w:rFonts w:hint="eastAsia" w:ascii="宋体" w:hAnsi="宋体" w:eastAsia="宋体" w:cs="宋体"/>
                <w:color w:val="auto"/>
                <w:sz w:val="21"/>
                <w:szCs w:val="21"/>
                <w:highlight w:val="none"/>
              </w:rPr>
              <w:t xml:space="preserve"> </w:t>
            </w:r>
          </w:p>
          <w:p w14:paraId="6FCFCA84">
            <w:pPr>
              <w:pStyle w:val="34"/>
              <w:kinsoku w:val="0"/>
              <w:overflowPunct w:val="0"/>
              <w:ind w:firstLine="210" w:firstLineChars="100"/>
              <w:jc w:val="both"/>
              <w:rPr>
                <w:rFonts w:hint="eastAsia" w:ascii="宋体" w:hAnsi="宋体" w:eastAsia="宋体" w:cs="宋体"/>
                <w:color w:val="auto"/>
                <w:sz w:val="21"/>
                <w:szCs w:val="21"/>
                <w:highlight w:val="none"/>
              </w:rPr>
            </w:pPr>
          </w:p>
        </w:tc>
      </w:tr>
      <w:tr w14:paraId="42C1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C22B0">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8F817">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BDEF6">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无</w:t>
            </w:r>
          </w:p>
          <w:p w14:paraId="1D1632E2">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有，具体要求：</w:t>
            </w:r>
            <w:r>
              <w:rPr>
                <w:rFonts w:hint="eastAsia" w:ascii="宋体" w:hAnsi="宋体" w:cs="宋体"/>
                <w:color w:val="auto"/>
                <w:sz w:val="21"/>
                <w:szCs w:val="21"/>
                <w:highlight w:val="none"/>
                <w:u w:val="single"/>
              </w:rPr>
              <w:t>详见招标文件第二章第3.5条规定。</w:t>
            </w:r>
          </w:p>
        </w:tc>
      </w:tr>
      <w:tr w14:paraId="2965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5914F">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7D289">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6B5646">
            <w:pPr>
              <w:pStyle w:val="34"/>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rPr>
              <w:t xml:space="preserve"> </w:t>
            </w:r>
            <w:r>
              <w:rPr>
                <w:rFonts w:hint="eastAsia" w:ascii="宋体" w:hAnsi="宋体" w:cs="宋体"/>
                <w:color w:val="auto"/>
                <w:sz w:val="24"/>
                <w:szCs w:val="24"/>
                <w:highlight w:val="none"/>
                <w:u w:val="single"/>
              </w:rPr>
              <w:t>/</w:t>
            </w:r>
          </w:p>
        </w:tc>
      </w:tr>
      <w:tr w14:paraId="66FB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9E682">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A64BF">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ECE6">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59F1F4E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w:t>
            </w:r>
          </w:p>
        </w:tc>
      </w:tr>
      <w:tr w14:paraId="43BE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D8482">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0A38E">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800B4">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投标文件格式规定需个人签字的，应签字或签章后扫描上传</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sz w:val="21"/>
                <w:szCs w:val="24"/>
                <w:highlight w:val="none"/>
              </w:rPr>
              <w:t>。投标文件格式规定盖单位公章的页面必须盖单位公章（公章与电子公章具有相同法律效力）</w:t>
            </w:r>
          </w:p>
        </w:tc>
      </w:tr>
      <w:tr w14:paraId="4111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926825">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28393">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BF21C">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14:paraId="27D4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FF561">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B9D363">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2BDEFA">
            <w:pPr>
              <w:keepNext w:val="0"/>
              <w:keepLines w:val="0"/>
              <w:pageBreakBefore w:val="0"/>
              <w:widowControl w:val="0"/>
              <w:kinsoku/>
              <w:wordWrap/>
              <w:overflowPunct/>
              <w:topLinePunct w:val="0"/>
              <w:bidi w:val="0"/>
              <w:adjustRightInd w:val="0"/>
              <w:snapToGrid/>
              <w:spacing w:before="120" w:beforeLines="50" w:line="240" w:lineRule="auto"/>
              <w:textAlignment w:val="auto"/>
              <w:rPr>
                <w:rFonts w:hint="eastAsia" w:ascii="宋体" w:hAnsi="宋体" w:cs="宋体"/>
                <w:color w:val="auto"/>
                <w:sz w:val="21"/>
                <w:szCs w:val="24"/>
                <w:highlight w:val="none"/>
              </w:rPr>
            </w:pPr>
            <w:r>
              <w:rPr>
                <w:rFonts w:hint="eastAsia" w:ascii="宋体" w:hAnsi="宋体" w:cs="宋体"/>
                <w:color w:val="auto"/>
                <w:sz w:val="21"/>
                <w:szCs w:val="24"/>
                <w:highlight w:val="none"/>
              </w:rPr>
              <w:t>1</w:t>
            </w:r>
            <w:r>
              <w:rPr>
                <w:rFonts w:hint="eastAsia" w:ascii="宋体" w:hAnsi="宋体" w:eastAsia="宋体" w:cs="宋体"/>
                <w:color w:val="auto"/>
                <w:sz w:val="21"/>
                <w:szCs w:val="24"/>
                <w:highlight w:val="none"/>
              </w:rPr>
              <w:t>、开标时间</w:t>
            </w:r>
            <w:r>
              <w:rPr>
                <w:rFonts w:hint="eastAsia" w:ascii="宋体" w:hAnsi="宋体" w:eastAsia="宋体" w:cs="宋体"/>
                <w:color w:val="auto"/>
                <w:sz w:val="21"/>
                <w:szCs w:val="21"/>
                <w:highlight w:val="none"/>
              </w:rPr>
              <w:t>：同投标截止时间</w:t>
            </w:r>
          </w:p>
          <w:p w14:paraId="40EE5E30">
            <w:pPr>
              <w:keepNext w:val="0"/>
              <w:keepLines w:val="0"/>
              <w:pageBreakBefore w:val="0"/>
              <w:widowControl w:val="0"/>
              <w:kinsoku/>
              <w:wordWrap/>
              <w:overflowPunct/>
              <w:topLinePunct w:val="0"/>
              <w:bidi w:val="0"/>
              <w:adjustRightInd w:val="0"/>
              <w:snapToGrid/>
              <w:spacing w:before="174"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p>
          <w:p w14:paraId="51537B08">
            <w:pPr>
              <w:keepNext w:val="0"/>
              <w:keepLines w:val="0"/>
              <w:pageBreakBefore w:val="0"/>
              <w:widowControl w:val="0"/>
              <w:kinsoku/>
              <w:wordWrap/>
              <w:overflowPunct/>
              <w:topLinePunct w:val="0"/>
              <w:bidi w:val="0"/>
              <w:adjustRightInd w:val="0"/>
              <w:snapToGrid/>
              <w:spacing w:before="174" w:beforeLines="-2147483648" w:line="240" w:lineRule="auto"/>
              <w:contextualSpacing w:val="0"/>
              <w:textAlignment w:val="auto"/>
              <w:rPr>
                <w:rFonts w:hint="eastAsia" w:ascii="宋体" w:hAnsi="宋体" w:cs="宋体"/>
                <w:color w:val="auto"/>
                <w:sz w:val="21"/>
                <w:szCs w:val="18"/>
                <w:highlight w:val="none"/>
              </w:rPr>
            </w:pPr>
            <w:r>
              <w:rPr>
                <w:rFonts w:hint="eastAsia" w:ascii="宋体" w:hAnsi="宋体" w:cs="宋体"/>
                <w:color w:val="auto"/>
                <w:sz w:val="21"/>
                <w:szCs w:val="18"/>
                <w:highlight w:val="none"/>
                <w:lang w:val="en-US" w:eastAsia="zh-CN"/>
              </w:rPr>
              <w:t>3</w:t>
            </w:r>
            <w:r>
              <w:rPr>
                <w:rFonts w:hint="eastAsia" w:ascii="宋体" w:hAnsi="宋体" w:cs="宋体"/>
                <w:color w:val="auto"/>
                <w:sz w:val="21"/>
                <w:szCs w:val="18"/>
                <w:highlight w:val="none"/>
              </w:rPr>
              <w:t>、递交投标文件备用光盘时间：____年____月____日____时____分至____年____月____日____时____分；递交地点：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r>
              <w:rPr>
                <w:rFonts w:hint="eastAsia" w:ascii="宋体" w:hAnsi="宋体" w:cs="宋体"/>
                <w:color w:val="auto"/>
                <w:sz w:val="21"/>
                <w:szCs w:val="18"/>
                <w:highlight w:val="none"/>
              </w:rPr>
              <w:t>。</w:t>
            </w:r>
          </w:p>
          <w:p w14:paraId="6909E7D8">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12F7C9B9">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9A10385">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488F9882">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1940A6A8">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定标委员会对其投标文件的评审以光盘内容为准。因投标人之外原因解密失败且未递交电子光盘的，视为撤回投标文件。</w:t>
            </w:r>
          </w:p>
          <w:p w14:paraId="3F31346B">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4BE6D899">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w:t>
            </w:r>
            <w:r>
              <w:rPr>
                <w:rFonts w:hint="eastAsia" w:ascii="宋体" w:hAnsi="宋体" w:cs="宋体"/>
                <w:color w:val="auto"/>
                <w:sz w:val="21"/>
                <w:szCs w:val="21"/>
                <w:highlight w:val="none"/>
                <w:u w:val="none"/>
              </w:rPr>
              <w:t>、定标委员会</w:t>
            </w:r>
            <w:r>
              <w:rPr>
                <w:rFonts w:hint="eastAsia" w:ascii="宋体" w:hAnsi="宋体" w:cs="宋体"/>
                <w:color w:val="auto"/>
                <w:sz w:val="21"/>
                <w:szCs w:val="21"/>
                <w:highlight w:val="none"/>
              </w:rPr>
              <w:t>开启投标人递交的全部投标文件光盘，并按光盘内容进行评审。</w:t>
            </w:r>
          </w:p>
          <w:p w14:paraId="67DC746A">
            <w:pPr>
              <w:spacing w:before="120" w:beforeLines="50" w:line="240" w:lineRule="auto"/>
              <w:contextualSpacing/>
              <w:rPr>
                <w:rFonts w:hint="eastAsia" w:ascii="宋体" w:hAnsi="宋体" w:eastAsia="宋体" w:cs="宋体"/>
                <w:bCs w:val="0"/>
                <w:color w:val="auto"/>
                <w:kern w:val="2"/>
                <w:sz w:val="21"/>
                <w:szCs w:val="21"/>
                <w:highlight w:val="none"/>
              </w:rPr>
            </w:pPr>
            <w:r>
              <w:rPr>
                <w:rFonts w:hint="eastAsia" w:ascii="宋体" w:hAnsi="宋体" w:cs="宋体"/>
                <w:color w:val="auto"/>
                <w:sz w:val="21"/>
                <w:szCs w:val="21"/>
                <w:highlight w:val="none"/>
              </w:rPr>
              <w:t>（3）除发生上述情况外，开标评标</w:t>
            </w:r>
            <w:r>
              <w:rPr>
                <w:rFonts w:hint="eastAsia" w:ascii="宋体" w:hAnsi="宋体" w:cs="宋体"/>
                <w:color w:val="auto"/>
                <w:sz w:val="21"/>
                <w:szCs w:val="21"/>
                <w:highlight w:val="none"/>
                <w:lang w:eastAsia="zh-CN"/>
              </w:rPr>
              <w:t>定标</w:t>
            </w:r>
            <w:r>
              <w:rPr>
                <w:rFonts w:hint="eastAsia" w:ascii="宋体" w:hAnsi="宋体" w:cs="宋体"/>
                <w:color w:val="auto"/>
                <w:sz w:val="21"/>
                <w:szCs w:val="21"/>
                <w:highlight w:val="none"/>
              </w:rPr>
              <w:t>均以投标人通过交易平台网上递交的电子投标文件为准。</w:t>
            </w:r>
          </w:p>
          <w:p w14:paraId="717D5DE7">
            <w:pPr>
              <w:spacing w:before="120" w:beforeLines="50" w:line="240" w:lineRule="auto"/>
              <w:contextualSpacing/>
              <w:rPr>
                <w:rFonts w:hint="eastAsia" w:ascii="宋体" w:hAnsi="宋体" w:cs="宋体"/>
                <w:color w:val="auto"/>
                <w:sz w:val="21"/>
                <w:szCs w:val="21"/>
                <w:highlight w:val="none"/>
              </w:rPr>
            </w:pPr>
            <w:r>
              <w:rPr>
                <w:rFonts w:hint="eastAsia" w:ascii="宋体" w:hAnsi="宋体" w:eastAsia="宋体" w:cs="宋体"/>
                <w:bCs w:val="0"/>
                <w:color w:val="auto"/>
                <w:kern w:val="2"/>
                <w:sz w:val="21"/>
                <w:szCs w:val="21"/>
                <w:highlight w:val="none"/>
              </w:rPr>
              <w:t>开标时，投标人代表有权参加现场开标或</w:t>
            </w:r>
            <w:r>
              <w:rPr>
                <w:rFonts w:hint="eastAsia" w:ascii="宋体" w:hAnsi="宋体" w:eastAsia="宋体" w:cs="宋体"/>
                <w:b w:val="0"/>
                <w:bCs w:val="0"/>
                <w:color w:val="auto"/>
                <w:kern w:val="2"/>
                <w:sz w:val="21"/>
                <w:szCs w:val="21"/>
                <w:highlight w:val="none"/>
              </w:rPr>
              <w:t>在线开标</w:t>
            </w:r>
            <w:r>
              <w:rPr>
                <w:rFonts w:hint="eastAsia" w:ascii="宋体" w:hAnsi="宋体" w:eastAsia="宋体" w:cs="宋体"/>
                <w:bCs w:val="0"/>
                <w:color w:val="auto"/>
                <w:kern w:val="2"/>
                <w:sz w:val="21"/>
                <w:szCs w:val="21"/>
                <w:highlight w:val="none"/>
              </w:rPr>
              <w:t>，也可以自主决定不参加开标</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color w:val="auto"/>
                <w:sz w:val="21"/>
                <w:szCs w:val="21"/>
                <w:highlight w:val="none"/>
                <w:lang w:eastAsia="zh-CN"/>
              </w:rPr>
              <w:t>投标人选择参加在线开标的，具</w:t>
            </w:r>
            <w:r>
              <w:rPr>
                <w:rFonts w:hint="eastAsia" w:ascii="宋体" w:hAnsi="宋体" w:cs="宋体"/>
                <w:color w:val="auto"/>
                <w:sz w:val="21"/>
                <w:szCs w:val="21"/>
                <w:highlight w:val="none"/>
                <w:lang w:eastAsia="zh-CN"/>
              </w:rPr>
              <w:t>体按照交易平台相关指南进行操作。</w:t>
            </w:r>
          </w:p>
          <w:p w14:paraId="7AA1984C">
            <w:pPr>
              <w:spacing w:before="120" w:beforeLines="50" w:line="240" w:lineRule="auto"/>
              <w:contextualSpacing/>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、上述时间及地点是否有改变，请密切留意</w:t>
            </w:r>
            <w:r>
              <w:rPr>
                <w:rFonts w:hint="eastAsia" w:ascii="宋体" w:hAnsi="宋体" w:cs="宋体"/>
                <w:color w:val="auto"/>
                <w:sz w:val="21"/>
                <w:szCs w:val="21"/>
                <w:highlight w:val="none"/>
                <w:lang w:eastAsia="zh-CN"/>
              </w:rPr>
              <w:t>补充公告或</w:t>
            </w:r>
            <w:r>
              <w:rPr>
                <w:rFonts w:hint="eastAsia" w:ascii="宋体" w:hAnsi="宋体" w:cs="宋体"/>
                <w:color w:val="auto"/>
                <w:sz w:val="21"/>
                <w:szCs w:val="21"/>
                <w:highlight w:val="none"/>
              </w:rPr>
              <w:t>招标答疑纪要的相关信息。</w:t>
            </w:r>
          </w:p>
        </w:tc>
      </w:tr>
      <w:tr w14:paraId="3065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26B53">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6BD7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4FE3B">
            <w:pPr>
              <w:pStyle w:val="34"/>
              <w:keepNext w:val="0"/>
              <w:keepLines w:val="0"/>
              <w:pageBreakBefore w:val="0"/>
              <w:widowControl w:val="0"/>
              <w:tabs>
                <w:tab w:val="left" w:pos="2729"/>
              </w:tabs>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评标委员会构成：</w:t>
            </w:r>
            <w:r>
              <w:rPr>
                <w:rFonts w:hint="eastAsia" w:ascii="宋体" w:hAnsi="宋体" w:cs="宋体"/>
                <w:color w:val="auto"/>
                <w:spacing w:val="-2"/>
                <w:sz w:val="21"/>
                <w:szCs w:val="24"/>
                <w:highlight w:val="none"/>
                <w:u w:val="single"/>
                <w:lang w:val="en-US" w:eastAsia="zh-CN"/>
              </w:rPr>
              <w:t>5</w:t>
            </w:r>
            <w:r>
              <w:rPr>
                <w:rFonts w:hint="eastAsia" w:ascii="宋体" w:hAnsi="宋体" w:eastAsia="宋体" w:cs="宋体"/>
                <w:color w:val="auto"/>
                <w:sz w:val="21"/>
                <w:szCs w:val="24"/>
                <w:highlight w:val="none"/>
              </w:rPr>
              <w:t>人</w:t>
            </w:r>
          </w:p>
          <w:p w14:paraId="7F7EE889">
            <w:pPr>
              <w:pStyle w:val="34"/>
              <w:keepNext w:val="0"/>
              <w:keepLines w:val="0"/>
              <w:pageBreakBefore w:val="0"/>
              <w:widowControl w:val="0"/>
              <w:tabs>
                <w:tab w:val="left" w:pos="2309"/>
                <w:tab w:val="left" w:pos="3826"/>
              </w:tabs>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pacing w:val="-3"/>
                <w:sz w:val="21"/>
                <w:szCs w:val="24"/>
                <w:highlight w:val="none"/>
              </w:rPr>
            </w:pPr>
            <w:r>
              <w:rPr>
                <w:rFonts w:hint="eastAsia" w:ascii="宋体" w:hAnsi="宋体" w:eastAsia="宋体" w:cs="宋体"/>
                <w:color w:val="auto"/>
                <w:spacing w:val="-2"/>
                <w:sz w:val="21"/>
                <w:szCs w:val="24"/>
                <w:highlight w:val="none"/>
              </w:rPr>
              <w:t>其中招标人代表</w:t>
            </w:r>
            <w:r>
              <w:rPr>
                <w:rFonts w:hint="eastAsia" w:ascii="宋体" w:hAnsi="宋体" w:cs="宋体"/>
                <w:color w:val="auto"/>
                <w:spacing w:val="-2"/>
                <w:sz w:val="21"/>
                <w:szCs w:val="24"/>
                <w:highlight w:val="none"/>
                <w:u w:val="single"/>
                <w:lang w:val="en-US" w:eastAsia="zh-CN"/>
              </w:rPr>
              <w:t>1</w:t>
            </w:r>
            <w:r>
              <w:rPr>
                <w:rFonts w:hint="eastAsia" w:ascii="宋体" w:hAnsi="宋体" w:eastAsia="宋体" w:cs="宋体"/>
                <w:color w:val="auto"/>
                <w:spacing w:val="-16"/>
                <w:sz w:val="21"/>
                <w:szCs w:val="24"/>
                <w:highlight w:val="none"/>
              </w:rPr>
              <w:t>人，专家</w:t>
            </w:r>
            <w:r>
              <w:rPr>
                <w:rFonts w:hint="eastAsia" w:ascii="宋体" w:hAnsi="宋体" w:cs="宋体"/>
                <w:color w:val="auto"/>
                <w:spacing w:val="-16"/>
                <w:sz w:val="21"/>
                <w:szCs w:val="24"/>
                <w:highlight w:val="none"/>
                <w:u w:val="single"/>
                <w:lang w:val="en-US" w:eastAsia="zh-CN"/>
              </w:rPr>
              <w:t>4</w:t>
            </w:r>
            <w:r>
              <w:rPr>
                <w:rFonts w:hint="eastAsia" w:ascii="宋体" w:hAnsi="宋体" w:eastAsia="宋体" w:cs="宋体"/>
                <w:color w:val="auto"/>
                <w:spacing w:val="-3"/>
                <w:sz w:val="21"/>
                <w:szCs w:val="24"/>
                <w:highlight w:val="none"/>
              </w:rPr>
              <w:t>人；</w:t>
            </w:r>
          </w:p>
          <w:p w14:paraId="6176D004">
            <w:pPr>
              <w:pStyle w:val="34"/>
              <w:keepNext w:val="0"/>
              <w:keepLines w:val="0"/>
              <w:pageBreakBefore w:val="0"/>
              <w:widowControl w:val="0"/>
              <w:tabs>
                <w:tab w:val="left" w:pos="2309"/>
                <w:tab w:val="left" w:pos="3826"/>
              </w:tabs>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评标专家确定方式：</w:t>
            </w:r>
            <w:r>
              <w:rPr>
                <w:rFonts w:hint="eastAsia" w:ascii="宋体" w:hAnsi="宋体" w:cs="宋体"/>
                <w:color w:val="auto"/>
                <w:sz w:val="21"/>
                <w:szCs w:val="21"/>
                <w:highlight w:val="none"/>
                <w:u w:val="single"/>
              </w:rPr>
              <w:t>在广东省综合评标评审专家库中随机抽取。</w:t>
            </w:r>
          </w:p>
        </w:tc>
      </w:tr>
      <w:tr w14:paraId="74CF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135EB">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BCA72D">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w:t>
            </w:r>
            <w:r>
              <w:rPr>
                <w:rFonts w:hint="eastAsia" w:ascii="宋体" w:hAnsi="宋体" w:cs="宋体"/>
                <w:color w:val="auto"/>
                <w:sz w:val="21"/>
                <w:highlight w:val="none"/>
                <w:u w:val="single"/>
              </w:rPr>
              <w:t>合格</w:t>
            </w:r>
            <w:r>
              <w:rPr>
                <w:rFonts w:hint="eastAsia" w:ascii="宋体" w:hAnsi="宋体" w:eastAsia="宋体" w:cs="宋体"/>
                <w:color w:val="auto"/>
                <w:sz w:val="21"/>
                <w:szCs w:val="24"/>
                <w:highlight w:val="none"/>
              </w:rPr>
              <w:t>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9460D">
            <w:pPr>
              <w:keepNext w:val="0"/>
              <w:keepLines w:val="0"/>
              <w:pageBreakBefore w:val="0"/>
              <w:widowControl w:val="0"/>
              <w:kinsoku/>
              <w:wordWrap/>
              <w:overflowPunct/>
              <w:topLinePunct w:val="0"/>
              <w:autoSpaceDE w:val="0"/>
              <w:autoSpaceDN w:val="0"/>
              <w:bidi w:val="0"/>
              <w:adjustRightInd w:val="0"/>
              <w:snapToGrid/>
              <w:spacing w:before="120" w:beforeLines="50" w:line="240" w:lineRule="auto"/>
              <w:contextualSpacing/>
              <w:textAlignment w:val="auto"/>
              <w:rPr>
                <w:rFonts w:hint="eastAsia" w:ascii="宋体" w:hAnsi="宋体" w:eastAsia="宋体" w:cs="宋体"/>
                <w:color w:val="auto"/>
                <w:sz w:val="21"/>
                <w:szCs w:val="24"/>
                <w:highlight w:val="none"/>
                <w:lang w:val="en-US" w:eastAsia="zh-CN"/>
              </w:rPr>
            </w:pPr>
            <w:r>
              <w:rPr>
                <w:rFonts w:hint="eastAsia" w:ascii="宋体" w:hAnsi="宋体" w:eastAsia="宋体" w:cs="宋体"/>
                <w:color w:val="auto"/>
                <w:kern w:val="2"/>
                <w:sz w:val="21"/>
                <w:szCs w:val="21"/>
                <w:highlight w:val="none"/>
                <w:u w:val="single"/>
              </w:rPr>
              <w:t>评标委员会对投标文件</w:t>
            </w:r>
            <w:r>
              <w:rPr>
                <w:rFonts w:hint="eastAsia" w:ascii="宋体" w:hAnsi="宋体" w:eastAsia="宋体" w:cs="宋体"/>
                <w:color w:val="auto"/>
                <w:kern w:val="2"/>
                <w:sz w:val="21"/>
                <w:szCs w:val="21"/>
                <w:highlight w:val="none"/>
                <w:u w:val="single"/>
                <w:lang w:eastAsia="zh-CN"/>
              </w:rPr>
              <w:t>（评标部分）</w:t>
            </w:r>
            <w:r>
              <w:rPr>
                <w:rFonts w:hint="eastAsia" w:ascii="宋体" w:hAnsi="宋体" w:eastAsia="宋体" w:cs="宋体"/>
                <w:color w:val="auto"/>
                <w:kern w:val="2"/>
                <w:sz w:val="21"/>
                <w:szCs w:val="21"/>
                <w:highlight w:val="none"/>
                <w:u w:val="single"/>
              </w:rPr>
              <w:t>进行资格审查，再对通过资格审查的</w:t>
            </w:r>
            <w:r>
              <w:rPr>
                <w:rFonts w:hint="eastAsia" w:ascii="宋体" w:hAnsi="宋体" w:eastAsia="宋体" w:cs="宋体"/>
                <w:color w:val="auto"/>
                <w:kern w:val="2"/>
                <w:sz w:val="21"/>
                <w:szCs w:val="21"/>
                <w:highlight w:val="none"/>
                <w:u w:val="single"/>
                <w:lang w:val="en-US" w:eastAsia="zh-CN"/>
              </w:rPr>
              <w:t>投标文件</w:t>
            </w:r>
            <w:r>
              <w:rPr>
                <w:rFonts w:hint="eastAsia" w:ascii="宋体" w:hAnsi="宋体" w:eastAsia="宋体" w:cs="宋体"/>
                <w:color w:val="auto"/>
                <w:kern w:val="2"/>
                <w:sz w:val="21"/>
                <w:szCs w:val="21"/>
                <w:highlight w:val="none"/>
                <w:u w:val="single"/>
                <w:lang w:eastAsia="zh-CN"/>
              </w:rPr>
              <w:t>（评标部分）</w:t>
            </w:r>
            <w:r>
              <w:rPr>
                <w:rFonts w:hint="eastAsia" w:ascii="宋体" w:hAnsi="宋体" w:eastAsia="宋体" w:cs="宋体"/>
                <w:color w:val="auto"/>
                <w:kern w:val="2"/>
                <w:sz w:val="21"/>
                <w:szCs w:val="21"/>
                <w:highlight w:val="none"/>
                <w:u w:val="single"/>
                <w:lang w:val="en-US" w:eastAsia="zh-CN"/>
              </w:rPr>
              <w:t>进行形式评审和响应性评审</w:t>
            </w:r>
            <w:r>
              <w:rPr>
                <w:rFonts w:hint="eastAsia" w:ascii="宋体" w:hAnsi="宋体" w:eastAsia="宋体" w:cs="宋体"/>
                <w:color w:val="auto"/>
                <w:kern w:val="2"/>
                <w:sz w:val="21"/>
                <w:szCs w:val="21"/>
                <w:highlight w:val="none"/>
                <w:u w:val="single"/>
              </w:rPr>
              <w:t>，评出合格投标人。若通过初步评审的合格投标人大于</w:t>
            </w:r>
            <w:r>
              <w:rPr>
                <w:rFonts w:hint="eastAsia" w:ascii="宋体" w:hAnsi="宋体" w:eastAsia="宋体" w:cs="宋体"/>
                <w:color w:val="auto"/>
                <w:kern w:val="2"/>
                <w:sz w:val="21"/>
                <w:szCs w:val="21"/>
                <w:highlight w:val="none"/>
                <w:u w:val="single"/>
                <w:lang w:eastAsia="zh-CN"/>
              </w:rPr>
              <w:t>等于4家</w:t>
            </w:r>
            <w:r>
              <w:rPr>
                <w:rFonts w:hint="eastAsia" w:ascii="宋体" w:hAnsi="宋体" w:eastAsia="宋体" w:cs="宋体"/>
                <w:color w:val="auto"/>
                <w:kern w:val="2"/>
                <w:sz w:val="21"/>
                <w:szCs w:val="21"/>
                <w:highlight w:val="none"/>
                <w:u w:val="single"/>
              </w:rPr>
              <w:t>，小于等于</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家的，则全部通过初步评审的合格投标人不排序进入定标阶段；若通过初步评审的合格投标人大于</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家的，按投标文件（评标部分）总得分从高到低进行排序，推荐排序位于前</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名次的合格投标人不排序进入定标阶段（若前</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名次的合格投标人中存在投标文件（评标部分）总得分相同的，则按第三章“评标、定标办法”第1款的原则确定排序。）。</w:t>
            </w:r>
          </w:p>
        </w:tc>
      </w:tr>
      <w:tr w14:paraId="46A9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DE4F4">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B2B82">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合格</w:t>
            </w: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10DBF">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示媒介：中国招标投标公共服务平台、</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lang w:val="zh-CN"/>
              </w:rPr>
              <w:t>网和广东省招标投标监管网</w:t>
            </w:r>
          </w:p>
          <w:p w14:paraId="75FC3206">
            <w:pPr>
              <w:pStyle w:val="34"/>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1206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50AE47">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D290F5">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6C1B3">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是</w:t>
            </w:r>
          </w:p>
          <w:p w14:paraId="2FB5C0F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否</w:t>
            </w:r>
          </w:p>
          <w:p w14:paraId="6F83EB1A">
            <w:pPr>
              <w:pStyle w:val="34"/>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lang w:eastAsia="zh-CN"/>
              </w:rPr>
              <w:t>本项目采用“评定分离”确定中标人，由评标委员会推荐合格中标候选人名单，进入定标阶段。</w:t>
            </w:r>
          </w:p>
        </w:tc>
      </w:tr>
      <w:tr w14:paraId="0B3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E618A6">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9AB5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DADAE">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14:paraId="08F8C836">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不要求</w:t>
            </w:r>
          </w:p>
          <w:p w14:paraId="165147B5">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要求，履约保证金的形式：</w:t>
            </w:r>
            <w:r>
              <w:rPr>
                <w:rFonts w:hint="eastAsia" w:ascii="宋体" w:hAnsi="宋体" w:cs="宋体"/>
                <w:color w:val="auto"/>
                <w:sz w:val="24"/>
                <w:szCs w:val="24"/>
                <w:highlight w:val="none"/>
                <w:u w:val="single"/>
              </w:rPr>
              <w:t>/</w:t>
            </w:r>
          </w:p>
          <w:p w14:paraId="6D550D16">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ind w:firstLine="840" w:firstLineChars="400"/>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cs="宋体"/>
                <w:color w:val="auto"/>
                <w:sz w:val="24"/>
                <w:szCs w:val="24"/>
                <w:highlight w:val="none"/>
                <w:u w:val="single"/>
              </w:rPr>
              <w:t>/</w:t>
            </w:r>
          </w:p>
        </w:tc>
      </w:tr>
      <w:tr w14:paraId="6EEC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438BDE">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D9ACB">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52F4B">
            <w:pPr>
              <w:jc w:val="both"/>
              <w:rPr>
                <w:rFonts w:hint="eastAsia" w:ascii="宋体" w:hAnsi="宋体" w:eastAsia="宋体" w:cs="宋体"/>
                <w:color w:val="auto"/>
                <w:sz w:val="21"/>
                <w:szCs w:val="21"/>
                <w:highlight w:val="none"/>
              </w:rPr>
            </w:pPr>
          </w:p>
        </w:tc>
      </w:tr>
      <w:tr w14:paraId="6837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6F901">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A4444">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招标失败的情形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9E5F2">
            <w:pPr>
              <w:keepNext w:val="0"/>
              <w:keepLines w:val="0"/>
              <w:pageBreakBefore w:val="0"/>
              <w:widowControl w:val="0"/>
              <w:kinsoku/>
              <w:wordWrap/>
              <w:overflowPunct/>
              <w:topLinePunct w:val="0"/>
              <w:autoSpaceDE w:val="0"/>
              <w:autoSpaceDN w:val="0"/>
              <w:bidi w:val="0"/>
              <w:adjustRightInd w:val="0"/>
              <w:snapToGrid/>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本项目采用资格后审方式，满足资格审查合格条件或通过初步评审的投标申请人不足</w:t>
            </w:r>
            <w:r>
              <w:rPr>
                <w:rFonts w:hint="eastAsia" w:ascii="宋体" w:hAnsi="宋体" w:cs="宋体"/>
                <w:color w:val="auto"/>
                <w:sz w:val="21"/>
                <w:szCs w:val="21"/>
                <w:highlight w:val="none"/>
                <w:u w:val="single"/>
                <w:lang w:val="en-US" w:eastAsia="zh-CN"/>
              </w:rPr>
              <w:t xml:space="preserve"> 4 </w:t>
            </w:r>
            <w:r>
              <w:rPr>
                <w:rFonts w:hint="eastAsia" w:ascii="宋体" w:hAnsi="宋体" w:cs="宋体"/>
                <w:color w:val="auto"/>
                <w:sz w:val="21"/>
                <w:szCs w:val="21"/>
                <w:highlight w:val="none"/>
              </w:rPr>
              <w:t>名时为招标失败。招标人分析招标失败原因，修正招标方案，报有关管理部门核准后，重新组织招标。</w:t>
            </w:r>
          </w:p>
        </w:tc>
      </w:tr>
      <w:tr w14:paraId="39D6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2B0FF">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F4349">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提交纸质投标文件要求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7A0AB">
            <w:pPr>
              <w:ind w:left="1"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发出中标通知书后3天内中标人需打印投标文件，投标文件需与中标人在</w:t>
            </w:r>
            <w:r>
              <w:rPr>
                <w:rFonts w:hint="eastAsia" w:ascii="宋体" w:hAnsi="宋体" w:cs="宋体"/>
                <w:color w:val="auto"/>
                <w:sz w:val="21"/>
                <w:szCs w:val="21"/>
                <w:highlight w:val="none"/>
                <w:lang w:val="zh-CN"/>
              </w:rPr>
              <w:t>广州交易集团有限公司（广州公共资源交易中心）</w:t>
            </w:r>
            <w:r>
              <w:rPr>
                <w:rFonts w:hint="eastAsia" w:ascii="宋体" w:hAnsi="宋体" w:cs="宋体"/>
                <w:color w:val="auto"/>
                <w:sz w:val="21"/>
                <w:szCs w:val="21"/>
                <w:highlight w:val="none"/>
              </w:rPr>
              <w:t>网站提交的投标文件一致，中标人加盖公章，一正两副，合共三套投标文件提供给招标人，相关费用由中标人支付。</w:t>
            </w:r>
          </w:p>
        </w:tc>
      </w:tr>
      <w:tr w14:paraId="23FC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043C6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ADA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BA457">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中标人缴交</w:t>
            </w:r>
            <w:r>
              <w:rPr>
                <w:rFonts w:hint="eastAsia" w:ascii="宋体" w:hAnsi="宋体" w:cs="宋体"/>
                <w:color w:val="auto"/>
                <w:sz w:val="21"/>
                <w:szCs w:val="21"/>
                <w:highlight w:val="none"/>
                <w:u w:val="single"/>
                <w:lang w:val="zh-CN"/>
              </w:rPr>
              <w:t>广州交易集团有限公司（广州公共资源交易中心）</w:t>
            </w:r>
            <w:r>
              <w:rPr>
                <w:rFonts w:hint="eastAsia" w:ascii="宋体" w:hAnsi="宋体" w:eastAsia="宋体" w:cs="宋体"/>
                <w:color w:val="auto"/>
                <w:sz w:val="21"/>
                <w:szCs w:val="21"/>
                <w:highlight w:val="none"/>
                <w:u w:val="single"/>
              </w:rPr>
              <w:t>交易服务费，其费用包含在中标人报价中，由</w:t>
            </w:r>
            <w:r>
              <w:rPr>
                <w:rFonts w:hint="eastAsia" w:ascii="宋体" w:hAnsi="宋体" w:cs="宋体"/>
                <w:color w:val="auto"/>
                <w:sz w:val="21"/>
                <w:szCs w:val="21"/>
                <w:highlight w:val="none"/>
                <w:u w:val="single"/>
                <w:lang w:val="zh-CN"/>
              </w:rPr>
              <w:t>广州交易集团有限公司（广州公共资源交易中心）</w:t>
            </w:r>
            <w:r>
              <w:rPr>
                <w:rFonts w:hint="eastAsia" w:ascii="宋体" w:hAnsi="宋体" w:eastAsia="宋体" w:cs="宋体"/>
                <w:color w:val="auto"/>
                <w:sz w:val="21"/>
                <w:szCs w:val="21"/>
                <w:highlight w:val="none"/>
                <w:u w:val="single"/>
              </w:rPr>
              <w:t>向中标人开具增值税发票。</w:t>
            </w:r>
          </w:p>
        </w:tc>
      </w:tr>
      <w:tr w14:paraId="7A6C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D437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BB5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社保要求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FA7F4">
            <w:pPr>
              <w:snapToGrid/>
              <w:spacing w:before="120" w:before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投标人提供的人员社保证明需提供投标截止时间最近一个月（时间为：2025年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月）在本单位</w:t>
            </w:r>
            <w:r>
              <w:rPr>
                <w:rFonts w:hint="eastAsia" w:ascii="宋体" w:hAnsi="宋体" w:cs="宋体"/>
                <w:color w:val="auto"/>
                <w:sz w:val="21"/>
                <w:szCs w:val="21"/>
                <w:highlight w:val="none"/>
                <w:u w:val="single"/>
                <w:lang w:val="en-US" w:eastAsia="zh-CN"/>
              </w:rPr>
              <w:t>(不含子公司)</w:t>
            </w:r>
            <w:r>
              <w:rPr>
                <w:rFonts w:hint="eastAsia" w:ascii="宋体" w:hAnsi="宋体" w:eastAsia="宋体" w:cs="宋体"/>
                <w:color w:val="auto"/>
                <w:sz w:val="21"/>
                <w:szCs w:val="21"/>
                <w:highlight w:val="none"/>
                <w:u w:val="single"/>
              </w:rPr>
              <w:t>交纳的社保证明文件，退休返聘人员需提供退休及返聘证明。社保证明文件以加盖社会保险相关部门印章的相关资料为准，退休返聘人员需提供退休及返聘证明。注：（1）因当地政府政策规定未能反映本项目投标截止时间最近一个月（时间为：2025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月）信息的，投标人须提供当地社会保险相关部门的相关文件及本单位最近一个月的社保证明文件作为缴纳社保的证明。（2）中标后需提供投标文件中人员的社保补缴情况相关证明报招标人核实。</w:t>
            </w:r>
          </w:p>
        </w:tc>
      </w:tr>
      <w:tr w14:paraId="372A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7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3A5CA">
            <w:pPr>
              <w:jc w:val="center"/>
              <w:rPr>
                <w:rFonts w:hint="eastAsia" w:ascii="宋体" w:hAnsi="宋体" w:eastAsia="宋体" w:cs="宋体"/>
                <w:color w:val="auto"/>
                <w:sz w:val="21"/>
                <w:szCs w:val="21"/>
                <w:highlight w:val="none"/>
              </w:rPr>
            </w:pPr>
            <w:r>
              <w:rPr>
                <w:rFonts w:hint="eastAsia" w:ascii="宋体" w:hAnsi="宋体"/>
                <w:color w:val="auto"/>
                <w:sz w:val="21"/>
                <w:highlight w:val="none"/>
                <w:u w:val="single"/>
              </w:rPr>
              <w:t>投标报价</w:t>
            </w:r>
            <w:r>
              <w:rPr>
                <w:rFonts w:ascii="宋体" w:hAnsi="宋体"/>
                <w:color w:val="auto"/>
                <w:sz w:val="21"/>
                <w:highlight w:val="none"/>
                <w:u w:val="single"/>
              </w:rPr>
              <w:t>评审优惠政策</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27B5D">
            <w:pPr>
              <w:spacing w:line="360" w:lineRule="auto"/>
              <w:rPr>
                <w:rFonts w:ascii="宋体" w:hAnsi="宋体" w:cs="宋体"/>
                <w:color w:val="auto"/>
                <w:sz w:val="21"/>
                <w:szCs w:val="21"/>
                <w:highlight w:val="none"/>
                <w:u w:val="single"/>
              </w:rPr>
            </w:pPr>
            <w:r>
              <w:rPr>
                <w:rFonts w:ascii="宋体" w:hAnsi="宋体" w:cs="宋体"/>
                <w:color w:val="auto"/>
                <w:sz w:val="21"/>
                <w:szCs w:val="21"/>
                <w:highlight w:val="none"/>
                <w:u w:val="single"/>
              </w:rPr>
              <w:t>本招标项目执行</w:t>
            </w:r>
            <w:r>
              <w:rPr>
                <w:rFonts w:hint="eastAsia" w:ascii="宋体" w:hAnsi="宋体" w:cs="宋体"/>
                <w:color w:val="auto"/>
                <w:sz w:val="21"/>
                <w:szCs w:val="21"/>
                <w:highlight w:val="none"/>
                <w:u w:val="single"/>
              </w:rPr>
              <w:t>投标报价得分</w:t>
            </w:r>
            <w:r>
              <w:rPr>
                <w:rFonts w:ascii="宋体" w:hAnsi="宋体" w:cs="宋体"/>
                <w:color w:val="auto"/>
                <w:sz w:val="21"/>
                <w:szCs w:val="21"/>
                <w:highlight w:val="none"/>
                <w:u w:val="single"/>
              </w:rPr>
              <w:t>评审优惠政策</w:t>
            </w:r>
          </w:p>
          <w:p w14:paraId="5D579862">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1、根据《广东省政府采购促进中小企业发展实施细则（试行）》（粤财采购〔2022〕10号）</w:t>
            </w:r>
            <w:r>
              <w:rPr>
                <w:rFonts w:hint="eastAsia" w:ascii="宋体" w:hAnsi="宋体" w:cs="宋体"/>
                <w:color w:val="auto"/>
                <w:kern w:val="2"/>
                <w:sz w:val="21"/>
                <w:szCs w:val="21"/>
                <w:highlight w:val="none"/>
                <w:u w:val="single"/>
              </w:rPr>
              <w:t>、《广州市财政局</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广州市工业和信息化局转发广东省财政厅</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广东省发展和改革委员会</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广东省工业和信息化厅</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广东省地方金融监督管理局关于印发</w:t>
            </w:r>
            <w:r>
              <w:rPr>
                <w:rFonts w:ascii="宋体" w:hAnsi="宋体" w:cs="宋体"/>
                <w:color w:val="auto"/>
                <w:kern w:val="2"/>
                <w:sz w:val="21"/>
                <w:szCs w:val="21"/>
                <w:highlight w:val="none"/>
                <w:u w:val="single"/>
              </w:rPr>
              <w:t>&lt;广东省政府采购促进中小企业发展实施细则（试行）&gt;的通知》（穗财采〔2023〕8号）要求，对符合《政府采购促进中小企业发展管理办法》（财库〔2020〕46号）的投标人，给予相应的价格评审优惠。</w:t>
            </w:r>
          </w:p>
          <w:p w14:paraId="047DD094">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2、本招标项目评标计算</w:t>
            </w:r>
            <w:r>
              <w:rPr>
                <w:rFonts w:hint="eastAsia" w:ascii="宋体" w:hAnsi="宋体" w:cs="宋体"/>
                <w:color w:val="auto"/>
                <w:kern w:val="2"/>
                <w:sz w:val="21"/>
                <w:szCs w:val="21"/>
                <w:highlight w:val="none"/>
                <w:u w:val="single"/>
              </w:rPr>
              <w:t>投标报价得</w:t>
            </w:r>
            <w:r>
              <w:rPr>
                <w:rFonts w:hint="eastAsia" w:ascii="宋体" w:hAnsi="宋体" w:cs="宋体"/>
                <w:color w:val="auto"/>
                <w:kern w:val="2"/>
                <w:sz w:val="21"/>
                <w:szCs w:val="21"/>
                <w:highlight w:val="none"/>
                <w:u w:val="single"/>
                <w:lang w:val="zh-CN"/>
              </w:rPr>
              <w:t>分</w:t>
            </w:r>
            <w:r>
              <w:rPr>
                <w:rFonts w:ascii="宋体" w:hAnsi="宋体" w:cs="宋体"/>
                <w:color w:val="auto"/>
                <w:kern w:val="2"/>
                <w:sz w:val="21"/>
                <w:szCs w:val="21"/>
                <w:highlight w:val="none"/>
                <w:u w:val="single"/>
              </w:rPr>
              <w:t>时，</w:t>
            </w:r>
            <w:r>
              <w:rPr>
                <w:rFonts w:hint="eastAsia" w:ascii="宋体" w:hAnsi="宋体" w:cs="宋体"/>
                <w:color w:val="auto"/>
                <w:kern w:val="2"/>
                <w:sz w:val="21"/>
                <w:szCs w:val="21"/>
                <w:highlight w:val="none"/>
                <w:u w:val="single"/>
              </w:rPr>
              <w:t>对为小微企业投标的</w:t>
            </w:r>
            <w:r>
              <w:rPr>
                <w:rFonts w:ascii="宋体" w:hAnsi="宋体" w:cs="宋体"/>
                <w:color w:val="auto"/>
                <w:kern w:val="2"/>
                <w:sz w:val="21"/>
                <w:szCs w:val="21"/>
                <w:highlight w:val="none"/>
                <w:u w:val="single"/>
              </w:rPr>
              <w:t>，在采用原报价进行评分的基础上增加其价格得分的5%作为其</w:t>
            </w:r>
            <w:r>
              <w:rPr>
                <w:rFonts w:hint="eastAsia" w:ascii="宋体" w:hAnsi="宋体" w:cs="宋体"/>
                <w:color w:val="auto"/>
                <w:kern w:val="2"/>
                <w:sz w:val="21"/>
                <w:szCs w:val="21"/>
                <w:highlight w:val="none"/>
                <w:u w:val="single"/>
              </w:rPr>
              <w:t>投标报价得</w:t>
            </w:r>
            <w:r>
              <w:rPr>
                <w:rFonts w:hint="eastAsia" w:ascii="宋体" w:hAnsi="宋体" w:cs="宋体"/>
                <w:color w:val="auto"/>
                <w:kern w:val="2"/>
                <w:sz w:val="21"/>
                <w:szCs w:val="21"/>
                <w:highlight w:val="none"/>
                <w:u w:val="single"/>
                <w:lang w:val="zh-CN"/>
              </w:rPr>
              <w:t>分</w:t>
            </w:r>
            <w:r>
              <w:rPr>
                <w:rFonts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zh-CN"/>
              </w:rPr>
              <w:t>若原报价已满分，仍可突破满分上限继续享受加分优惠，以实际计算结果作为最终</w:t>
            </w:r>
            <w:r>
              <w:rPr>
                <w:rFonts w:hint="eastAsia" w:ascii="宋体" w:hAnsi="宋体" w:cs="宋体"/>
                <w:color w:val="auto"/>
                <w:kern w:val="2"/>
                <w:sz w:val="21"/>
                <w:szCs w:val="21"/>
                <w:highlight w:val="none"/>
                <w:u w:val="single"/>
              </w:rPr>
              <w:t>投标报价得</w:t>
            </w:r>
            <w:r>
              <w:rPr>
                <w:rFonts w:hint="eastAsia" w:ascii="宋体" w:hAnsi="宋体" w:cs="宋体"/>
                <w:color w:val="auto"/>
                <w:kern w:val="2"/>
                <w:sz w:val="21"/>
                <w:szCs w:val="21"/>
                <w:highlight w:val="none"/>
                <w:u w:val="single"/>
                <w:lang w:val="zh-CN"/>
              </w:rPr>
              <w:t>分。</w:t>
            </w:r>
          </w:p>
          <w:p w14:paraId="69B78399">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3、投标人应按《政府采购促进中小企业发展管理办法》（财库〔2020〕46号）规定出具《中小企业声明函》</w:t>
            </w:r>
            <w:r>
              <w:rPr>
                <w:rFonts w:ascii="宋体" w:hAnsi="宋体" w:cs="宋体"/>
                <w:color w:val="auto"/>
                <w:sz w:val="21"/>
                <w:szCs w:val="21"/>
                <w:highlight w:val="none"/>
                <w:u w:val="single"/>
              </w:rPr>
              <w:t>（格式详见第</w:t>
            </w:r>
            <w:r>
              <w:rPr>
                <w:rFonts w:hint="eastAsia" w:ascii="宋体" w:hAnsi="宋体" w:cs="宋体"/>
                <w:color w:val="auto"/>
                <w:sz w:val="21"/>
                <w:szCs w:val="21"/>
                <w:highlight w:val="none"/>
                <w:u w:val="single"/>
              </w:rPr>
              <w:t>六</w:t>
            </w:r>
            <w:r>
              <w:rPr>
                <w:rFonts w:ascii="宋体" w:hAnsi="宋体" w:cs="宋体"/>
                <w:color w:val="auto"/>
                <w:sz w:val="21"/>
                <w:szCs w:val="21"/>
                <w:highlight w:val="none"/>
                <w:u w:val="single"/>
              </w:rPr>
              <w:t>章投标文件格式）</w:t>
            </w:r>
            <w:r>
              <w:rPr>
                <w:rFonts w:ascii="宋体" w:hAnsi="宋体" w:cs="宋体"/>
                <w:color w:val="auto"/>
                <w:kern w:val="2"/>
                <w:sz w:val="21"/>
                <w:szCs w:val="21"/>
                <w:highlight w:val="none"/>
                <w:u w:val="single"/>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0406983">
            <w:pPr>
              <w:spacing w:line="360" w:lineRule="auto"/>
              <w:rPr>
                <w:color w:val="auto"/>
                <w:highlight w:val="none"/>
                <w:u w:val="single"/>
              </w:rPr>
            </w:pPr>
            <w:r>
              <w:rPr>
                <w:rFonts w:ascii="宋体" w:hAnsi="宋体" w:cs="宋体"/>
                <w:color w:val="auto"/>
                <w:kern w:val="2"/>
                <w:sz w:val="21"/>
                <w:szCs w:val="21"/>
                <w:highlight w:val="none"/>
                <w:u w:val="single"/>
              </w:rPr>
              <w:t>4</w:t>
            </w:r>
            <w:r>
              <w:rPr>
                <w:rFonts w:hint="eastAsia" w:ascii="宋体" w:hAnsi="宋体" w:cs="宋体"/>
                <w:color w:val="auto"/>
                <w:kern w:val="2"/>
                <w:sz w:val="21"/>
                <w:szCs w:val="21"/>
                <w:highlight w:val="none"/>
                <w:u w:val="single"/>
              </w:rPr>
              <w:t>、</w:t>
            </w:r>
            <w:r>
              <w:rPr>
                <w:rFonts w:ascii="宋体" w:hAnsi="宋体" w:cs="宋体"/>
                <w:color w:val="auto"/>
                <w:kern w:val="2"/>
                <w:sz w:val="21"/>
                <w:szCs w:val="21"/>
                <w:highlight w:val="none"/>
                <w:u w:val="single"/>
              </w:rPr>
              <w:t>小微企业划分标准按照《工业和信息化部 国家统计局 国家发展和改革委员会 财政部关于印发中小企业划型标准规定的通知》（工信部联企业〔2011〕300号）执行。</w:t>
            </w:r>
            <w:r>
              <w:rPr>
                <w:rFonts w:hint="eastAsia" w:ascii="宋体" w:hAnsi="宋体" w:cs="宋体"/>
                <w:color w:val="auto"/>
                <w:kern w:val="2"/>
                <w:sz w:val="21"/>
                <w:szCs w:val="21"/>
                <w:highlight w:val="none"/>
                <w:u w:val="single"/>
              </w:rPr>
              <w:t>本招标项目属于其他未列明行业。从业人员</w:t>
            </w:r>
            <w:r>
              <w:rPr>
                <w:rFonts w:ascii="宋体" w:hAnsi="宋体" w:cs="宋体"/>
                <w:color w:val="auto"/>
                <w:kern w:val="2"/>
                <w:sz w:val="21"/>
                <w:szCs w:val="21"/>
                <w:highlight w:val="none"/>
                <w:u w:val="single"/>
              </w:rPr>
              <w:t>300人以下的为中小微型企业。其中，从业人员100人及以上的为中型企业;从业人员10人及以上的为小型企业;从业人员10人以下的为微型企业。</w:t>
            </w:r>
          </w:p>
          <w:p w14:paraId="021C93C5">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0060DF92">
            <w:pPr>
              <w:spacing w:before="120" w:beforeLines="50" w:line="360" w:lineRule="auto"/>
              <w:contextualSpacing/>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（2）接受分包合同的小微企业与分包企业之间存在直接控股、管理关系的，不享受价格评分优惠。</w:t>
            </w:r>
          </w:p>
          <w:p w14:paraId="0737471E">
            <w:pPr>
              <w:wordWrap w:val="0"/>
              <w:snapToGrid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）规定享受扶持政策获得承包合同的，小微企业不得将合同分包给大中型企业，中型企业不得将合同分包给大型企业。</w:t>
            </w:r>
          </w:p>
          <w:p w14:paraId="6D49DA58">
            <w:pPr>
              <w:snapToGrid/>
              <w:spacing w:before="120" w:beforeLines="50" w:line="360" w:lineRule="auto"/>
              <w:contextualSpacing/>
              <w:jc w:val="left"/>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4</w:t>
            </w:r>
            <w:r>
              <w:rPr>
                <w:rFonts w:hint="eastAsia" w:ascii="宋体" w:hAnsi="宋体" w:cs="宋体"/>
                <w:color w:val="auto"/>
                <w:kern w:val="2"/>
                <w:sz w:val="21"/>
                <w:szCs w:val="21"/>
                <w:highlight w:val="none"/>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p w14:paraId="586C7A38">
            <w:pPr>
              <w:snapToGrid/>
              <w:spacing w:before="120" w:beforeLines="50" w:line="360" w:lineRule="auto"/>
              <w:contextualSpacing/>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sz w:val="21"/>
                <w:szCs w:val="21"/>
                <w:highlight w:val="none"/>
                <w:u w:val="single"/>
                <w:lang w:val="en-US" w:eastAsia="zh-CN"/>
              </w:rPr>
              <w:t>（5）投标人应对声明的真实性负责，提供《中小企业声明函》内容不实的，属于提供虚假材料谋取中标，依照有关规定追究相应责任。</w:t>
            </w:r>
          </w:p>
        </w:tc>
      </w:tr>
    </w:tbl>
    <w:p w14:paraId="4131A5D2">
      <w:pPr>
        <w:rPr>
          <w:rFonts w:hint="eastAsia" w:cs="宋体"/>
          <w:color w:val="auto"/>
          <w:sz w:val="32"/>
          <w:szCs w:val="24"/>
          <w:highlight w:val="none"/>
        </w:rPr>
      </w:pPr>
      <w:bookmarkStart w:id="9" w:name="bookmark20"/>
      <w:bookmarkEnd w:id="9"/>
      <w:bookmarkStart w:id="10" w:name="_Toc17556931"/>
      <w:bookmarkStart w:id="11" w:name="_Toc17451578"/>
      <w:bookmarkStart w:id="12" w:name="_Toc262229161"/>
      <w:bookmarkStart w:id="13" w:name="_Toc17556876"/>
      <w:bookmarkStart w:id="14" w:name="_Toc17454922"/>
      <w:bookmarkStart w:id="15" w:name="_Toc26588"/>
      <w:bookmarkStart w:id="16" w:name="_Toc17451623"/>
      <w:bookmarkStart w:id="17" w:name="_Toc17452664"/>
      <w:bookmarkStart w:id="18" w:name="_Toc17454871"/>
      <w:bookmarkStart w:id="19" w:name="_Toc17451101"/>
      <w:r>
        <w:rPr>
          <w:rFonts w:hint="eastAsia" w:cs="宋体"/>
          <w:color w:val="auto"/>
          <w:sz w:val="32"/>
          <w:szCs w:val="24"/>
          <w:highlight w:val="none"/>
        </w:rPr>
        <w:br w:type="page"/>
      </w:r>
    </w:p>
    <w:p w14:paraId="1EF1192A">
      <w:pPr>
        <w:pStyle w:val="4"/>
        <w:jc w:val="center"/>
        <w:rPr>
          <w:rFonts w:hint="eastAsia" w:cs="宋体"/>
          <w:color w:val="auto"/>
          <w:sz w:val="32"/>
          <w:szCs w:val="24"/>
          <w:highlight w:val="none"/>
        </w:rPr>
      </w:pPr>
      <w:r>
        <w:rPr>
          <w:rFonts w:hint="eastAsia" w:cs="宋体"/>
          <w:color w:val="auto"/>
          <w:sz w:val="32"/>
          <w:szCs w:val="24"/>
          <w:highlight w:val="none"/>
        </w:rPr>
        <w:t>投标须知修改表</w:t>
      </w:r>
      <w:bookmarkEnd w:id="10"/>
      <w:bookmarkEnd w:id="11"/>
      <w:bookmarkEnd w:id="12"/>
      <w:bookmarkEnd w:id="13"/>
      <w:bookmarkEnd w:id="14"/>
      <w:bookmarkEnd w:id="15"/>
      <w:bookmarkEnd w:id="16"/>
      <w:bookmarkEnd w:id="17"/>
      <w:bookmarkEnd w:id="18"/>
      <w:bookmarkEnd w:id="19"/>
    </w:p>
    <w:p w14:paraId="3A43C979">
      <w:pPr>
        <w:pStyle w:val="2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SWZB2024-05</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0293173B">
      <w:pPr>
        <w:pStyle w:val="24"/>
        <w:spacing w:line="360" w:lineRule="auto"/>
        <w:rPr>
          <w:rFonts w:hint="eastAsia" w:ascii="宋体" w:hAnsi="宋体" w:eastAsia="宋体" w:cs="宋体"/>
          <w:b/>
          <w:color w:val="auto"/>
          <w:sz w:val="24"/>
          <w:szCs w:val="24"/>
          <w:highlight w:val="none"/>
        </w:rPr>
      </w:pPr>
    </w:p>
    <w:p w14:paraId="19A0B51C">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highlight w:val="none"/>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1.1.4</w:t>
      </w:r>
      <w:r>
        <w:rPr>
          <w:rFonts w:hint="eastAsia" w:ascii="宋体" w:hAnsi="宋体" w:cs="宋体"/>
          <w:b/>
          <w:bCs/>
          <w:color w:val="auto"/>
          <w:highlight w:val="none"/>
        </w:rPr>
        <w:t xml:space="preserve">             修改类型：修改</w:t>
      </w:r>
    </w:p>
    <w:p w14:paraId="1AC94547">
      <w:pPr>
        <w:pStyle w:val="24"/>
        <w:keepNext w:val="0"/>
        <w:keepLines w:val="0"/>
        <w:pageBreakBefore w:val="0"/>
        <w:widowControl w:val="0"/>
        <w:wordWrap/>
        <w:topLinePunct w:val="0"/>
        <w:autoSpaceDE w:val="0"/>
        <w:autoSpaceDN w:val="0"/>
        <w:bidi w:val="0"/>
        <w:adjustRightInd w:val="0"/>
        <w:snapToGrid/>
        <w:spacing w:line="360" w:lineRule="auto"/>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原文：</w:t>
      </w:r>
      <w:r>
        <w:rPr>
          <w:rFonts w:hint="eastAsia" w:ascii="宋体" w:hAnsi="宋体" w:eastAsia="宋体" w:cs="宋体"/>
          <w:b w:val="0"/>
          <w:color w:val="auto"/>
          <w:sz w:val="24"/>
          <w:szCs w:val="24"/>
          <w:highlight w:val="none"/>
          <w:lang w:val="en-US" w:eastAsia="zh-CN"/>
        </w:rPr>
        <w:t>招标项目</w:t>
      </w:r>
      <w:r>
        <w:rPr>
          <w:rFonts w:hint="eastAsia" w:ascii="宋体" w:hAnsi="宋体" w:eastAsia="宋体" w:cs="宋体"/>
          <w:color w:val="auto"/>
          <w:sz w:val="24"/>
          <w:szCs w:val="24"/>
          <w:highlight w:val="none"/>
        </w:rPr>
        <w:t>名称：见投标人须知前附表。</w:t>
      </w:r>
    </w:p>
    <w:p w14:paraId="216BE5FF">
      <w:pPr>
        <w:pStyle w:val="24"/>
        <w:keepNext w:val="0"/>
        <w:keepLines w:val="0"/>
        <w:pageBreakBefore w:val="0"/>
        <w:widowControl w:val="0"/>
        <w:pBdr>
          <w:bottom w:val="single" w:color="auto" w:sz="4" w:space="0"/>
        </w:pBdr>
        <w:wordWrap/>
        <w:topLinePunct w:val="0"/>
        <w:autoSpaceDE w:val="0"/>
        <w:autoSpaceDN w:val="0"/>
        <w:bidi w:val="0"/>
        <w:adjustRightInd w:val="0"/>
        <w:snapToGrid/>
        <w:spacing w:line="360" w:lineRule="auto"/>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现文：</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见投标人须知前附表。</w:t>
      </w:r>
    </w:p>
    <w:p w14:paraId="438B2062">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条款号：1.4.2             修改类型：</w:t>
      </w:r>
      <w:r>
        <w:rPr>
          <w:rFonts w:hint="eastAsia" w:ascii="宋体" w:hAnsi="宋体" w:cs="宋体"/>
          <w:b/>
          <w:bCs/>
          <w:color w:val="auto"/>
          <w:highlight w:val="none"/>
          <w:lang w:val="en-US" w:eastAsia="zh-CN"/>
        </w:rPr>
        <w:t>删除</w:t>
      </w:r>
    </w:p>
    <w:p w14:paraId="328A823A">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cs="宋体"/>
          <w:color w:val="auto"/>
          <w:sz w:val="24"/>
          <w:highlight w:val="none"/>
        </w:rPr>
      </w:pPr>
      <w:r>
        <w:rPr>
          <w:rFonts w:hint="eastAsia" w:cs="宋体"/>
          <w:b/>
          <w:bCs/>
          <w:color w:val="auto"/>
          <w:sz w:val="24"/>
          <w:highlight w:val="none"/>
        </w:rPr>
        <w:t>原文：</w:t>
      </w:r>
      <w:r>
        <w:rPr>
          <w:rFonts w:hint="eastAsia" w:cs="宋体"/>
          <w:color w:val="auto"/>
          <w:sz w:val="24"/>
          <w:highlight w:val="none"/>
        </w:rPr>
        <w:t>1.4.2 投标人须知前附表规定接受联合体投标的，联合体除应符合本章第 1.4.1 项和投标人须知前附表的要求外，还应遵守以下规定：</w:t>
      </w:r>
    </w:p>
    <w:p w14:paraId="4F6B2BD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highlight w:val="none"/>
        </w:rPr>
      </w:pPr>
      <w:r>
        <w:rPr>
          <w:rFonts w:hint="eastAsia" w:cs="宋体"/>
          <w:color w:val="auto"/>
          <w:sz w:val="24"/>
          <w:highlight w:val="none"/>
        </w:rPr>
        <w:t>（1）联合体各方应按招标文件提供的格式签订联合体协议书，明确联合体</w:t>
      </w:r>
      <w:r>
        <w:rPr>
          <w:rFonts w:hint="eastAsia" w:cs="宋体"/>
          <w:color w:val="auto"/>
          <w:spacing w:val="-2"/>
          <w:sz w:val="24"/>
          <w:highlight w:val="none"/>
        </w:rPr>
        <w:t>主办方</w:t>
      </w:r>
      <w:r>
        <w:rPr>
          <w:rFonts w:hint="eastAsia" w:cs="宋体"/>
          <w:color w:val="auto"/>
          <w:sz w:val="24"/>
          <w:highlight w:val="none"/>
        </w:rPr>
        <w:t>和各方权利义务，并承诺就中标项目向招标人承担连带责任；</w:t>
      </w:r>
    </w:p>
    <w:p w14:paraId="7FDBD21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highlight w:val="none"/>
        </w:rPr>
      </w:pPr>
      <w:r>
        <w:rPr>
          <w:rFonts w:hint="eastAsia" w:cs="宋体"/>
          <w:color w:val="auto"/>
          <w:sz w:val="24"/>
          <w:highlight w:val="none"/>
        </w:rPr>
        <w:t>（2）由同一专业的单位组成的联合体，按照资质等级较低的单位确定资质等级；</w:t>
      </w:r>
    </w:p>
    <w:p w14:paraId="6260ABE8">
      <w:pPr>
        <w:pStyle w:val="12"/>
        <w:keepNext w:val="0"/>
        <w:keepLines w:val="0"/>
        <w:pageBreakBefore w:val="0"/>
        <w:widowControl w:val="0"/>
        <w:pBdr>
          <w:top w:val="none" w:color="auto" w:sz="0" w:space="0"/>
          <w:left w:val="none" w:color="auto" w:sz="0" w:space="0"/>
          <w:bottom w:val="single" w:color="auto" w:sz="4"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highlight w:val="none"/>
        </w:rPr>
      </w:pPr>
      <w:r>
        <w:rPr>
          <w:rFonts w:hint="eastAsia" w:cs="宋体"/>
          <w:color w:val="auto"/>
          <w:sz w:val="24"/>
          <w:highlight w:val="none"/>
        </w:rPr>
        <w:t>（3）联合体各方不得再以自己名义单独或参加其他联合体在本招标项目中投标，否则各相关投标均无效。</w:t>
      </w:r>
    </w:p>
    <w:p w14:paraId="2512F4E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rPr>
        <w:t>条款号：1.4.</w:t>
      </w:r>
      <w:r>
        <w:rPr>
          <w:rFonts w:hint="eastAsia" w:ascii="宋体" w:hAnsi="宋体" w:cs="宋体"/>
          <w:b/>
          <w:bCs/>
          <w:color w:val="auto"/>
          <w:highlight w:val="none"/>
          <w:lang w:val="en-US" w:eastAsia="zh-CN"/>
        </w:rPr>
        <w:t>4</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增加</w:t>
      </w:r>
    </w:p>
    <w:p w14:paraId="1105DE12">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ascii="宋体" w:hAnsi="宋体" w:eastAsia="宋体" w:cs="宋体"/>
          <w:color w:val="auto"/>
          <w:sz w:val="24"/>
          <w:szCs w:val="24"/>
          <w:highlight w:val="none"/>
        </w:rPr>
      </w:pPr>
      <w:r>
        <w:rPr>
          <w:rFonts w:hint="eastAsia" w:cs="宋体"/>
          <w:b/>
          <w:bCs/>
          <w:color w:val="auto"/>
          <w:sz w:val="24"/>
          <w:highlight w:val="none"/>
          <w:lang w:val="en-US" w:eastAsia="zh-CN"/>
        </w:rPr>
        <w:t>现文：</w:t>
      </w:r>
      <w:r>
        <w:rPr>
          <w:rFonts w:hint="eastAsia" w:cs="宋体"/>
          <w:color w:val="auto"/>
          <w:sz w:val="24"/>
          <w:szCs w:val="24"/>
          <w:highlight w:val="none"/>
          <w:u w:val="single"/>
        </w:rPr>
        <w:t>1.4.4 单位负责人为同一人或者存在控股、管理关系的不同单位，不得同时参加本招标项目投标。</w:t>
      </w:r>
    </w:p>
    <w:p w14:paraId="4A71930A">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 xml:space="preserve">条款号：1.10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删除</w:t>
      </w:r>
    </w:p>
    <w:p w14:paraId="0C6A2CD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b/>
          <w:bCs/>
          <w:color w:val="auto"/>
          <w:sz w:val="24"/>
          <w:highlight w:val="none"/>
        </w:rPr>
      </w:pPr>
      <w:r>
        <w:rPr>
          <w:rFonts w:hint="eastAsia" w:cs="宋体"/>
          <w:b/>
          <w:bCs/>
          <w:color w:val="auto"/>
          <w:sz w:val="24"/>
          <w:highlight w:val="none"/>
        </w:rPr>
        <w:t>原文：</w:t>
      </w:r>
      <w:r>
        <w:rPr>
          <w:color w:val="auto"/>
          <w:sz w:val="24"/>
          <w:highlight w:val="none"/>
        </w:rPr>
        <w:t>1.10 投标预备会</w:t>
      </w:r>
    </w:p>
    <w:p w14:paraId="3B6B033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highlight w:val="none"/>
        </w:rPr>
        <w:t>1.10.1 投标人须知前附表规定召开投标预备会的，招标人按投标人须知前附表规定的时间和地点召开投标预备会，澄清投标人提出的问题。</w:t>
      </w:r>
    </w:p>
    <w:p w14:paraId="09AA878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highlight w:val="none"/>
        </w:rPr>
        <w:t>1.10.2 投标人应按投标人须知前附表规定的时间和形式将提出的问题送达招标人，以便招标人在会议期间澄清。</w:t>
      </w:r>
    </w:p>
    <w:p w14:paraId="32231CE8">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highlight w:val="none"/>
        </w:rPr>
        <w:t>1.10.3 投标预备会后，招标人将对投标人所提问题的澄清，以投标人须知前附表规定的形式通知所有潜在投标人。该澄清内容为招标文件的组成部分。</w:t>
      </w:r>
    </w:p>
    <w:p w14:paraId="44BC5C72">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2.</w:t>
      </w:r>
      <w:r>
        <w:rPr>
          <w:rFonts w:hint="eastAsia" w:ascii="宋体" w:hAnsi="宋体" w:cs="宋体"/>
          <w:b/>
          <w:bCs/>
          <w:color w:val="auto"/>
          <w:highlight w:val="none"/>
        </w:rPr>
        <w:t xml:space="preserve">1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76C91262">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cs="宋体"/>
          <w:b/>
          <w:bCs/>
          <w:color w:val="auto"/>
          <w:sz w:val="24"/>
          <w:highlight w:val="none"/>
        </w:rPr>
        <w:t>原文：</w:t>
      </w:r>
      <w:r>
        <w:rPr>
          <w:rFonts w:hint="eastAsia" w:ascii="宋体" w:hAnsi="宋体" w:eastAsia="宋体" w:cs="宋体"/>
          <w:color w:val="auto"/>
          <w:highlight w:val="none"/>
        </w:rPr>
        <w:t>2.1 招标文件的组成</w:t>
      </w:r>
    </w:p>
    <w:p w14:paraId="55335CB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34B217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76DCD4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454039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（3）评标办法；</w:t>
      </w:r>
    </w:p>
    <w:p w14:paraId="7CDD35B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32CE624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B2848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248D798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3504EC95">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szCs w:val="24"/>
          <w:highlight w:val="none"/>
        </w:rPr>
        <w:t>根据本章第1.10款、第2.2款和第2.3款对招标文件所作的澄清、修改，构成招标文件的组成部分。</w:t>
      </w:r>
    </w:p>
    <w:p w14:paraId="0E286F73">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cs="宋体"/>
          <w:b/>
          <w:bCs/>
          <w:color w:val="auto"/>
          <w:sz w:val="24"/>
          <w:highlight w:val="none"/>
          <w:lang w:eastAsia="zh-CN"/>
        </w:rPr>
        <w:t>现</w:t>
      </w:r>
      <w:r>
        <w:rPr>
          <w:rFonts w:hint="eastAsia" w:cs="宋体"/>
          <w:b/>
          <w:bCs/>
          <w:color w:val="auto"/>
          <w:sz w:val="24"/>
          <w:highlight w:val="none"/>
        </w:rPr>
        <w:t>文：</w:t>
      </w:r>
      <w:r>
        <w:rPr>
          <w:rFonts w:hint="eastAsia" w:ascii="宋体" w:hAnsi="宋体" w:eastAsia="宋体" w:cs="宋体"/>
          <w:color w:val="auto"/>
          <w:highlight w:val="none"/>
        </w:rPr>
        <w:t>2.1 招标文件的组成</w:t>
      </w:r>
    </w:p>
    <w:p w14:paraId="44B5A54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6614D1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3700CC9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0910912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w:t>
      </w:r>
      <w:r>
        <w:rPr>
          <w:rFonts w:hint="eastAsia" w:cs="宋体"/>
          <w:color w:val="auto"/>
          <w:sz w:val="24"/>
          <w:szCs w:val="24"/>
          <w:highlight w:val="none"/>
          <w:u w:val="single"/>
          <w:lang w:eastAsia="zh-CN"/>
        </w:rPr>
        <w:t>、定标</w:t>
      </w:r>
      <w:r>
        <w:rPr>
          <w:rFonts w:hint="eastAsia" w:cs="宋体"/>
          <w:color w:val="auto"/>
          <w:sz w:val="24"/>
          <w:szCs w:val="24"/>
          <w:highlight w:val="none"/>
        </w:rPr>
        <w:t>办法；</w:t>
      </w:r>
    </w:p>
    <w:p w14:paraId="548CE8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7B5F4F3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49398A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52474A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5EDD57D1">
      <w:pPr>
        <w:pStyle w:val="24"/>
        <w:keepNext w:val="0"/>
        <w:keepLines w:val="0"/>
        <w:pageBreakBefore w:val="0"/>
        <w:widowControl w:val="0"/>
        <w:pBdr>
          <w:bottom w:val="single" w:color="auto" w:sz="4" w:space="0"/>
        </w:pBdr>
        <w:wordWrap/>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w:t>
      </w:r>
      <w:r>
        <w:rPr>
          <w:rFonts w:hint="eastAsia" w:ascii="宋体" w:hAnsi="宋体" w:eastAsia="宋体" w:cs="宋体"/>
          <w:strike/>
          <w:dstrike w:val="0"/>
          <w:color w:val="auto"/>
          <w:sz w:val="24"/>
          <w:szCs w:val="24"/>
          <w:highlight w:val="none"/>
        </w:rPr>
        <w:t>第1.10款、</w:t>
      </w:r>
      <w:r>
        <w:rPr>
          <w:rFonts w:hint="eastAsia" w:ascii="宋体" w:hAnsi="宋体" w:eastAsia="宋体" w:cs="宋体"/>
          <w:color w:val="auto"/>
          <w:sz w:val="24"/>
          <w:szCs w:val="24"/>
          <w:highlight w:val="none"/>
        </w:rPr>
        <w:t>第2.2款和第2.3款对招标文件所作的澄清、修改，构成招标文件的组成部分。</w:t>
      </w:r>
    </w:p>
    <w:p w14:paraId="5002CA2B">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2.4</w:t>
      </w:r>
      <w:r>
        <w:rPr>
          <w:rFonts w:hint="eastAsia" w:ascii="宋体" w:hAnsi="宋体" w:cs="宋体"/>
          <w:b/>
          <w:bCs/>
          <w:color w:val="auto"/>
          <w:highlight w:val="none"/>
        </w:rPr>
        <w:t xml:space="preserve">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增加</w:t>
      </w:r>
    </w:p>
    <w:p w14:paraId="0F3899A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0"/>
        <w:jc w:val="both"/>
        <w:textAlignment w:val="auto"/>
        <w:rPr>
          <w:rFonts w:hint="eastAsia" w:cs="宋体"/>
          <w:b w:val="0"/>
          <w:bCs w:val="0"/>
          <w:color w:val="auto"/>
          <w:sz w:val="24"/>
          <w:szCs w:val="24"/>
          <w:highlight w:val="none"/>
          <w:u w:val="single"/>
        </w:rPr>
      </w:pPr>
      <w:r>
        <w:rPr>
          <w:rFonts w:hint="eastAsia" w:ascii="宋体" w:hAnsi="宋体" w:cs="宋体"/>
          <w:b/>
          <w:bCs/>
          <w:color w:val="auto"/>
          <w:sz w:val="24"/>
          <w:highlight w:val="none"/>
          <w:lang w:val="en-US" w:eastAsia="zh-CN"/>
        </w:rPr>
        <w:t>现文：</w:t>
      </w:r>
      <w:r>
        <w:rPr>
          <w:rFonts w:hint="eastAsia" w:cs="宋体"/>
          <w:b w:val="0"/>
          <w:bCs w:val="0"/>
          <w:color w:val="auto"/>
          <w:sz w:val="24"/>
          <w:szCs w:val="24"/>
          <w:highlight w:val="none"/>
          <w:u w:val="single"/>
        </w:rPr>
        <w:t>2.4 招标文件的异议</w:t>
      </w:r>
    </w:p>
    <w:p w14:paraId="27A90975">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1EF95D68">
      <w:pPr>
        <w:keepNext w:val="0"/>
        <w:keepLines w:val="0"/>
        <w:pageBreakBefore w:val="0"/>
        <w:widowControl w:val="0"/>
        <w:wordWrap/>
        <w:topLinePunct w:val="0"/>
        <w:autoSpaceDE w:val="0"/>
        <w:autoSpaceDN w:val="0"/>
        <w:bidi w:val="0"/>
        <w:adjustRightInd w:val="0"/>
        <w:snapToGrid/>
        <w:spacing w:line="360" w:lineRule="auto"/>
        <w:ind w:firstLine="241" w:firstLineChars="100"/>
        <w:textAlignment w:val="auto"/>
        <w:rPr>
          <w:rFonts w:hint="eastAsia" w:ascii="宋体" w:hAnsi="宋体" w:cs="宋体"/>
          <w:b/>
          <w:bCs/>
          <w:color w:val="auto"/>
          <w:highlight w:val="none"/>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3.1 投标文件组成</w:t>
      </w:r>
      <w:r>
        <w:rPr>
          <w:rFonts w:hint="eastAsia" w:ascii="宋体" w:hAnsi="宋体" w:cs="宋体"/>
          <w:b/>
          <w:bCs/>
          <w:color w:val="auto"/>
          <w:highlight w:val="none"/>
        </w:rPr>
        <w:t xml:space="preserve">           修改类型：修改</w:t>
      </w:r>
    </w:p>
    <w:p w14:paraId="51DCD1FA">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原文：</w:t>
      </w:r>
      <w:r>
        <w:rPr>
          <w:rFonts w:hint="eastAsia" w:ascii="宋体" w:hAnsi="宋体" w:eastAsia="宋体" w:cs="宋体"/>
          <w:color w:val="auto"/>
          <w:highlight w:val="none"/>
        </w:rPr>
        <w:t>3.1 投标文件的组成</w:t>
      </w:r>
    </w:p>
    <w:p w14:paraId="5B3799FE">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3.1.1 投标文件应包括下列内容：</w:t>
      </w:r>
    </w:p>
    <w:p w14:paraId="0EBFB084">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（1）投标函及投标函附录；</w:t>
      </w:r>
    </w:p>
    <w:p w14:paraId="5D50EF1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025F835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（3）联合体协议书；</w:t>
      </w:r>
    </w:p>
    <w:p w14:paraId="4E300859">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（4）投标保证金；</w:t>
      </w:r>
    </w:p>
    <w:p w14:paraId="24EBB6D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（5）监理报酬清单；</w:t>
      </w:r>
    </w:p>
    <w:p w14:paraId="05951C5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（6）资格审查资料；</w:t>
      </w:r>
    </w:p>
    <w:p w14:paraId="32F08D5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（7）监理大纲；</w:t>
      </w:r>
    </w:p>
    <w:p w14:paraId="7820F24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（8）投标人须知前附表规定的其他资料。投标人在评标过程中作出的符合法律法规和招标文件规定的澄清确认，构成投标文件的组成部分。</w:t>
      </w:r>
    </w:p>
    <w:p w14:paraId="71DA2C6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strike w:val="0"/>
          <w:color w:val="auto"/>
          <w:sz w:val="24"/>
          <w:szCs w:val="24"/>
          <w:highlight w:val="none"/>
        </w:rPr>
      </w:pPr>
      <w:r>
        <w:rPr>
          <w:rFonts w:hint="eastAsia" w:cs="宋体"/>
          <w:strike w:val="0"/>
          <w:color w:val="auto"/>
          <w:sz w:val="24"/>
          <w:szCs w:val="24"/>
          <w:highlight w:val="none"/>
        </w:rPr>
        <w:t>3.1.2 投标人须知前附表规定不接受联合体投标的，或投标人没有组成联合体的，投标文件不包括本章第 3.1.1（3）目所指的联合体协议书。</w:t>
      </w:r>
    </w:p>
    <w:p w14:paraId="08E3C41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lang w:val="en-US" w:eastAsia="zh-CN"/>
        </w:rPr>
      </w:pPr>
      <w:r>
        <w:rPr>
          <w:rFonts w:hint="eastAsia" w:cs="宋体"/>
          <w:strike w:val="0"/>
          <w:color w:val="auto"/>
          <w:sz w:val="24"/>
          <w:szCs w:val="24"/>
          <w:highlight w:val="none"/>
        </w:rPr>
        <w:t>3.1.3 投标人须知前附表未要求提交投标保证金的，投标文件不包括本章第 3.1.1（4）目所指的投标保证金。</w:t>
      </w:r>
    </w:p>
    <w:p w14:paraId="38EF33DF">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现文：</w:t>
      </w:r>
      <w:r>
        <w:rPr>
          <w:rFonts w:hint="eastAsia" w:ascii="宋体" w:hAnsi="宋体" w:eastAsia="宋体" w:cs="宋体"/>
          <w:color w:val="auto"/>
          <w:highlight w:val="none"/>
        </w:rPr>
        <w:t>3.1 投标文件的组成</w:t>
      </w:r>
    </w:p>
    <w:p w14:paraId="375BC7A5">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投标文件由评标部分及定标部分两部分组成，各部分文件应分别编制。</w:t>
      </w:r>
    </w:p>
    <w:p w14:paraId="55C883F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w:t>
      </w:r>
      <w:r>
        <w:rPr>
          <w:rFonts w:hint="eastAsia" w:ascii="宋体" w:hAnsi="宋体"/>
          <w:b/>
          <w:bCs/>
          <w:color w:val="auto"/>
          <w:sz w:val="24"/>
          <w:szCs w:val="24"/>
          <w:highlight w:val="none"/>
          <w:u w:val="single"/>
        </w:rPr>
        <w:t>（评标部分）</w:t>
      </w:r>
      <w:r>
        <w:rPr>
          <w:rFonts w:hint="eastAsia" w:cs="宋体"/>
          <w:color w:val="auto"/>
          <w:sz w:val="24"/>
          <w:szCs w:val="24"/>
          <w:highlight w:val="none"/>
        </w:rPr>
        <w:t>应包括下列内容：</w:t>
      </w:r>
    </w:p>
    <w:p w14:paraId="54A6077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3A878B6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7BB89024">
      <w:pPr>
        <w:spacing w:line="360" w:lineRule="auto"/>
        <w:ind w:firstLine="472" w:firstLineChars="200"/>
        <w:rPr>
          <w:rFonts w:hint="eastAsia" w:ascii="宋体" w:hAnsi="宋体" w:cs="宋体"/>
          <w:color w:val="auto"/>
          <w:highlight w:val="none"/>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64114A4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）监理报酬清单；</w:t>
      </w:r>
    </w:p>
    <w:p w14:paraId="20F22FF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）资格审查资料；</w:t>
      </w:r>
    </w:p>
    <w:p w14:paraId="4A2DE76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）监理大纲；</w:t>
      </w:r>
    </w:p>
    <w:p w14:paraId="01204D85">
      <w:pPr>
        <w:pStyle w:val="12"/>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006D466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3.1.2</w:t>
      </w:r>
      <w:r>
        <w:rPr>
          <w:rFonts w:hint="eastAsia" w:ascii="宋体" w:hAnsi="宋体" w:eastAsia="宋体" w:cs="宋体"/>
          <w:color w:val="auto"/>
          <w:sz w:val="24"/>
          <w:highlight w:val="none"/>
          <w:u w:val="single"/>
          <w:lang w:val="en-US" w:eastAsia="zh-CN"/>
        </w:rPr>
        <w:t>投标文件（定标部分）</w:t>
      </w:r>
      <w:r>
        <w:rPr>
          <w:rFonts w:hint="eastAsia" w:ascii="宋体" w:hAnsi="宋体" w:eastAsia="宋体" w:cs="宋体"/>
          <w:color w:val="auto"/>
          <w:sz w:val="24"/>
          <w:highlight w:val="none"/>
          <w:u w:val="single"/>
        </w:rPr>
        <w:t>应包括下列内容：</w:t>
      </w:r>
    </w:p>
    <w:p w14:paraId="7481107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投标人依据《定标因素表》提供资料</w:t>
      </w:r>
      <w:r>
        <w:rPr>
          <w:rFonts w:hint="eastAsia" w:cs="宋体"/>
          <w:color w:val="auto"/>
          <w:sz w:val="24"/>
          <w:highlight w:val="none"/>
          <w:u w:val="single"/>
          <w:lang w:val="en-US" w:eastAsia="zh-CN"/>
        </w:rPr>
        <w:t>。</w:t>
      </w:r>
    </w:p>
    <w:p w14:paraId="2C6F5440">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val="en-US" w:eastAsia="zh-CN"/>
        </w:rPr>
        <w:t>投标人认为</w:t>
      </w:r>
      <w:r>
        <w:rPr>
          <w:rFonts w:hint="eastAsia" w:ascii="宋体" w:hAnsi="宋体" w:eastAsia="宋体" w:cs="宋体"/>
          <w:color w:val="auto"/>
          <w:sz w:val="24"/>
          <w:highlight w:val="none"/>
          <w:u w:val="single"/>
        </w:rPr>
        <w:t>其他应提交的材料</w:t>
      </w:r>
      <w:r>
        <w:rPr>
          <w:rFonts w:hint="eastAsia" w:ascii="宋体" w:hAnsi="宋体" w:eastAsia="宋体" w:cs="宋体"/>
          <w:color w:val="auto"/>
          <w:sz w:val="24"/>
          <w:highlight w:val="none"/>
          <w:u w:val="single"/>
          <w:lang w:val="en-US" w:eastAsia="zh-CN"/>
        </w:rPr>
        <w:t>。</w:t>
      </w:r>
    </w:p>
    <w:p w14:paraId="0C16B7B3">
      <w:pPr>
        <w:spacing w:line="480" w:lineRule="auto"/>
        <w:ind w:firstLine="540" w:firstLineChars="224"/>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3.1</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49192BD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highlight w:val="none"/>
          <w:lang w:val="en-US" w:eastAsia="zh-CN"/>
        </w:rPr>
        <w:t>原文：</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3.1</w:t>
      </w:r>
      <w:r>
        <w:rPr>
          <w:rFonts w:hint="eastAsia" w:cs="宋体"/>
          <w:strike w:val="0"/>
          <w:color w:val="auto"/>
          <w:sz w:val="24"/>
          <w:szCs w:val="24"/>
          <w:highlight w:val="none"/>
          <w:lang w:val="en-US" w:eastAsia="zh-CN"/>
        </w:rPr>
        <w:t xml:space="preserve"> </w:t>
      </w:r>
      <w:r>
        <w:rPr>
          <w:rFonts w:hint="eastAsia" w:cs="宋体"/>
          <w:color w:val="auto"/>
          <w:sz w:val="24"/>
          <w:szCs w:val="24"/>
          <w:highlight w:val="none"/>
        </w:rPr>
        <w:t xml:space="preserve">除投标人须知前附表另有规定外，投标有效期为 </w:t>
      </w:r>
      <w:r>
        <w:rPr>
          <w:rFonts w:hint="default" w:cs="宋体"/>
          <w:color w:val="auto"/>
          <w:sz w:val="24"/>
          <w:szCs w:val="24"/>
          <w:highlight w:val="none"/>
          <w:lang w:val="en-US"/>
        </w:rPr>
        <w:t>90</w:t>
      </w:r>
      <w:r>
        <w:rPr>
          <w:rFonts w:hint="eastAsia" w:cs="宋体"/>
          <w:color w:val="auto"/>
          <w:sz w:val="24"/>
          <w:szCs w:val="24"/>
          <w:highlight w:val="none"/>
        </w:rPr>
        <w:t xml:space="preserve"> 天。</w:t>
      </w:r>
    </w:p>
    <w:p w14:paraId="211C4EB2">
      <w:pPr>
        <w:pBdr>
          <w:bottom w:val="single" w:color="auto" w:sz="4" w:space="0"/>
        </w:pBdr>
        <w:spacing w:line="360" w:lineRule="auto"/>
        <w:ind w:firstLine="482" w:firstLineChars="200"/>
        <w:rPr>
          <w:rFonts w:hint="eastAsia" w:ascii="宋体" w:hAnsi="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现文：</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 xml:space="preserve">3.1 </w:t>
      </w:r>
      <w:r>
        <w:rPr>
          <w:rFonts w:hint="eastAsia" w:cs="宋体"/>
          <w:color w:val="auto"/>
          <w:sz w:val="24"/>
          <w:szCs w:val="24"/>
          <w:highlight w:val="none"/>
        </w:rPr>
        <w:t>除投标人须知前附表另有规定外，投标有效期为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120日历天</w:t>
      </w:r>
      <w:r>
        <w:rPr>
          <w:rFonts w:hint="eastAsia" w:cs="宋体"/>
          <w:color w:val="auto"/>
          <w:sz w:val="24"/>
          <w:szCs w:val="24"/>
          <w:highlight w:val="none"/>
        </w:rPr>
        <w:t>。</w:t>
      </w:r>
    </w:p>
    <w:p w14:paraId="5EFFB2CE">
      <w:pPr>
        <w:pStyle w:val="24"/>
        <w:rPr>
          <w:rFonts w:hint="eastAsia" w:ascii="宋体" w:hAnsi="宋体" w:eastAsia="宋体" w:cs="宋体"/>
          <w:color w:val="auto"/>
          <w:highlight w:val="none"/>
          <w:lang w:val="en-US" w:eastAsia="zh-CN"/>
        </w:rPr>
      </w:pPr>
    </w:p>
    <w:p w14:paraId="5A3B795B">
      <w:pPr>
        <w:spacing w:line="480" w:lineRule="auto"/>
        <w:ind w:firstLine="540" w:firstLineChars="224"/>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3.3</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498E4CA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highlight w:val="none"/>
          <w:lang w:val="en-US" w:eastAsia="zh-CN"/>
        </w:rPr>
        <w:t>原文：</w:t>
      </w:r>
      <w:r>
        <w:rPr>
          <w:rFonts w:hint="eastAsia" w:ascii="宋体" w:hAnsi="宋体" w:eastAsia="宋体" w:cs="宋体"/>
          <w:strike w:val="0"/>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但投标人有权收回其投标保证金及以现金或者支票形式递交的投标保证金的银行同期存款利息。</w:t>
      </w:r>
    </w:p>
    <w:p w14:paraId="7995D67A">
      <w:pPr>
        <w:pBdr>
          <w:bottom w:val="single" w:color="auto" w:sz="4" w:space="0"/>
        </w:pBdr>
        <w:spacing w:line="360" w:lineRule="auto"/>
        <w:ind w:firstLine="482" w:firstLineChars="200"/>
        <w:rPr>
          <w:rFonts w:hint="eastAsia" w:ascii="宋体" w:hAnsi="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现文：</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color w:val="auto"/>
          <w:sz w:val="24"/>
          <w:szCs w:val="24"/>
          <w:highlight w:val="none"/>
          <w:lang w:eastAsia="zh-CN"/>
        </w:rPr>
        <w:t>。</w:t>
      </w:r>
      <w:r>
        <w:rPr>
          <w:rFonts w:hint="eastAsia" w:ascii="宋体" w:hAnsi="宋体" w:cs="宋体"/>
          <w:strike/>
          <w:color w:val="auto"/>
          <w:sz w:val="24"/>
          <w:szCs w:val="24"/>
          <w:highlight w:val="none"/>
        </w:rPr>
        <w:t>但投标人有权收回其投标保证金及以现金或者支票形式递交的投标保证金的银行同期存款利息。</w:t>
      </w:r>
    </w:p>
    <w:p w14:paraId="74A8EBC2">
      <w:pPr>
        <w:keepNext w:val="0"/>
        <w:keepLines w:val="0"/>
        <w:pageBreakBefore w:val="0"/>
        <w:widowControl w:val="0"/>
        <w:wordWrap/>
        <w:topLinePunct w:val="0"/>
        <w:bidi w:val="0"/>
        <w:adjustRightInd w:val="0"/>
        <w:snapToGrid/>
        <w:spacing w:line="360" w:lineRule="auto"/>
        <w:ind w:firstLine="540" w:firstLineChars="224"/>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4</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29A0AEE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color w:val="auto"/>
          <w:highlight w:val="none"/>
        </w:rPr>
      </w:pPr>
      <w:r>
        <w:rPr>
          <w:rFonts w:hint="eastAsia" w:ascii="宋体" w:hAnsi="宋体" w:cs="宋体"/>
          <w:b/>
          <w:bCs/>
          <w:color w:val="auto"/>
          <w:highlight w:val="none"/>
          <w:lang w:val="en-US" w:eastAsia="zh-CN"/>
        </w:rPr>
        <w:t>原文：</w:t>
      </w:r>
      <w:r>
        <w:rPr>
          <w:rFonts w:hint="default" w:ascii="宋体" w:hAnsi="宋体" w:eastAsia="宋体" w:cs="宋体"/>
          <w:color w:val="auto"/>
          <w:highlight w:val="none"/>
        </w:rPr>
        <w:t>3.4  投标保证金</w:t>
      </w:r>
    </w:p>
    <w:p w14:paraId="4D63C1A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lang w:eastAsia="zh-CN"/>
        </w:rPr>
      </w:pP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4249D8B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5D30978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strike w:val="0"/>
          <w:color w:val="auto"/>
          <w:sz w:val="24"/>
          <w:szCs w:val="24"/>
          <w:highlight w:val="none"/>
        </w:rPr>
      </w:pPr>
      <w:r>
        <w:rPr>
          <w:rFonts w:hint="default" w:cs="Times New Roman"/>
          <w:strike w:val="0"/>
          <w:color w:val="auto"/>
          <w:sz w:val="24"/>
          <w:szCs w:val="24"/>
          <w:highlight w:val="none"/>
        </w:rPr>
        <w:t>3.4.3 中标候选人以外的投标人的投标保证金将尽快退还，最迟不超过中标通知书发出之日起五日内</w:t>
      </w:r>
      <w:r>
        <w:rPr>
          <w:rFonts w:hint="default" w:cs="Times New Roman"/>
          <w:strike w:val="0"/>
          <w:color w:val="auto"/>
          <w:sz w:val="24"/>
          <w:szCs w:val="24"/>
          <w:highlight w:val="none"/>
          <w:lang w:eastAsia="zh-CN"/>
        </w:rPr>
        <w:t>；</w:t>
      </w:r>
      <w:r>
        <w:rPr>
          <w:rFonts w:hint="default" w:cs="Times New Roman"/>
          <w:strike w:val="0"/>
          <w:color w:val="auto"/>
          <w:sz w:val="24"/>
          <w:szCs w:val="24"/>
          <w:highlight w:val="none"/>
        </w:rPr>
        <w:t>中标人和其他中标候选人的投标保证金，在书面合同订立之日起五日内予以退还。</w:t>
      </w:r>
    </w:p>
    <w:p w14:paraId="23D0F64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5959E4E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7A2D46C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0" w:firstLineChars="0"/>
        <w:jc w:val="both"/>
        <w:textAlignment w:val="auto"/>
        <w:rPr>
          <w:rFonts w:hint="eastAsia" w:ascii="宋体" w:hAnsi="宋体" w:eastAsia="宋体" w:cs="宋体"/>
          <w:color w:val="auto"/>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2</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6888C546">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现文：</w:t>
      </w:r>
      <w:r>
        <w:rPr>
          <w:rFonts w:hint="eastAsia" w:ascii="宋体" w:hAnsi="宋体" w:eastAsia="宋体" w:cs="宋体"/>
          <w:b w:val="0"/>
          <w:bCs w:val="0"/>
          <w:color w:val="auto"/>
          <w:sz w:val="24"/>
          <w:szCs w:val="24"/>
          <w:highlight w:val="none"/>
          <w:u w:val="single"/>
          <w:lang w:val="en-US" w:eastAsia="zh-CN"/>
        </w:rPr>
        <w:t>3.4.1 本项目免收投标保证金，投标人需提供《关于投标保证金的承诺》（详见第六章投标文件格式）</w:t>
      </w:r>
    </w:p>
    <w:p w14:paraId="61EE3E0A">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3.4.2若投标人存在3.4.4条款所列情形的，需按照招标人的要求，在发现存在3.4.4条款所列情形之日起5个工作日内向招标人足额补交投标保证金。</w:t>
      </w:r>
    </w:p>
    <w:p w14:paraId="6C731385">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trike/>
          <w:color w:val="auto"/>
          <w:sz w:val="24"/>
          <w:szCs w:val="24"/>
          <w:highlight w:val="none"/>
          <w:lang w:val="en-US" w:eastAsia="zh-CN"/>
        </w:rPr>
      </w:pPr>
      <w:r>
        <w:rPr>
          <w:rFonts w:hint="eastAsia" w:ascii="宋体" w:hAnsi="宋体" w:eastAsia="宋体" w:cs="宋体"/>
          <w:b w:val="0"/>
          <w:bCs w:val="0"/>
          <w:strike/>
          <w:color w:val="auto"/>
          <w:sz w:val="24"/>
          <w:szCs w:val="24"/>
          <w:highlight w:val="none"/>
          <w:lang w:val="en-US" w:eastAsia="zh-CN"/>
        </w:rPr>
        <w:t>3.4.3 中标候选人以外的投标人的投标保证金将尽快退还，最迟不超过中标通知书发出之日起五日内；中标人和其他中标候选人的投标保证金，在书面合同订立之日起五日内予以退还。</w:t>
      </w:r>
    </w:p>
    <w:p w14:paraId="69065C70">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3.4.4 有下列情形之一的，投标保证金将不予退还：</w:t>
      </w:r>
    </w:p>
    <w:p w14:paraId="12674413">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3.4.4.1投标人在规定的投标有效期内撤销其投标文件；</w:t>
      </w:r>
    </w:p>
    <w:p w14:paraId="4B334F6A">
      <w:pPr>
        <w:keepNext w:val="0"/>
        <w:keepLines w:val="0"/>
        <w:pageBreakBefore w:val="0"/>
        <w:widowControl w:val="0"/>
        <w:pBdr>
          <w:bottom w:val="single" w:color="auto" w:sz="4" w:space="0"/>
        </w:pBdr>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3.4.4.2中标人在收到中标通知书后，无正当理由不与招标人订立合同，在签订合同时向招标人提出附加条件。</w:t>
      </w:r>
    </w:p>
    <w:p w14:paraId="17AD02A8">
      <w:pPr>
        <w:keepNext w:val="0"/>
        <w:keepLines w:val="0"/>
        <w:pageBreakBefore w:val="0"/>
        <w:widowControl w:val="0"/>
        <w:wordWrap/>
        <w:topLinePunct w:val="0"/>
        <w:autoSpaceDE/>
        <w:autoSpaceDN/>
        <w:bidi w:val="0"/>
        <w:adjustRightInd w:val="0"/>
        <w:snapToGrid/>
        <w:spacing w:line="360" w:lineRule="auto"/>
        <w:ind w:firstLine="723" w:firstLineChars="3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b/>
          <w:bCs/>
          <w:strike w:val="0"/>
          <w:color w:val="auto"/>
          <w:sz w:val="24"/>
          <w:szCs w:val="24"/>
          <w:highlight w:val="none"/>
        </w:rPr>
        <w:t>3.</w:t>
      </w:r>
      <w:r>
        <w:rPr>
          <w:rFonts w:hint="eastAsia" w:ascii="宋体" w:hAnsi="宋体" w:eastAsia="宋体" w:cs="宋体"/>
          <w:b/>
          <w:bCs/>
          <w:strike w:val="0"/>
          <w:color w:val="auto"/>
          <w:sz w:val="24"/>
          <w:szCs w:val="24"/>
          <w:highlight w:val="none"/>
          <w:lang w:val="en-US" w:eastAsia="zh-CN"/>
        </w:rPr>
        <w:t>5</w:t>
      </w:r>
      <w:r>
        <w:rPr>
          <w:rFonts w:hint="eastAsia" w:ascii="宋体" w:hAnsi="宋体" w:eastAsia="宋体" w:cs="宋体"/>
          <w:b/>
          <w:bCs/>
          <w:color w:val="auto"/>
          <w:highlight w:val="none"/>
        </w:rPr>
        <w:t>资格审查资料</w:t>
      </w:r>
      <w:r>
        <w:rPr>
          <w:rFonts w:hint="eastAsia" w:ascii="宋体" w:hAnsi="宋体" w:eastAsia="宋体" w:cs="宋体"/>
          <w:b/>
          <w:bCs/>
          <w:strike w:val="0"/>
          <w:color w:val="auto"/>
          <w:sz w:val="24"/>
          <w:szCs w:val="24"/>
          <w:highlight w:val="none"/>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eastAsia="宋体" w:cs="宋体"/>
          <w:b/>
          <w:bCs/>
          <w:color w:val="auto"/>
          <w:sz w:val="24"/>
          <w:szCs w:val="24"/>
          <w:highlight w:val="none"/>
          <w:lang w:val="en-US" w:eastAsia="zh-CN"/>
        </w:rPr>
        <w:t>修改</w:t>
      </w:r>
    </w:p>
    <w:p w14:paraId="17BF115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原文：</w:t>
      </w:r>
      <w:r>
        <w:rPr>
          <w:rFonts w:hint="eastAsia" w:ascii="宋体" w:hAnsi="宋体" w:eastAsia="宋体" w:cs="宋体"/>
          <w:color w:val="auto"/>
          <w:highlight w:val="none"/>
        </w:rPr>
        <w:t>3.5 资格审查资料</w:t>
      </w:r>
    </w:p>
    <w:p w14:paraId="58B3D752">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款规定的资质、财务、业绩、信誉等要求。</w:t>
      </w:r>
    </w:p>
    <w:p w14:paraId="18425DF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3.5.1 “投标人基本情况表”应附投标人营业执照、投标人监理资质证书副本等材料的</w:t>
      </w:r>
      <w:r>
        <w:rPr>
          <w:rFonts w:hint="eastAsia" w:cs="宋体"/>
          <w:color w:val="auto"/>
          <w:sz w:val="24"/>
          <w:szCs w:val="24"/>
          <w:highlight w:val="none"/>
          <w:lang w:eastAsia="zh-CN"/>
        </w:rPr>
        <w:t>扫描件</w:t>
      </w:r>
      <w:r>
        <w:rPr>
          <w:rFonts w:hint="eastAsia" w:cs="宋体"/>
          <w:color w:val="auto"/>
          <w:sz w:val="24"/>
          <w:szCs w:val="24"/>
          <w:highlight w:val="none"/>
        </w:rPr>
        <w:t>。</w:t>
      </w:r>
    </w:p>
    <w:p w14:paraId="04DE783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3.5.</w:t>
      </w:r>
      <w:r>
        <w:rPr>
          <w:rFonts w:hint="eastAsia" w:cs="宋体"/>
          <w:color w:val="auto"/>
          <w:sz w:val="24"/>
          <w:szCs w:val="24"/>
          <w:highlight w:val="none"/>
          <w:lang w:val="en-US" w:eastAsia="zh-CN"/>
        </w:rPr>
        <w:t>2</w:t>
      </w:r>
      <w:r>
        <w:rPr>
          <w:rFonts w:hint="eastAsia" w:cs="宋体"/>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004BD78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eastAsia="宋体" w:cs="宋体"/>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cs="宋体"/>
          <w:color w:val="auto"/>
          <w:sz w:val="24"/>
          <w:szCs w:val="24"/>
          <w:highlight w:val="none"/>
          <w:lang w:eastAsia="zh-CN"/>
        </w:rPr>
        <w:t>（若有）</w:t>
      </w:r>
      <w:r>
        <w:rPr>
          <w:rFonts w:hint="eastAsia" w:cs="宋体"/>
          <w:color w:val="auto"/>
          <w:sz w:val="24"/>
          <w:szCs w:val="24"/>
          <w:highlight w:val="none"/>
        </w:rPr>
        <w:t>；其他主要人员应附身份证、学历证、职称证、有关证书和社保缴费证明</w:t>
      </w:r>
      <w:r>
        <w:rPr>
          <w:rFonts w:hint="eastAsia" w:cs="宋体"/>
          <w:color w:val="auto"/>
          <w:sz w:val="24"/>
          <w:szCs w:val="24"/>
          <w:highlight w:val="none"/>
          <w:lang w:eastAsia="zh-CN"/>
        </w:rPr>
        <w:t>（若有）</w:t>
      </w:r>
      <w:r>
        <w:rPr>
          <w:rFonts w:hint="eastAsia" w:cs="宋体"/>
          <w:color w:val="auto"/>
          <w:sz w:val="24"/>
          <w:szCs w:val="24"/>
          <w:highlight w:val="none"/>
        </w:rPr>
        <w:t>。</w:t>
      </w:r>
      <w:r>
        <w:rPr>
          <w:rFonts w:hint="eastAsia" w:cs="宋体"/>
          <w:color w:val="auto"/>
          <w:sz w:val="24"/>
          <w:szCs w:val="24"/>
          <w:highlight w:val="none"/>
          <w:lang w:eastAsia="zh-CN"/>
        </w:rPr>
        <w:t>（注：以上人员社保要求：具有离投标截止时间最近</w:t>
      </w:r>
      <w:r>
        <w:rPr>
          <w:rFonts w:hint="eastAsia" w:cs="宋体"/>
          <w:color w:val="auto"/>
          <w:sz w:val="24"/>
          <w:szCs w:val="24"/>
          <w:highlight w:val="none"/>
          <w:lang w:val="en-US" w:eastAsia="zh-CN"/>
        </w:rPr>
        <w:t>的至少1</w:t>
      </w:r>
      <w:r>
        <w:rPr>
          <w:rFonts w:hint="eastAsia" w:cs="宋体"/>
          <w:color w:val="auto"/>
          <w:sz w:val="24"/>
          <w:szCs w:val="24"/>
          <w:highlight w:val="none"/>
          <w:lang w:eastAsia="zh-CN"/>
        </w:rPr>
        <w:t xml:space="preserve">   个月在本单位缴纳的社保证明文件。）</w:t>
      </w:r>
    </w:p>
    <w:p w14:paraId="54AC1A8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1AC421A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现文：</w:t>
      </w:r>
      <w:r>
        <w:rPr>
          <w:rFonts w:hint="eastAsia" w:ascii="宋体" w:hAnsi="宋体" w:eastAsia="宋体" w:cs="宋体"/>
          <w:color w:val="auto"/>
          <w:highlight w:val="none"/>
        </w:rPr>
        <w:t>3.5 资格审查资料</w:t>
      </w:r>
    </w:p>
    <w:p w14:paraId="5420E94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4728A136">
      <w:pPr>
        <w:keepNext w:val="0"/>
        <w:keepLines w:val="0"/>
        <w:pageBreakBefore w:val="0"/>
        <w:widowControl w:val="0"/>
        <w:wordWrap/>
        <w:topLinePunct w:val="0"/>
        <w:bidi w:val="0"/>
        <w:adjustRightInd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u w:val="single"/>
        </w:rPr>
        <w:t>或电子证照</w:t>
      </w:r>
      <w:r>
        <w:rPr>
          <w:rFonts w:hint="eastAsia" w:ascii="宋体" w:hAnsi="宋体" w:cs="宋体"/>
          <w:color w:val="auto"/>
          <w:sz w:val="24"/>
          <w:szCs w:val="24"/>
          <w:highlight w:val="none"/>
        </w:rPr>
        <w:t>。</w:t>
      </w:r>
    </w:p>
    <w:p w14:paraId="034CEB0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u w:val="single"/>
          <w:lang w:val="en-US" w:eastAsia="zh-CN"/>
        </w:rPr>
        <w:t>投标人声明（格式详见第六章）</w:t>
      </w:r>
    </w:p>
    <w:p w14:paraId="2964B339">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color w:val="auto"/>
          <w:sz w:val="24"/>
          <w:szCs w:val="24"/>
          <w:highlight w:val="none"/>
          <w:u w:val="single"/>
        </w:rPr>
        <w:t>社保证明文件</w:t>
      </w:r>
      <w:r>
        <w:rPr>
          <w:rFonts w:hint="eastAsia" w:cs="宋体"/>
          <w:strike/>
          <w:color w:val="auto"/>
          <w:sz w:val="24"/>
          <w:szCs w:val="24"/>
          <w:highlight w:val="none"/>
        </w:rPr>
        <w:t>，管理过的项目业绩须附合同协议书</w:t>
      </w:r>
      <w:r>
        <w:rPr>
          <w:rFonts w:hint="eastAsia" w:cs="宋体"/>
          <w:strike/>
          <w:color w:val="auto"/>
          <w:sz w:val="24"/>
          <w:szCs w:val="24"/>
          <w:highlight w:val="none"/>
          <w:lang w:eastAsia="zh-CN"/>
        </w:rPr>
        <w:t>（若有）</w:t>
      </w:r>
      <w:r>
        <w:rPr>
          <w:rFonts w:hint="eastAsia" w:cs="宋体"/>
          <w:color w:val="auto"/>
          <w:sz w:val="24"/>
          <w:szCs w:val="24"/>
          <w:highlight w:val="none"/>
        </w:rPr>
        <w:t>；其他主要人员应附身份证、学历证、职称证、有关证书和</w:t>
      </w:r>
      <w:r>
        <w:rPr>
          <w:rFonts w:hint="eastAsia" w:ascii="宋体" w:hAnsi="宋体" w:cs="宋体"/>
          <w:color w:val="auto"/>
          <w:sz w:val="24"/>
          <w:szCs w:val="24"/>
          <w:highlight w:val="none"/>
          <w:u w:val="single"/>
        </w:rPr>
        <w:t>社保证明文件</w:t>
      </w:r>
      <w:r>
        <w:rPr>
          <w:rFonts w:hint="eastAsia" w:cs="宋体"/>
          <w:color w:val="auto"/>
          <w:sz w:val="24"/>
          <w:szCs w:val="24"/>
          <w:highlight w:val="none"/>
        </w:rPr>
        <w:t>。</w:t>
      </w:r>
      <w:r>
        <w:rPr>
          <w:rFonts w:hint="eastAsia" w:cs="宋体"/>
          <w:color w:val="auto"/>
          <w:sz w:val="24"/>
          <w:szCs w:val="24"/>
          <w:highlight w:val="none"/>
          <w:lang w:eastAsia="zh-CN"/>
        </w:rPr>
        <w:t>（</w:t>
      </w:r>
      <w:r>
        <w:rPr>
          <w:rFonts w:hint="eastAsia" w:cs="宋体"/>
          <w:strike w:val="0"/>
          <w:color w:val="auto"/>
          <w:sz w:val="24"/>
          <w:szCs w:val="24"/>
          <w:highlight w:val="none"/>
          <w:lang w:eastAsia="zh-CN"/>
        </w:rPr>
        <w:t>注:以上人员社保要求详见投标人须知前附表10.4项。</w:t>
      </w:r>
      <w:r>
        <w:rPr>
          <w:rFonts w:hint="eastAsia" w:cs="宋体"/>
          <w:color w:val="auto"/>
          <w:sz w:val="24"/>
          <w:szCs w:val="24"/>
          <w:highlight w:val="none"/>
          <w:lang w:eastAsia="zh-CN"/>
        </w:rPr>
        <w:t>）</w:t>
      </w:r>
    </w:p>
    <w:p w14:paraId="0EC85D7E">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color w:val="auto"/>
          <w:sz w:val="24"/>
          <w:szCs w:val="24"/>
          <w:highlight w:val="none"/>
        </w:rPr>
        <w:t>3.5.</w:t>
      </w:r>
      <w:r>
        <w:rPr>
          <w:rFonts w:hint="eastAsia" w:cs="宋体"/>
          <w:strike/>
          <w:color w:val="auto"/>
          <w:sz w:val="24"/>
          <w:szCs w:val="24"/>
          <w:highlight w:val="none"/>
          <w:lang w:val="en-US" w:eastAsia="zh-CN"/>
        </w:rPr>
        <w:t>4</w:t>
      </w:r>
      <w:r>
        <w:rPr>
          <w:rFonts w:hint="eastAsia" w:cs="宋体"/>
          <w:strike/>
          <w:color w:val="auto"/>
          <w:sz w:val="24"/>
          <w:szCs w:val="24"/>
          <w:highlight w:val="none"/>
        </w:rPr>
        <w:t xml:space="preserve"> 投标人须知前附表规定接受联合体投标的，本章第3.5.1 项至第3.5.</w:t>
      </w:r>
      <w:r>
        <w:rPr>
          <w:rFonts w:hint="eastAsia" w:cs="宋体"/>
          <w:strike/>
          <w:color w:val="auto"/>
          <w:sz w:val="24"/>
          <w:szCs w:val="24"/>
          <w:highlight w:val="none"/>
          <w:lang w:val="en-US" w:eastAsia="zh-CN"/>
        </w:rPr>
        <w:t>3</w:t>
      </w:r>
      <w:r>
        <w:rPr>
          <w:rFonts w:hint="eastAsia" w:cs="宋体"/>
          <w:strike/>
          <w:color w:val="auto"/>
          <w:sz w:val="24"/>
          <w:szCs w:val="24"/>
          <w:highlight w:val="none"/>
        </w:rPr>
        <w:t>项规定的表格和资料应包括联合体各方相关情况。</w:t>
      </w:r>
    </w:p>
    <w:p w14:paraId="57496D0D">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ascii="宋体" w:hAnsi="宋体" w:eastAsia="宋体" w:cs="宋体"/>
          <w:b/>
          <w:bCs/>
          <w:color w:val="auto"/>
          <w:sz w:val="24"/>
          <w:szCs w:val="24"/>
          <w:highlight w:val="none"/>
          <w:u w:val="single"/>
          <w:lang w:val="en-US" w:eastAsia="zh-CN"/>
        </w:rPr>
      </w:pPr>
      <w:r>
        <w:rPr>
          <w:rFonts w:hint="eastAsia" w:cs="宋体"/>
          <w:strike w:val="0"/>
          <w:color w:val="auto"/>
          <w:sz w:val="24"/>
          <w:szCs w:val="24"/>
          <w:highlight w:val="none"/>
          <w:u w:val="single"/>
          <w:lang w:val="en-US" w:eastAsia="zh-CN"/>
        </w:rPr>
        <w:t>3.5.4资审要求的其他材料。</w:t>
      </w:r>
    </w:p>
    <w:p w14:paraId="44E44550">
      <w:pPr>
        <w:keepNext w:val="0"/>
        <w:keepLines w:val="0"/>
        <w:pageBreakBefore w:val="0"/>
        <w:widowControl w:val="0"/>
        <w:pBdr>
          <w:top w:val="single" w:color="auto" w:sz="4" w:space="0"/>
        </w:pBdr>
        <w:wordWrap/>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修改类型：</w:t>
      </w:r>
      <w:r>
        <w:rPr>
          <w:rFonts w:hint="eastAsia" w:ascii="宋体" w:hAnsi="宋体" w:eastAsia="宋体" w:cs="宋体"/>
          <w:b w:val="0"/>
          <w:bCs w:val="0"/>
          <w:color w:val="auto"/>
          <w:sz w:val="24"/>
          <w:szCs w:val="24"/>
          <w:highlight w:val="none"/>
          <w:lang w:val="en-US" w:eastAsia="zh-CN"/>
        </w:rPr>
        <w:t>删除</w:t>
      </w:r>
    </w:p>
    <w:p w14:paraId="6BE86024">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strike/>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rPr>
        <w:t>3.</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 xml:space="preserve">4  </w:t>
      </w:r>
      <w:r>
        <w:rPr>
          <w:rFonts w:hint="eastAsia" w:ascii="宋体" w:hAnsi="宋体" w:eastAsia="宋体" w:cs="宋体"/>
          <w:strike w:val="0"/>
          <w:dstrike w:val="0"/>
          <w:color w:val="auto"/>
          <w:sz w:val="24"/>
          <w:szCs w:val="24"/>
          <w:highlight w:val="none"/>
        </w:rPr>
        <w:t>联合体投标时，</w:t>
      </w:r>
      <w:r>
        <w:rPr>
          <w:rFonts w:hint="eastAsia" w:ascii="宋体" w:hAnsi="宋体" w:eastAsia="宋体" w:cs="宋体"/>
          <w:strike w:val="0"/>
          <w:d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dstrike w:val="0"/>
          <w:color w:val="auto"/>
          <w:sz w:val="24"/>
          <w:szCs w:val="24"/>
          <w:highlight w:val="none"/>
        </w:rPr>
        <w:t>联合体共同投标协议需联合体各方按要求共同盖章签字，其余可由联合体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签字、盖章即可，由联合体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法人签字的电子投标文件需提供</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法定代表人证明书，若由联合体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dstrike w:val="0"/>
          <w:color w:val="auto"/>
          <w:sz w:val="24"/>
          <w:szCs w:val="24"/>
          <w:highlight w:val="none"/>
          <w:lang w:eastAsia="zh-CN"/>
        </w:rPr>
        <w:t>扫描</w:t>
      </w:r>
      <w:r>
        <w:rPr>
          <w:rFonts w:hint="eastAsia" w:ascii="宋体" w:hAnsi="宋体" w:eastAsia="宋体" w:cs="宋体"/>
          <w:strike w:val="0"/>
          <w:dstrike w:val="0"/>
          <w:color w:val="auto"/>
          <w:sz w:val="24"/>
          <w:szCs w:val="24"/>
          <w:highlight w:val="none"/>
        </w:rPr>
        <w:t>件。</w:t>
      </w:r>
    </w:p>
    <w:p w14:paraId="7948F00A">
      <w:pPr>
        <w:keepNext w:val="0"/>
        <w:keepLines w:val="0"/>
        <w:pageBreakBefore w:val="0"/>
        <w:widowControl w:val="0"/>
        <w:wordWrap/>
        <w:topLinePunct w:val="0"/>
        <w:bidi w:val="0"/>
        <w:adjustRightInd w:val="0"/>
        <w:snapToGrid/>
        <w:spacing w:line="360" w:lineRule="auto"/>
        <w:ind w:firstLine="540" w:firstLineChars="224"/>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4.3.3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修改类型：</w:t>
      </w:r>
      <w:r>
        <w:rPr>
          <w:rFonts w:hint="eastAsia" w:ascii="宋体" w:hAnsi="宋体" w:cs="宋体"/>
          <w:b w:val="0"/>
          <w:bCs w:val="0"/>
          <w:color w:val="auto"/>
          <w:sz w:val="24"/>
          <w:szCs w:val="24"/>
          <w:highlight w:val="none"/>
          <w:lang w:eastAsia="zh-CN"/>
        </w:rPr>
        <w:t>修改</w:t>
      </w:r>
    </w:p>
    <w:p w14:paraId="19FC7F8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3CB5B34A">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cs="宋体"/>
          <w:b/>
          <w:bCs/>
          <w:color w:val="auto"/>
          <w:sz w:val="24"/>
          <w:szCs w:val="24"/>
          <w:highlight w:val="none"/>
          <w:lang w:val="en-US" w:eastAsia="zh-CN"/>
        </w:rPr>
        <w:t>现文：</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04A918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olor w:val="auto"/>
          <w:sz w:val="24"/>
          <w:szCs w:val="24"/>
          <w:highlight w:val="none"/>
          <w:lang w:eastAsia="zh-CN"/>
        </w:rPr>
      </w:pPr>
      <w:r>
        <w:rPr>
          <w:rFonts w:hint="default" w:ascii="宋体" w:hAnsi="宋体" w:eastAsia="宋体"/>
          <w:b/>
          <w:bCs/>
          <w:color w:val="auto"/>
          <w:sz w:val="24"/>
          <w:szCs w:val="24"/>
          <w:highlight w:val="none"/>
        </w:rPr>
        <w:t>条款号：</w:t>
      </w:r>
      <w:r>
        <w:rPr>
          <w:rFonts w:hint="default" w:ascii="宋体" w:hAnsi="宋体" w:eastAsia="宋体" w:cs="Times New Roman"/>
          <w:b w:val="0"/>
          <w:bCs w:val="0"/>
          <w:color w:val="auto"/>
          <w:sz w:val="24"/>
          <w:szCs w:val="24"/>
          <w:highlight w:val="none"/>
          <w:lang w:val="en-US" w:eastAsia="zh-CN"/>
        </w:rPr>
        <w:t>5.2.1</w:t>
      </w:r>
      <w:r>
        <w:rPr>
          <w:rFonts w:hint="default" w:ascii="宋体" w:hAnsi="宋体" w:eastAsia="宋体" w:cs="Times New Roman"/>
          <w:b w:val="0"/>
          <w:bCs w:val="0"/>
          <w:color w:val="auto"/>
          <w:sz w:val="24"/>
          <w:szCs w:val="24"/>
          <w:highlight w:val="none"/>
          <w:lang w:eastAsia="zh-CN"/>
        </w:rPr>
        <w:t xml:space="preserve"> </w:t>
      </w:r>
      <w:r>
        <w:rPr>
          <w:rFonts w:hint="default" w:ascii="宋体" w:hAnsi="宋体" w:eastAsia="宋体"/>
          <w:b w:val="0"/>
          <w:bCs w:val="0"/>
          <w:color w:val="auto"/>
          <w:sz w:val="24"/>
          <w:szCs w:val="24"/>
          <w:highlight w:val="none"/>
        </w:rPr>
        <w:t xml:space="preserve">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color w:val="auto"/>
          <w:sz w:val="24"/>
          <w:szCs w:val="24"/>
          <w:highlight w:val="none"/>
          <w:lang w:eastAsia="zh-CN"/>
        </w:rPr>
        <w:t>修改</w:t>
      </w:r>
    </w:p>
    <w:p w14:paraId="0FC11EC2">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default" w:cs="Times New Roman"/>
          <w:color w:val="auto"/>
          <w:sz w:val="24"/>
          <w:szCs w:val="24"/>
          <w:highlight w:val="none"/>
          <w:lang w:val="en-US" w:eastAsia="zh-CN"/>
        </w:rPr>
      </w:pPr>
      <w:r>
        <w:rPr>
          <w:rFonts w:hint="default" w:ascii="宋体" w:hAnsi="宋体" w:eastAsia="宋体"/>
          <w:b/>
          <w:bCs/>
          <w:color w:val="auto"/>
          <w:sz w:val="24"/>
          <w:szCs w:val="24"/>
          <w:highlight w:val="none"/>
        </w:rPr>
        <w:t>原文：</w:t>
      </w:r>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1071BACD">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default"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eastAsia="zh-CN"/>
        </w:rPr>
        <w:t>现文</w:t>
      </w:r>
      <w:r>
        <w:rPr>
          <w:rFonts w:hint="eastAsia" w:ascii="宋体" w:hAnsi="宋体" w:eastAsia="宋体" w:cs="Times New Roman"/>
          <w:b/>
          <w:bCs/>
          <w:color w:val="auto"/>
          <w:sz w:val="24"/>
          <w:szCs w:val="24"/>
          <w:highlight w:val="none"/>
          <w:lang w:val="en-US" w:eastAsia="zh-CN"/>
        </w:rPr>
        <w:t>：</w:t>
      </w:r>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default" w:cs="Times New Roman"/>
          <w:strike/>
          <w:dstrike w:val="0"/>
          <w:color w:val="auto"/>
          <w:sz w:val="24"/>
          <w:szCs w:val="24"/>
          <w:highlight w:val="none"/>
          <w:lang w:val="en-US" w:eastAsia="zh-CN"/>
        </w:rPr>
        <w:t>投标保证金的递交情况、</w:t>
      </w:r>
      <w:r>
        <w:rPr>
          <w:rFonts w:hint="default" w:cs="Times New Roman"/>
          <w:color w:val="auto"/>
          <w:sz w:val="24"/>
          <w:szCs w:val="24"/>
          <w:highlight w:val="none"/>
          <w:lang w:val="en-US" w:eastAsia="zh-CN"/>
        </w:rPr>
        <w:t>投标报价、拟派总监理工程师及其他内容。未在规定时间内解密的投标文件不参与开标、评标。</w:t>
      </w:r>
    </w:p>
    <w:p w14:paraId="41923EB5">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5.3.1</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09A695B9">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5.3.1参加现场开标的投标人对开标结果有异议的，应当在开标现场提出，招标人应当当场作出答复，并制作记录。</w:t>
      </w:r>
    </w:p>
    <w:p w14:paraId="6047CD93">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现文：</w:t>
      </w: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 xml:space="preserve"> 若投标人代表对开标过程有异议的，参加现场开标的，</w:t>
      </w:r>
      <w:r>
        <w:rPr>
          <w:rFonts w:hint="eastAsia" w:cs="宋体"/>
          <w:color w:val="auto"/>
          <w:sz w:val="24"/>
          <w:szCs w:val="24"/>
          <w:highlight w:val="none"/>
          <w:lang w:val="en-US" w:eastAsia="zh-CN"/>
        </w:rPr>
        <w:t>应当在开标现场提出，同时出示本人身份证原件，招标人应当当场作出答复，并制作记录。</w:t>
      </w:r>
    </w:p>
    <w:p w14:paraId="6B214553">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条款号：6.3              修改类型：修改</w:t>
      </w:r>
    </w:p>
    <w:p w14:paraId="312F94D8">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6.3 评标</w:t>
      </w:r>
    </w:p>
    <w:p w14:paraId="46EA7E38">
      <w:pPr>
        <w:keepNext w:val="0"/>
        <w:keepLines w:val="0"/>
        <w:pageBreakBefore w:val="0"/>
        <w:widowControl w:val="0"/>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6.3.1评标委员会按照第三章“评标办法”规定的方法、评审因素、标准和程序对投标文件进行评审。第三章“评标办法”没有规定的方法、评审因素和标准，不作为评标依据。</w:t>
      </w:r>
    </w:p>
    <w:p w14:paraId="07EADC09">
      <w:pPr>
        <w:keepNext w:val="0"/>
        <w:keepLines w:val="0"/>
        <w:pageBreakBefore w:val="0"/>
        <w:widowControl w:val="0"/>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6.3.2评标完成后，评标委员会应当向招标人提交书面评标报告和中标候选人名单。评标委员会推荐中标候选人的人数见投标人须知前附表。</w:t>
      </w:r>
    </w:p>
    <w:p w14:paraId="67F8C57D">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6.3 评标</w:t>
      </w:r>
    </w:p>
    <w:p w14:paraId="127BF176">
      <w:pPr>
        <w:keepNext w:val="0"/>
        <w:keepLines w:val="0"/>
        <w:pageBreakBefore w:val="0"/>
        <w:widowControl w:val="0"/>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6.3.1评标委员会按照第三章“评标</w:t>
      </w:r>
      <w:r>
        <w:rPr>
          <w:rFonts w:hint="eastAsia" w:ascii="宋体" w:hAnsi="宋体" w:eastAsia="宋体" w:cs="宋体"/>
          <w:b w:val="0"/>
          <w:bCs w:val="0"/>
          <w:color w:val="auto"/>
          <w:sz w:val="24"/>
          <w:szCs w:val="24"/>
          <w:highlight w:val="none"/>
          <w:u w:val="single"/>
        </w:rPr>
        <w:t>、定标</w:t>
      </w:r>
      <w:r>
        <w:rPr>
          <w:rFonts w:hint="eastAsia" w:ascii="宋体" w:hAnsi="宋体" w:eastAsia="宋体" w:cs="宋体"/>
          <w:b w:val="0"/>
          <w:bCs w:val="0"/>
          <w:color w:val="auto"/>
          <w:sz w:val="24"/>
          <w:szCs w:val="24"/>
          <w:highlight w:val="none"/>
        </w:rPr>
        <w:t>办法”规定的方法、评审因素、标准和程序对投标文件</w:t>
      </w:r>
      <w:r>
        <w:rPr>
          <w:rFonts w:hint="eastAsia" w:ascii="宋体" w:hAnsi="宋体" w:cs="宋体"/>
          <w:b w:val="0"/>
          <w:bCs w:val="0"/>
          <w:color w:val="auto"/>
          <w:sz w:val="24"/>
          <w:szCs w:val="24"/>
          <w:highlight w:val="none"/>
          <w:u w:val="single"/>
          <w:lang w:eastAsia="zh-CN"/>
        </w:rPr>
        <w:t>（评标部分）</w:t>
      </w:r>
      <w:r>
        <w:rPr>
          <w:rFonts w:hint="eastAsia" w:ascii="宋体" w:hAnsi="宋体" w:eastAsia="宋体" w:cs="宋体"/>
          <w:b w:val="0"/>
          <w:bCs w:val="0"/>
          <w:color w:val="auto"/>
          <w:sz w:val="24"/>
          <w:szCs w:val="24"/>
          <w:highlight w:val="none"/>
        </w:rPr>
        <w:t>进行评审。第三章“评标</w:t>
      </w:r>
      <w:r>
        <w:rPr>
          <w:rFonts w:hint="eastAsia" w:ascii="宋体" w:hAnsi="宋体" w:eastAsia="宋体" w:cs="宋体"/>
          <w:b w:val="0"/>
          <w:bCs w:val="0"/>
          <w:color w:val="auto"/>
          <w:sz w:val="24"/>
          <w:szCs w:val="24"/>
          <w:highlight w:val="none"/>
          <w:u w:val="single"/>
        </w:rPr>
        <w:t>、定标</w:t>
      </w:r>
      <w:r>
        <w:rPr>
          <w:rFonts w:hint="eastAsia" w:ascii="宋体" w:hAnsi="宋体" w:eastAsia="宋体" w:cs="宋体"/>
          <w:b w:val="0"/>
          <w:bCs w:val="0"/>
          <w:color w:val="auto"/>
          <w:sz w:val="24"/>
          <w:szCs w:val="24"/>
          <w:highlight w:val="none"/>
        </w:rPr>
        <w:t>办法”没有规定的方法、评审因素和标准，不作为评标依据。</w:t>
      </w:r>
    </w:p>
    <w:p w14:paraId="31C04C19">
      <w:pPr>
        <w:keepNext w:val="0"/>
        <w:keepLines w:val="0"/>
        <w:pageBreakBefore w:val="0"/>
        <w:widowControl w:val="0"/>
        <w:pBdr>
          <w:bottom w:val="single" w:color="auto" w:sz="4" w:space="0"/>
        </w:pBdr>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6.3.2评标完成后，评标委员会应当向招标人提交书面评标报告和</w:t>
      </w:r>
      <w:r>
        <w:rPr>
          <w:rFonts w:hint="eastAsia" w:ascii="宋体" w:hAnsi="宋体" w:eastAsia="宋体" w:cs="宋体"/>
          <w:b w:val="0"/>
          <w:bCs w:val="0"/>
          <w:color w:val="auto"/>
          <w:sz w:val="24"/>
          <w:szCs w:val="24"/>
          <w:highlight w:val="none"/>
          <w:u w:val="single"/>
        </w:rPr>
        <w:t>合格</w:t>
      </w:r>
      <w:r>
        <w:rPr>
          <w:rFonts w:hint="eastAsia" w:ascii="宋体" w:hAnsi="宋体" w:eastAsia="宋体" w:cs="宋体"/>
          <w:b w:val="0"/>
          <w:bCs w:val="0"/>
          <w:color w:val="auto"/>
          <w:sz w:val="24"/>
          <w:szCs w:val="24"/>
          <w:highlight w:val="none"/>
        </w:rPr>
        <w:t>中标候选人名单。评标委员会推荐</w:t>
      </w:r>
      <w:r>
        <w:rPr>
          <w:rFonts w:hint="eastAsia" w:ascii="宋体" w:hAnsi="宋体" w:eastAsia="宋体" w:cs="宋体"/>
          <w:b w:val="0"/>
          <w:bCs w:val="0"/>
          <w:color w:val="auto"/>
          <w:sz w:val="24"/>
          <w:szCs w:val="24"/>
          <w:highlight w:val="none"/>
          <w:u w:val="single"/>
        </w:rPr>
        <w:t>合格</w:t>
      </w:r>
      <w:r>
        <w:rPr>
          <w:rFonts w:hint="eastAsia" w:ascii="宋体" w:hAnsi="宋体" w:eastAsia="宋体" w:cs="宋体"/>
          <w:b w:val="0"/>
          <w:bCs w:val="0"/>
          <w:color w:val="auto"/>
          <w:sz w:val="24"/>
          <w:szCs w:val="24"/>
          <w:highlight w:val="none"/>
        </w:rPr>
        <w:t>中标候选人的人数见投标人须知前附表。</w:t>
      </w:r>
    </w:p>
    <w:p w14:paraId="0C43ACFB">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6.3.3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增</w:t>
      </w:r>
      <w:r>
        <w:rPr>
          <w:rFonts w:hint="eastAsia" w:ascii="宋体" w:hAnsi="宋体" w:cs="宋体"/>
          <w:b/>
          <w:bCs/>
          <w:color w:val="auto"/>
          <w:sz w:val="24"/>
          <w:szCs w:val="24"/>
          <w:highlight w:val="none"/>
          <w:lang w:val="en-US" w:eastAsia="zh-CN"/>
        </w:rPr>
        <w:t>加</w:t>
      </w:r>
    </w:p>
    <w:p w14:paraId="754BABD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cs="宋体"/>
          <w:color w:val="auto"/>
          <w:sz w:val="24"/>
          <w:szCs w:val="24"/>
          <w:highlight w:val="none"/>
          <w:u w:val="single"/>
        </w:rPr>
      </w:pPr>
      <w:r>
        <w:rPr>
          <w:rFonts w:hint="eastAsia" w:ascii="宋体" w:hAnsi="宋体" w:cs="宋体"/>
          <w:b/>
          <w:bCs/>
          <w:color w:val="auto"/>
          <w:sz w:val="24"/>
          <w:szCs w:val="24"/>
          <w:highlight w:val="none"/>
          <w:lang w:val="en-US" w:eastAsia="zh-CN"/>
        </w:rPr>
        <w:t>现文：</w:t>
      </w:r>
      <w:r>
        <w:rPr>
          <w:rFonts w:hint="eastAsia" w:cs="宋体"/>
          <w:color w:val="auto"/>
          <w:sz w:val="24"/>
          <w:szCs w:val="24"/>
          <w:highlight w:val="none"/>
          <w:u w:val="single"/>
        </w:rPr>
        <w:t>6.3.3发生下列情形之一的，招标人将重新组织招标：</w:t>
      </w:r>
    </w:p>
    <w:p w14:paraId="22366959">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4</w:t>
      </w:r>
      <w:r>
        <w:rPr>
          <w:rFonts w:hint="eastAsia" w:cs="宋体"/>
          <w:color w:val="auto"/>
          <w:sz w:val="24"/>
          <w:szCs w:val="24"/>
          <w:highlight w:val="none"/>
          <w:u w:val="single"/>
        </w:rPr>
        <w:t>人。</w:t>
      </w:r>
    </w:p>
    <w:p w14:paraId="101C2CF5">
      <w:pPr>
        <w:keepNext w:val="0"/>
        <w:keepLines w:val="0"/>
        <w:pageBreakBefore w:val="0"/>
        <w:widowControl w:val="0"/>
        <w:pBdr>
          <w:bottom w:val="single" w:color="auto" w:sz="4" w:space="0"/>
        </w:pBdr>
        <w:wordWrap/>
        <w:topLinePunct w:val="0"/>
        <w:autoSpaceDE w:val="0"/>
        <w:autoSpaceDN w:val="0"/>
        <w:bidi w:val="0"/>
        <w:adjustRightInd w:val="0"/>
        <w:snapToGrid/>
        <w:spacing w:line="360" w:lineRule="auto"/>
        <w:ind w:firstLine="537" w:firstLineChars="224"/>
        <w:textAlignment w:val="auto"/>
        <w:rPr>
          <w:rFonts w:hint="eastAsia" w:ascii="宋体" w:hAnsi="宋体" w:cs="宋体"/>
          <w:b/>
          <w:bCs/>
          <w:color w:val="auto"/>
          <w:sz w:val="24"/>
          <w:szCs w:val="24"/>
          <w:highlight w:val="none"/>
          <w:u w:val="single"/>
          <w:lang w:eastAsia="zh-CN"/>
        </w:rPr>
      </w:pPr>
      <w:r>
        <w:rPr>
          <w:rFonts w:hint="eastAsia" w:ascii="宋体" w:hAnsi="宋体" w:cs="宋体"/>
          <w:color w:val="auto"/>
          <w:sz w:val="24"/>
          <w:szCs w:val="24"/>
          <w:highlight w:val="none"/>
          <w:u w:val="single"/>
        </w:rPr>
        <w:t xml:space="preserve"> (b) 所有投标被否决，或者经评审有效投标的投标人不足</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人。</w:t>
      </w:r>
    </w:p>
    <w:p w14:paraId="76FFC60A">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7.1</w:t>
      </w:r>
      <w:r>
        <w:rPr>
          <w:rFonts w:hint="eastAsia" w:ascii="宋体" w:hAnsi="宋体" w:eastAsia="宋体" w:cs="宋体"/>
          <w:color w:val="auto"/>
          <w:highlight w:val="none"/>
        </w:rPr>
        <w:t>中标候选人公示</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7CEBBF5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color w:val="auto"/>
          <w:highlight w:val="none"/>
        </w:rPr>
        <w:t>7.1 中标候选人公示</w:t>
      </w:r>
    </w:p>
    <w:p w14:paraId="239B982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1BFBF0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 xml:space="preserve">7.1 </w:t>
      </w:r>
      <w:r>
        <w:rPr>
          <w:rFonts w:hint="eastAsia" w:ascii="宋体" w:hAnsi="宋体" w:cs="宋体"/>
          <w:color w:val="auto"/>
          <w:highlight w:val="none"/>
          <w:u w:val="single"/>
          <w:lang w:eastAsia="zh-CN"/>
        </w:rPr>
        <w:t>合格</w:t>
      </w:r>
      <w:r>
        <w:rPr>
          <w:rFonts w:hint="eastAsia" w:ascii="宋体" w:hAnsi="宋体" w:eastAsia="宋体" w:cs="宋体"/>
          <w:color w:val="auto"/>
          <w:highlight w:val="none"/>
        </w:rPr>
        <w:t>中标候选人</w:t>
      </w:r>
      <w:r>
        <w:rPr>
          <w:rFonts w:hint="eastAsia" w:ascii="宋体" w:hAnsi="宋体" w:cs="宋体"/>
          <w:color w:val="auto"/>
          <w:highlight w:val="none"/>
          <w:u w:val="single"/>
          <w:lang w:eastAsia="zh-CN"/>
        </w:rPr>
        <w:t>及中标结果</w:t>
      </w:r>
      <w:r>
        <w:rPr>
          <w:rFonts w:hint="eastAsia" w:ascii="宋体" w:hAnsi="宋体" w:eastAsia="宋体" w:cs="宋体"/>
          <w:color w:val="auto"/>
          <w:highlight w:val="none"/>
        </w:rPr>
        <w:t>公示</w:t>
      </w:r>
    </w:p>
    <w:p w14:paraId="0192C38E">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9A1DAB3">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7.1.2在产生</w:t>
      </w:r>
      <w:r>
        <w:rPr>
          <w:rFonts w:hint="eastAsia" w:cs="宋体"/>
          <w:strike w:val="0"/>
          <w:dstrike w:val="0"/>
          <w:color w:val="auto"/>
          <w:sz w:val="24"/>
          <w:szCs w:val="24"/>
          <w:highlight w:val="none"/>
          <w:u w:val="single"/>
          <w:lang w:eastAsia="zh-CN"/>
        </w:rPr>
        <w:t>合格</w:t>
      </w:r>
      <w:r>
        <w:rPr>
          <w:rFonts w:hint="eastAsia" w:cs="宋体"/>
          <w:color w:val="auto"/>
          <w:sz w:val="24"/>
          <w:szCs w:val="24"/>
          <w:highlight w:val="none"/>
        </w:rPr>
        <w:t>中标候选人后，招标人将</w:t>
      </w:r>
      <w:r>
        <w:rPr>
          <w:rFonts w:hint="eastAsia" w:cs="宋体"/>
          <w:strike w:val="0"/>
          <w:dstrike w:val="0"/>
          <w:color w:val="auto"/>
          <w:sz w:val="24"/>
          <w:szCs w:val="24"/>
          <w:highlight w:val="none"/>
          <w:u w:val="single"/>
          <w:lang w:eastAsia="zh-CN"/>
        </w:rPr>
        <w:t>合格</w:t>
      </w:r>
      <w:r>
        <w:rPr>
          <w:rFonts w:hint="eastAsia" w:cs="宋体"/>
          <w:color w:val="auto"/>
          <w:sz w:val="24"/>
          <w:szCs w:val="24"/>
          <w:highlight w:val="none"/>
        </w:rPr>
        <w:t>中标候选人的投标文件商务部分文件的所有内容(包括人员、业绩、奖项等资料)在</w:t>
      </w:r>
      <w:r>
        <w:rPr>
          <w:rFonts w:hint="eastAsia" w:ascii="宋体" w:hAnsi="宋体" w:eastAsia="宋体" w:cs="宋体"/>
          <w:color w:val="auto"/>
          <w:sz w:val="24"/>
          <w:szCs w:val="24"/>
          <w:highlight w:val="none"/>
          <w:u w:val="single"/>
          <w:lang w:val="en-US" w:eastAsia="zh-CN"/>
        </w:rPr>
        <w:t>广州交易集团有限公司（广州公共资源交易中心）网</w:t>
      </w:r>
      <w:r>
        <w:rPr>
          <w:rFonts w:hint="eastAsia" w:cs="宋体"/>
          <w:color w:val="auto"/>
          <w:sz w:val="24"/>
          <w:szCs w:val="24"/>
          <w:highlight w:val="none"/>
        </w:rPr>
        <w:t>和广东省招标投标监管网公开。</w:t>
      </w:r>
    </w:p>
    <w:p w14:paraId="76287F2F">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u w:val="single"/>
        </w:rPr>
        <w:t>7.1.3定标结束后，招标人3日内在广州交易集团有限公司（广州公共资源交易中心）网站和广东省招标投标监管网公开中标结果。</w:t>
      </w:r>
    </w:p>
    <w:p w14:paraId="4B7D67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rPr>
        <w:t>7.3 中标候选人履约能力审查</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781B74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color w:val="auto"/>
          <w:highlight w:val="none"/>
        </w:rPr>
        <w:t>7.3 中标候选人履约能力审查</w:t>
      </w:r>
    </w:p>
    <w:p w14:paraId="371B52E3">
      <w:pPr>
        <w:keepNext w:val="0"/>
        <w:keepLines w:val="0"/>
        <w:pageBreakBefore w:val="0"/>
        <w:widowControl w:val="0"/>
        <w:pBdr>
          <w:bottom w:val="single" w:color="auto" w:sz="4" w:space="0"/>
        </w:pBdr>
        <w:wordWrap/>
        <w:topLinePunct w:val="0"/>
        <w:bidi w:val="0"/>
        <w:adjustRightInd w:val="0"/>
        <w:snapToGrid/>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6E485DF">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7.3 中标候选人履约能力审查</w:t>
      </w:r>
    </w:p>
    <w:p w14:paraId="2C0B619D">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u w:val="singl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D7662D5">
      <w:pPr>
        <w:keepNext w:val="0"/>
        <w:keepLines w:val="0"/>
        <w:pageBreakBefore w:val="0"/>
        <w:widowControl w:val="0"/>
        <w:pBdr>
          <w:bottom w:val="single" w:color="auto" w:sz="4" w:space="0"/>
        </w:pBdr>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u w:val="single"/>
        </w:rPr>
        <w:t>7.3.2</w:t>
      </w:r>
      <w:r>
        <w:rPr>
          <w:rFonts w:hint="eastAsia" w:cs="宋体"/>
          <w:color w:val="auto"/>
          <w:sz w:val="24"/>
          <w:szCs w:val="24"/>
          <w:highlight w:val="none"/>
          <w:u w:val="single"/>
        </w:rPr>
        <w:t>招标人或招标代理机构将在定标结束后对中标人的企业资质证书有效期进行复核，如果中标人在定标结束后6天内尚未提供资质有效期延续核准的，招标人否决其中标资格，按照招标文件第三章“评标、定标办法”3.5重新组织定标，或重新组织招标。</w:t>
      </w:r>
    </w:p>
    <w:p w14:paraId="0F377294">
      <w:pPr>
        <w:keepNext w:val="0"/>
        <w:keepLines w:val="0"/>
        <w:pageBreakBefore w:val="0"/>
        <w:widowControl w:val="0"/>
        <w:wordWrap/>
        <w:topLinePunct w:val="0"/>
        <w:bidi w:val="0"/>
        <w:adjustRightInd w:val="0"/>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rPr>
        <w:t>7.4 定标</w:t>
      </w:r>
      <w:r>
        <w:rPr>
          <w:rFonts w:hint="eastAsia" w:ascii="宋体" w:hAnsi="宋体" w:cs="宋体"/>
          <w:color w:val="auto"/>
          <w:highlight w:val="none"/>
          <w:lang w:val="en-US" w:eastAsia="zh-CN"/>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val="en-US" w:eastAsia="zh-CN"/>
        </w:rPr>
        <w:t>修改</w:t>
      </w:r>
    </w:p>
    <w:p w14:paraId="2EFE1E3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color w:val="auto"/>
          <w:highlight w:val="none"/>
        </w:rPr>
        <w:t>7.4 定标</w:t>
      </w:r>
    </w:p>
    <w:p w14:paraId="4EA9D52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64E3332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color w:val="auto"/>
          <w:sz w:val="24"/>
          <w:highlight w:val="none"/>
          <w:u w:val="singl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7.4 定标</w:t>
      </w:r>
      <w:r>
        <w:rPr>
          <w:rFonts w:hint="eastAsia" w:ascii="宋体" w:hAnsi="宋体" w:cs="宋体"/>
          <w:b/>
          <w:color w:val="auto"/>
          <w:sz w:val="24"/>
          <w:highlight w:val="none"/>
          <w:u w:val="single"/>
        </w:rPr>
        <w:t>（本标段采用“评定分离”确定有效中标人）</w:t>
      </w:r>
    </w:p>
    <w:p w14:paraId="42569E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u w:val="single"/>
        </w:rPr>
      </w:pPr>
      <w:r>
        <w:rPr>
          <w:rFonts w:hint="eastAsia" w:ascii="宋体" w:hAnsi="宋体" w:cs="宋体"/>
          <w:b w:val="0"/>
          <w:bCs/>
          <w:color w:val="auto"/>
          <w:sz w:val="24"/>
          <w:highlight w:val="none"/>
          <w:u w:val="single"/>
        </w:rPr>
        <w:t>7.4.1采用评定分离方式（评标采用综合评估法，定标采用票决法</w:t>
      </w:r>
      <w:r>
        <w:rPr>
          <w:rFonts w:hint="eastAsia" w:ascii="宋体" w:hAnsi="宋体" w:cs="宋体"/>
          <w:color w:val="auto"/>
          <w:sz w:val="24"/>
          <w:highlight w:val="none"/>
          <w:u w:val="single"/>
          <w:lang w:val="en-US" w:eastAsia="zh-CN"/>
        </w:rPr>
        <w:t>+撰写评语</w:t>
      </w:r>
      <w:r>
        <w:rPr>
          <w:rFonts w:hint="eastAsia" w:ascii="宋体" w:hAnsi="宋体" w:cs="宋体"/>
          <w:b w:val="0"/>
          <w:bCs/>
          <w:color w:val="auto"/>
          <w:sz w:val="24"/>
          <w:highlight w:val="none"/>
          <w:u w:val="single"/>
        </w:rPr>
        <w:t>），评标委员会推荐合格中标候选人的人数详见第三章“评标、定标办法”。</w:t>
      </w:r>
    </w:p>
    <w:p w14:paraId="0E8100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u w:val="single"/>
        </w:rPr>
      </w:pPr>
      <w:r>
        <w:rPr>
          <w:rFonts w:hint="eastAsia" w:ascii="宋体" w:hAnsi="宋体" w:cs="宋体"/>
          <w:b w:val="0"/>
          <w:bCs/>
          <w:color w:val="auto"/>
          <w:sz w:val="24"/>
          <w:highlight w:val="none"/>
          <w:u w:val="single"/>
        </w:rPr>
        <w:t>7.4.2依法必须进行公开招标的项目，招标人依据定标委员会的评审结果确定中标人。具体定标办法详见第三章评标、定标办法中的《定标因素表》。</w:t>
      </w:r>
    </w:p>
    <w:p w14:paraId="1416D85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u w:val="single"/>
        </w:rPr>
      </w:pPr>
      <w:r>
        <w:rPr>
          <w:rFonts w:hint="eastAsia" w:ascii="宋体" w:hAnsi="宋体" w:cs="宋体"/>
          <w:b w:val="0"/>
          <w:bCs/>
          <w:color w:val="auto"/>
          <w:sz w:val="24"/>
          <w:highlight w:val="none"/>
          <w:u w:val="single"/>
        </w:rPr>
        <w:t>7.4.3定标委员会按照第三章“评标、定标办法”中规定的定标方法、定标因素和评价标准对投标文件</w:t>
      </w:r>
      <w:r>
        <w:rPr>
          <w:rFonts w:hint="eastAsia" w:ascii="宋体" w:hAnsi="宋体" w:cs="宋体"/>
          <w:b w:val="0"/>
          <w:bCs/>
          <w:color w:val="auto"/>
          <w:sz w:val="24"/>
          <w:highlight w:val="none"/>
          <w:u w:val="single"/>
          <w:lang w:val="en-US" w:eastAsia="zh-CN"/>
        </w:rPr>
        <w:t>(定标部分）</w:t>
      </w:r>
      <w:r>
        <w:rPr>
          <w:rFonts w:hint="eastAsia" w:ascii="宋体" w:hAnsi="宋体" w:cs="宋体"/>
          <w:b w:val="0"/>
          <w:bCs/>
          <w:color w:val="auto"/>
          <w:sz w:val="24"/>
          <w:highlight w:val="none"/>
          <w:u w:val="single"/>
        </w:rPr>
        <w:t>进行评审。第三章“评标、定标办法”没有规定的定标因素和评价标准，不作为定标依据。</w:t>
      </w:r>
    </w:p>
    <w:p w14:paraId="6084E0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cs="宋体"/>
          <w:b w:val="0"/>
          <w:bCs/>
          <w:color w:val="auto"/>
          <w:sz w:val="24"/>
          <w:highlight w:val="none"/>
          <w:u w:val="single"/>
        </w:rPr>
        <w:t>7.4.4定标委员会确定的中标人放弃中标、因不可抗力不能履行合同，或者被查实存在影响中标结果的违法行为等情形，不符合中标条件的，招标人可以</w:t>
      </w:r>
      <w:r>
        <w:rPr>
          <w:rFonts w:hint="eastAsia" w:ascii="宋体" w:hAnsi="宋体" w:cs="宋体"/>
          <w:b w:val="0"/>
          <w:bCs/>
          <w:color w:val="auto"/>
          <w:sz w:val="24"/>
          <w:highlight w:val="none"/>
          <w:u w:val="single"/>
          <w:lang w:val="en-US" w:eastAsia="zh-CN"/>
        </w:rPr>
        <w:t>按照</w:t>
      </w:r>
      <w:r>
        <w:rPr>
          <w:rFonts w:hint="eastAsia" w:ascii="宋体" w:hAnsi="宋体" w:cs="宋体"/>
          <w:b w:val="0"/>
          <w:bCs/>
          <w:color w:val="auto"/>
          <w:sz w:val="24"/>
          <w:highlight w:val="none"/>
          <w:u w:val="single"/>
        </w:rPr>
        <w:t>第三章“评标、定标办法”</w:t>
      </w:r>
      <w:r>
        <w:rPr>
          <w:rFonts w:hint="eastAsia" w:ascii="宋体" w:hAnsi="宋体" w:eastAsia="宋体" w:cs="宋体"/>
          <w:bCs/>
          <w:color w:val="auto"/>
          <w:sz w:val="24"/>
          <w:highlight w:val="none"/>
          <w:u w:val="single"/>
          <w:lang w:eastAsia="zh-CN"/>
        </w:rPr>
        <w:t>3.</w:t>
      </w:r>
      <w:r>
        <w:rPr>
          <w:rFonts w:hint="eastAsia" w:ascii="宋体" w:hAnsi="宋体" w:eastAsia="宋体" w:cs="宋体"/>
          <w:bCs/>
          <w:color w:val="auto"/>
          <w:sz w:val="24"/>
          <w:highlight w:val="none"/>
          <w:u w:val="single"/>
          <w:lang w:val="en-US" w:eastAsia="zh-CN"/>
        </w:rPr>
        <w:t>5</w:t>
      </w:r>
      <w:r>
        <w:rPr>
          <w:rFonts w:hint="eastAsia" w:ascii="宋体" w:hAnsi="宋体" w:cs="宋体"/>
          <w:bCs/>
          <w:color w:val="auto"/>
          <w:sz w:val="24"/>
          <w:highlight w:val="none"/>
          <w:u w:val="single"/>
          <w:lang w:val="en-US" w:eastAsia="zh-CN"/>
        </w:rPr>
        <w:t>重新组织定标，</w:t>
      </w:r>
      <w:r>
        <w:rPr>
          <w:rFonts w:hint="eastAsia" w:ascii="宋体" w:hAnsi="宋体" w:cs="宋体"/>
          <w:b w:val="0"/>
          <w:bCs/>
          <w:color w:val="auto"/>
          <w:sz w:val="24"/>
          <w:highlight w:val="none"/>
          <w:u w:val="single"/>
        </w:rPr>
        <w:t>由原定标委员会从其他合格中标候选人中确定中标人，也可以重新招标。</w:t>
      </w:r>
    </w:p>
    <w:p w14:paraId="5022ED9E">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p>
    <w:p w14:paraId="256B9D2E">
      <w:pPr>
        <w:keepNext w:val="0"/>
        <w:keepLines w:val="0"/>
        <w:pageBreakBefore w:val="0"/>
        <w:widowControl w:val="0"/>
        <w:wordWrap/>
        <w:topLinePunct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strike w:val="0"/>
          <w:color w:val="auto"/>
          <w:sz w:val="24"/>
          <w:szCs w:val="24"/>
          <w:highlight w:val="none"/>
          <w:lang w:val="en-US" w:eastAsia="zh-CN"/>
        </w:rPr>
        <w:t>7.6</w:t>
      </w:r>
      <w:r>
        <w:rPr>
          <w:rFonts w:hint="eastAsia" w:ascii="宋体" w:hAnsi="宋体" w:eastAsia="宋体" w:cs="宋体"/>
          <w:color w:val="auto"/>
          <w:highlight w:val="none"/>
        </w:rPr>
        <w:t>履约保证金</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val="en-US" w:eastAsia="zh-CN"/>
        </w:rPr>
        <w:t>删除</w:t>
      </w:r>
    </w:p>
    <w:p w14:paraId="740495C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color w:val="auto"/>
          <w:spacing w:val="-2"/>
          <w:sz w:val="24"/>
          <w:szCs w:val="24"/>
          <w:highlight w:val="none"/>
          <w:lang w:eastAsia="zh-CN"/>
        </w:rPr>
        <w:t>主办方</w:t>
      </w:r>
      <w:r>
        <w:rPr>
          <w:rFonts w:hint="eastAsia" w:cs="宋体"/>
          <w:color w:val="auto"/>
          <w:sz w:val="24"/>
          <w:szCs w:val="24"/>
          <w:highlight w:val="none"/>
        </w:rPr>
        <w:t>的名义提交。</w:t>
      </w:r>
    </w:p>
    <w:p w14:paraId="36F1ADF6">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0AA52777">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rPr>
        <w:t>7.7 签订合同</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16E0749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color w:val="auto"/>
          <w:highlight w:val="none"/>
        </w:rPr>
        <w:t>7.7 签订合同</w:t>
      </w:r>
    </w:p>
    <w:p w14:paraId="30DD2B4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093414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17EAA9AA">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7.7.3 联合体中标的，联合体各方应当共同与招标人签订合同，就中标项目向招标人承担连带责任。</w:t>
      </w:r>
    </w:p>
    <w:p w14:paraId="6F00D5F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7.7 签订合同</w:t>
      </w:r>
    </w:p>
    <w:p w14:paraId="0FC9C06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38841C1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39C6B1D1">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3B5FA064">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2-8.4</w:t>
      </w:r>
      <w:r>
        <w:rPr>
          <w:rFonts w:hint="eastAsia" w:ascii="宋体" w:hAnsi="宋体" w:eastAsia="宋体" w:cs="宋体"/>
          <w:color w:val="auto"/>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44B5C73E">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2"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val="0"/>
          <w:bCs w:val="0"/>
          <w:color w:val="auto"/>
          <w:sz w:val="24"/>
          <w:szCs w:val="24"/>
          <w:highlight w:val="none"/>
          <w:lang w:val="en-US" w:eastAsia="zh-CN"/>
        </w:rPr>
        <w:t>8.2 对投标人的纪律要求</w:t>
      </w:r>
    </w:p>
    <w:p w14:paraId="3570269B">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543CC41">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 对评标委员会成员的纪律要求</w:t>
      </w:r>
    </w:p>
    <w:p w14:paraId="6D754EA5">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86C9C1E">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8.4 对与评标活动有关的工作人员的纪律要求</w:t>
      </w:r>
    </w:p>
    <w:p w14:paraId="3FEE0602">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eastAsia="宋体" w:cs="宋体"/>
          <w:b w:val="0"/>
          <w:bCs w:val="0"/>
          <w:strike/>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EDA9268">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eastAsia="zh-CN"/>
        </w:rPr>
        <w:t>现文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8.2 对投标人的纪律要求</w:t>
      </w:r>
    </w:p>
    <w:p w14:paraId="28ED37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委员会成员行贿谋取中标，不得以他人名义投标或者以其他方式弄虚作假骗取中标；投标人不得以任何方式干扰、影响评标</w:t>
      </w:r>
      <w:r>
        <w:rPr>
          <w:rFonts w:hint="eastAsia" w:cs="宋体"/>
          <w:color w:val="auto"/>
          <w:sz w:val="24"/>
          <w:szCs w:val="24"/>
          <w:highlight w:val="none"/>
          <w:u w:val="single"/>
          <w:lang w:eastAsia="zh-CN"/>
        </w:rPr>
        <w:t>、定标</w:t>
      </w:r>
      <w:r>
        <w:rPr>
          <w:rFonts w:hint="eastAsia" w:cs="宋体"/>
          <w:color w:val="auto"/>
          <w:sz w:val="24"/>
          <w:szCs w:val="24"/>
          <w:highlight w:val="none"/>
        </w:rPr>
        <w:t>工作。</w:t>
      </w:r>
    </w:p>
    <w:p w14:paraId="1EF1D91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对评标</w:t>
      </w:r>
      <w:r>
        <w:rPr>
          <w:rFonts w:hint="eastAsia" w:ascii="宋体" w:hAnsi="宋体" w:cs="宋体"/>
          <w:color w:val="auto"/>
          <w:highlight w:val="none"/>
          <w:u w:val="single"/>
          <w:lang w:eastAsia="zh-CN"/>
        </w:rPr>
        <w:t>、定标</w:t>
      </w:r>
      <w:r>
        <w:rPr>
          <w:rFonts w:hint="eastAsia" w:ascii="宋体" w:hAnsi="宋体" w:eastAsia="宋体" w:cs="宋体"/>
          <w:color w:val="auto"/>
          <w:highlight w:val="none"/>
        </w:rPr>
        <w:t>委员会成员的纪律要求</w:t>
      </w:r>
    </w:p>
    <w:p w14:paraId="47C25FF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委员会成员应当客观、公正地履行职责，遵守职业道德，不得擅离职守，影响评标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程序正常进行，不得使用第三章“评标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办法”没有规定的评审因素和标准进行评标</w:t>
      </w:r>
      <w:r>
        <w:rPr>
          <w:rFonts w:hint="eastAsia" w:cs="宋体"/>
          <w:color w:val="auto"/>
          <w:sz w:val="24"/>
          <w:szCs w:val="24"/>
          <w:highlight w:val="none"/>
          <w:u w:val="single"/>
          <w:lang w:eastAsia="zh-CN"/>
        </w:rPr>
        <w:t>、定标</w:t>
      </w:r>
      <w:r>
        <w:rPr>
          <w:rFonts w:hint="eastAsia" w:cs="宋体"/>
          <w:color w:val="auto"/>
          <w:sz w:val="24"/>
          <w:szCs w:val="24"/>
          <w:highlight w:val="none"/>
        </w:rPr>
        <w:t>。</w:t>
      </w:r>
    </w:p>
    <w:p w14:paraId="1B1B436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8.4 对与评标</w:t>
      </w:r>
      <w:r>
        <w:rPr>
          <w:rFonts w:hint="eastAsia" w:cs="宋体"/>
          <w:color w:val="auto"/>
          <w:sz w:val="24"/>
          <w:szCs w:val="24"/>
          <w:highlight w:val="none"/>
          <w:u w:val="single"/>
          <w:lang w:eastAsia="zh-CN"/>
        </w:rPr>
        <w:t>、定标</w:t>
      </w:r>
      <w:r>
        <w:rPr>
          <w:rFonts w:hint="eastAsia" w:ascii="宋体" w:hAnsi="宋体" w:eastAsia="宋体" w:cs="宋体"/>
          <w:color w:val="auto"/>
          <w:highlight w:val="none"/>
        </w:rPr>
        <w:t>活动有关的工作人员的纪律要求</w:t>
      </w:r>
    </w:p>
    <w:p w14:paraId="7F9A075D">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w:t>
      </w:r>
    </w:p>
    <w:p w14:paraId="1FA07B93">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3491CF6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cs="宋体"/>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401C7558">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现文：</w:t>
      </w:r>
      <w:r>
        <w:rPr>
          <w:rFonts w:hint="eastAsia" w:cs="宋体"/>
          <w:color w:val="auto"/>
          <w:sz w:val="24"/>
          <w:szCs w:val="24"/>
          <w:highlight w:val="none"/>
        </w:rPr>
        <w:t>8.5.2  投标人或者其他利害关系人对招标文件、开标和评标</w:t>
      </w:r>
      <w:r>
        <w:rPr>
          <w:rFonts w:hint="eastAsia" w:cs="宋体"/>
          <w:color w:val="auto"/>
          <w:sz w:val="24"/>
          <w:szCs w:val="24"/>
          <w:highlight w:val="none"/>
          <w:u w:val="single"/>
          <w:lang w:eastAsia="zh-CN"/>
        </w:rPr>
        <w:t>、定标</w:t>
      </w:r>
      <w:r>
        <w:rPr>
          <w:rFonts w:hint="eastAsia" w:cs="宋体"/>
          <w:color w:val="auto"/>
          <w:sz w:val="24"/>
          <w:szCs w:val="24"/>
          <w:highlight w:val="none"/>
        </w:rPr>
        <w:t>结果提出投诉的，应当按照投标人须知第2.4款、第5.3款和第7.2款的规定先向招标人提出异议。异议答复期间不计算在第8.5.1项规定的期限内。</w:t>
      </w:r>
    </w:p>
    <w:p w14:paraId="7F8E82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3D527153">
      <w:pPr>
        <w:keepNext w:val="0"/>
        <w:keepLines w:val="0"/>
        <w:pageBreakBefore w:val="0"/>
        <w:widowControl w:val="0"/>
        <w:wordWrap/>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18C97A72">
      <w:pPr>
        <w:pStyle w:val="4"/>
        <w:keepNext w:val="0"/>
        <w:keepLines w:val="0"/>
        <w:pageBreakBefore w:val="0"/>
        <w:widowControl w:val="0"/>
        <w:wordWrap/>
        <w:topLinePunct w:val="0"/>
        <w:bidi w:val="0"/>
        <w:adjustRightInd w:val="0"/>
        <w:snapToGrid/>
        <w:spacing w:line="360" w:lineRule="auto"/>
        <w:textAlignment w:val="auto"/>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p>
    <w:p w14:paraId="61E14BE8">
      <w:pPr>
        <w:pStyle w:val="4"/>
        <w:outlineLvl w:val="1"/>
        <w:rPr>
          <w:rFonts w:hint="eastAsia" w:cs="宋体"/>
          <w:b w:val="0"/>
          <w:color w:val="auto"/>
          <w:sz w:val="24"/>
          <w:szCs w:val="24"/>
          <w:highlight w:val="none"/>
        </w:rPr>
      </w:pPr>
      <w:bookmarkStart w:id="20" w:name="_Toc28936"/>
      <w:r>
        <w:rPr>
          <w:rFonts w:hint="eastAsia" w:cs="宋体"/>
          <w:color w:val="auto"/>
          <w:sz w:val="24"/>
          <w:szCs w:val="24"/>
          <w:highlight w:val="none"/>
        </w:rPr>
        <w:t>1.总则</w:t>
      </w:r>
      <w:bookmarkEnd w:id="20"/>
    </w:p>
    <w:p w14:paraId="24BF551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1" w:name="bookmark21"/>
      <w:bookmarkEnd w:id="21"/>
      <w:r>
        <w:rPr>
          <w:rFonts w:hint="eastAsia" w:ascii="宋体" w:hAnsi="宋体" w:eastAsia="宋体" w:cs="宋体"/>
          <w:color w:val="auto"/>
          <w:highlight w:val="none"/>
        </w:rPr>
        <w:t>1.1 招标项目概况</w:t>
      </w:r>
    </w:p>
    <w:p w14:paraId="34BB866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5C350EC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1.1.2 招标人：见投标人须知前附表。</w:t>
      </w:r>
    </w:p>
    <w:p w14:paraId="1890E10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1.1.3 招标代理机构：见投标人须知前附表。</w:t>
      </w:r>
    </w:p>
    <w:p w14:paraId="36CEF18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1.1.4</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标段</w:t>
      </w:r>
      <w:r>
        <w:rPr>
          <w:rFonts w:hint="eastAsia" w:cs="宋体"/>
          <w:color w:val="auto"/>
          <w:sz w:val="24"/>
          <w:szCs w:val="24"/>
          <w:highlight w:val="none"/>
          <w:u w:val="single"/>
        </w:rPr>
        <w:t>名称：</w:t>
      </w:r>
      <w:r>
        <w:rPr>
          <w:rFonts w:hint="eastAsia" w:cs="宋体"/>
          <w:color w:val="auto"/>
          <w:sz w:val="24"/>
          <w:szCs w:val="24"/>
          <w:highlight w:val="none"/>
        </w:rPr>
        <w:t>见投标人须知前附表。</w:t>
      </w:r>
    </w:p>
    <w:p w14:paraId="125757C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1.1.5 项目建设地点：见投标人须知前附表。</w:t>
      </w:r>
    </w:p>
    <w:p w14:paraId="3999673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1.1.6 项目建设规模：见投标人须知前附表。</w:t>
      </w:r>
    </w:p>
    <w:p w14:paraId="140CFAC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1.1.7 工程项目施工预计开工日期和建设周期：见投标人须知前附表。</w:t>
      </w:r>
    </w:p>
    <w:p w14:paraId="33CE721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1.1.8 建筑安装工程费/工程概算：见投标人须知前附表。</w:t>
      </w:r>
    </w:p>
    <w:p w14:paraId="126A482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2" w:name="bookmark22"/>
      <w:bookmarkEnd w:id="22"/>
      <w:r>
        <w:rPr>
          <w:rFonts w:hint="eastAsia" w:ascii="宋体" w:hAnsi="宋体" w:eastAsia="宋体" w:cs="宋体"/>
          <w:color w:val="auto"/>
          <w:highlight w:val="none"/>
        </w:rPr>
        <w:t>1.2 招标项目的资金来源和落实情况</w:t>
      </w:r>
    </w:p>
    <w:p w14:paraId="2042718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1.2.1 资金来源及比例：见投标人须知前附表。</w:t>
      </w:r>
    </w:p>
    <w:p w14:paraId="5884E7C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1.2.2 资金落实情况：见投标人须知前附表。</w:t>
      </w:r>
    </w:p>
    <w:p w14:paraId="5AAE6DB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3" w:name="bookmark23"/>
      <w:bookmarkEnd w:id="23"/>
      <w:r>
        <w:rPr>
          <w:rFonts w:hint="eastAsia" w:ascii="宋体" w:hAnsi="宋体" w:eastAsia="宋体" w:cs="宋体"/>
          <w:color w:val="auto"/>
          <w:highlight w:val="none"/>
        </w:rPr>
        <w:t>1.3 招标范围、监理服务期限和质量标准</w:t>
      </w:r>
    </w:p>
    <w:p w14:paraId="68F92D6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1.3.1 招标范围：见投标人须知前附表。</w:t>
      </w:r>
    </w:p>
    <w:p w14:paraId="0CD06A5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1.3.2 监理服务期限：见投标人须知前附表。</w:t>
      </w:r>
    </w:p>
    <w:p w14:paraId="2BF6F17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1.3.3 质量标准：见投标人须知前附表。</w:t>
      </w:r>
    </w:p>
    <w:p w14:paraId="706F7DF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4" w:name="bookmark24"/>
      <w:bookmarkEnd w:id="24"/>
      <w:r>
        <w:rPr>
          <w:rFonts w:hint="eastAsia" w:ascii="宋体" w:hAnsi="宋体" w:eastAsia="宋体" w:cs="宋体"/>
          <w:color w:val="auto"/>
          <w:highlight w:val="none"/>
        </w:rPr>
        <w:t>1.4 投标人资格要求</w:t>
      </w:r>
    </w:p>
    <w:p w14:paraId="4E31F86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1.4.1 投标人应具备承担本招标项目资质条件、能力和信誉：</w:t>
      </w:r>
    </w:p>
    <w:p w14:paraId="6C07748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（1）资质要求：见投标人须知前附表；</w:t>
      </w:r>
    </w:p>
    <w:p w14:paraId="7DF18B0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（2）财务要求：见投标人须知前附表；</w:t>
      </w:r>
    </w:p>
    <w:p w14:paraId="07C6937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（3）业绩要求：见投标人须知前附表；</w:t>
      </w:r>
    </w:p>
    <w:p w14:paraId="10D118B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（4）信誉要求：见投标人须知前附表；</w:t>
      </w:r>
    </w:p>
    <w:p w14:paraId="44E2975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（5）总监理工程师的资格要求：应当具备工程注册监理工程师执业资格，具体要求见投标人须知前附表；</w:t>
      </w:r>
    </w:p>
    <w:p w14:paraId="1A88470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（6）其他主要人员要求：见投标人须知前附表。</w:t>
      </w:r>
    </w:p>
    <w:p w14:paraId="2947D28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（7）试验检测仪器设备要求：见投标人须知前附表。</w:t>
      </w:r>
    </w:p>
    <w:p w14:paraId="0E2D53A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（8）其他要求：见投标人须知前附表。需要提交的相关证明材料见本章第 3.5 款的规定。</w:t>
      </w:r>
    </w:p>
    <w:p w14:paraId="0E2717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highlight w:val="none"/>
        </w:rPr>
      </w:pPr>
      <w:r>
        <w:rPr>
          <w:rFonts w:hint="eastAsia" w:cs="宋体"/>
          <w:strike/>
          <w:color w:val="auto"/>
          <w:sz w:val="24"/>
          <w:szCs w:val="24"/>
          <w:highlight w:val="none"/>
        </w:rPr>
        <w:t xml:space="preserve">1.4.2 </w:t>
      </w:r>
      <w:r>
        <w:rPr>
          <w:rFonts w:hint="eastAsia" w:cs="宋体"/>
          <w:strike/>
          <w:color w:val="auto"/>
          <w:sz w:val="24"/>
          <w:highlight w:val="none"/>
        </w:rPr>
        <w:t>投标人须知前附表规定接受联合体投标的，联合体除应符合本章第 1.4.1 项和投标人须知前附表的要求外，还应遵守以下规定：</w:t>
      </w:r>
    </w:p>
    <w:p w14:paraId="322578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highlight w:val="none"/>
        </w:rPr>
      </w:pPr>
      <w:r>
        <w:rPr>
          <w:rFonts w:hint="eastAsia" w:cs="宋体"/>
          <w:strike/>
          <w:color w:val="auto"/>
          <w:sz w:val="24"/>
          <w:highlight w:val="none"/>
        </w:rPr>
        <w:t>（1）联合体各方应按招标文件提供的格式签订联合体协议书，明确联合体</w:t>
      </w:r>
      <w:r>
        <w:rPr>
          <w:rFonts w:hint="eastAsia" w:cs="宋体"/>
          <w:strike/>
          <w:color w:val="auto"/>
          <w:spacing w:val="-2"/>
          <w:sz w:val="24"/>
          <w:highlight w:val="none"/>
        </w:rPr>
        <w:t>主办方</w:t>
      </w:r>
      <w:r>
        <w:rPr>
          <w:rFonts w:hint="eastAsia" w:cs="宋体"/>
          <w:strike/>
          <w:color w:val="auto"/>
          <w:sz w:val="24"/>
          <w:highlight w:val="none"/>
        </w:rPr>
        <w:t>和各方权利义务，并承诺就中标项目向招标人承担连带责任；</w:t>
      </w:r>
    </w:p>
    <w:p w14:paraId="00ED41C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highlight w:val="none"/>
        </w:rPr>
      </w:pPr>
      <w:r>
        <w:rPr>
          <w:rFonts w:hint="eastAsia" w:cs="宋体"/>
          <w:strike/>
          <w:color w:val="auto"/>
          <w:sz w:val="24"/>
          <w:highlight w:val="none"/>
        </w:rPr>
        <w:t>（2）由同一专业的单位组成的联合体，按照资质等级较低的单位确定资质等级；</w:t>
      </w:r>
    </w:p>
    <w:p w14:paraId="469DD2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highlight w:val="none"/>
        </w:rPr>
        <w:t>（3）联合体各方不得再以自己名义单独或参加其他联合体在本招标项目中投标，否则各相关投标均无效。</w:t>
      </w:r>
    </w:p>
    <w:p w14:paraId="7C64C1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1.4.3 投标人不得存在下列情形之一：</w:t>
      </w:r>
    </w:p>
    <w:p w14:paraId="6DBD94C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（1）为招标人不具有独立法人资格的附属机构（单位）；</w:t>
      </w:r>
    </w:p>
    <w:p w14:paraId="7A3B4F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（2）与招标人存在利害关系且可能影响招标公正性；</w:t>
      </w:r>
    </w:p>
    <w:p w14:paraId="23580C0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（3）与本招标项目的其他投标人为同一个单位负责人；</w:t>
      </w:r>
    </w:p>
    <w:p w14:paraId="4EAB8E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（4）与本招标项目的其他投标人存在控股、管理关系；</w:t>
      </w:r>
    </w:p>
    <w:p w14:paraId="50E324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（5）为本招标项目的代建人；</w:t>
      </w:r>
    </w:p>
    <w:p w14:paraId="035AB6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（6）为本招标项目的招标代理机构；</w:t>
      </w:r>
    </w:p>
    <w:p w14:paraId="56994FC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（7）与本招标项目的代建人或招标代理机构同为一个法定代表人；</w:t>
      </w:r>
    </w:p>
    <w:p w14:paraId="2FBE15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（8）与本招标项目的代建人或招标代理机构存在控股或参股关系；</w:t>
      </w:r>
    </w:p>
    <w:p w14:paraId="5AF108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（9）与本招标项目的检测机构、建设</w:t>
      </w:r>
      <w:r>
        <w:rPr>
          <w:rFonts w:hint="eastAsia" w:cs="宋体"/>
          <w:color w:val="auto"/>
          <w:sz w:val="24"/>
          <w:szCs w:val="24"/>
          <w:highlight w:val="none"/>
          <w:lang w:eastAsia="zh-CN"/>
        </w:rPr>
        <w:t>、</w:t>
      </w:r>
      <w:r>
        <w:rPr>
          <w:rFonts w:hint="eastAsia" w:cs="宋体"/>
          <w:color w:val="auto"/>
          <w:sz w:val="24"/>
          <w:szCs w:val="24"/>
          <w:highlight w:val="none"/>
          <w:lang w:val="en-US" w:eastAsia="zh-CN"/>
        </w:rPr>
        <w:t>施工</w:t>
      </w:r>
      <w:r>
        <w:rPr>
          <w:rFonts w:hint="eastAsia" w:cs="宋体"/>
          <w:color w:val="auto"/>
          <w:sz w:val="24"/>
          <w:szCs w:val="24"/>
          <w:highlight w:val="none"/>
        </w:rPr>
        <w:t>单位以及建筑材料、建筑构配件和设备供应商有隶属关系或者其他利害关系有隶属关系或者其他利害关系；</w:t>
      </w:r>
    </w:p>
    <w:p w14:paraId="24B6011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（10）被依法暂停或者取消投标资格；</w:t>
      </w:r>
    </w:p>
    <w:p w14:paraId="12B536D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78FC3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07431A4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（13）进入清算程序，或被宣布破产，或其他丧失履约能力的情形；</w:t>
      </w:r>
    </w:p>
    <w:p w14:paraId="4757C7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F94344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5</w:t>
      </w:r>
      <w:r>
        <w:rPr>
          <w:rFonts w:hint="eastAsia" w:cs="宋体"/>
          <w:color w:val="auto"/>
          <w:sz w:val="24"/>
          <w:szCs w:val="24"/>
          <w:highlight w:val="none"/>
        </w:rPr>
        <w:t>）法律法规规定的其他情形。</w:t>
      </w:r>
    </w:p>
    <w:p w14:paraId="58C6454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u w:val="single"/>
        </w:rPr>
        <w:t>1.4.4 单位负责人为同一人或者存在控股、管理关系的不同单位，不得同时参加本招标项目投标。</w:t>
      </w:r>
    </w:p>
    <w:p w14:paraId="2DF82C2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5" w:name="bookmark25"/>
      <w:bookmarkEnd w:id="25"/>
      <w:r>
        <w:rPr>
          <w:rFonts w:hint="eastAsia" w:ascii="宋体" w:hAnsi="宋体" w:eastAsia="宋体" w:cs="宋体"/>
          <w:color w:val="auto"/>
          <w:highlight w:val="none"/>
        </w:rPr>
        <w:t>1.5 费用承担</w:t>
      </w:r>
    </w:p>
    <w:p w14:paraId="412D403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投标人准备和参加投标活动发生的费用自理。</w:t>
      </w:r>
    </w:p>
    <w:p w14:paraId="22A2F54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6" w:name="bookmark26"/>
      <w:bookmarkEnd w:id="26"/>
      <w:r>
        <w:rPr>
          <w:rFonts w:hint="eastAsia" w:ascii="宋体" w:hAnsi="宋体" w:eastAsia="宋体" w:cs="宋体"/>
          <w:color w:val="auto"/>
          <w:highlight w:val="none"/>
        </w:rPr>
        <w:t>1.6 保密</w:t>
      </w:r>
    </w:p>
    <w:p w14:paraId="2429897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参与招标投标活动的各方应对招标文件和投标文件中的商业和技术等秘密保密，否则应承担相应的法律责任。</w:t>
      </w:r>
    </w:p>
    <w:p w14:paraId="70065B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7" w:name="bookmark27"/>
      <w:bookmarkEnd w:id="27"/>
      <w:r>
        <w:rPr>
          <w:rFonts w:hint="eastAsia" w:ascii="宋体" w:hAnsi="宋体" w:eastAsia="宋体" w:cs="宋体"/>
          <w:color w:val="auto"/>
          <w:highlight w:val="none"/>
        </w:rPr>
        <w:t>1.7 语言文字</w:t>
      </w:r>
    </w:p>
    <w:p w14:paraId="3B066D1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招标投标文件使用的语言文字为中文。专用术语使用外文的，应附有中文注释。</w:t>
      </w:r>
    </w:p>
    <w:p w14:paraId="6789CFA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8" w:name="bookmark28"/>
      <w:bookmarkEnd w:id="28"/>
      <w:r>
        <w:rPr>
          <w:rFonts w:hint="eastAsia" w:ascii="宋体" w:hAnsi="宋体" w:eastAsia="宋体" w:cs="宋体"/>
          <w:color w:val="auto"/>
          <w:highlight w:val="none"/>
        </w:rPr>
        <w:t>1.8 计量单位</w:t>
      </w:r>
    </w:p>
    <w:p w14:paraId="681E31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所有计量均采用中华人民共和国法定计量单位。</w:t>
      </w:r>
    </w:p>
    <w:p w14:paraId="2F30FEE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9" w:name="bookmark29"/>
      <w:bookmarkEnd w:id="29"/>
      <w:r>
        <w:rPr>
          <w:rFonts w:hint="eastAsia" w:ascii="宋体" w:hAnsi="宋体" w:eastAsia="宋体" w:cs="宋体"/>
          <w:color w:val="auto"/>
          <w:highlight w:val="none"/>
        </w:rPr>
        <w:t>1.9 踏勘现场</w:t>
      </w:r>
    </w:p>
    <w:p w14:paraId="0067B9D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1.9.1 投标人须知前附表规定组织踏勘现场的，招标人按投标人须知前附表规定的时间、地 点组织投标人踏勘项目现场。部分投标人未按时参加踏勘现场的，不影响踏勘现场的正常进行。</w:t>
      </w:r>
    </w:p>
    <w:p w14:paraId="27375D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1.9.2 投标人踏勘现场发生的费用自理。</w:t>
      </w:r>
    </w:p>
    <w:p w14:paraId="3ADF66A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1.9.3 除招标人的原因外，投标人自行负责在踏勘现场中所发生的人员伤亡和财产损失。</w:t>
      </w:r>
    </w:p>
    <w:p w14:paraId="09517EC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1.9.4 招标人在踏勘现场中介绍的工程场地和相关的周边环境情况，供投标人在编制投标文件时参考，招标人不对投标人据此作出的判断和决策负责。</w:t>
      </w:r>
    </w:p>
    <w:p w14:paraId="1E7D03F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dstrike w:val="0"/>
          <w:color w:val="auto"/>
          <w:highlight w:val="none"/>
        </w:rPr>
      </w:pPr>
      <w:bookmarkStart w:id="30" w:name="bookmark30"/>
      <w:bookmarkEnd w:id="30"/>
      <w:r>
        <w:rPr>
          <w:rFonts w:hint="eastAsia" w:ascii="宋体" w:hAnsi="宋体" w:eastAsia="宋体" w:cs="宋体"/>
          <w:strike/>
          <w:dstrike w:val="0"/>
          <w:color w:val="auto"/>
          <w:highlight w:val="none"/>
        </w:rPr>
        <w:t>1.10 投标预备会</w:t>
      </w:r>
    </w:p>
    <w:p w14:paraId="7A01960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color w:val="auto"/>
          <w:sz w:val="24"/>
          <w:highlight w:val="none"/>
        </w:rPr>
      </w:pPr>
      <w:r>
        <w:rPr>
          <w:rFonts w:hint="eastAsia" w:cs="宋体"/>
          <w:strike/>
          <w:color w:val="auto"/>
          <w:sz w:val="24"/>
          <w:highlight w:val="none"/>
        </w:rPr>
        <w:t>1.10.1 投标人须知前附表规定召开投标预备会的，招标人按投标人须知前附表规定的时间和地点召开投标预备会，澄清投标人提出的问题。</w:t>
      </w:r>
    </w:p>
    <w:p w14:paraId="4AF3F3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color w:val="auto"/>
          <w:sz w:val="24"/>
          <w:highlight w:val="none"/>
        </w:rPr>
      </w:pPr>
      <w:r>
        <w:rPr>
          <w:rFonts w:hint="eastAsia" w:cs="宋体"/>
          <w:strike/>
          <w:color w:val="auto"/>
          <w:sz w:val="24"/>
          <w:highlight w:val="none"/>
        </w:rPr>
        <w:t>1.10.2 投标人应按投标人须知前附表规定的时间和形式将提出的问题送达招标人，以便招标人在会议期间澄清。</w:t>
      </w:r>
    </w:p>
    <w:p w14:paraId="2FD510B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color w:val="auto"/>
          <w:sz w:val="24"/>
          <w:highlight w:val="none"/>
        </w:rPr>
      </w:pPr>
      <w:r>
        <w:rPr>
          <w:rFonts w:hint="eastAsia" w:cs="宋体"/>
          <w:strike/>
          <w:color w:val="auto"/>
          <w:sz w:val="24"/>
          <w:highlight w:val="none"/>
        </w:rPr>
        <w:t>1.10.3 投标预备会后，招标人将对投标人所提问题的澄清，以投标人须知前附表规定的形式通知所有潜在投标人。该澄清内容为招标文件的组成部分。</w:t>
      </w:r>
    </w:p>
    <w:p w14:paraId="151E83A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1" w:name="bookmark31"/>
      <w:bookmarkEnd w:id="31"/>
      <w:r>
        <w:rPr>
          <w:rFonts w:hint="eastAsia" w:ascii="宋体" w:hAnsi="宋体" w:eastAsia="宋体" w:cs="宋体"/>
          <w:color w:val="auto"/>
          <w:highlight w:val="none"/>
        </w:rPr>
        <w:t>1.11 分包</w:t>
      </w:r>
    </w:p>
    <w:p w14:paraId="627CFC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本项目严禁分包。</w:t>
      </w:r>
    </w:p>
    <w:p w14:paraId="566B97C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2" w:name="bookmark32"/>
      <w:bookmarkEnd w:id="32"/>
      <w:r>
        <w:rPr>
          <w:rFonts w:hint="eastAsia" w:ascii="宋体" w:hAnsi="宋体" w:eastAsia="宋体" w:cs="宋体"/>
          <w:color w:val="auto"/>
          <w:highlight w:val="none"/>
        </w:rPr>
        <w:t>1.12 响应和偏差</w:t>
      </w:r>
    </w:p>
    <w:p w14:paraId="5264A84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6A8D26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1.12.2 投标人应根据招标文件的要求提供投标监理大纲等内容以对招标文件作出响应。</w:t>
      </w:r>
    </w:p>
    <w:p w14:paraId="0A9A62F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1.12.3 投标人须知前附表允许投标文件偏离招标文件某些要求的，偏差应当符合招标文件规定的偏差范围和幅度。</w:t>
      </w:r>
    </w:p>
    <w:p w14:paraId="1D72CC2C">
      <w:pPr>
        <w:pStyle w:val="4"/>
        <w:outlineLvl w:val="1"/>
        <w:rPr>
          <w:rFonts w:hint="eastAsia" w:cs="宋体"/>
          <w:color w:val="auto"/>
          <w:sz w:val="24"/>
          <w:szCs w:val="24"/>
          <w:highlight w:val="none"/>
        </w:rPr>
      </w:pPr>
      <w:bookmarkStart w:id="33" w:name="bookmark33"/>
      <w:bookmarkEnd w:id="33"/>
      <w:bookmarkStart w:id="34" w:name="_Toc8823"/>
      <w:r>
        <w:rPr>
          <w:rFonts w:hint="eastAsia" w:cs="宋体"/>
          <w:color w:val="auto"/>
          <w:sz w:val="24"/>
          <w:szCs w:val="24"/>
          <w:highlight w:val="none"/>
        </w:rPr>
        <w:t>2.招标文件</w:t>
      </w:r>
      <w:bookmarkEnd w:id="34"/>
    </w:p>
    <w:p w14:paraId="56715B0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5" w:name="bookmark34"/>
      <w:bookmarkEnd w:id="35"/>
      <w:r>
        <w:rPr>
          <w:rFonts w:hint="eastAsia" w:ascii="宋体" w:hAnsi="宋体" w:eastAsia="宋体" w:cs="宋体"/>
          <w:color w:val="auto"/>
          <w:highlight w:val="none"/>
        </w:rPr>
        <w:t>2.1 招标文件的组成</w:t>
      </w:r>
    </w:p>
    <w:p w14:paraId="0FD3058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4824C62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2C2DD79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29355CE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w:t>
      </w:r>
      <w:r>
        <w:rPr>
          <w:rFonts w:hint="eastAsia" w:cs="宋体"/>
          <w:color w:val="auto"/>
          <w:sz w:val="24"/>
          <w:szCs w:val="24"/>
          <w:highlight w:val="none"/>
          <w:u w:val="single"/>
          <w:lang w:eastAsia="zh-CN"/>
        </w:rPr>
        <w:t>、定标</w:t>
      </w:r>
      <w:r>
        <w:rPr>
          <w:rFonts w:hint="eastAsia" w:cs="宋体"/>
          <w:color w:val="auto"/>
          <w:sz w:val="24"/>
          <w:szCs w:val="24"/>
          <w:highlight w:val="none"/>
        </w:rPr>
        <w:t>办法；</w:t>
      </w:r>
    </w:p>
    <w:p w14:paraId="7256FA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451A21F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26488D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441A969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6E95C89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根据本章</w:t>
      </w:r>
      <w:r>
        <w:rPr>
          <w:rFonts w:hint="eastAsia" w:cs="宋体"/>
          <w:strike/>
          <w:dstrike w:val="0"/>
          <w:color w:val="auto"/>
          <w:sz w:val="24"/>
          <w:szCs w:val="24"/>
          <w:highlight w:val="none"/>
        </w:rPr>
        <w:t>第1.10款、</w:t>
      </w:r>
      <w:r>
        <w:rPr>
          <w:rFonts w:hint="eastAsia" w:cs="宋体"/>
          <w:color w:val="auto"/>
          <w:sz w:val="24"/>
          <w:szCs w:val="24"/>
          <w:highlight w:val="none"/>
        </w:rPr>
        <w:t>第2.2款和第2.3款对招标文件所作的澄清、修改，构成招标文件的组成部分。</w:t>
      </w:r>
    </w:p>
    <w:p w14:paraId="0CBA930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6" w:name="bookmark38"/>
      <w:bookmarkEnd w:id="36"/>
      <w:bookmarkStart w:id="37" w:name="bookmark35"/>
      <w:bookmarkEnd w:id="37"/>
      <w:r>
        <w:rPr>
          <w:rFonts w:hint="eastAsia" w:ascii="宋体" w:hAnsi="宋体" w:eastAsia="宋体" w:cs="宋体"/>
          <w:color w:val="auto"/>
          <w:highlight w:val="none"/>
        </w:rPr>
        <w:t>2.2  招标文件的</w:t>
      </w:r>
      <w:r>
        <w:rPr>
          <w:rFonts w:hint="eastAsia" w:ascii="宋体" w:hAnsi="宋体" w:eastAsia="宋体" w:cs="宋体"/>
          <w:color w:val="auto"/>
          <w:highlight w:val="none"/>
          <w:lang w:eastAsia="zh-CN"/>
        </w:rPr>
        <w:t>答疑</w:t>
      </w:r>
    </w:p>
    <w:p w14:paraId="78D483C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1A7DEDC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w:t>
      </w:r>
      <w:r>
        <w:rPr>
          <w:rFonts w:hint="eastAsia" w:cs="宋体"/>
          <w:color w:val="auto"/>
          <w:sz w:val="24"/>
          <w:szCs w:val="24"/>
          <w:highlight w:val="none"/>
          <w:lang w:val="en-US" w:eastAsia="zh-CN"/>
        </w:rPr>
        <w:t xml:space="preserve">  </w:t>
      </w:r>
      <w:r>
        <w:rPr>
          <w:rFonts w:hint="eastAsia" w:cs="宋体"/>
          <w:color w:val="auto"/>
          <w:sz w:val="24"/>
          <w:szCs w:val="24"/>
          <w:highlight w:val="none"/>
        </w:rPr>
        <w:t>招标答疑采用网上答疑方式进行。投标人若对招标文件有疑问的，</w:t>
      </w:r>
      <w:r>
        <w:rPr>
          <w:rFonts w:hint="eastAsia" w:cs="宋体"/>
          <w:color w:val="auto"/>
          <w:sz w:val="24"/>
          <w:szCs w:val="24"/>
          <w:highlight w:val="none"/>
          <w:lang w:eastAsia="zh-CN"/>
        </w:rPr>
        <w:t>通过广州交易集团有限公司（广州公共资源交易中心）网站提交，</w:t>
      </w:r>
      <w:r>
        <w:rPr>
          <w:rFonts w:hint="eastAsia" w:cs="宋体"/>
          <w:color w:val="auto"/>
          <w:sz w:val="24"/>
          <w:szCs w:val="24"/>
          <w:highlight w:val="none"/>
        </w:rPr>
        <w:t>应按照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。提</w:t>
      </w:r>
      <w:r>
        <w:rPr>
          <w:rFonts w:hint="eastAsia" w:cs="宋体"/>
          <w:color w:val="auto"/>
          <w:sz w:val="24"/>
          <w:szCs w:val="24"/>
          <w:highlight w:val="none"/>
          <w:lang w:eastAsia="zh-CN"/>
        </w:rPr>
        <w:t>问</w:t>
      </w:r>
      <w:r>
        <w:rPr>
          <w:rFonts w:hint="eastAsia" w:cs="宋体"/>
          <w:color w:val="auto"/>
          <w:sz w:val="24"/>
          <w:szCs w:val="24"/>
          <w:highlight w:val="none"/>
        </w:rPr>
        <w:t>一律不得署名。</w:t>
      </w:r>
    </w:p>
    <w:p w14:paraId="444E2F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2.2.3  招标答疑会会议纪要将在提交投标文件截止时间 15 日前在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“项目答疑纪要”专区公开发布。答疑纪要一经在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发布，视作已发放给所有投标人</w:t>
      </w:r>
      <w:r>
        <w:rPr>
          <w:rFonts w:hint="eastAsia" w:cs="宋体"/>
          <w:color w:val="auto"/>
          <w:sz w:val="24"/>
          <w:szCs w:val="24"/>
          <w:highlight w:val="none"/>
          <w:lang w:eastAsia="zh-CN"/>
        </w:rPr>
        <w:t>。</w:t>
      </w:r>
    </w:p>
    <w:p w14:paraId="41073EC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2.2.4  </w:t>
      </w:r>
      <w:r>
        <w:rPr>
          <w:rFonts w:hint="eastAsia" w:cs="宋体"/>
          <w:color w:val="auto"/>
          <w:sz w:val="24"/>
          <w:szCs w:val="24"/>
          <w:highlight w:val="none"/>
        </w:rPr>
        <w:t>招标答疑</w:t>
      </w:r>
      <w:r>
        <w:rPr>
          <w:rFonts w:hint="eastAsia" w:cs="宋体"/>
          <w:color w:val="auto"/>
          <w:sz w:val="24"/>
          <w:szCs w:val="24"/>
          <w:highlight w:val="none"/>
          <w:lang w:eastAsia="zh-CN"/>
        </w:rPr>
        <w:t>会会议</w:t>
      </w:r>
      <w:r>
        <w:rPr>
          <w:rFonts w:hint="eastAsia" w:cs="宋体"/>
          <w:color w:val="auto"/>
          <w:sz w:val="24"/>
          <w:szCs w:val="24"/>
          <w:highlight w:val="none"/>
        </w:rPr>
        <w:t>纪要</w:t>
      </w:r>
      <w:r>
        <w:rPr>
          <w:rFonts w:hint="eastAsia" w:cs="宋体"/>
          <w:color w:val="auto"/>
          <w:sz w:val="24"/>
          <w:szCs w:val="24"/>
          <w:highlight w:val="none"/>
          <w:lang w:eastAsia="zh-CN"/>
        </w:rPr>
        <w:t>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37C468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w:t>
      </w:r>
      <w:r>
        <w:rPr>
          <w:rFonts w:hint="eastAsia" w:cs="宋体"/>
          <w:color w:val="auto"/>
          <w:sz w:val="24"/>
          <w:szCs w:val="24"/>
          <w:highlight w:val="none"/>
          <w:lang w:val="en-US" w:eastAsia="zh-CN"/>
        </w:rPr>
        <w:t>5</w:t>
      </w:r>
      <w:r>
        <w:rPr>
          <w:rFonts w:hint="eastAsia" w:cs="宋体"/>
          <w:color w:val="auto"/>
          <w:sz w:val="24"/>
          <w:szCs w:val="24"/>
          <w:highlight w:val="none"/>
        </w:rPr>
        <w:t xml:space="preserve">  若招标答疑</w:t>
      </w:r>
      <w:r>
        <w:rPr>
          <w:rFonts w:hint="eastAsia" w:cs="宋体"/>
          <w:color w:val="auto"/>
          <w:sz w:val="24"/>
          <w:szCs w:val="24"/>
          <w:highlight w:val="none"/>
          <w:lang w:eastAsia="zh-CN"/>
        </w:rPr>
        <w:t>会会议</w:t>
      </w:r>
      <w:r>
        <w:rPr>
          <w:rFonts w:hint="eastAsia" w:cs="宋体"/>
          <w:color w:val="auto"/>
          <w:sz w:val="24"/>
          <w:szCs w:val="24"/>
          <w:highlight w:val="none"/>
        </w:rPr>
        <w:t>纪要与招标文件有矛盾时，以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最后发布的答疑纪要为准</w:t>
      </w:r>
      <w:r>
        <w:rPr>
          <w:rFonts w:hint="eastAsia" w:cs="宋体"/>
          <w:color w:val="auto"/>
          <w:sz w:val="24"/>
          <w:szCs w:val="24"/>
          <w:highlight w:val="none"/>
          <w:lang w:eastAsia="zh-CN"/>
        </w:rPr>
        <w:t>。</w:t>
      </w:r>
    </w:p>
    <w:p w14:paraId="772A986C">
      <w:pPr>
        <w:kinsoku/>
        <w:overflowPunct/>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highlight w:val="none"/>
        </w:rPr>
        <w:t>2.3  招标文件的</w:t>
      </w:r>
      <w:r>
        <w:rPr>
          <w:rFonts w:hint="eastAsia" w:ascii="宋体" w:hAnsi="宋体" w:eastAsia="宋体" w:cs="宋体"/>
          <w:color w:val="auto"/>
          <w:highlight w:val="none"/>
          <w:lang w:eastAsia="zh-CN"/>
        </w:rPr>
        <w:t>澄清与</w:t>
      </w:r>
      <w:r>
        <w:rPr>
          <w:rFonts w:hint="eastAsia" w:ascii="宋体" w:hAnsi="宋体" w:eastAsia="宋体" w:cs="宋体"/>
          <w:color w:val="auto"/>
          <w:highlight w:val="none"/>
        </w:rPr>
        <w:t>修改</w:t>
      </w:r>
    </w:p>
    <w:p w14:paraId="1563368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eastAsia="zh-CN"/>
        </w:rPr>
        <w:t xml:space="preserve">2.3.1 </w:t>
      </w:r>
      <w:r>
        <w:rPr>
          <w:rFonts w:hint="eastAsia" w:cs="宋体"/>
          <w:color w:val="auto"/>
          <w:sz w:val="24"/>
          <w:szCs w:val="24"/>
          <w:highlight w:val="none"/>
          <w:lang w:val="en-US" w:eastAsia="zh-CN"/>
        </w:rPr>
        <w:t xml:space="preserve"> 招标文件发出后，在提交投标文件截止时间15日前，招标人可对招标文件进行必要的澄清或修改。</w:t>
      </w:r>
    </w:p>
    <w:p w14:paraId="3720406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2.3.2  </w:t>
      </w:r>
      <w:r>
        <w:rPr>
          <w:rFonts w:hint="eastAsia"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cs="宋体"/>
          <w:color w:val="auto"/>
          <w:sz w:val="24"/>
          <w:szCs w:val="24"/>
          <w:highlight w:val="none"/>
          <w:lang w:val="en-US" w:eastAsia="zh-CN"/>
        </w:rPr>
        <w:t>网站发布时间作为送达时间。</w:t>
      </w:r>
    </w:p>
    <w:p w14:paraId="3BCE9A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2.3.3  </w:t>
      </w:r>
      <w:r>
        <w:rPr>
          <w:rFonts w:hint="eastAsia" w:cs="宋体"/>
          <w:color w:val="auto"/>
          <w:sz w:val="24"/>
          <w:szCs w:val="24"/>
          <w:highlight w:val="none"/>
        </w:rPr>
        <w:t>招标</w:t>
      </w:r>
      <w:r>
        <w:rPr>
          <w:rFonts w:hint="eastAsia" w:cs="宋体"/>
          <w:color w:val="auto"/>
          <w:sz w:val="24"/>
          <w:szCs w:val="24"/>
          <w:highlight w:val="none"/>
          <w:lang w:eastAsia="zh-CN"/>
        </w:rPr>
        <w:t>文件的澄清或修改是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42CED7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eastAsia="zh-CN"/>
        </w:rPr>
        <w:t>2.3.</w:t>
      </w:r>
      <w:r>
        <w:rPr>
          <w:rFonts w:hint="eastAsia" w:cs="宋体"/>
          <w:color w:val="auto"/>
          <w:sz w:val="24"/>
          <w:szCs w:val="24"/>
          <w:highlight w:val="none"/>
          <w:lang w:val="en-US" w:eastAsia="zh-CN"/>
        </w:rPr>
        <w:t xml:space="preserve">4 </w:t>
      </w:r>
      <w:r>
        <w:rPr>
          <w:rFonts w:hint="eastAsia" w:cs="宋体"/>
          <w:color w:val="auto"/>
          <w:sz w:val="24"/>
          <w:szCs w:val="24"/>
          <w:highlight w:val="none"/>
          <w:lang w:eastAsia="zh-CN"/>
        </w:rPr>
        <w:t xml:space="preserve"> 招标文件的澄清或修</w:t>
      </w:r>
      <w:r>
        <w:rPr>
          <w:rFonts w:hint="eastAsia" w:cs="宋体"/>
          <w:color w:val="auto"/>
          <w:sz w:val="24"/>
          <w:szCs w:val="24"/>
          <w:highlight w:val="none"/>
        </w:rPr>
        <w:t>改均以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发布的内容为准。当招标文件的澄清、修改</w:t>
      </w:r>
      <w:r>
        <w:rPr>
          <w:rFonts w:hint="eastAsia" w:cs="宋体"/>
          <w:color w:val="auto"/>
          <w:sz w:val="24"/>
          <w:szCs w:val="24"/>
          <w:highlight w:val="none"/>
          <w:lang w:eastAsia="zh-CN"/>
        </w:rPr>
        <w:t>、补充等</w:t>
      </w:r>
      <w:r>
        <w:rPr>
          <w:rFonts w:hint="eastAsia" w:cs="宋体"/>
          <w:color w:val="auto"/>
          <w:sz w:val="24"/>
          <w:szCs w:val="24"/>
          <w:highlight w:val="none"/>
        </w:rPr>
        <w:t>在同一内容的表述不一致时，以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最后发布的内容为准。</w:t>
      </w:r>
    </w:p>
    <w:p w14:paraId="19E479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2.3.5  </w:t>
      </w:r>
      <w:r>
        <w:rPr>
          <w:rFonts w:hint="eastAsia"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cs="宋体"/>
          <w:color w:val="auto"/>
          <w:spacing w:val="-11"/>
          <w:sz w:val="24"/>
          <w:szCs w:val="24"/>
          <w:highlight w:val="none"/>
          <w:lang w:eastAsia="zh-CN"/>
        </w:rPr>
        <w:t>，即表示投标时间不延长。</w:t>
      </w:r>
      <w:bookmarkStart w:id="38" w:name="_Toc20483"/>
    </w:p>
    <w:p w14:paraId="49C0DB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2.4 招标文件的异议</w:t>
      </w:r>
    </w:p>
    <w:p w14:paraId="396BA5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438AFA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3.投标文件</w:t>
      </w:r>
      <w:bookmarkEnd w:id="38"/>
    </w:p>
    <w:p w14:paraId="6B051BD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4"/>
          <w:highlight w:val="none"/>
          <w:u w:val="single"/>
        </w:rPr>
        <w:t>投标文件由评标部分及定标部分两部分组成，各部分文件应分别编制。</w:t>
      </w:r>
    </w:p>
    <w:p w14:paraId="4A1E8C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9" w:name="bookmark39"/>
      <w:bookmarkEnd w:id="39"/>
      <w:r>
        <w:rPr>
          <w:rFonts w:hint="eastAsia" w:ascii="宋体" w:hAnsi="宋体" w:eastAsia="宋体" w:cs="宋体"/>
          <w:color w:val="auto"/>
          <w:highlight w:val="none"/>
        </w:rPr>
        <w:t>3.1 投标文件的组成</w:t>
      </w:r>
    </w:p>
    <w:p w14:paraId="4392A99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w:t>
      </w:r>
      <w:r>
        <w:rPr>
          <w:rFonts w:hint="eastAsia" w:ascii="宋体" w:hAnsi="宋体" w:eastAsia="宋体" w:cs="宋体"/>
          <w:color w:val="auto"/>
          <w:sz w:val="24"/>
          <w:szCs w:val="24"/>
          <w:highlight w:val="none"/>
          <w:u w:val="single"/>
        </w:rPr>
        <w:t>（评标部分）</w:t>
      </w:r>
      <w:r>
        <w:rPr>
          <w:rFonts w:hint="eastAsia" w:ascii="宋体" w:hAnsi="宋体" w:eastAsia="宋体" w:cs="宋体"/>
          <w:color w:val="auto"/>
          <w:sz w:val="24"/>
          <w:szCs w:val="24"/>
          <w:highlight w:val="none"/>
        </w:rPr>
        <w:t>应包括下列内容：</w:t>
      </w:r>
    </w:p>
    <w:p w14:paraId="6DB03B5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71B8767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64666EFF">
      <w:pPr>
        <w:spacing w:line="360" w:lineRule="auto"/>
        <w:ind w:firstLine="472"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r>
        <w:rPr>
          <w:rFonts w:hint="eastAsia" w:ascii="宋体" w:hAnsi="宋体" w:cs="宋体"/>
          <w:color w:val="auto"/>
          <w:spacing w:val="-2"/>
          <w:sz w:val="24"/>
          <w:highlight w:val="none"/>
          <w:u w:val="single"/>
          <w:lang w:val="en-US" w:eastAsia="zh-CN"/>
        </w:rPr>
        <w:t>；</w:t>
      </w:r>
    </w:p>
    <w:p w14:paraId="77E3294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）监理报酬清单；</w:t>
      </w:r>
    </w:p>
    <w:p w14:paraId="36F117A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）资格审查资料；</w:t>
      </w:r>
    </w:p>
    <w:p w14:paraId="0815A05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）监理大纲；</w:t>
      </w:r>
    </w:p>
    <w:p w14:paraId="7AA0AADF">
      <w:pPr>
        <w:pStyle w:val="12"/>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color w:val="auto"/>
          <w:sz w:val="24"/>
          <w:highlight w:val="none"/>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3603306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3.1.2 投标人须知前附表规定不接受联合体投标的，或投标人没有组成联合体的，投标文件不包括本章第 3.1.1（3）目所指的联合体协议书。</w:t>
      </w:r>
    </w:p>
    <w:p w14:paraId="479E20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3.1.3 投标人须知前附表未要求提交投标保证金的，投标文件不包括本章第 3.1.1（4）目所指的投标保证金。</w:t>
      </w:r>
    </w:p>
    <w:p w14:paraId="677ACF3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3.1.2投标文件（定标部分）</w:t>
      </w:r>
      <w:r>
        <w:rPr>
          <w:rFonts w:hint="eastAsia" w:ascii="宋体" w:hAnsi="宋体" w:eastAsia="宋体" w:cs="宋体"/>
          <w:color w:val="auto"/>
          <w:sz w:val="24"/>
          <w:highlight w:val="none"/>
          <w:u w:val="single"/>
        </w:rPr>
        <w:t>应包括下列内容：</w:t>
      </w:r>
    </w:p>
    <w:p w14:paraId="674A47F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投标人依据《定标因素表》提供资料</w:t>
      </w:r>
      <w:r>
        <w:rPr>
          <w:rFonts w:hint="eastAsia" w:cs="宋体"/>
          <w:color w:val="auto"/>
          <w:sz w:val="24"/>
          <w:highlight w:val="none"/>
          <w:u w:val="single"/>
          <w:lang w:val="en-US" w:eastAsia="zh-CN"/>
        </w:rPr>
        <w:t>。</w:t>
      </w:r>
    </w:p>
    <w:p w14:paraId="49BAF3B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u w:val="single"/>
          <w:lang w:eastAsia="zh-CN"/>
        </w:rPr>
      </w:pP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val="en-US" w:eastAsia="zh-CN"/>
        </w:rPr>
        <w:t>投标人认为</w:t>
      </w:r>
      <w:r>
        <w:rPr>
          <w:rFonts w:hint="eastAsia" w:ascii="宋体" w:hAnsi="宋体" w:eastAsia="宋体" w:cs="宋体"/>
          <w:color w:val="auto"/>
          <w:sz w:val="24"/>
          <w:highlight w:val="none"/>
          <w:u w:val="single"/>
        </w:rPr>
        <w:t>其他应提交的材料</w:t>
      </w:r>
      <w:r>
        <w:rPr>
          <w:rFonts w:hint="eastAsia" w:cs="宋体"/>
          <w:color w:val="auto"/>
          <w:sz w:val="24"/>
          <w:highlight w:val="none"/>
          <w:u w:val="single"/>
          <w:lang w:eastAsia="zh-CN"/>
        </w:rPr>
        <w:t>。</w:t>
      </w:r>
    </w:p>
    <w:p w14:paraId="3D976BB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0" w:name="bookmark40"/>
      <w:bookmarkEnd w:id="40"/>
      <w:r>
        <w:rPr>
          <w:rFonts w:hint="eastAsia" w:ascii="宋体" w:hAnsi="宋体" w:eastAsia="宋体" w:cs="宋体"/>
          <w:color w:val="auto"/>
          <w:highlight w:val="none"/>
        </w:rPr>
        <w:t>3.2 投标报价</w:t>
      </w:r>
    </w:p>
    <w:p w14:paraId="5B2445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7068765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3.2.2 投标人应充分了解该项目的总体情况以及影响投标报价的其他要素。</w:t>
      </w:r>
    </w:p>
    <w:p w14:paraId="46FC1B2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19E84D8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招标人设有最高投标限价的，投标人的投标报价不得超过最高投标限价，最高投标限价在投标人须知前附表中载明。</w:t>
      </w:r>
    </w:p>
    <w:p w14:paraId="325475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3.2.5 投标报价的其他要求见投标人须知前附表。</w:t>
      </w:r>
    </w:p>
    <w:p w14:paraId="3AB4E71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1" w:name="bookmark41"/>
      <w:bookmarkEnd w:id="41"/>
      <w:r>
        <w:rPr>
          <w:rFonts w:hint="eastAsia" w:ascii="宋体" w:hAnsi="宋体" w:eastAsia="宋体" w:cs="宋体"/>
          <w:color w:val="auto"/>
          <w:highlight w:val="none"/>
        </w:rPr>
        <w:t>3.3 投标有效期</w:t>
      </w:r>
    </w:p>
    <w:p w14:paraId="61C93C9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3.3.1 除投标人须知前附表另有规定外，投标有效期为 </w:t>
      </w:r>
      <w:r>
        <w:rPr>
          <w:rFonts w:hint="eastAsia" w:cs="宋体"/>
          <w:color w:val="auto"/>
          <w:sz w:val="24"/>
          <w:szCs w:val="24"/>
          <w:highlight w:val="none"/>
          <w:u w:val="single"/>
          <w:lang w:val="en-US" w:eastAsia="zh-CN"/>
        </w:rPr>
        <w:t>120</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日历天</w:t>
      </w:r>
      <w:r>
        <w:rPr>
          <w:rFonts w:hint="eastAsia" w:cs="宋体"/>
          <w:color w:val="auto"/>
          <w:sz w:val="24"/>
          <w:szCs w:val="24"/>
          <w:highlight w:val="none"/>
        </w:rPr>
        <w:t>。</w:t>
      </w:r>
    </w:p>
    <w:p w14:paraId="69731E5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3.3.2 在投标有效期内，投标人撤销投标文件的，应承担招标文件和法律规定的责任。</w:t>
      </w:r>
    </w:p>
    <w:p w14:paraId="14365F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color w:val="auto"/>
          <w:sz w:val="24"/>
          <w:szCs w:val="24"/>
          <w:highlight w:val="none"/>
        </w:rPr>
        <w:t>3.3.3 出现特殊情况需要延长投标有效期的，招标人以书面形式通知所有投标人延长投标有效期。投标人应予以书面答复，同意延长的</w:t>
      </w:r>
      <w:r>
        <w:rPr>
          <w:rFonts w:hint="eastAsia" w:cs="宋体"/>
          <w:strike/>
          <w:color w:val="auto"/>
          <w:sz w:val="24"/>
          <w:szCs w:val="24"/>
          <w:highlight w:val="none"/>
        </w:rPr>
        <w:t>，应相应延长其投标保证金的有效期，但</w:t>
      </w:r>
      <w:r>
        <w:rPr>
          <w:rFonts w:hint="eastAsia" w:cs="宋体"/>
          <w:color w:val="auto"/>
          <w:sz w:val="24"/>
          <w:szCs w:val="24"/>
          <w:highlight w:val="none"/>
        </w:rPr>
        <w:t>不得要求 或被允许修改其投标文件；投标人拒绝延长的，其投标失效</w:t>
      </w:r>
      <w:r>
        <w:rPr>
          <w:rFonts w:hint="eastAsia" w:cs="宋体"/>
          <w:color w:val="auto"/>
          <w:sz w:val="24"/>
          <w:szCs w:val="24"/>
          <w:highlight w:val="none"/>
          <w:lang w:eastAsia="zh-CN"/>
        </w:rPr>
        <w:t>。</w:t>
      </w:r>
      <w:r>
        <w:rPr>
          <w:rFonts w:hint="eastAsia" w:cs="宋体"/>
          <w:strike/>
          <w:color w:val="auto"/>
          <w:sz w:val="24"/>
          <w:szCs w:val="24"/>
          <w:highlight w:val="none"/>
        </w:rPr>
        <w:t>但投标人有权收回其投标保证金及以现金或者支票形式递交的投标保证金的银行同期存款利息。</w:t>
      </w:r>
    </w:p>
    <w:p w14:paraId="1582D69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2" w:name="bookmark42"/>
      <w:bookmarkEnd w:id="42"/>
      <w:r>
        <w:rPr>
          <w:rFonts w:hint="eastAsia" w:ascii="宋体" w:hAnsi="宋体" w:eastAsia="宋体" w:cs="宋体"/>
          <w:color w:val="auto"/>
          <w:highlight w:val="none"/>
        </w:rPr>
        <w:t>3.4  投标保证金</w:t>
      </w:r>
    </w:p>
    <w:p w14:paraId="5CD3DBA9">
      <w:pPr>
        <w:pStyle w:val="24"/>
        <w:spacing w:line="360" w:lineRule="auto"/>
        <w:ind w:lef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3.4.1 本项</w:t>
      </w:r>
      <w:r>
        <w:rPr>
          <w:rFonts w:hint="eastAsia" w:ascii="宋体" w:hAnsi="宋体" w:eastAsia="宋体" w:cs="宋体"/>
          <w:color w:val="auto"/>
          <w:sz w:val="24"/>
          <w:highlight w:val="none"/>
          <w:u w:val="single"/>
        </w:rPr>
        <w:t>目免收投标保证金，投标人需提供《关于投标保证金的承诺》（详见第</w:t>
      </w:r>
      <w:r>
        <w:rPr>
          <w:rFonts w:hint="eastAsia" w:ascii="宋体" w:hAnsi="宋体" w:eastAsia="宋体" w:cs="宋体"/>
          <w:color w:val="auto"/>
          <w:sz w:val="24"/>
          <w:highlight w:val="none"/>
          <w:u w:val="single"/>
          <w:lang w:eastAsia="zh-CN"/>
        </w:rPr>
        <w:t>六</w:t>
      </w:r>
      <w:r>
        <w:rPr>
          <w:rFonts w:hint="eastAsia" w:ascii="宋体" w:hAnsi="宋体" w:eastAsia="宋体" w:cs="宋体"/>
          <w:color w:val="auto"/>
          <w:sz w:val="24"/>
          <w:highlight w:val="none"/>
          <w:u w:val="single"/>
        </w:rPr>
        <w:t>章投标文件格式）</w:t>
      </w:r>
    </w:p>
    <w:p w14:paraId="0B0902F8">
      <w:pPr>
        <w:pStyle w:val="24"/>
        <w:spacing w:line="360" w:lineRule="auto"/>
        <w:ind w:lef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3.4.2</w:t>
      </w:r>
      <w:r>
        <w:rPr>
          <w:rFonts w:hint="eastAsia" w:ascii="宋体" w:hAnsi="宋体" w:eastAsia="宋体" w:cs="宋体"/>
          <w:color w:val="auto"/>
          <w:sz w:val="24"/>
          <w:highlight w:val="none"/>
          <w:u w:val="single"/>
        </w:rPr>
        <w:t>若投标人存在3.4.4条款所列情形的，需按照招标人的要求，在发现存在3.4.4条款所列情形之日起5个工作日内向招标人足额补交投标保证金。</w:t>
      </w:r>
    </w:p>
    <w:p w14:paraId="2D16B1C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3.4.3 中标候选人以外的投标人的投标保证金将尽快退还，最迟不超过中标通知书发出之日起五日内</w:t>
      </w:r>
      <w:r>
        <w:rPr>
          <w:rFonts w:hint="eastAsia" w:cs="宋体"/>
          <w:strike/>
          <w:color w:val="auto"/>
          <w:sz w:val="24"/>
          <w:szCs w:val="24"/>
          <w:highlight w:val="none"/>
          <w:lang w:eastAsia="zh-CN"/>
        </w:rPr>
        <w:t>；</w:t>
      </w:r>
      <w:r>
        <w:rPr>
          <w:rFonts w:hint="eastAsia" w:cs="宋体"/>
          <w:strike/>
          <w:color w:val="auto"/>
          <w:sz w:val="24"/>
          <w:szCs w:val="24"/>
          <w:highlight w:val="none"/>
        </w:rPr>
        <w:t>中标人和其他中标候选人的投标保证金，在书面合同订立之日起五日内予以退还。</w:t>
      </w:r>
    </w:p>
    <w:p w14:paraId="1960F34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14:paraId="586C1AA3">
      <w:pPr>
        <w:autoSpaceDE/>
        <w:autoSpaceDN/>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3.4.4.1投标人在规定的投标有效期内撤销其投标文件；</w:t>
      </w:r>
    </w:p>
    <w:p w14:paraId="16C786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highlight w:val="none"/>
        </w:rPr>
        <w:t>3.4.4.2</w:t>
      </w:r>
      <w:r>
        <w:rPr>
          <w:rFonts w:hint="eastAsia" w:cs="宋体"/>
          <w:color w:val="auto"/>
          <w:sz w:val="24"/>
          <w:szCs w:val="24"/>
          <w:highlight w:val="none"/>
        </w:rPr>
        <w:t>中标人在收到中标通知书后，无正当理由不与招标人订立合同，在签订合同时向招标人提出附加条件</w:t>
      </w:r>
      <w:r>
        <w:rPr>
          <w:rFonts w:hint="eastAsia" w:cs="宋体"/>
          <w:color w:val="auto"/>
          <w:sz w:val="24"/>
          <w:szCs w:val="24"/>
          <w:highlight w:val="none"/>
          <w:lang w:eastAsia="zh-CN"/>
        </w:rPr>
        <w:t>。</w:t>
      </w:r>
      <w:bookmarkStart w:id="43" w:name="bookmark43"/>
      <w:bookmarkEnd w:id="43"/>
      <w:bookmarkStart w:id="44" w:name="bookmark44"/>
      <w:bookmarkEnd w:id="44"/>
    </w:p>
    <w:p w14:paraId="708AF35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3.5 资格审查资料</w:t>
      </w:r>
    </w:p>
    <w:p w14:paraId="03A92E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374056B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u w:val="single"/>
        </w:rPr>
        <w:t>或电子证照</w:t>
      </w:r>
      <w:r>
        <w:rPr>
          <w:rFonts w:hint="eastAsia" w:ascii="宋体" w:hAnsi="宋体" w:cs="宋体"/>
          <w:color w:val="auto"/>
          <w:sz w:val="24"/>
          <w:szCs w:val="24"/>
          <w:highlight w:val="none"/>
        </w:rPr>
        <w:t>。</w:t>
      </w:r>
    </w:p>
    <w:p w14:paraId="52699A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u w:val="single"/>
        </w:rPr>
        <w:t>3.5.</w:t>
      </w:r>
      <w:r>
        <w:rPr>
          <w:rFonts w:hint="eastAsia" w:cs="宋体"/>
          <w:strike w:val="0"/>
          <w:color w:val="auto"/>
          <w:sz w:val="24"/>
          <w:szCs w:val="24"/>
          <w:highlight w:val="none"/>
          <w:u w:val="single"/>
          <w:lang w:val="en-US" w:eastAsia="zh-CN"/>
        </w:rPr>
        <w:t>2</w:t>
      </w:r>
      <w:r>
        <w:rPr>
          <w:rFonts w:hint="eastAsia" w:cs="宋体"/>
          <w:strike w:val="0"/>
          <w:color w:val="auto"/>
          <w:sz w:val="24"/>
          <w:szCs w:val="24"/>
          <w:highlight w:val="none"/>
          <w:u w:val="single"/>
        </w:rPr>
        <w:t xml:space="preserve"> </w:t>
      </w:r>
      <w:r>
        <w:rPr>
          <w:rFonts w:hint="eastAsia" w:cs="宋体"/>
          <w:strike w:val="0"/>
          <w:color w:val="auto"/>
          <w:sz w:val="24"/>
          <w:szCs w:val="24"/>
          <w:highlight w:val="none"/>
          <w:u w:val="single"/>
          <w:lang w:val="en-US" w:eastAsia="zh-CN"/>
        </w:rPr>
        <w:t>投标人声明（格式详见第六章）</w:t>
      </w:r>
    </w:p>
    <w:p w14:paraId="7807290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color w:val="auto"/>
          <w:sz w:val="24"/>
          <w:szCs w:val="24"/>
          <w:highlight w:val="none"/>
          <w:u w:val="single"/>
        </w:rPr>
        <w:t>社保证明文件</w:t>
      </w:r>
      <w:r>
        <w:rPr>
          <w:rFonts w:hint="eastAsia" w:cs="宋体"/>
          <w:strike/>
          <w:color w:val="auto"/>
          <w:sz w:val="24"/>
          <w:szCs w:val="24"/>
          <w:highlight w:val="none"/>
        </w:rPr>
        <w:t>，管理过的项目业绩须附合同协议书</w:t>
      </w:r>
      <w:r>
        <w:rPr>
          <w:rFonts w:hint="eastAsia" w:cs="宋体"/>
          <w:strike/>
          <w:color w:val="auto"/>
          <w:sz w:val="24"/>
          <w:szCs w:val="24"/>
          <w:highlight w:val="none"/>
          <w:lang w:eastAsia="zh-CN"/>
        </w:rPr>
        <w:t>（若有）</w:t>
      </w:r>
      <w:r>
        <w:rPr>
          <w:rFonts w:hint="eastAsia" w:cs="宋体"/>
          <w:color w:val="auto"/>
          <w:sz w:val="24"/>
          <w:szCs w:val="24"/>
          <w:highlight w:val="none"/>
        </w:rPr>
        <w:t>；其他主要人员应附身份证、学历证、职称证、有关证书和</w:t>
      </w:r>
      <w:r>
        <w:rPr>
          <w:rFonts w:hint="eastAsia" w:ascii="宋体" w:hAnsi="宋体" w:cs="宋体"/>
          <w:color w:val="auto"/>
          <w:sz w:val="24"/>
          <w:szCs w:val="24"/>
          <w:highlight w:val="none"/>
          <w:u w:val="single"/>
        </w:rPr>
        <w:t>社保证明文件</w:t>
      </w:r>
      <w:r>
        <w:rPr>
          <w:rFonts w:hint="eastAsia" w:cs="宋体"/>
          <w:color w:val="auto"/>
          <w:sz w:val="24"/>
          <w:szCs w:val="24"/>
          <w:highlight w:val="none"/>
        </w:rPr>
        <w:t>。</w:t>
      </w:r>
      <w:r>
        <w:rPr>
          <w:rFonts w:hint="eastAsia" w:cs="宋体"/>
          <w:strike w:val="0"/>
          <w:color w:val="auto"/>
          <w:sz w:val="24"/>
          <w:szCs w:val="24"/>
          <w:highlight w:val="none"/>
          <w:lang w:eastAsia="zh-CN"/>
        </w:rPr>
        <w:t>（注:以上人员社保要求详见投标人须知前附表10.4项。）</w:t>
      </w:r>
    </w:p>
    <w:p w14:paraId="7D10AE5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3.5.</w:t>
      </w:r>
      <w:r>
        <w:rPr>
          <w:rFonts w:hint="eastAsia" w:cs="宋体"/>
          <w:strike/>
          <w:color w:val="auto"/>
          <w:sz w:val="24"/>
          <w:szCs w:val="24"/>
          <w:highlight w:val="none"/>
          <w:lang w:val="en-US" w:eastAsia="zh-CN"/>
        </w:rPr>
        <w:t>4</w:t>
      </w:r>
      <w:r>
        <w:rPr>
          <w:rFonts w:hint="eastAsia" w:cs="宋体"/>
          <w:strike/>
          <w:color w:val="auto"/>
          <w:sz w:val="24"/>
          <w:szCs w:val="24"/>
          <w:highlight w:val="none"/>
        </w:rPr>
        <w:t xml:space="preserve"> 投标人须知前附表规定接受联合体投标的，本章第3.5.1 项至第3.5.</w:t>
      </w:r>
      <w:r>
        <w:rPr>
          <w:rFonts w:hint="eastAsia" w:cs="宋体"/>
          <w:strike/>
          <w:color w:val="auto"/>
          <w:sz w:val="24"/>
          <w:szCs w:val="24"/>
          <w:highlight w:val="none"/>
          <w:lang w:val="en-US" w:eastAsia="zh-CN"/>
        </w:rPr>
        <w:t>3</w:t>
      </w:r>
      <w:r>
        <w:rPr>
          <w:rFonts w:hint="eastAsia" w:cs="宋体"/>
          <w:strike/>
          <w:color w:val="auto"/>
          <w:sz w:val="24"/>
          <w:szCs w:val="24"/>
          <w:highlight w:val="none"/>
        </w:rPr>
        <w:t>项规定的表格和资料应包括联合体各方相关情况。</w:t>
      </w:r>
    </w:p>
    <w:p w14:paraId="4CAA8476">
      <w:pPr>
        <w:pStyle w:val="12"/>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u w:val="single"/>
        </w:rPr>
      </w:pPr>
      <w:r>
        <w:rPr>
          <w:rFonts w:hint="eastAsia" w:cs="宋体"/>
          <w:strike w:val="0"/>
          <w:color w:val="auto"/>
          <w:sz w:val="24"/>
          <w:szCs w:val="24"/>
          <w:highlight w:val="none"/>
          <w:u w:val="single"/>
          <w:lang w:val="en-US" w:eastAsia="zh-CN"/>
        </w:rPr>
        <w:t>3.5.4资审要求的其他材料。</w:t>
      </w:r>
    </w:p>
    <w:p w14:paraId="34A8BC7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5" w:name="bookmark45"/>
      <w:bookmarkEnd w:id="45"/>
      <w:r>
        <w:rPr>
          <w:rFonts w:hint="eastAsia" w:ascii="宋体" w:hAnsi="宋体" w:eastAsia="宋体" w:cs="宋体"/>
          <w:color w:val="auto"/>
          <w:highlight w:val="none"/>
        </w:rPr>
        <w:t>3.6 备选投标方案</w:t>
      </w:r>
    </w:p>
    <w:p w14:paraId="145A98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3.6.1 除投标人须知前附表规定允许外，投标人不得递交备选投标方案，否则其投标将被否决。</w:t>
      </w:r>
    </w:p>
    <w:p w14:paraId="7B03391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C69432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3.6.3 投标人提供两个或两个以上投标报价，或者在投标文件中提供一个报价，但同时提供两个或两个以上监理方案的，视为提供备选方案。</w:t>
      </w:r>
    </w:p>
    <w:p w14:paraId="57B9BBC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6" w:name="bookmark46"/>
      <w:bookmarkEnd w:id="46"/>
      <w:r>
        <w:rPr>
          <w:rFonts w:hint="eastAsia" w:ascii="宋体" w:hAnsi="宋体" w:eastAsia="宋体" w:cs="宋体"/>
          <w:color w:val="auto"/>
          <w:highlight w:val="none"/>
        </w:rPr>
        <w:t>3.7 投标文件的编制</w:t>
      </w:r>
    </w:p>
    <w:p w14:paraId="4124C56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3.7.1</w:t>
      </w:r>
      <w:r>
        <w:rPr>
          <w:rFonts w:hint="eastAsia" w:cs="宋体"/>
          <w:color w:val="auto"/>
          <w:sz w:val="24"/>
          <w:szCs w:val="24"/>
          <w:highlight w:val="none"/>
          <w:lang w:val="en-US" w:eastAsia="zh-CN"/>
        </w:rPr>
        <w:t xml:space="preserve"> </w:t>
      </w:r>
      <w:r>
        <w:rPr>
          <w:rFonts w:hint="eastAsia"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4AE0365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3.7.2  投标文件应当对招标文件有关监理服务期限、投标有效期、委托人要求、招标范围等实质性内容作出响应。</w:t>
      </w:r>
    </w:p>
    <w:p w14:paraId="3021A10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7</w:t>
      </w:r>
      <w:r>
        <w:rPr>
          <w:rFonts w:hint="eastAsia" w:cs="宋体"/>
          <w:color w:val="auto"/>
          <w:sz w:val="24"/>
          <w:szCs w:val="24"/>
          <w:highlight w:val="none"/>
        </w:rPr>
        <w:t>.</w:t>
      </w:r>
      <w:r>
        <w:rPr>
          <w:rFonts w:hint="eastAsia" w:cs="宋体"/>
          <w:color w:val="auto"/>
          <w:sz w:val="24"/>
          <w:szCs w:val="24"/>
          <w:highlight w:val="none"/>
          <w:lang w:val="en-US" w:eastAsia="zh-CN"/>
        </w:rPr>
        <w:t xml:space="preserve">3  </w:t>
      </w:r>
      <w:r>
        <w:rPr>
          <w:rFonts w:hint="eastAsia" w:cs="宋体"/>
          <w:color w:val="auto"/>
          <w:sz w:val="24"/>
          <w:szCs w:val="24"/>
          <w:highlight w:val="none"/>
        </w:rPr>
        <w:t>投标文件全部采用电子文档，投标文件所附证书证件均为原件扫描件</w:t>
      </w:r>
      <w:r>
        <w:rPr>
          <w:rFonts w:hint="eastAsia" w:cs="宋体"/>
          <w:color w:val="auto"/>
          <w:sz w:val="24"/>
          <w:szCs w:val="24"/>
          <w:highlight w:val="none"/>
          <w:lang w:eastAsia="zh-CN"/>
        </w:rPr>
        <w:t>或电子证书</w:t>
      </w:r>
      <w:r>
        <w:rPr>
          <w:rFonts w:hint="eastAsia"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cs="宋体"/>
          <w:color w:val="auto"/>
          <w:kern w:val="2"/>
          <w:sz w:val="24"/>
          <w:szCs w:val="24"/>
          <w:highlight w:val="none"/>
          <w:lang w:val="en-US" w:eastAsia="zh-CN"/>
        </w:rPr>
        <w:t>）</w:t>
      </w:r>
      <w:r>
        <w:rPr>
          <w:rFonts w:hint="eastAsia" w:cs="宋体"/>
          <w:color w:val="auto"/>
          <w:sz w:val="24"/>
          <w:szCs w:val="24"/>
          <w:highlight w:val="none"/>
        </w:rPr>
        <w:t>。按照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w:t>
      </w:r>
    </w:p>
    <w:p w14:paraId="314A88B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w:t>
      </w:r>
      <w:r>
        <w:rPr>
          <w:rFonts w:hint="eastAsia" w:cs="宋体"/>
          <w:strike/>
          <w:color w:val="auto"/>
          <w:sz w:val="24"/>
          <w:szCs w:val="24"/>
          <w:highlight w:val="none"/>
          <w:lang w:val="en-US" w:eastAsia="zh-CN"/>
        </w:rPr>
        <w:t>7</w:t>
      </w:r>
      <w:r>
        <w:rPr>
          <w:rFonts w:hint="eastAsia" w:cs="宋体"/>
          <w:strike/>
          <w:color w:val="auto"/>
          <w:sz w:val="24"/>
          <w:szCs w:val="24"/>
          <w:highlight w:val="none"/>
        </w:rPr>
        <w:t>.</w:t>
      </w:r>
      <w:r>
        <w:rPr>
          <w:rFonts w:hint="eastAsia" w:cs="宋体"/>
          <w:strike/>
          <w:color w:val="auto"/>
          <w:sz w:val="24"/>
          <w:szCs w:val="24"/>
          <w:highlight w:val="none"/>
          <w:lang w:val="en-US" w:eastAsia="zh-CN"/>
        </w:rPr>
        <w:t xml:space="preserve">4  </w:t>
      </w:r>
      <w:r>
        <w:rPr>
          <w:rFonts w:hint="eastAsia" w:cs="宋体"/>
          <w:strike/>
          <w:color w:val="auto"/>
          <w:sz w:val="24"/>
          <w:szCs w:val="24"/>
          <w:highlight w:val="none"/>
        </w:rPr>
        <w:t>联合体投标时，</w:t>
      </w:r>
      <w:r>
        <w:rPr>
          <w:rFonts w:hint="eastAsia" w:cs="宋体"/>
          <w:strike/>
          <w:color w:val="auto"/>
          <w:sz w:val="24"/>
          <w:szCs w:val="24"/>
          <w:highlight w:val="none"/>
          <w:lang w:eastAsia="zh-CN"/>
        </w:rPr>
        <w:t>投标人封面及其他内容落款中的“投标人”应填写联合体各方的单位全称【格式为：（主）XXXX公司（成）XXXX公司】。除</w:t>
      </w:r>
      <w:r>
        <w:rPr>
          <w:rFonts w:hint="eastAsia" w:cs="宋体"/>
          <w:strike/>
          <w:color w:val="auto"/>
          <w:sz w:val="24"/>
          <w:szCs w:val="24"/>
          <w:highlight w:val="none"/>
        </w:rPr>
        <w:t>联合体共同投标协议需联合体各方按要求共同盖章签字，其余可由联合体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签字、盖章即可，由联合体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法人签字的电子投标文件需提供</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法定代表人证明书，若由联合体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法定代表人授权签字的电子投标文件需提供法定代表人证明书及其授权委托书、授权委托人身份证</w:t>
      </w:r>
      <w:r>
        <w:rPr>
          <w:rFonts w:hint="eastAsia" w:cs="宋体"/>
          <w:strike/>
          <w:color w:val="auto"/>
          <w:sz w:val="24"/>
          <w:szCs w:val="24"/>
          <w:highlight w:val="none"/>
          <w:lang w:eastAsia="zh-CN"/>
        </w:rPr>
        <w:t>扫描</w:t>
      </w:r>
      <w:r>
        <w:rPr>
          <w:rFonts w:hint="eastAsia" w:cs="宋体"/>
          <w:strike/>
          <w:color w:val="auto"/>
          <w:sz w:val="24"/>
          <w:szCs w:val="24"/>
          <w:highlight w:val="none"/>
        </w:rPr>
        <w:t>件。</w:t>
      </w:r>
    </w:p>
    <w:p w14:paraId="707699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3.</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5  </w:t>
      </w:r>
      <w:r>
        <w:rPr>
          <w:rFonts w:hint="eastAsia"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7EB7F485">
      <w:pPr>
        <w:pStyle w:val="4"/>
        <w:outlineLvl w:val="1"/>
        <w:rPr>
          <w:rFonts w:hint="eastAsia" w:cs="宋体"/>
          <w:color w:val="auto"/>
          <w:sz w:val="24"/>
          <w:szCs w:val="24"/>
          <w:highlight w:val="none"/>
        </w:rPr>
      </w:pPr>
      <w:bookmarkStart w:id="47" w:name="bookmark47"/>
      <w:bookmarkEnd w:id="47"/>
      <w:bookmarkStart w:id="48" w:name="_Toc18372"/>
      <w:r>
        <w:rPr>
          <w:rFonts w:hint="eastAsia" w:cs="宋体"/>
          <w:color w:val="auto"/>
          <w:sz w:val="24"/>
          <w:szCs w:val="24"/>
          <w:highlight w:val="none"/>
        </w:rPr>
        <w:t>4.投标</w:t>
      </w:r>
      <w:bookmarkEnd w:id="48"/>
    </w:p>
    <w:p w14:paraId="24D0B38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en-US" w:eastAsia="zh-CN"/>
        </w:rPr>
      </w:pPr>
      <w:bookmarkStart w:id="49" w:name="bookmark48"/>
      <w:bookmarkEnd w:id="49"/>
      <w:r>
        <w:rPr>
          <w:rFonts w:hint="eastAsia" w:ascii="宋体" w:hAnsi="宋体" w:eastAsia="宋体" w:cs="宋体"/>
          <w:color w:val="auto"/>
          <w:highlight w:val="none"/>
        </w:rPr>
        <w:t>4.1  投标文件的</w:t>
      </w:r>
      <w:r>
        <w:rPr>
          <w:rFonts w:hint="eastAsia" w:ascii="宋体" w:hAnsi="宋体" w:eastAsia="宋体" w:cs="宋体"/>
          <w:color w:val="auto"/>
          <w:highlight w:val="none"/>
          <w:lang w:val="en-US" w:eastAsia="zh-CN"/>
        </w:rPr>
        <w:t>加密</w:t>
      </w:r>
    </w:p>
    <w:p w14:paraId="77FEED5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0" w:name="bookmark49"/>
      <w:bookmarkEnd w:id="50"/>
      <w:r>
        <w:rPr>
          <w:rFonts w:hint="eastAsia" w:cs="宋体"/>
          <w:color w:val="auto"/>
          <w:sz w:val="24"/>
          <w:szCs w:val="24"/>
          <w:highlight w:val="none"/>
        </w:rPr>
        <w:t xml:space="preserve">4.1.1 </w:t>
      </w:r>
      <w:r>
        <w:rPr>
          <w:rFonts w:hint="eastAsia" w:cs="宋体"/>
          <w:color w:val="auto"/>
          <w:sz w:val="24"/>
          <w:szCs w:val="24"/>
          <w:highlight w:val="none"/>
          <w:lang w:val="en-US" w:eastAsia="zh-CN"/>
        </w:rPr>
        <w:t xml:space="preserve"> </w:t>
      </w:r>
      <w:r>
        <w:rPr>
          <w:rFonts w:hint="eastAsia" w:cs="宋体"/>
          <w:color w:val="auto"/>
          <w:sz w:val="24"/>
          <w:szCs w:val="24"/>
          <w:highlight w:val="none"/>
        </w:rPr>
        <w:t>递交的电子投标文件（不含备用光盘）必须进行加密。按照</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关于全流程电子化项目的相关指南进行操作。</w:t>
      </w:r>
    </w:p>
    <w:p w14:paraId="7C8AA06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4.1.2  未按要求加密的投标文件，</w:t>
      </w:r>
      <w:r>
        <w:rPr>
          <w:rFonts w:hint="eastAsia" w:cs="宋体"/>
          <w:color w:val="auto"/>
          <w:sz w:val="24"/>
          <w:szCs w:val="24"/>
          <w:highlight w:val="none"/>
          <w:lang w:eastAsia="zh-CN"/>
        </w:rPr>
        <w:t>广州交易集团有限公司（广州公共资源交易中心）网站交易</w:t>
      </w:r>
      <w:r>
        <w:rPr>
          <w:rFonts w:hint="eastAsia" w:cs="宋体"/>
          <w:color w:val="auto"/>
          <w:sz w:val="24"/>
          <w:szCs w:val="24"/>
          <w:highlight w:val="none"/>
        </w:rPr>
        <w:t>平台将予以拒收。</w:t>
      </w:r>
    </w:p>
    <w:p w14:paraId="785B9AE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投标文件的递交</w:t>
      </w:r>
    </w:p>
    <w:p w14:paraId="581C88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1" w:name="bookmark50"/>
      <w:bookmarkEnd w:id="51"/>
      <w:r>
        <w:rPr>
          <w:rFonts w:hint="eastAsia" w:cs="宋体"/>
          <w:color w:val="auto"/>
          <w:sz w:val="24"/>
          <w:szCs w:val="24"/>
          <w:highlight w:val="none"/>
        </w:rPr>
        <w:t>4.2.1</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w:t>
      </w:r>
      <w:r>
        <w:rPr>
          <w:rFonts w:hint="eastAsia" w:cs="宋体"/>
          <w:color w:val="auto"/>
          <w:sz w:val="24"/>
          <w:szCs w:val="24"/>
          <w:highlight w:val="none"/>
          <w:lang w:eastAsia="zh-CN"/>
        </w:rPr>
        <w:t>应在投标人须知前附表规定的投标截止时间前，</w:t>
      </w:r>
      <w:r>
        <w:rPr>
          <w:rFonts w:hint="eastAsia" w:cs="宋体"/>
          <w:color w:val="auto"/>
          <w:sz w:val="24"/>
          <w:szCs w:val="24"/>
          <w:highlight w:val="none"/>
        </w:rPr>
        <w:t>通过</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交易平台递交电子投标文件。</w:t>
      </w:r>
    </w:p>
    <w:p w14:paraId="0372E21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4.2.2</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投标人完成电子投标文件上传后，</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交易平台即时向投标人发出递交回执通知。递交时间以递交回执通知载明的传输完成时间为准。</w:t>
      </w:r>
    </w:p>
    <w:p w14:paraId="014F61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4.2.3</w:t>
      </w:r>
      <w:r>
        <w:rPr>
          <w:rFonts w:hint="eastAsia" w:cs="宋体"/>
          <w:color w:val="auto"/>
          <w:sz w:val="24"/>
          <w:szCs w:val="24"/>
          <w:highlight w:val="none"/>
          <w:lang w:val="en-US" w:eastAsia="zh-CN"/>
        </w:rPr>
        <w:t xml:space="preserve">  </w:t>
      </w:r>
      <w:r>
        <w:rPr>
          <w:rFonts w:hint="eastAsia" w:cs="宋体"/>
          <w:color w:val="auto"/>
          <w:sz w:val="24"/>
          <w:szCs w:val="24"/>
          <w:highlight w:val="none"/>
        </w:rPr>
        <w:t>逾期送达的电子投标文件，</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交易平台将予以拒收。</w:t>
      </w:r>
    </w:p>
    <w:p w14:paraId="2C03DFF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 xml:space="preserve">4.2.4 </w:t>
      </w:r>
      <w:r>
        <w:rPr>
          <w:rFonts w:hint="eastAsia" w:cs="宋体"/>
          <w:color w:val="auto"/>
          <w:sz w:val="24"/>
          <w:szCs w:val="24"/>
          <w:highlight w:val="none"/>
          <w:lang w:val="en-US" w:eastAsia="zh-CN"/>
        </w:rPr>
        <w:t xml:space="preserve"> </w:t>
      </w:r>
      <w:r>
        <w:rPr>
          <w:rFonts w:hint="eastAsia" w:cs="宋体"/>
          <w:color w:val="auto"/>
          <w:sz w:val="24"/>
          <w:szCs w:val="24"/>
          <w:highlight w:val="none"/>
        </w:rPr>
        <w:t>投标截止前，招标人拒绝接收符合条件的投标文件，投标人可向招标监督机构投诉</w:t>
      </w:r>
      <w:r>
        <w:rPr>
          <w:rFonts w:hint="eastAsia" w:cs="宋体"/>
          <w:color w:val="auto"/>
          <w:sz w:val="24"/>
          <w:szCs w:val="24"/>
          <w:highlight w:val="none"/>
          <w:lang w:eastAsia="zh-CN"/>
        </w:rPr>
        <w:t>。</w:t>
      </w:r>
      <w:bookmarkStart w:id="52" w:name="_bookmark83"/>
      <w:bookmarkEnd w:id="52"/>
    </w:p>
    <w:p w14:paraId="1515D40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14:paraId="2152843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4.3.1  在规定的投标截止时间前，投标人可以修改或撤回已递交的投标文件， 但应以书面形式通知招标人。</w:t>
      </w:r>
    </w:p>
    <w:p w14:paraId="696BF76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4.3.2  投标人修改或撤回已递交投标文件</w:t>
      </w:r>
      <w:r>
        <w:rPr>
          <w:rFonts w:hint="eastAsia" w:cs="宋体"/>
          <w:color w:val="auto"/>
          <w:sz w:val="24"/>
          <w:szCs w:val="24"/>
          <w:highlight w:val="none"/>
          <w:lang w:val="en-US" w:eastAsia="zh-CN"/>
        </w:rPr>
        <w:t>,</w:t>
      </w:r>
      <w:r>
        <w:rPr>
          <w:rFonts w:hint="eastAsia" w:cs="宋体"/>
          <w:color w:val="auto"/>
          <w:sz w:val="24"/>
          <w:szCs w:val="24"/>
          <w:highlight w:val="none"/>
          <w:lang w:eastAsia="zh-CN"/>
        </w:rPr>
        <w:t>需在交易平台发出修改或撤回通知，并按要求加盖电子印章</w:t>
      </w:r>
      <w:r>
        <w:rPr>
          <w:rFonts w:hint="eastAsia" w:cs="宋体"/>
          <w:color w:val="auto"/>
          <w:sz w:val="24"/>
          <w:szCs w:val="24"/>
          <w:highlight w:val="none"/>
        </w:rPr>
        <w:t>。电子招标投标交易平台收到通知后，即时向投标人发出确认回执通知。</w:t>
      </w:r>
    </w:p>
    <w:p w14:paraId="16E95E7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1396C6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4.3.</w:t>
      </w:r>
      <w:r>
        <w:rPr>
          <w:rFonts w:hint="eastAsia" w:cs="宋体"/>
          <w:color w:val="auto"/>
          <w:sz w:val="24"/>
          <w:szCs w:val="24"/>
          <w:highlight w:val="none"/>
          <w:lang w:val="en-US" w:eastAsia="zh-CN"/>
        </w:rPr>
        <w:t>4</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在投标截止时间之后，投标人不得补充、修改和更换投标文件。</w:t>
      </w:r>
    </w:p>
    <w:p w14:paraId="3A0E3BAA">
      <w:pPr>
        <w:pStyle w:val="4"/>
        <w:outlineLvl w:val="1"/>
        <w:rPr>
          <w:rFonts w:hint="eastAsia" w:cs="宋体"/>
          <w:color w:val="auto"/>
          <w:sz w:val="24"/>
          <w:szCs w:val="24"/>
          <w:highlight w:val="none"/>
        </w:rPr>
      </w:pPr>
      <w:bookmarkStart w:id="53" w:name="bookmark51"/>
      <w:bookmarkEnd w:id="53"/>
      <w:bookmarkStart w:id="54" w:name="_Toc19841"/>
      <w:r>
        <w:rPr>
          <w:rFonts w:hint="eastAsia" w:cs="宋体"/>
          <w:color w:val="auto"/>
          <w:sz w:val="24"/>
          <w:szCs w:val="24"/>
          <w:highlight w:val="none"/>
        </w:rPr>
        <w:t>5.开标</w:t>
      </w:r>
      <w:bookmarkEnd w:id="54"/>
    </w:p>
    <w:p w14:paraId="321688E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5" w:name="bookmark53"/>
      <w:bookmarkEnd w:id="55"/>
      <w:bookmarkStart w:id="56" w:name="bookmark52"/>
      <w:bookmarkEnd w:id="56"/>
      <w:r>
        <w:rPr>
          <w:rFonts w:hint="eastAsia" w:ascii="宋体" w:hAnsi="宋体" w:eastAsia="宋体" w:cs="宋体"/>
          <w:color w:val="auto"/>
          <w:highlight w:val="none"/>
        </w:rPr>
        <w:t>5.1 开标时间和地点</w:t>
      </w:r>
    </w:p>
    <w:p w14:paraId="0A70E0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bookmarkStart w:id="57" w:name="bookmark54"/>
      <w:bookmarkEnd w:id="57"/>
      <w:r>
        <w:rPr>
          <w:rFonts w:hint="eastAsia" w:cs="宋体"/>
          <w:color w:val="auto"/>
          <w:sz w:val="24"/>
          <w:szCs w:val="24"/>
          <w:highlight w:val="none"/>
          <w:lang w:val="en-US" w:eastAsia="zh-CN"/>
        </w:rPr>
        <w:t xml:space="preserve">5.1.1  </w:t>
      </w:r>
      <w:r>
        <w:rPr>
          <w:rFonts w:hint="eastAsia"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3ED6698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 xml:space="preserve">5.1.2  </w:t>
      </w:r>
      <w:r>
        <w:rPr>
          <w:rFonts w:hint="eastAsia"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53BA1F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5.2 开标程序</w:t>
      </w:r>
    </w:p>
    <w:p w14:paraId="0BE889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58" w:name="bookmark55"/>
      <w:bookmarkEnd w:id="58"/>
      <w:r>
        <w:rPr>
          <w:rFonts w:hint="eastAsia" w:cs="宋体"/>
          <w:color w:val="auto"/>
          <w:sz w:val="24"/>
          <w:szCs w:val="24"/>
          <w:highlight w:val="none"/>
          <w:lang w:val="en-US" w:eastAsia="zh-CN"/>
        </w:rPr>
        <w:t>5.2.1   在投标截止时间后</w:t>
      </w:r>
      <w:r>
        <w:rPr>
          <w:rFonts w:hint="eastAsia" w:cs="宋体"/>
          <w:color w:val="auto"/>
          <w:sz w:val="24"/>
          <w:szCs w:val="24"/>
          <w:highlight w:val="none"/>
          <w:u w:val="single"/>
          <w:lang w:val="en-US" w:eastAsia="zh-CN"/>
        </w:rPr>
        <w:t>半小时</w:t>
      </w:r>
      <w:r>
        <w:rPr>
          <w:rFonts w:hint="eastAsia"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eastAsia" w:cs="宋体"/>
          <w:strike/>
          <w:color w:val="auto"/>
          <w:sz w:val="24"/>
          <w:szCs w:val="24"/>
          <w:highlight w:val="none"/>
          <w:lang w:val="en-US" w:eastAsia="zh-CN"/>
        </w:rPr>
        <w:t>投标保证金的递交情况、</w:t>
      </w:r>
      <w:r>
        <w:rPr>
          <w:rFonts w:hint="eastAsia" w:cs="宋体"/>
          <w:color w:val="auto"/>
          <w:sz w:val="24"/>
          <w:szCs w:val="24"/>
          <w:highlight w:val="none"/>
          <w:lang w:val="en-US" w:eastAsia="zh-CN"/>
        </w:rPr>
        <w:t>投标报价、拟派总监理工程师及其他内容。未在规定时间内解密的投标文件不参与开标、评标、定标。</w:t>
      </w:r>
    </w:p>
    <w:p w14:paraId="091D7E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5.2.2  按开标记录表规定的内容进行唱标。</w:t>
      </w:r>
    </w:p>
    <w:p w14:paraId="121FB8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5.2.3  投标人代表、招标人代表、监标人、记录人等有关人员在开标记录上签字确认；若有关人员不签字的，不影响开标程序。</w:t>
      </w:r>
    </w:p>
    <w:p w14:paraId="0AB480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5.2.4  开标结束。</w:t>
      </w:r>
    </w:p>
    <w:p w14:paraId="3832A8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B361C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7F5EA41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5A05C69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若投标人代表对开标过程有异议的，参加现场开标的，</w:t>
      </w:r>
      <w:r>
        <w:rPr>
          <w:rFonts w:hint="eastAsia" w:cs="宋体"/>
          <w:color w:val="auto"/>
          <w:sz w:val="24"/>
          <w:szCs w:val="24"/>
          <w:highlight w:val="none"/>
          <w:lang w:val="en-US" w:eastAsia="zh-CN"/>
        </w:rPr>
        <w:t>应当在开标现场提出，同时出示本人身份证原件，招标人应当当场作出答复，并制作记录。</w:t>
      </w:r>
    </w:p>
    <w:p w14:paraId="1923D08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236F2B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5.3.3  投标人未参加开标或在规定的时间内未提出异议的，视为对开标无异议。</w:t>
      </w:r>
    </w:p>
    <w:p w14:paraId="7C5FF43C">
      <w:pPr>
        <w:pStyle w:val="4"/>
        <w:outlineLvl w:val="1"/>
        <w:rPr>
          <w:rFonts w:hint="eastAsia" w:ascii="宋体" w:hAnsi="宋体" w:eastAsia="宋体" w:cs="宋体"/>
          <w:b w:val="0"/>
          <w:color w:val="auto"/>
          <w:sz w:val="30"/>
          <w:szCs w:val="24"/>
          <w:highlight w:val="none"/>
          <w:u w:val="single"/>
          <w:lang w:eastAsia="zh-CN"/>
        </w:rPr>
      </w:pPr>
      <w:bookmarkStart w:id="59" w:name="bookmark56"/>
      <w:bookmarkEnd w:id="59"/>
      <w:bookmarkStart w:id="60" w:name="_Toc27326"/>
      <w:r>
        <w:rPr>
          <w:rFonts w:hint="eastAsia" w:cs="宋体"/>
          <w:color w:val="auto"/>
          <w:sz w:val="24"/>
          <w:szCs w:val="24"/>
          <w:highlight w:val="none"/>
        </w:rPr>
        <w:t>6.评标</w:t>
      </w:r>
      <w:bookmarkEnd w:id="60"/>
    </w:p>
    <w:p w14:paraId="353CBAF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1" w:name="bookmark57"/>
      <w:bookmarkEnd w:id="61"/>
      <w:r>
        <w:rPr>
          <w:rFonts w:hint="eastAsia" w:ascii="宋体" w:hAnsi="宋体" w:eastAsia="宋体" w:cs="宋体"/>
          <w:color w:val="auto"/>
          <w:highlight w:val="none"/>
        </w:rPr>
        <w:t>6.1 评标委员会</w:t>
      </w:r>
    </w:p>
    <w:p w14:paraId="7BBF738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6.1.1 评标由招标人依法组建的评标委员会负责。评标委员会由有关技术、经济等方面的专家和招标人代表组成，专家</w:t>
      </w:r>
      <w:r>
        <w:rPr>
          <w:rFonts w:hint="eastAsia" w:cs="宋体"/>
          <w:color w:val="auto"/>
          <w:sz w:val="24"/>
          <w:szCs w:val="24"/>
          <w:highlight w:val="none"/>
          <w:lang w:eastAsia="zh-CN"/>
        </w:rPr>
        <w:t>从</w:t>
      </w:r>
      <w:r>
        <w:rPr>
          <w:rFonts w:hint="eastAsia" w:cs="宋体"/>
          <w:color w:val="auto"/>
          <w:sz w:val="24"/>
          <w:szCs w:val="24"/>
          <w:highlight w:val="none"/>
          <w:u w:val="single"/>
          <w:lang w:eastAsia="zh-CN"/>
        </w:rPr>
        <w:t>广东省综合评标评审</w:t>
      </w:r>
      <w:r>
        <w:rPr>
          <w:rFonts w:hint="eastAsia" w:cs="宋体"/>
          <w:color w:val="auto"/>
          <w:sz w:val="24"/>
          <w:szCs w:val="24"/>
          <w:highlight w:val="none"/>
          <w:u w:val="single"/>
        </w:rPr>
        <w:t>专家库</w:t>
      </w:r>
      <w:r>
        <w:rPr>
          <w:rFonts w:hint="eastAsia" w:cs="宋体"/>
          <w:color w:val="auto"/>
          <w:sz w:val="24"/>
          <w:szCs w:val="24"/>
          <w:highlight w:val="none"/>
        </w:rPr>
        <w:t>中抽取。评标委员会成员人数以及技术、经济等方面专家的确定方式见投标人须知前附表。</w:t>
      </w:r>
    </w:p>
    <w:p w14:paraId="6DF2E9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6.1.2 评标委员会成员有下列情形之一的，应当回避：</w:t>
      </w:r>
    </w:p>
    <w:p w14:paraId="3C9378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（1）投标人或投标人主要负责人的近亲属；</w:t>
      </w:r>
    </w:p>
    <w:p w14:paraId="54D8B52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（2）项目主管部门或者行政监督部门的人员；</w:t>
      </w:r>
    </w:p>
    <w:p w14:paraId="05B490D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（3）招标人或投标人的工作人员、退休或离职未满3年的人员；</w:t>
      </w:r>
    </w:p>
    <w:p w14:paraId="7BE977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）与投标人有经济利益关系，可能影响对投标公正评审的；</w:t>
      </w:r>
    </w:p>
    <w:p w14:paraId="64F56B9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）曾因在招标、评标以及其他与招标投标有关活动中从事违法行为而受过行政处罚或刑事处罚的；</w:t>
      </w:r>
    </w:p>
    <w:p w14:paraId="28AA43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）与投标人有其他利害关系。</w:t>
      </w:r>
    </w:p>
    <w:p w14:paraId="24CD37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484B55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2" w:name="bookmark58"/>
      <w:bookmarkEnd w:id="62"/>
      <w:r>
        <w:rPr>
          <w:rFonts w:hint="eastAsia" w:ascii="宋体" w:hAnsi="宋体" w:eastAsia="宋体" w:cs="宋体"/>
          <w:color w:val="auto"/>
          <w:highlight w:val="none"/>
        </w:rPr>
        <w:t>6.2 评标原则</w:t>
      </w:r>
    </w:p>
    <w:p w14:paraId="65ADFD1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评标活动遵循公平、公正、科学和择优的原则。</w:t>
      </w:r>
    </w:p>
    <w:p w14:paraId="543DB48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3" w:name="bookmark59"/>
      <w:bookmarkEnd w:id="63"/>
      <w:r>
        <w:rPr>
          <w:rFonts w:hint="eastAsia" w:ascii="宋体" w:hAnsi="宋体" w:eastAsia="宋体" w:cs="宋体"/>
          <w:color w:val="auto"/>
          <w:highlight w:val="none"/>
        </w:rPr>
        <w:t>6.3 评标</w:t>
      </w:r>
    </w:p>
    <w:p w14:paraId="49D7BF6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6.3.1 评标委员会按照第三章“评标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办法”规定的方法、评审因素、标准和程序对投标文件</w:t>
      </w:r>
      <w:r>
        <w:rPr>
          <w:rFonts w:hint="eastAsia" w:cs="宋体"/>
          <w:color w:val="auto"/>
          <w:sz w:val="24"/>
          <w:szCs w:val="24"/>
          <w:highlight w:val="none"/>
          <w:u w:val="single"/>
        </w:rPr>
        <w:t>（评标部分）</w:t>
      </w:r>
      <w:r>
        <w:rPr>
          <w:rFonts w:hint="eastAsia" w:cs="宋体"/>
          <w:color w:val="auto"/>
          <w:sz w:val="24"/>
          <w:szCs w:val="24"/>
          <w:highlight w:val="none"/>
        </w:rPr>
        <w:t>进行评审。第三章“评标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办法”没有规定的方法、评审因素和标准，不作为评标依据。</w:t>
      </w:r>
    </w:p>
    <w:p w14:paraId="34F65DF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6.3.2 评标完成后，评标委员会应当向招标人提交书面评标报告和</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中标候选人名单。评标委员会推荐</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中标候选人的人数见投标人须知前附表。</w:t>
      </w:r>
    </w:p>
    <w:p w14:paraId="52CA10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6.3.3发生下列情形之一的，招标人将重新组织招标：</w:t>
      </w:r>
    </w:p>
    <w:p w14:paraId="38C39A7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4</w:t>
      </w:r>
      <w:r>
        <w:rPr>
          <w:rFonts w:hint="eastAsia" w:cs="宋体"/>
          <w:color w:val="auto"/>
          <w:sz w:val="24"/>
          <w:szCs w:val="24"/>
          <w:highlight w:val="none"/>
          <w:u w:val="single"/>
        </w:rPr>
        <w:t>人。</w:t>
      </w:r>
    </w:p>
    <w:p w14:paraId="73DF6D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(b) 所有投标被否决，或者经评审有效投标的投标人不足</w:t>
      </w:r>
      <w:r>
        <w:rPr>
          <w:rFonts w:hint="eastAsia" w:cs="宋体"/>
          <w:color w:val="auto"/>
          <w:sz w:val="24"/>
          <w:szCs w:val="24"/>
          <w:highlight w:val="none"/>
          <w:u w:val="single"/>
          <w:lang w:val="en-US" w:eastAsia="zh-CN"/>
        </w:rPr>
        <w:t>4</w:t>
      </w:r>
      <w:r>
        <w:rPr>
          <w:rFonts w:hint="eastAsia" w:cs="宋体"/>
          <w:color w:val="auto"/>
          <w:sz w:val="24"/>
          <w:szCs w:val="24"/>
          <w:highlight w:val="none"/>
          <w:u w:val="single"/>
        </w:rPr>
        <w:t>人。</w:t>
      </w:r>
    </w:p>
    <w:p w14:paraId="3D84CCA0">
      <w:pPr>
        <w:pStyle w:val="4"/>
        <w:outlineLvl w:val="1"/>
        <w:rPr>
          <w:rFonts w:hint="eastAsia" w:cs="宋体"/>
          <w:color w:val="auto"/>
          <w:sz w:val="24"/>
          <w:szCs w:val="24"/>
          <w:highlight w:val="none"/>
        </w:rPr>
      </w:pPr>
      <w:bookmarkStart w:id="64" w:name="bookmark60"/>
      <w:bookmarkEnd w:id="64"/>
      <w:bookmarkStart w:id="65" w:name="_Toc26457"/>
      <w:r>
        <w:rPr>
          <w:rFonts w:hint="eastAsia" w:cs="宋体"/>
          <w:color w:val="auto"/>
          <w:sz w:val="24"/>
          <w:szCs w:val="24"/>
          <w:highlight w:val="none"/>
        </w:rPr>
        <w:t>7.合同授予</w:t>
      </w:r>
      <w:bookmarkEnd w:id="65"/>
    </w:p>
    <w:p w14:paraId="3D9F3E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6" w:name="bookmark61"/>
      <w:bookmarkEnd w:id="66"/>
      <w:r>
        <w:rPr>
          <w:rFonts w:hint="eastAsia" w:ascii="宋体" w:hAnsi="宋体" w:eastAsia="宋体" w:cs="宋体"/>
          <w:color w:val="auto"/>
          <w:highlight w:val="none"/>
        </w:rPr>
        <w:t xml:space="preserve">7.1 </w:t>
      </w:r>
      <w:r>
        <w:rPr>
          <w:rFonts w:hint="eastAsia" w:ascii="宋体" w:hAnsi="宋体" w:cs="宋体"/>
          <w:color w:val="auto"/>
          <w:highlight w:val="none"/>
          <w:u w:val="single"/>
          <w:lang w:eastAsia="zh-CN"/>
        </w:rPr>
        <w:t>合格</w:t>
      </w:r>
      <w:r>
        <w:rPr>
          <w:rFonts w:hint="eastAsia" w:ascii="宋体" w:hAnsi="宋体" w:eastAsia="宋体" w:cs="宋体"/>
          <w:color w:val="auto"/>
          <w:highlight w:val="none"/>
        </w:rPr>
        <w:t>中标候选人</w:t>
      </w:r>
      <w:r>
        <w:rPr>
          <w:rFonts w:hint="eastAsia" w:ascii="宋体" w:hAnsi="宋体" w:cs="宋体"/>
          <w:color w:val="auto"/>
          <w:highlight w:val="none"/>
          <w:u w:val="single"/>
          <w:lang w:eastAsia="zh-CN"/>
        </w:rPr>
        <w:t>及中标结果</w:t>
      </w:r>
      <w:r>
        <w:rPr>
          <w:rFonts w:hint="eastAsia" w:ascii="宋体" w:hAnsi="宋体" w:eastAsia="宋体" w:cs="宋体"/>
          <w:color w:val="auto"/>
          <w:highlight w:val="none"/>
        </w:rPr>
        <w:t>公示</w:t>
      </w:r>
    </w:p>
    <w:p w14:paraId="7A241A4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4C4594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7.1.2在产生</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中标候选人后，招标人将</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中标候选人的投标文件商务部分文件的所有内容(包括人员、业绩、奖项等资料)在</w:t>
      </w:r>
      <w:r>
        <w:rPr>
          <w:rFonts w:hint="eastAsia" w:ascii="宋体" w:hAnsi="宋体" w:eastAsia="宋体" w:cs="宋体"/>
          <w:color w:val="auto"/>
          <w:sz w:val="24"/>
          <w:szCs w:val="24"/>
          <w:highlight w:val="none"/>
          <w:u w:val="single"/>
          <w:lang w:val="en-US" w:eastAsia="zh-CN"/>
        </w:rPr>
        <w:t>广州交易集团有限公司（广州公共资源交易中心）网</w:t>
      </w:r>
      <w:r>
        <w:rPr>
          <w:rFonts w:hint="eastAsia" w:cs="宋体"/>
          <w:color w:val="auto"/>
          <w:sz w:val="24"/>
          <w:szCs w:val="24"/>
          <w:highlight w:val="none"/>
        </w:rPr>
        <w:t>和广东省招标投标监管网公开。</w:t>
      </w:r>
    </w:p>
    <w:p w14:paraId="6B4AF16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eastAsia="宋体" w:cs="宋体"/>
          <w:color w:val="auto"/>
          <w:sz w:val="24"/>
          <w:szCs w:val="24"/>
          <w:highlight w:val="none"/>
          <w:lang w:val="en-US" w:eastAsia="zh-CN"/>
        </w:rPr>
      </w:pPr>
      <w:r>
        <w:rPr>
          <w:rFonts w:hint="eastAsia" w:cs="宋体"/>
          <w:color w:val="auto"/>
          <w:sz w:val="24"/>
          <w:szCs w:val="24"/>
          <w:highlight w:val="none"/>
          <w:u w:val="single"/>
          <w:lang w:val="en-US" w:eastAsia="zh-CN"/>
        </w:rPr>
        <w:t>7.1.3 定标结束后，招标人3日内在广州交易集团有限公司（广州公共资源交易中心）网站和广东省招标投标监管网公开中标结果。</w:t>
      </w:r>
    </w:p>
    <w:p w14:paraId="31BEDBF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7" w:name="bookmark62"/>
      <w:bookmarkEnd w:id="67"/>
      <w:r>
        <w:rPr>
          <w:rFonts w:hint="eastAsia" w:ascii="宋体" w:hAnsi="宋体" w:eastAsia="宋体" w:cs="宋体"/>
          <w:color w:val="auto"/>
          <w:highlight w:val="none"/>
        </w:rPr>
        <w:t>7.2 评标结果异议</w:t>
      </w:r>
    </w:p>
    <w:p w14:paraId="4DE00EF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33BB939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8" w:name="bookmark63"/>
      <w:bookmarkEnd w:id="68"/>
      <w:r>
        <w:rPr>
          <w:rFonts w:hint="eastAsia" w:ascii="宋体" w:hAnsi="宋体" w:eastAsia="宋体" w:cs="宋体"/>
          <w:color w:val="auto"/>
          <w:highlight w:val="none"/>
        </w:rPr>
        <w:t>7.3 中标候选人履约能力审查</w:t>
      </w:r>
    </w:p>
    <w:p w14:paraId="3EEF7F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u w:val="singl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AF8A6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7.3.2招标人或招标代理机构将在定标结束后对中标人的企业资质证书有效期进行复核，如果中标人在定标结束后6天内尚未提供资质有效期延续核准的，招标人否决其中标资格，按照招标文件第三章“评标、定标办法”3.5重新组织定标，或重新组织招标。</w:t>
      </w:r>
    </w:p>
    <w:p w14:paraId="20EBEDFE">
      <w:pPr>
        <w:adjustRightInd w:val="0"/>
        <w:snapToGrid w:val="0"/>
        <w:spacing w:line="360" w:lineRule="auto"/>
        <w:ind w:firstLine="480" w:firstLineChars="200"/>
        <w:rPr>
          <w:rFonts w:hint="eastAsia" w:ascii="宋体" w:hAnsi="宋体" w:cs="宋体"/>
          <w:b/>
          <w:color w:val="auto"/>
          <w:sz w:val="24"/>
          <w:highlight w:val="none"/>
          <w:u w:val="single"/>
        </w:rPr>
      </w:pPr>
      <w:bookmarkStart w:id="69" w:name="bookmark64"/>
      <w:bookmarkEnd w:id="69"/>
      <w:r>
        <w:rPr>
          <w:rFonts w:hint="eastAsia" w:ascii="宋体" w:hAnsi="宋体" w:eastAsia="宋体" w:cs="宋体"/>
          <w:color w:val="auto"/>
          <w:highlight w:val="none"/>
        </w:rPr>
        <w:t>7.4 定标</w:t>
      </w:r>
      <w:r>
        <w:rPr>
          <w:rFonts w:hint="eastAsia" w:ascii="宋体" w:hAnsi="宋体" w:cs="宋体"/>
          <w:b/>
          <w:color w:val="auto"/>
          <w:sz w:val="24"/>
          <w:highlight w:val="none"/>
        </w:rPr>
        <w:t>（</w:t>
      </w:r>
      <w:r>
        <w:rPr>
          <w:rFonts w:hint="eastAsia" w:ascii="宋体" w:hAnsi="宋体" w:cs="宋体"/>
          <w:b/>
          <w:color w:val="auto"/>
          <w:sz w:val="24"/>
          <w:highlight w:val="none"/>
          <w:u w:val="single"/>
        </w:rPr>
        <w:t>本</w:t>
      </w:r>
      <w:r>
        <w:rPr>
          <w:rFonts w:hint="eastAsia" w:ascii="宋体" w:hAnsi="宋体" w:cs="宋体"/>
          <w:b/>
          <w:color w:val="auto"/>
          <w:sz w:val="24"/>
          <w:highlight w:val="none"/>
          <w:u w:val="single"/>
          <w:lang w:eastAsia="zh-CN"/>
        </w:rPr>
        <w:t>标段</w:t>
      </w:r>
      <w:r>
        <w:rPr>
          <w:rFonts w:hint="eastAsia" w:ascii="宋体" w:hAnsi="宋体" w:cs="宋体"/>
          <w:b/>
          <w:color w:val="auto"/>
          <w:sz w:val="24"/>
          <w:highlight w:val="none"/>
          <w:u w:val="single"/>
        </w:rPr>
        <w:t>采用“评定分离”确定有效中标人）</w:t>
      </w:r>
    </w:p>
    <w:p w14:paraId="1ABCF8EF">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7.</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.1采用评定分离方式（评标采用综合评估法，定标采用票决法</w:t>
      </w:r>
      <w:r>
        <w:rPr>
          <w:rFonts w:hint="eastAsia" w:ascii="宋体" w:hAnsi="宋体" w:cs="宋体"/>
          <w:color w:val="auto"/>
          <w:sz w:val="24"/>
          <w:highlight w:val="none"/>
          <w:u w:val="single"/>
          <w:lang w:val="en-US" w:eastAsia="zh-CN"/>
        </w:rPr>
        <w:t>+撰写评语</w:t>
      </w:r>
      <w:r>
        <w:rPr>
          <w:rFonts w:hint="eastAsia" w:ascii="宋体" w:hAnsi="宋体" w:cs="宋体"/>
          <w:color w:val="auto"/>
          <w:sz w:val="24"/>
          <w:highlight w:val="none"/>
          <w:u w:val="single"/>
        </w:rPr>
        <w:t>），评标委员会推荐合格中标候选人的人数详见第三章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评标</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定标办法</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14:paraId="6409AC57">
      <w:pPr>
        <w:adjustRightInd w:val="0"/>
        <w:snapToGrid w:val="0"/>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7.4.2依法必须进行公开招标的项目，招标人依据定标委员会的评审结果确定中标人。具体定标办法详见第三章评标、定标办法中的《定标因素表》。</w:t>
      </w:r>
    </w:p>
    <w:p w14:paraId="6FEAABBF">
      <w:pPr>
        <w:adjustRightInd w:val="0"/>
        <w:snapToGrid w:val="0"/>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7.4.3定标委员会按照第三章“评标、定标办法”中规定的定标方法、定标因素和评价标准对投标文件</w:t>
      </w:r>
      <w:r>
        <w:rPr>
          <w:rFonts w:hint="eastAsia" w:ascii="宋体" w:hAnsi="宋体" w:cs="宋体"/>
          <w:b w:val="0"/>
          <w:bCs/>
          <w:color w:val="auto"/>
          <w:sz w:val="24"/>
          <w:highlight w:val="none"/>
          <w:u w:val="single"/>
          <w:lang w:val="en-US" w:eastAsia="zh-CN"/>
        </w:rPr>
        <w:t>(定标部分）</w:t>
      </w:r>
      <w:r>
        <w:rPr>
          <w:rFonts w:hint="eastAsia" w:ascii="宋体" w:hAnsi="宋体" w:eastAsia="宋体" w:cs="宋体"/>
          <w:color w:val="auto"/>
          <w:sz w:val="24"/>
          <w:highlight w:val="none"/>
          <w:u w:val="single"/>
          <w:lang w:val="en-US" w:eastAsia="zh-CN"/>
        </w:rPr>
        <w:t>进行评审。第三章“评标、定标办法”没有规定的定标因素和评价标准，不作为定标依据。</w:t>
      </w:r>
    </w:p>
    <w:p w14:paraId="4BA355F0">
      <w:pPr>
        <w:adjustRightInd w:val="0"/>
        <w:snapToGrid w:val="0"/>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7.4.4定标委员会确定的中标人放弃中标、因不可抗力不能履行合同，或者被查实存在影响中标结果的违法行为等情形，不符合中标条件的，招标人可以</w:t>
      </w:r>
      <w:r>
        <w:rPr>
          <w:rFonts w:hint="eastAsia" w:ascii="宋体" w:hAnsi="宋体" w:cs="宋体"/>
          <w:b w:val="0"/>
          <w:bCs/>
          <w:color w:val="auto"/>
          <w:sz w:val="24"/>
          <w:highlight w:val="none"/>
          <w:u w:val="single"/>
          <w:lang w:val="en-US" w:eastAsia="zh-CN"/>
        </w:rPr>
        <w:t>按照</w:t>
      </w:r>
      <w:r>
        <w:rPr>
          <w:rFonts w:hint="eastAsia" w:ascii="宋体" w:hAnsi="宋体" w:cs="宋体"/>
          <w:b w:val="0"/>
          <w:bCs/>
          <w:color w:val="auto"/>
          <w:sz w:val="24"/>
          <w:highlight w:val="none"/>
          <w:u w:val="single"/>
        </w:rPr>
        <w:t>第三章“评标、定标办法”</w:t>
      </w:r>
      <w:r>
        <w:rPr>
          <w:rFonts w:hint="eastAsia" w:ascii="宋体" w:hAnsi="宋体" w:eastAsia="宋体" w:cs="宋体"/>
          <w:bCs/>
          <w:color w:val="auto"/>
          <w:sz w:val="24"/>
          <w:highlight w:val="none"/>
          <w:u w:val="single"/>
          <w:lang w:eastAsia="zh-CN"/>
        </w:rPr>
        <w:t>3.</w:t>
      </w:r>
      <w:r>
        <w:rPr>
          <w:rFonts w:hint="eastAsia" w:ascii="宋体" w:hAnsi="宋体" w:eastAsia="宋体" w:cs="宋体"/>
          <w:bCs/>
          <w:color w:val="auto"/>
          <w:sz w:val="24"/>
          <w:highlight w:val="none"/>
          <w:u w:val="single"/>
          <w:lang w:val="en-US" w:eastAsia="zh-CN"/>
        </w:rPr>
        <w:t>5</w:t>
      </w:r>
      <w:r>
        <w:rPr>
          <w:rFonts w:hint="eastAsia" w:ascii="宋体" w:hAnsi="宋体" w:cs="宋体"/>
          <w:bCs/>
          <w:color w:val="auto"/>
          <w:sz w:val="24"/>
          <w:highlight w:val="none"/>
          <w:u w:val="single"/>
          <w:lang w:val="en-US" w:eastAsia="zh-CN"/>
        </w:rPr>
        <w:t>重新组织定标，</w:t>
      </w:r>
      <w:r>
        <w:rPr>
          <w:rFonts w:hint="eastAsia" w:ascii="宋体" w:hAnsi="宋体" w:cs="宋体"/>
          <w:b w:val="0"/>
          <w:bCs/>
          <w:color w:val="auto"/>
          <w:sz w:val="24"/>
          <w:highlight w:val="none"/>
          <w:u w:val="single"/>
        </w:rPr>
        <w:t>由原定标委员会从其他合格中标候选人中确定中标人，也可以重新招标</w:t>
      </w:r>
      <w:r>
        <w:rPr>
          <w:rFonts w:hint="eastAsia" w:ascii="宋体" w:hAnsi="宋体" w:eastAsia="宋体" w:cs="宋体"/>
          <w:color w:val="auto"/>
          <w:sz w:val="24"/>
          <w:highlight w:val="none"/>
          <w:u w:val="single"/>
          <w:lang w:val="en-US" w:eastAsia="zh-CN"/>
        </w:rPr>
        <w:t>。</w:t>
      </w:r>
    </w:p>
    <w:p w14:paraId="42DEAA06">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highlight w:val="none"/>
        </w:rPr>
      </w:pPr>
      <w:bookmarkStart w:id="70" w:name="bookmark65"/>
      <w:bookmarkEnd w:id="70"/>
      <w:r>
        <w:rPr>
          <w:rFonts w:hint="eastAsia" w:ascii="宋体" w:hAnsi="宋体" w:eastAsia="宋体" w:cs="宋体"/>
          <w:color w:val="auto"/>
          <w:sz w:val="24"/>
          <w:highlight w:val="none"/>
        </w:rPr>
        <w:t>7.5 中标通知</w:t>
      </w:r>
    </w:p>
    <w:p w14:paraId="263BB1F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71" w:name="bookmark66"/>
      <w:bookmarkEnd w:id="71"/>
      <w:r>
        <w:rPr>
          <w:rFonts w:hint="eastAsia"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28E7035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31D2D1C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7.6 履约保证金</w:t>
      </w:r>
    </w:p>
    <w:p w14:paraId="40BD2F3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strike/>
          <w:color w:val="auto"/>
          <w:spacing w:val="-2"/>
          <w:sz w:val="24"/>
          <w:szCs w:val="24"/>
          <w:highlight w:val="none"/>
          <w:lang w:eastAsia="zh-CN"/>
        </w:rPr>
        <w:t>主办方</w:t>
      </w:r>
      <w:r>
        <w:rPr>
          <w:rFonts w:hint="eastAsia" w:cs="宋体"/>
          <w:strike/>
          <w:color w:val="auto"/>
          <w:sz w:val="24"/>
          <w:szCs w:val="24"/>
          <w:highlight w:val="none"/>
        </w:rPr>
        <w:t>的名义提交。</w:t>
      </w:r>
    </w:p>
    <w:p w14:paraId="4A8F562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2E89BB5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2" w:name="bookmark67"/>
      <w:bookmarkEnd w:id="72"/>
      <w:r>
        <w:rPr>
          <w:rFonts w:hint="eastAsia" w:ascii="宋体" w:hAnsi="宋体" w:eastAsia="宋体" w:cs="宋体"/>
          <w:color w:val="auto"/>
          <w:highlight w:val="none"/>
        </w:rPr>
        <w:t>7.7 签订合同</w:t>
      </w:r>
    </w:p>
    <w:p w14:paraId="102EDA3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276089F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39C43A2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15E8BB80">
      <w:pPr>
        <w:pStyle w:val="4"/>
        <w:outlineLvl w:val="1"/>
        <w:rPr>
          <w:rFonts w:hint="eastAsia" w:ascii="宋体" w:hAnsi="宋体" w:eastAsia="宋体" w:cs="宋体"/>
          <w:b w:val="0"/>
          <w:color w:val="auto"/>
          <w:sz w:val="30"/>
          <w:szCs w:val="24"/>
          <w:highlight w:val="none"/>
        </w:rPr>
      </w:pPr>
      <w:bookmarkStart w:id="73" w:name="bookmark68"/>
      <w:bookmarkEnd w:id="73"/>
      <w:bookmarkStart w:id="74" w:name="_Toc5503"/>
      <w:r>
        <w:rPr>
          <w:rFonts w:hint="eastAsia" w:cs="宋体"/>
          <w:color w:val="auto"/>
          <w:sz w:val="24"/>
          <w:szCs w:val="24"/>
          <w:highlight w:val="none"/>
        </w:rPr>
        <w:t>8.纪律和监督</w:t>
      </w:r>
      <w:bookmarkEnd w:id="74"/>
    </w:p>
    <w:p w14:paraId="134E7BB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5" w:name="bookmark69"/>
      <w:bookmarkEnd w:id="75"/>
      <w:r>
        <w:rPr>
          <w:rFonts w:hint="eastAsia" w:ascii="宋体" w:hAnsi="宋体" w:eastAsia="宋体" w:cs="宋体"/>
          <w:color w:val="auto"/>
          <w:highlight w:val="none"/>
        </w:rPr>
        <w:t>8.1 对招标人的纪律要求</w:t>
      </w:r>
    </w:p>
    <w:p w14:paraId="27C0E9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招标人不得泄露招标投标活动中应当保密的情况和资料，不得与投标人串通损害国家利益、社会公共利益或者他人合法权益。</w:t>
      </w:r>
    </w:p>
    <w:p w14:paraId="4158FF7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6" w:name="bookmark70"/>
      <w:bookmarkEnd w:id="76"/>
      <w:r>
        <w:rPr>
          <w:rFonts w:hint="eastAsia" w:ascii="宋体" w:hAnsi="宋体" w:eastAsia="宋体" w:cs="宋体"/>
          <w:color w:val="auto"/>
          <w:highlight w:val="none"/>
        </w:rPr>
        <w:t>8.2 对投标人的纪律要求</w:t>
      </w:r>
    </w:p>
    <w:p w14:paraId="2421688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委员会成员行贿谋取中标，不得以他人名义投标或者以其他方式弄虚作假骗取中标；投标人不得以任何方式干扰、影响评标</w:t>
      </w:r>
      <w:r>
        <w:rPr>
          <w:rFonts w:hint="eastAsia" w:cs="宋体"/>
          <w:color w:val="auto"/>
          <w:sz w:val="24"/>
          <w:szCs w:val="24"/>
          <w:highlight w:val="none"/>
          <w:u w:val="single"/>
          <w:lang w:eastAsia="zh-CN"/>
        </w:rPr>
        <w:t>、定标</w:t>
      </w:r>
      <w:r>
        <w:rPr>
          <w:rFonts w:hint="eastAsia" w:cs="宋体"/>
          <w:color w:val="auto"/>
          <w:sz w:val="24"/>
          <w:szCs w:val="24"/>
          <w:highlight w:val="none"/>
        </w:rPr>
        <w:t>工作。</w:t>
      </w:r>
    </w:p>
    <w:p w14:paraId="46EE762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7" w:name="bookmark71"/>
      <w:bookmarkEnd w:id="77"/>
      <w:r>
        <w:rPr>
          <w:rFonts w:hint="eastAsia" w:ascii="宋体" w:hAnsi="宋体" w:eastAsia="宋体" w:cs="宋体"/>
          <w:color w:val="auto"/>
          <w:highlight w:val="none"/>
        </w:rPr>
        <w:t>8.3 对评标</w:t>
      </w:r>
      <w:r>
        <w:rPr>
          <w:rFonts w:hint="eastAsia" w:ascii="宋体" w:hAnsi="宋体" w:cs="宋体"/>
          <w:color w:val="auto"/>
          <w:highlight w:val="none"/>
          <w:u w:val="single"/>
          <w:lang w:eastAsia="zh-CN"/>
        </w:rPr>
        <w:t>、定标</w:t>
      </w:r>
      <w:r>
        <w:rPr>
          <w:rFonts w:hint="eastAsia" w:ascii="宋体" w:hAnsi="宋体" w:eastAsia="宋体" w:cs="宋体"/>
          <w:color w:val="auto"/>
          <w:highlight w:val="none"/>
        </w:rPr>
        <w:t>委员会成员的纪律要求</w:t>
      </w:r>
    </w:p>
    <w:p w14:paraId="5B98CC0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委员会成员应当客观、公正地履行职责，遵守职业道德，不得擅离职守，影响评标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程序正常进行，不得使用第三章“评标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办法”没有规定的评审因素和标准进行评标</w:t>
      </w:r>
      <w:r>
        <w:rPr>
          <w:rFonts w:hint="eastAsia" w:cs="宋体"/>
          <w:color w:val="auto"/>
          <w:sz w:val="24"/>
          <w:szCs w:val="24"/>
          <w:highlight w:val="none"/>
          <w:u w:val="single"/>
          <w:lang w:eastAsia="zh-CN"/>
        </w:rPr>
        <w:t>、定标</w:t>
      </w:r>
      <w:r>
        <w:rPr>
          <w:rFonts w:hint="eastAsia" w:cs="宋体"/>
          <w:color w:val="auto"/>
          <w:sz w:val="24"/>
          <w:szCs w:val="24"/>
          <w:highlight w:val="none"/>
        </w:rPr>
        <w:t>。</w:t>
      </w:r>
    </w:p>
    <w:p w14:paraId="2B6FA1A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8" w:name="bookmark72"/>
      <w:bookmarkEnd w:id="78"/>
      <w:r>
        <w:rPr>
          <w:rFonts w:hint="eastAsia" w:ascii="宋体" w:hAnsi="宋体" w:eastAsia="宋体" w:cs="宋体"/>
          <w:color w:val="auto"/>
          <w:highlight w:val="none"/>
        </w:rPr>
        <w:t>8.4 对与评标</w:t>
      </w:r>
      <w:r>
        <w:rPr>
          <w:rFonts w:hint="eastAsia" w:cs="宋体"/>
          <w:color w:val="auto"/>
          <w:sz w:val="24"/>
          <w:szCs w:val="24"/>
          <w:highlight w:val="none"/>
          <w:u w:val="single"/>
          <w:lang w:eastAsia="zh-CN"/>
        </w:rPr>
        <w:t>、定标</w:t>
      </w:r>
      <w:r>
        <w:rPr>
          <w:rFonts w:hint="eastAsia" w:ascii="宋体" w:hAnsi="宋体" w:eastAsia="宋体" w:cs="宋体"/>
          <w:color w:val="auto"/>
          <w:highlight w:val="none"/>
        </w:rPr>
        <w:t>活动有关的工作人员的纪律要求</w:t>
      </w:r>
    </w:p>
    <w:p w14:paraId="1FD8D6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w:t>
      </w:r>
    </w:p>
    <w:p w14:paraId="2A5C4B1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9" w:name="bookmark73"/>
      <w:bookmarkEnd w:id="79"/>
      <w:r>
        <w:rPr>
          <w:rFonts w:hint="eastAsia" w:ascii="宋体" w:hAnsi="宋体" w:eastAsia="宋体" w:cs="宋体"/>
          <w:color w:val="auto"/>
          <w:highlight w:val="none"/>
        </w:rPr>
        <w:t>8.5 投诉</w:t>
      </w:r>
    </w:p>
    <w:p w14:paraId="01C390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501C67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8.5.2  投标人或者其他利害关系人对招标文件、开标和评标</w:t>
      </w:r>
      <w:r>
        <w:rPr>
          <w:rFonts w:hint="eastAsia" w:cs="宋体"/>
          <w:color w:val="auto"/>
          <w:sz w:val="24"/>
          <w:szCs w:val="24"/>
          <w:highlight w:val="none"/>
          <w:u w:val="single"/>
          <w:lang w:eastAsia="zh-CN"/>
        </w:rPr>
        <w:t>、定标</w:t>
      </w:r>
      <w:r>
        <w:rPr>
          <w:rFonts w:hint="eastAsia" w:cs="宋体"/>
          <w:color w:val="auto"/>
          <w:sz w:val="24"/>
          <w:szCs w:val="24"/>
          <w:highlight w:val="none"/>
        </w:rPr>
        <w:t>结果提出投诉的，应当按照投标人须知第2.4款、第5.3款和第7.2款的规定先向招标人提出异议。异议答复期间不计算在第8.5.1项规定的期限内。</w:t>
      </w:r>
    </w:p>
    <w:p w14:paraId="08E9A286">
      <w:pPr>
        <w:pStyle w:val="4"/>
        <w:outlineLvl w:val="1"/>
        <w:rPr>
          <w:rFonts w:hint="eastAsia" w:ascii="宋体" w:hAnsi="宋体" w:eastAsia="宋体" w:cs="宋体"/>
          <w:b w:val="0"/>
          <w:color w:val="auto"/>
          <w:sz w:val="19"/>
          <w:szCs w:val="24"/>
          <w:highlight w:val="none"/>
        </w:rPr>
      </w:pPr>
      <w:bookmarkStart w:id="80" w:name="bookmark74"/>
      <w:bookmarkEnd w:id="80"/>
      <w:bookmarkStart w:id="81" w:name="_Toc31836"/>
      <w:r>
        <w:rPr>
          <w:rFonts w:hint="eastAsia" w:cs="宋体"/>
          <w:color w:val="auto"/>
          <w:sz w:val="24"/>
          <w:szCs w:val="24"/>
          <w:highlight w:val="none"/>
        </w:rPr>
        <w:t>9.采用电子招标投标</w:t>
      </w:r>
      <w:bookmarkEnd w:id="81"/>
    </w:p>
    <w:p w14:paraId="0ED52E6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cs="宋体"/>
          <w:color w:val="auto"/>
          <w:sz w:val="24"/>
          <w:szCs w:val="24"/>
          <w:highlight w:val="none"/>
        </w:rPr>
        <w:t>。</w:t>
      </w:r>
    </w:p>
    <w:p w14:paraId="71C96E1B">
      <w:pPr>
        <w:pStyle w:val="4"/>
        <w:outlineLvl w:val="1"/>
        <w:rPr>
          <w:rFonts w:hint="eastAsia" w:ascii="宋体" w:hAnsi="宋体" w:eastAsia="宋体" w:cs="宋体"/>
          <w:b w:val="0"/>
          <w:color w:val="auto"/>
          <w:sz w:val="19"/>
          <w:szCs w:val="24"/>
          <w:highlight w:val="none"/>
        </w:rPr>
      </w:pPr>
      <w:bookmarkStart w:id="82" w:name="bookmark75"/>
      <w:bookmarkEnd w:id="82"/>
      <w:bookmarkStart w:id="83" w:name="_Toc7238"/>
      <w:r>
        <w:rPr>
          <w:rFonts w:hint="eastAsia" w:cs="宋体"/>
          <w:color w:val="auto"/>
          <w:sz w:val="24"/>
          <w:szCs w:val="24"/>
          <w:highlight w:val="none"/>
        </w:rPr>
        <w:t>10.需要补充的其他内容</w:t>
      </w:r>
      <w:bookmarkEnd w:id="83"/>
    </w:p>
    <w:p w14:paraId="2CBCD97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需要补充的其他内容：见投标人须知前附表。</w:t>
      </w:r>
    </w:p>
    <w:p w14:paraId="76A14AD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0CAAAFB4">
      <w:pPr>
        <w:pStyle w:val="5"/>
        <w:outlineLvl w:val="0"/>
        <w:rPr>
          <w:rFonts w:hint="eastAsia" w:cs="宋体"/>
          <w:color w:val="auto"/>
          <w:sz w:val="28"/>
          <w:szCs w:val="24"/>
          <w:highlight w:val="none"/>
        </w:rPr>
      </w:pPr>
      <w:bookmarkStart w:id="84" w:name="bookmark76"/>
      <w:bookmarkEnd w:id="84"/>
      <w:bookmarkStart w:id="85" w:name="bookmark77"/>
      <w:bookmarkEnd w:id="85"/>
      <w:bookmarkStart w:id="86" w:name="_Toc5057"/>
      <w:bookmarkStart w:id="87" w:name="_Toc1460"/>
      <w:r>
        <w:rPr>
          <w:rFonts w:hint="eastAsia" w:cs="宋体"/>
          <w:color w:val="auto"/>
          <w:sz w:val="28"/>
          <w:szCs w:val="24"/>
          <w:highlight w:val="none"/>
        </w:rPr>
        <w:t>附件</w:t>
      </w:r>
      <w:r>
        <w:rPr>
          <w:rFonts w:hint="eastAsia" w:cs="宋体"/>
          <w:color w:val="auto"/>
          <w:sz w:val="28"/>
          <w:szCs w:val="24"/>
          <w:highlight w:val="none"/>
          <w:lang w:eastAsia="zh-CN"/>
        </w:rPr>
        <w:t>一</w:t>
      </w:r>
      <w:r>
        <w:rPr>
          <w:rFonts w:hint="eastAsia" w:cs="宋体"/>
          <w:color w:val="auto"/>
          <w:sz w:val="28"/>
          <w:szCs w:val="24"/>
          <w:highlight w:val="none"/>
        </w:rPr>
        <w:t>：问题澄清通知</w:t>
      </w:r>
      <w:bookmarkEnd w:id="86"/>
      <w:bookmarkEnd w:id="87"/>
    </w:p>
    <w:p w14:paraId="4ECAD1E1">
      <w:pPr>
        <w:pStyle w:val="12"/>
        <w:kinsoku w:val="0"/>
        <w:overflowPunct w:val="0"/>
        <w:ind w:left="0"/>
        <w:rPr>
          <w:rFonts w:hint="eastAsia" w:cs="宋体"/>
          <w:color w:val="auto"/>
          <w:sz w:val="20"/>
          <w:szCs w:val="24"/>
          <w:highlight w:val="none"/>
        </w:rPr>
      </w:pPr>
    </w:p>
    <w:p w14:paraId="63082682">
      <w:pPr>
        <w:pStyle w:val="12"/>
        <w:kinsoku w:val="0"/>
        <w:overflowPunct w:val="0"/>
        <w:ind w:left="0"/>
        <w:rPr>
          <w:rFonts w:hint="eastAsia" w:cs="宋体"/>
          <w:color w:val="auto"/>
          <w:sz w:val="20"/>
          <w:szCs w:val="24"/>
          <w:highlight w:val="none"/>
        </w:rPr>
      </w:pPr>
    </w:p>
    <w:p w14:paraId="3B90AF3D">
      <w:pPr>
        <w:pStyle w:val="12"/>
        <w:kinsoku w:val="0"/>
        <w:overflowPunct w:val="0"/>
        <w:ind w:left="0"/>
        <w:rPr>
          <w:rFonts w:hint="eastAsia" w:cs="宋体"/>
          <w:color w:val="auto"/>
          <w:sz w:val="20"/>
          <w:szCs w:val="24"/>
          <w:highlight w:val="none"/>
        </w:rPr>
      </w:pPr>
    </w:p>
    <w:p w14:paraId="0B4B2492">
      <w:pPr>
        <w:pStyle w:val="12"/>
        <w:kinsoku w:val="0"/>
        <w:overflowPunct w:val="0"/>
        <w:spacing w:before="4"/>
        <w:ind w:left="0"/>
        <w:rPr>
          <w:rFonts w:hint="eastAsia" w:cs="宋体"/>
          <w:color w:val="auto"/>
          <w:sz w:val="17"/>
          <w:szCs w:val="24"/>
          <w:highlight w:val="none"/>
        </w:rPr>
      </w:pPr>
    </w:p>
    <w:p w14:paraId="3F0544A1">
      <w:pPr>
        <w:pStyle w:val="12"/>
        <w:kinsoku w:val="0"/>
        <w:overflowPunct w:val="0"/>
        <w:spacing w:before="14"/>
        <w:ind w:left="0" w:right="13"/>
        <w:jc w:val="center"/>
        <w:rPr>
          <w:rFonts w:hint="eastAsia" w:cs="宋体"/>
          <w:color w:val="auto"/>
          <w:sz w:val="28"/>
          <w:szCs w:val="24"/>
          <w:highlight w:val="none"/>
        </w:rPr>
      </w:pPr>
      <w:r>
        <w:rPr>
          <w:rFonts w:hint="eastAsia" w:cs="宋体"/>
          <w:color w:val="auto"/>
          <w:sz w:val="28"/>
          <w:szCs w:val="24"/>
          <w:highlight w:val="none"/>
        </w:rPr>
        <w:t>问题澄清通知</w:t>
      </w:r>
    </w:p>
    <w:p w14:paraId="47C29483">
      <w:pPr>
        <w:pStyle w:val="12"/>
        <w:tabs>
          <w:tab w:val="left" w:pos="2937"/>
        </w:tabs>
        <w:kinsoku w:val="0"/>
        <w:overflowPunct w:val="0"/>
        <w:spacing w:before="157"/>
        <w:ind w:left="0" w:right="20"/>
        <w:jc w:val="center"/>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5FBEA33E">
      <w:pPr>
        <w:pStyle w:val="12"/>
        <w:kinsoku w:val="0"/>
        <w:overflowPunct w:val="0"/>
        <w:ind w:left="0"/>
        <w:rPr>
          <w:rFonts w:hint="eastAsia" w:cs="宋体"/>
          <w:color w:val="auto"/>
          <w:sz w:val="20"/>
          <w:szCs w:val="24"/>
          <w:highlight w:val="none"/>
        </w:rPr>
      </w:pPr>
    </w:p>
    <w:p w14:paraId="52F1B83B">
      <w:pPr>
        <w:pStyle w:val="12"/>
        <w:kinsoku w:val="0"/>
        <w:overflowPunct w:val="0"/>
        <w:spacing w:before="5"/>
        <w:ind w:left="0"/>
        <w:rPr>
          <w:rFonts w:hint="eastAsia" w:cs="宋体"/>
          <w:color w:val="auto"/>
          <w:sz w:val="23"/>
          <w:szCs w:val="24"/>
          <w:highlight w:val="none"/>
        </w:rPr>
      </w:pPr>
    </w:p>
    <w:p w14:paraId="3824E7DF">
      <w:pPr>
        <w:pStyle w:val="12"/>
        <w:tabs>
          <w:tab w:val="left" w:pos="2305"/>
        </w:tabs>
        <w:kinsoku w:val="0"/>
        <w:overflowPunct w:val="0"/>
        <w:spacing w:before="36"/>
        <w:ind w:left="100" w:right="113"/>
        <w:rPr>
          <w:rFonts w:hint="eastAsia"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15"/>
          <w:sz w:val="21"/>
          <w:szCs w:val="24"/>
          <w:highlight w:val="none"/>
        </w:rPr>
        <w:t>（投标人名称）：</w:t>
      </w:r>
    </w:p>
    <w:p w14:paraId="4B7D3603">
      <w:pPr>
        <w:pStyle w:val="12"/>
        <w:kinsoku w:val="0"/>
        <w:overflowPunct w:val="0"/>
        <w:ind w:left="0"/>
        <w:rPr>
          <w:rFonts w:hint="eastAsia" w:cs="宋体"/>
          <w:color w:val="auto"/>
          <w:sz w:val="20"/>
          <w:szCs w:val="24"/>
          <w:highlight w:val="none"/>
        </w:rPr>
      </w:pPr>
    </w:p>
    <w:p w14:paraId="04341783">
      <w:pPr>
        <w:pStyle w:val="12"/>
        <w:kinsoku w:val="0"/>
        <w:overflowPunct w:val="0"/>
        <w:spacing w:before="8"/>
        <w:ind w:left="0"/>
        <w:rPr>
          <w:rFonts w:hint="eastAsia" w:cs="宋体"/>
          <w:color w:val="auto"/>
          <w:sz w:val="23"/>
          <w:szCs w:val="24"/>
          <w:highlight w:val="none"/>
        </w:rPr>
      </w:pPr>
    </w:p>
    <w:p w14:paraId="2E8E0D6C">
      <w:pPr>
        <w:pStyle w:val="12"/>
        <w:kinsoku w:val="0"/>
        <w:overflowPunct w:val="0"/>
        <w:spacing w:before="36" w:line="384" w:lineRule="auto"/>
        <w:ind w:left="100" w:right="113" w:firstLine="422"/>
        <w:rPr>
          <w:rFonts w:hint="eastAsia" w:cs="宋体"/>
          <w:color w:val="auto"/>
          <w:sz w:val="21"/>
          <w:szCs w:val="24"/>
          <w:highlight w:val="none"/>
        </w:rPr>
      </w:pPr>
      <w:r>
        <w:rPr>
          <w:rFonts w:hint="eastAsia" w:cs="宋体"/>
          <w:color w:val="auto"/>
          <w:spacing w:val="-1"/>
          <w:sz w:val="21"/>
          <w:szCs w:val="24"/>
          <w:highlight w:val="none"/>
        </w:rPr>
        <w:t>评标委员会对你方的投标文件进行了仔细的审查，现需你方对下列问题以书面形式予以澄</w:t>
      </w:r>
      <w:r>
        <w:rPr>
          <w:rFonts w:hint="eastAsia" w:cs="宋体"/>
          <w:color w:val="auto"/>
          <w:sz w:val="21"/>
          <w:szCs w:val="24"/>
          <w:highlight w:val="none"/>
        </w:rPr>
        <w:t xml:space="preserve"> 清、说明或补正：</w:t>
      </w:r>
    </w:p>
    <w:p w14:paraId="3CFC84D9">
      <w:pPr>
        <w:pStyle w:val="12"/>
        <w:kinsoku w:val="0"/>
        <w:overflowPunct w:val="0"/>
        <w:ind w:left="0"/>
        <w:rPr>
          <w:rFonts w:hint="eastAsia" w:cs="宋体"/>
          <w:color w:val="auto"/>
          <w:sz w:val="20"/>
          <w:szCs w:val="24"/>
          <w:highlight w:val="none"/>
        </w:rPr>
      </w:pPr>
    </w:p>
    <w:p w14:paraId="29430A36">
      <w:pPr>
        <w:pStyle w:val="12"/>
        <w:kinsoku w:val="0"/>
        <w:overflowPunct w:val="0"/>
        <w:spacing w:before="6"/>
        <w:ind w:left="0"/>
        <w:rPr>
          <w:rFonts w:hint="eastAsia" w:cs="宋体"/>
          <w:color w:val="auto"/>
          <w:sz w:val="20"/>
          <w:szCs w:val="24"/>
          <w:highlight w:val="none"/>
        </w:rPr>
      </w:pPr>
    </w:p>
    <w:p w14:paraId="7A290B3C">
      <w:pPr>
        <w:pStyle w:val="12"/>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157950B2">
      <w:pPr>
        <w:pStyle w:val="12"/>
        <w:kinsoku w:val="0"/>
        <w:overflowPunct w:val="0"/>
        <w:spacing w:before="2"/>
        <w:ind w:left="0"/>
        <w:rPr>
          <w:rFonts w:hint="eastAsia" w:ascii="宋体" w:hAnsi="宋体" w:eastAsia="宋体" w:cs="宋体"/>
          <w:color w:val="auto"/>
          <w:sz w:val="17"/>
          <w:szCs w:val="24"/>
          <w:highlight w:val="none"/>
        </w:rPr>
      </w:pPr>
    </w:p>
    <w:p w14:paraId="0E760ED1">
      <w:pPr>
        <w:pStyle w:val="12"/>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7204D5A9">
      <w:pPr>
        <w:pStyle w:val="12"/>
        <w:kinsoku w:val="0"/>
        <w:overflowPunct w:val="0"/>
        <w:spacing w:before="5"/>
        <w:ind w:left="0"/>
        <w:rPr>
          <w:rFonts w:hint="eastAsia" w:ascii="宋体" w:hAnsi="宋体" w:eastAsia="宋体" w:cs="宋体"/>
          <w:color w:val="auto"/>
          <w:sz w:val="17"/>
          <w:szCs w:val="24"/>
          <w:highlight w:val="none"/>
        </w:rPr>
      </w:pPr>
    </w:p>
    <w:p w14:paraId="3B657748">
      <w:pPr>
        <w:pStyle w:val="12"/>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3040C5FC">
      <w:pPr>
        <w:pStyle w:val="12"/>
        <w:kinsoku w:val="0"/>
        <w:overflowPunct w:val="0"/>
        <w:ind w:left="0"/>
        <w:rPr>
          <w:rFonts w:hint="eastAsia" w:ascii="宋体" w:hAnsi="宋体" w:eastAsia="宋体" w:cs="宋体"/>
          <w:color w:val="auto"/>
          <w:sz w:val="20"/>
          <w:szCs w:val="24"/>
          <w:highlight w:val="none"/>
        </w:rPr>
      </w:pPr>
    </w:p>
    <w:p w14:paraId="49E77237">
      <w:pPr>
        <w:pStyle w:val="12"/>
        <w:kinsoku w:val="0"/>
        <w:overflowPunct w:val="0"/>
        <w:ind w:left="0"/>
        <w:rPr>
          <w:rFonts w:hint="eastAsia" w:ascii="宋体" w:hAnsi="宋体" w:eastAsia="宋体" w:cs="宋体"/>
          <w:color w:val="auto"/>
          <w:sz w:val="20"/>
          <w:szCs w:val="24"/>
          <w:highlight w:val="none"/>
        </w:rPr>
      </w:pPr>
    </w:p>
    <w:p w14:paraId="2EE20742">
      <w:pPr>
        <w:pStyle w:val="12"/>
        <w:tabs>
          <w:tab w:val="left" w:pos="4603"/>
          <w:tab w:val="left" w:pos="5549"/>
          <w:tab w:val="left" w:pos="6494"/>
          <w:tab w:val="left" w:pos="7438"/>
        </w:tabs>
        <w:kinsoku w:val="0"/>
        <w:overflowPunct w:val="0"/>
        <w:spacing w:before="127"/>
        <w:ind w:left="505" w:right="113"/>
        <w:rPr>
          <w:rFonts w:hint="eastAsia" w:cs="宋体"/>
          <w:color w:val="auto"/>
          <w:spacing w:val="-2"/>
          <w:sz w:val="21"/>
          <w:szCs w:val="24"/>
          <w:highlight w:val="none"/>
        </w:rPr>
      </w:pPr>
      <w:r>
        <w:rPr>
          <w:rFonts w:hint="eastAsia"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cs="宋体"/>
          <w:color w:val="auto"/>
          <w:spacing w:val="-2"/>
          <w:sz w:val="21"/>
          <w:szCs w:val="24"/>
          <w:highlight w:val="none"/>
        </w:rPr>
        <w:t>时前递交至</w:t>
      </w:r>
    </w:p>
    <w:p w14:paraId="4B430106">
      <w:pPr>
        <w:pStyle w:val="12"/>
        <w:kinsoku w:val="0"/>
        <w:overflowPunct w:val="0"/>
        <w:spacing w:before="13"/>
        <w:ind w:left="0"/>
        <w:rPr>
          <w:rFonts w:hint="eastAsia" w:cs="宋体"/>
          <w:color w:val="auto"/>
          <w:sz w:val="9"/>
          <w:szCs w:val="24"/>
          <w:highlight w:val="none"/>
        </w:rPr>
      </w:pPr>
    </w:p>
    <w:p w14:paraId="5E2A4473">
      <w:pPr>
        <w:pStyle w:val="12"/>
        <w:tabs>
          <w:tab w:val="left" w:pos="3040"/>
          <w:tab w:val="left" w:pos="7296"/>
        </w:tabs>
        <w:kinsoku w:val="0"/>
        <w:overflowPunct w:val="0"/>
        <w:spacing w:before="36"/>
        <w:ind w:left="100"/>
        <w:rPr>
          <w:rFonts w:hint="eastAsia"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cs="宋体"/>
          <w:color w:val="auto"/>
          <w:spacing w:val="-5"/>
          <w:sz w:val="21"/>
          <w:szCs w:val="24"/>
          <w:highlight w:val="none"/>
        </w:rPr>
        <w:t>（传真号码）或</w:t>
      </w:r>
    </w:p>
    <w:p w14:paraId="21B0DA4B">
      <w:pPr>
        <w:pStyle w:val="12"/>
        <w:kinsoku w:val="0"/>
        <w:overflowPunct w:val="0"/>
        <w:spacing w:before="10"/>
        <w:ind w:left="0"/>
        <w:rPr>
          <w:rFonts w:hint="eastAsia" w:cs="宋体"/>
          <w:color w:val="auto"/>
          <w:sz w:val="9"/>
          <w:szCs w:val="24"/>
          <w:highlight w:val="none"/>
        </w:rPr>
      </w:pPr>
    </w:p>
    <w:p w14:paraId="0E60DD44">
      <w:pPr>
        <w:pStyle w:val="12"/>
        <w:tabs>
          <w:tab w:val="left" w:pos="7138"/>
          <w:tab w:val="left" w:pos="8084"/>
        </w:tabs>
        <w:kinsoku w:val="0"/>
        <w:overflowPunct w:val="0"/>
        <w:spacing w:before="36"/>
        <w:ind w:left="100" w:right="113"/>
        <w:rPr>
          <w:rFonts w:hint="eastAsia" w:cs="宋体"/>
          <w:color w:val="auto"/>
          <w:sz w:val="21"/>
          <w:szCs w:val="24"/>
          <w:highlight w:val="none"/>
        </w:rPr>
      </w:pPr>
      <w:r>
        <w:rPr>
          <w:rFonts w:hint="eastAsia"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p>
    <w:p w14:paraId="68A074A3">
      <w:pPr>
        <w:pStyle w:val="12"/>
        <w:kinsoku w:val="0"/>
        <w:overflowPunct w:val="0"/>
        <w:spacing w:before="10"/>
        <w:ind w:left="0"/>
        <w:rPr>
          <w:rFonts w:hint="eastAsia" w:cs="宋体"/>
          <w:color w:val="auto"/>
          <w:sz w:val="9"/>
          <w:szCs w:val="24"/>
          <w:highlight w:val="none"/>
        </w:rPr>
      </w:pPr>
    </w:p>
    <w:p w14:paraId="046D5146">
      <w:pPr>
        <w:pStyle w:val="12"/>
        <w:tabs>
          <w:tab w:val="left" w:pos="837"/>
          <w:tab w:val="left" w:pos="1782"/>
          <w:tab w:val="left" w:pos="5669"/>
        </w:tabs>
        <w:kinsoku w:val="0"/>
        <w:overflowPunct w:val="0"/>
        <w:spacing w:before="36"/>
        <w:ind w:left="100" w:right="113"/>
        <w:rPr>
          <w:rFonts w:hint="eastAsia"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cs="宋体"/>
          <w:color w:val="auto"/>
          <w:spacing w:val="-17"/>
          <w:sz w:val="21"/>
          <w:szCs w:val="24"/>
          <w:highlight w:val="none"/>
        </w:rPr>
        <w:t>（详细地址）。</w:t>
      </w:r>
    </w:p>
    <w:p w14:paraId="76DBF339">
      <w:pPr>
        <w:pStyle w:val="12"/>
        <w:kinsoku w:val="0"/>
        <w:overflowPunct w:val="0"/>
        <w:ind w:left="0"/>
        <w:rPr>
          <w:rFonts w:hint="eastAsia" w:cs="宋体"/>
          <w:color w:val="auto"/>
          <w:sz w:val="20"/>
          <w:szCs w:val="24"/>
          <w:highlight w:val="none"/>
        </w:rPr>
      </w:pPr>
    </w:p>
    <w:p w14:paraId="5AB1415E">
      <w:pPr>
        <w:pStyle w:val="12"/>
        <w:kinsoku w:val="0"/>
        <w:overflowPunct w:val="0"/>
        <w:ind w:left="0"/>
        <w:rPr>
          <w:rFonts w:hint="eastAsia" w:cs="宋体"/>
          <w:color w:val="auto"/>
          <w:sz w:val="20"/>
          <w:szCs w:val="24"/>
          <w:highlight w:val="none"/>
        </w:rPr>
      </w:pPr>
    </w:p>
    <w:p w14:paraId="551DE358">
      <w:pPr>
        <w:pStyle w:val="12"/>
        <w:kinsoku w:val="0"/>
        <w:overflowPunct w:val="0"/>
        <w:ind w:left="0"/>
        <w:rPr>
          <w:rFonts w:hint="eastAsia" w:cs="宋体"/>
          <w:color w:val="auto"/>
          <w:sz w:val="20"/>
          <w:szCs w:val="24"/>
          <w:highlight w:val="none"/>
        </w:rPr>
      </w:pPr>
    </w:p>
    <w:p w14:paraId="249D1CF7">
      <w:pPr>
        <w:pStyle w:val="12"/>
        <w:kinsoku w:val="0"/>
        <w:overflowPunct w:val="0"/>
        <w:spacing w:before="2"/>
        <w:ind w:left="0"/>
        <w:rPr>
          <w:rFonts w:hint="eastAsia" w:cs="宋体"/>
          <w:color w:val="auto"/>
          <w:sz w:val="17"/>
          <w:szCs w:val="24"/>
          <w:highlight w:val="none"/>
        </w:rPr>
      </w:pPr>
    </w:p>
    <w:p w14:paraId="612699CD">
      <w:pPr>
        <w:pStyle w:val="12"/>
        <w:tabs>
          <w:tab w:val="left" w:pos="7032"/>
        </w:tabs>
        <w:kinsoku w:val="0"/>
        <w:overflowPunct w:val="0"/>
        <w:spacing w:before="36"/>
        <w:ind w:left="2200" w:right="113"/>
        <w:rPr>
          <w:rFonts w:hint="eastAsia" w:cs="宋体"/>
          <w:color w:val="auto"/>
          <w:spacing w:val="-1"/>
          <w:sz w:val="21"/>
          <w:szCs w:val="24"/>
          <w:highlight w:val="none"/>
        </w:rPr>
      </w:pPr>
      <w:r>
        <w:rPr>
          <w:rFonts w:hint="eastAsia" w:cs="宋体"/>
          <w:color w:val="auto"/>
          <w:spacing w:val="-2"/>
          <w:sz w:val="21"/>
          <w:szCs w:val="24"/>
          <w:highlight w:val="none"/>
        </w:rPr>
        <w:t>评标委员会</w:t>
      </w:r>
      <w:r>
        <w:rPr>
          <w:rFonts w:hint="eastAsia" w:cs="宋体"/>
          <w:color w:val="auto"/>
          <w:spacing w:val="-2"/>
          <w:sz w:val="21"/>
          <w:szCs w:val="24"/>
          <w:highlight w:val="none"/>
          <w:lang w:eastAsia="zh-CN"/>
        </w:rPr>
        <w:t>签字</w:t>
      </w:r>
      <w:r>
        <w:rPr>
          <w:rFonts w:hint="eastAsia"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7C6A00CA">
      <w:pPr>
        <w:pStyle w:val="12"/>
        <w:kinsoku w:val="0"/>
        <w:overflowPunct w:val="0"/>
        <w:ind w:left="0"/>
        <w:rPr>
          <w:rFonts w:hint="eastAsia" w:cs="宋体"/>
          <w:color w:val="auto"/>
          <w:sz w:val="20"/>
          <w:szCs w:val="24"/>
          <w:highlight w:val="none"/>
        </w:rPr>
      </w:pPr>
    </w:p>
    <w:p w14:paraId="10ACDCA4">
      <w:pPr>
        <w:pStyle w:val="12"/>
        <w:kinsoku w:val="0"/>
        <w:overflowPunct w:val="0"/>
        <w:spacing w:before="7"/>
        <w:ind w:left="0"/>
        <w:rPr>
          <w:rFonts w:hint="eastAsia" w:cs="宋体"/>
          <w:color w:val="auto"/>
          <w:sz w:val="23"/>
          <w:szCs w:val="24"/>
          <w:highlight w:val="none"/>
        </w:rPr>
      </w:pPr>
    </w:p>
    <w:p w14:paraId="797F5438">
      <w:pPr>
        <w:pStyle w:val="12"/>
        <w:tabs>
          <w:tab w:val="left" w:pos="5803"/>
          <w:tab w:val="left" w:pos="6746"/>
          <w:tab w:val="left" w:pos="7692"/>
        </w:tabs>
        <w:kinsoku w:val="0"/>
        <w:overflowPunct w:val="0"/>
        <w:spacing w:before="36"/>
        <w:ind w:left="4961" w:right="113"/>
        <w:rPr>
          <w:rFonts w:hint="eastAsia"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21845368">
      <w:pPr>
        <w:pStyle w:val="12"/>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7429FC97">
      <w:pPr>
        <w:pStyle w:val="5"/>
        <w:rPr>
          <w:rFonts w:hint="eastAsia" w:cs="宋体"/>
          <w:color w:val="auto"/>
          <w:sz w:val="28"/>
          <w:szCs w:val="24"/>
          <w:highlight w:val="none"/>
        </w:rPr>
      </w:pPr>
      <w:bookmarkStart w:id="88" w:name="bookmark78"/>
      <w:bookmarkEnd w:id="88"/>
      <w:r>
        <w:rPr>
          <w:rFonts w:hint="eastAsia" w:cs="宋体"/>
          <w:color w:val="auto"/>
          <w:sz w:val="28"/>
          <w:szCs w:val="24"/>
          <w:highlight w:val="none"/>
        </w:rPr>
        <w:t>附件</w:t>
      </w:r>
      <w:r>
        <w:rPr>
          <w:rFonts w:hint="eastAsia" w:cs="宋体"/>
          <w:color w:val="auto"/>
          <w:sz w:val="28"/>
          <w:szCs w:val="24"/>
          <w:highlight w:val="none"/>
          <w:lang w:eastAsia="zh-CN"/>
        </w:rPr>
        <w:t>二</w:t>
      </w:r>
      <w:r>
        <w:rPr>
          <w:rFonts w:hint="eastAsia" w:cs="宋体"/>
          <w:color w:val="auto"/>
          <w:sz w:val="28"/>
          <w:szCs w:val="24"/>
          <w:highlight w:val="none"/>
        </w:rPr>
        <w:t>：问题的澄清</w:t>
      </w:r>
    </w:p>
    <w:p w14:paraId="31FCC57F">
      <w:pPr>
        <w:pStyle w:val="12"/>
        <w:kinsoku w:val="0"/>
        <w:overflowPunct w:val="0"/>
        <w:ind w:left="0"/>
        <w:rPr>
          <w:rFonts w:hint="eastAsia" w:cs="宋体"/>
          <w:color w:val="auto"/>
          <w:sz w:val="20"/>
          <w:szCs w:val="24"/>
          <w:highlight w:val="none"/>
        </w:rPr>
      </w:pPr>
    </w:p>
    <w:p w14:paraId="415CF89C">
      <w:pPr>
        <w:pStyle w:val="12"/>
        <w:kinsoku w:val="0"/>
        <w:overflowPunct w:val="0"/>
        <w:ind w:left="0"/>
        <w:rPr>
          <w:rFonts w:hint="eastAsia" w:cs="宋体"/>
          <w:color w:val="auto"/>
          <w:sz w:val="20"/>
          <w:szCs w:val="24"/>
          <w:highlight w:val="none"/>
        </w:rPr>
      </w:pPr>
    </w:p>
    <w:p w14:paraId="146CFD3D">
      <w:pPr>
        <w:pStyle w:val="12"/>
        <w:kinsoku w:val="0"/>
        <w:overflowPunct w:val="0"/>
        <w:ind w:left="0"/>
        <w:rPr>
          <w:rFonts w:hint="eastAsia" w:cs="宋体"/>
          <w:color w:val="auto"/>
          <w:sz w:val="20"/>
          <w:szCs w:val="24"/>
          <w:highlight w:val="none"/>
        </w:rPr>
      </w:pPr>
    </w:p>
    <w:p w14:paraId="63FFD7AB">
      <w:pPr>
        <w:pStyle w:val="12"/>
        <w:kinsoku w:val="0"/>
        <w:overflowPunct w:val="0"/>
        <w:spacing w:before="168"/>
        <w:ind w:left="0" w:right="16"/>
        <w:jc w:val="center"/>
        <w:rPr>
          <w:rFonts w:hint="eastAsia" w:cs="宋体"/>
          <w:color w:val="auto"/>
          <w:sz w:val="28"/>
          <w:szCs w:val="24"/>
          <w:highlight w:val="none"/>
        </w:rPr>
      </w:pPr>
      <w:r>
        <w:rPr>
          <w:rFonts w:hint="eastAsia" w:cs="宋体"/>
          <w:color w:val="auto"/>
          <w:sz w:val="28"/>
          <w:szCs w:val="24"/>
          <w:highlight w:val="none"/>
        </w:rPr>
        <w:t>问题的澄清</w:t>
      </w:r>
    </w:p>
    <w:p w14:paraId="277F55A6">
      <w:pPr>
        <w:pStyle w:val="12"/>
        <w:tabs>
          <w:tab w:val="left" w:pos="5947"/>
        </w:tabs>
        <w:kinsoku w:val="0"/>
        <w:overflowPunct w:val="0"/>
        <w:spacing w:before="113"/>
        <w:ind w:left="3566" w:right="113"/>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13ABCB43">
      <w:pPr>
        <w:pStyle w:val="12"/>
        <w:kinsoku w:val="0"/>
        <w:overflowPunct w:val="0"/>
        <w:ind w:left="0"/>
        <w:rPr>
          <w:rFonts w:hint="eastAsia" w:cs="宋体"/>
          <w:color w:val="auto"/>
          <w:sz w:val="20"/>
          <w:szCs w:val="24"/>
          <w:highlight w:val="none"/>
        </w:rPr>
      </w:pPr>
    </w:p>
    <w:p w14:paraId="217E93CC">
      <w:pPr>
        <w:pStyle w:val="12"/>
        <w:kinsoku w:val="0"/>
        <w:overflowPunct w:val="0"/>
        <w:spacing w:before="1"/>
        <w:ind w:left="0"/>
        <w:rPr>
          <w:rFonts w:hint="eastAsia" w:cs="宋体"/>
          <w:color w:val="auto"/>
          <w:sz w:val="20"/>
          <w:szCs w:val="24"/>
          <w:highlight w:val="none"/>
        </w:rPr>
      </w:pPr>
    </w:p>
    <w:p w14:paraId="055899B9">
      <w:pPr>
        <w:pStyle w:val="12"/>
        <w:kinsoku w:val="0"/>
        <w:overflowPunct w:val="0"/>
        <w:spacing w:before="36"/>
        <w:ind w:left="100" w:right="113"/>
        <w:rPr>
          <w:rFonts w:hint="eastAsia" w:cs="宋体"/>
          <w:color w:val="auto"/>
          <w:sz w:val="21"/>
          <w:szCs w:val="24"/>
          <w:highlight w:val="none"/>
        </w:rPr>
      </w:pPr>
      <w:r>
        <w:rPr>
          <w:rFonts w:hint="eastAsia" w:cs="宋体"/>
          <w:color w:val="auto"/>
          <w:sz w:val="21"/>
          <w:szCs w:val="24"/>
          <w:highlight w:val="none"/>
        </w:rPr>
        <w:t>评标委员会：</w:t>
      </w:r>
    </w:p>
    <w:p w14:paraId="4F93D95B">
      <w:pPr>
        <w:pStyle w:val="12"/>
        <w:kinsoku w:val="0"/>
        <w:overflowPunct w:val="0"/>
        <w:ind w:left="0"/>
        <w:rPr>
          <w:rFonts w:hint="eastAsia" w:cs="宋体"/>
          <w:color w:val="auto"/>
          <w:sz w:val="20"/>
          <w:szCs w:val="24"/>
          <w:highlight w:val="none"/>
        </w:rPr>
      </w:pPr>
    </w:p>
    <w:p w14:paraId="6877E3AC">
      <w:pPr>
        <w:pStyle w:val="12"/>
        <w:kinsoku w:val="0"/>
        <w:overflowPunct w:val="0"/>
        <w:spacing w:before="2"/>
        <w:ind w:left="0"/>
        <w:rPr>
          <w:rFonts w:hint="eastAsia" w:cs="宋体"/>
          <w:color w:val="auto"/>
          <w:sz w:val="26"/>
          <w:szCs w:val="24"/>
          <w:highlight w:val="none"/>
        </w:rPr>
      </w:pPr>
    </w:p>
    <w:p w14:paraId="1F2235A2">
      <w:pPr>
        <w:pStyle w:val="12"/>
        <w:tabs>
          <w:tab w:val="left" w:pos="3460"/>
        </w:tabs>
        <w:kinsoku w:val="0"/>
        <w:overflowPunct w:val="0"/>
        <w:ind w:left="522" w:right="113"/>
        <w:rPr>
          <w:rFonts w:hint="eastAsia" w:cs="宋体"/>
          <w:color w:val="auto"/>
          <w:spacing w:val="-2"/>
          <w:sz w:val="21"/>
          <w:szCs w:val="24"/>
          <w:highlight w:val="none"/>
        </w:rPr>
      </w:pPr>
      <w:r>
        <w:rPr>
          <w:rFonts w:hint="eastAsia"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）已收悉，现澄清、说明或补正如下：</w:t>
      </w:r>
    </w:p>
    <w:p w14:paraId="49AA9406">
      <w:pPr>
        <w:pStyle w:val="12"/>
        <w:kinsoku w:val="0"/>
        <w:overflowPunct w:val="0"/>
        <w:spacing w:before="11"/>
        <w:ind w:left="0"/>
        <w:rPr>
          <w:rFonts w:hint="eastAsia" w:cs="宋体"/>
          <w:color w:val="auto"/>
          <w:sz w:val="10"/>
          <w:szCs w:val="24"/>
          <w:highlight w:val="none"/>
        </w:rPr>
      </w:pPr>
    </w:p>
    <w:p w14:paraId="5DA00CE1">
      <w:pPr>
        <w:pStyle w:val="12"/>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11A32FB8">
      <w:pPr>
        <w:pStyle w:val="12"/>
        <w:kinsoku w:val="0"/>
        <w:overflowPunct w:val="0"/>
        <w:spacing w:before="2"/>
        <w:ind w:left="0"/>
        <w:rPr>
          <w:rFonts w:hint="eastAsia" w:ascii="宋体" w:hAnsi="宋体" w:eastAsia="宋体" w:cs="宋体"/>
          <w:color w:val="auto"/>
          <w:sz w:val="17"/>
          <w:szCs w:val="24"/>
          <w:highlight w:val="none"/>
        </w:rPr>
      </w:pPr>
    </w:p>
    <w:p w14:paraId="0DE7B176">
      <w:pPr>
        <w:pStyle w:val="12"/>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6A5B18F3">
      <w:pPr>
        <w:pStyle w:val="12"/>
        <w:kinsoku w:val="0"/>
        <w:overflowPunct w:val="0"/>
        <w:spacing w:before="2"/>
        <w:ind w:left="0"/>
        <w:rPr>
          <w:rFonts w:hint="eastAsia" w:ascii="宋体" w:hAnsi="宋体" w:eastAsia="宋体" w:cs="宋体"/>
          <w:color w:val="auto"/>
          <w:sz w:val="17"/>
          <w:szCs w:val="24"/>
          <w:highlight w:val="none"/>
        </w:rPr>
      </w:pPr>
    </w:p>
    <w:p w14:paraId="7C0E07EF">
      <w:pPr>
        <w:pStyle w:val="12"/>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76E1839E">
      <w:pPr>
        <w:pStyle w:val="12"/>
        <w:kinsoku w:val="0"/>
        <w:overflowPunct w:val="0"/>
        <w:ind w:left="0"/>
        <w:rPr>
          <w:rFonts w:hint="eastAsia" w:ascii="宋体" w:hAnsi="宋体" w:eastAsia="宋体" w:cs="宋体"/>
          <w:color w:val="auto"/>
          <w:sz w:val="20"/>
          <w:szCs w:val="24"/>
          <w:highlight w:val="none"/>
        </w:rPr>
      </w:pPr>
    </w:p>
    <w:p w14:paraId="1B19F5E2">
      <w:pPr>
        <w:pStyle w:val="12"/>
        <w:kinsoku w:val="0"/>
        <w:overflowPunct w:val="0"/>
        <w:ind w:left="0"/>
        <w:rPr>
          <w:rFonts w:hint="eastAsia" w:ascii="宋体" w:hAnsi="宋体" w:eastAsia="宋体" w:cs="宋体"/>
          <w:color w:val="auto"/>
          <w:sz w:val="20"/>
          <w:szCs w:val="24"/>
          <w:highlight w:val="none"/>
        </w:rPr>
      </w:pPr>
    </w:p>
    <w:p w14:paraId="2065E248">
      <w:pPr>
        <w:pStyle w:val="12"/>
        <w:kinsoku w:val="0"/>
        <w:overflowPunct w:val="0"/>
        <w:ind w:left="0"/>
        <w:rPr>
          <w:rFonts w:hint="eastAsia" w:ascii="宋体" w:hAnsi="宋体" w:eastAsia="宋体" w:cs="宋体"/>
          <w:color w:val="auto"/>
          <w:sz w:val="20"/>
          <w:szCs w:val="24"/>
          <w:highlight w:val="none"/>
        </w:rPr>
      </w:pPr>
    </w:p>
    <w:p w14:paraId="374A43BC">
      <w:pPr>
        <w:pStyle w:val="12"/>
        <w:kinsoku w:val="0"/>
        <w:overflowPunct w:val="0"/>
        <w:ind w:left="0"/>
        <w:rPr>
          <w:rFonts w:hint="eastAsia" w:ascii="宋体" w:hAnsi="宋体" w:eastAsia="宋体" w:cs="宋体"/>
          <w:color w:val="auto"/>
          <w:sz w:val="20"/>
          <w:szCs w:val="24"/>
          <w:highlight w:val="none"/>
        </w:rPr>
      </w:pPr>
    </w:p>
    <w:p w14:paraId="61653686">
      <w:pPr>
        <w:pStyle w:val="12"/>
        <w:kinsoku w:val="0"/>
        <w:overflowPunct w:val="0"/>
        <w:ind w:left="0"/>
        <w:rPr>
          <w:rFonts w:hint="eastAsia" w:ascii="宋体" w:hAnsi="宋体" w:eastAsia="宋体" w:cs="宋体"/>
          <w:color w:val="auto"/>
          <w:sz w:val="20"/>
          <w:szCs w:val="24"/>
          <w:highlight w:val="none"/>
        </w:rPr>
      </w:pPr>
    </w:p>
    <w:p w14:paraId="22DF4F3D">
      <w:pPr>
        <w:pStyle w:val="12"/>
        <w:kinsoku w:val="0"/>
        <w:overflowPunct w:val="0"/>
        <w:spacing w:before="11"/>
        <w:ind w:left="0"/>
        <w:rPr>
          <w:rFonts w:hint="eastAsia" w:ascii="宋体" w:hAnsi="宋体" w:eastAsia="宋体" w:cs="宋体"/>
          <w:color w:val="auto"/>
          <w:sz w:val="27"/>
          <w:szCs w:val="24"/>
          <w:highlight w:val="none"/>
        </w:rPr>
      </w:pPr>
    </w:p>
    <w:p w14:paraId="55FAC627">
      <w:pPr>
        <w:pStyle w:val="12"/>
        <w:kinsoku w:val="0"/>
        <w:overflowPunct w:val="0"/>
        <w:spacing w:line="384" w:lineRule="auto"/>
        <w:ind w:left="100" w:right="113" w:firstLine="419"/>
        <w:rPr>
          <w:rFonts w:hint="eastAsia" w:cs="宋体"/>
          <w:color w:val="auto"/>
          <w:sz w:val="21"/>
          <w:szCs w:val="24"/>
          <w:highlight w:val="none"/>
        </w:rPr>
      </w:pPr>
      <w:r>
        <w:rPr>
          <w:rFonts w:hint="eastAsia" w:cs="宋体"/>
          <w:color w:val="auto"/>
          <w:spacing w:val="-1"/>
          <w:sz w:val="21"/>
          <w:szCs w:val="24"/>
          <w:highlight w:val="none"/>
        </w:rPr>
        <w:t>上述问题澄清、说明或补正，不改变我方投标文件的实质性内容，构成我方投标文件的组</w:t>
      </w:r>
      <w:r>
        <w:rPr>
          <w:rFonts w:hint="eastAsia" w:cs="宋体"/>
          <w:color w:val="auto"/>
          <w:sz w:val="21"/>
          <w:szCs w:val="24"/>
          <w:highlight w:val="none"/>
        </w:rPr>
        <w:t xml:space="preserve"> 成部分。</w:t>
      </w:r>
    </w:p>
    <w:p w14:paraId="3C78040B">
      <w:pPr>
        <w:pStyle w:val="12"/>
        <w:kinsoku w:val="0"/>
        <w:overflowPunct w:val="0"/>
        <w:ind w:left="0"/>
        <w:rPr>
          <w:rFonts w:hint="eastAsia" w:cs="宋体"/>
          <w:color w:val="auto"/>
          <w:sz w:val="20"/>
          <w:szCs w:val="24"/>
          <w:highlight w:val="none"/>
        </w:rPr>
      </w:pPr>
    </w:p>
    <w:p w14:paraId="61052516">
      <w:pPr>
        <w:pStyle w:val="12"/>
        <w:kinsoku w:val="0"/>
        <w:overflowPunct w:val="0"/>
        <w:ind w:left="0"/>
        <w:rPr>
          <w:rFonts w:hint="eastAsia" w:cs="宋体"/>
          <w:color w:val="auto"/>
          <w:sz w:val="20"/>
          <w:szCs w:val="24"/>
          <w:highlight w:val="none"/>
        </w:rPr>
      </w:pPr>
    </w:p>
    <w:p w14:paraId="1068F0D4">
      <w:pPr>
        <w:pStyle w:val="12"/>
        <w:kinsoku w:val="0"/>
        <w:overflowPunct w:val="0"/>
        <w:spacing w:before="6"/>
        <w:ind w:left="0"/>
        <w:rPr>
          <w:rFonts w:hint="eastAsia" w:cs="宋体"/>
          <w:color w:val="auto"/>
          <w:sz w:val="19"/>
          <w:szCs w:val="24"/>
          <w:highlight w:val="none"/>
        </w:rPr>
      </w:pPr>
    </w:p>
    <w:p w14:paraId="6C7EE2C9">
      <w:pPr>
        <w:pStyle w:val="12"/>
        <w:tabs>
          <w:tab w:val="left" w:pos="7382"/>
        </w:tabs>
        <w:kinsoku w:val="0"/>
        <w:overflowPunct w:val="0"/>
        <w:ind w:left="3043" w:right="113"/>
        <w:rPr>
          <w:rFonts w:hint="eastAsia" w:cs="宋体"/>
          <w:color w:val="auto"/>
          <w:spacing w:val="-1"/>
          <w:sz w:val="21"/>
          <w:szCs w:val="24"/>
          <w:highlight w:val="none"/>
        </w:rPr>
      </w:pPr>
      <w:r>
        <w:rPr>
          <w:rFonts w:hint="eastAsia"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cs="宋体"/>
          <w:color w:val="auto"/>
          <w:spacing w:val="-1"/>
          <w:sz w:val="21"/>
          <w:szCs w:val="24"/>
          <w:highlight w:val="none"/>
        </w:rPr>
        <w:t>（盖单位章）</w:t>
      </w:r>
    </w:p>
    <w:p w14:paraId="7FA7F2EB">
      <w:pPr>
        <w:pStyle w:val="12"/>
        <w:kinsoku w:val="0"/>
        <w:overflowPunct w:val="0"/>
        <w:spacing w:before="11"/>
        <w:ind w:left="0"/>
        <w:rPr>
          <w:rFonts w:hint="eastAsia" w:cs="宋体"/>
          <w:color w:val="auto"/>
          <w:sz w:val="17"/>
          <w:szCs w:val="24"/>
          <w:highlight w:val="none"/>
        </w:rPr>
      </w:pPr>
    </w:p>
    <w:p w14:paraId="560B72D1">
      <w:pPr>
        <w:pStyle w:val="12"/>
        <w:tabs>
          <w:tab w:val="left" w:pos="6612"/>
        </w:tabs>
        <w:kinsoku w:val="0"/>
        <w:overflowPunct w:val="0"/>
        <w:spacing w:before="36"/>
        <w:ind w:left="3041" w:right="113"/>
        <w:rPr>
          <w:rFonts w:hint="eastAsia" w:cs="宋体"/>
          <w:color w:val="auto"/>
          <w:spacing w:val="-2"/>
          <w:sz w:val="21"/>
          <w:szCs w:val="24"/>
          <w:highlight w:val="none"/>
        </w:rPr>
      </w:pPr>
      <w:r>
        <w:rPr>
          <w:rFonts w:hint="eastAsia"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（签字）</w:t>
      </w:r>
    </w:p>
    <w:p w14:paraId="1945C4B7">
      <w:pPr>
        <w:pStyle w:val="12"/>
        <w:kinsoku w:val="0"/>
        <w:overflowPunct w:val="0"/>
        <w:ind w:left="0"/>
        <w:rPr>
          <w:rFonts w:hint="eastAsia" w:cs="宋体"/>
          <w:color w:val="auto"/>
          <w:sz w:val="20"/>
          <w:szCs w:val="24"/>
          <w:highlight w:val="none"/>
        </w:rPr>
      </w:pPr>
    </w:p>
    <w:p w14:paraId="2A02F947">
      <w:pPr>
        <w:pStyle w:val="12"/>
        <w:kinsoku w:val="0"/>
        <w:overflowPunct w:val="0"/>
        <w:ind w:left="0"/>
        <w:rPr>
          <w:rFonts w:hint="eastAsia" w:cs="宋体"/>
          <w:color w:val="auto"/>
          <w:sz w:val="20"/>
          <w:szCs w:val="24"/>
          <w:highlight w:val="none"/>
        </w:rPr>
      </w:pPr>
    </w:p>
    <w:p w14:paraId="5ADF8530">
      <w:pPr>
        <w:pStyle w:val="12"/>
        <w:kinsoku w:val="0"/>
        <w:overflowPunct w:val="0"/>
        <w:spacing w:before="4"/>
        <w:ind w:left="0"/>
        <w:rPr>
          <w:rFonts w:hint="eastAsia" w:cs="宋体"/>
          <w:color w:val="auto"/>
          <w:sz w:val="22"/>
          <w:szCs w:val="24"/>
          <w:highlight w:val="none"/>
        </w:rPr>
      </w:pPr>
    </w:p>
    <w:p w14:paraId="2940B3AC">
      <w:pPr>
        <w:pStyle w:val="12"/>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41CA0691">
      <w:pPr>
        <w:pStyle w:val="3"/>
        <w:outlineLvl w:val="0"/>
        <w:rPr>
          <w:rFonts w:hint="eastAsia" w:cs="宋体"/>
          <w:b w:val="0"/>
          <w:color w:val="auto"/>
          <w:sz w:val="57"/>
          <w:szCs w:val="24"/>
          <w:highlight w:val="none"/>
        </w:rPr>
      </w:pPr>
      <w:bookmarkStart w:id="89" w:name="bookmark82"/>
      <w:bookmarkEnd w:id="89"/>
      <w:bookmarkStart w:id="90" w:name="bookmark79"/>
      <w:bookmarkEnd w:id="90"/>
      <w:bookmarkStart w:id="91" w:name="_Toc23003"/>
      <w:r>
        <w:rPr>
          <w:rFonts w:hint="eastAsia" w:cs="宋体"/>
          <w:color w:val="auto"/>
          <w:sz w:val="44"/>
          <w:szCs w:val="24"/>
          <w:highlight w:val="none"/>
        </w:rPr>
        <w:t>第三章</w:t>
      </w:r>
      <w:r>
        <w:rPr>
          <w:rFonts w:hint="eastAsia" w:cs="宋体"/>
          <w:color w:val="auto"/>
          <w:sz w:val="44"/>
          <w:szCs w:val="24"/>
          <w:highlight w:val="none"/>
          <w:lang w:val="en-US" w:eastAsia="zh-CN"/>
        </w:rPr>
        <w:t xml:space="preserve"> </w:t>
      </w:r>
      <w:r>
        <w:rPr>
          <w:rFonts w:hint="eastAsia" w:cs="宋体"/>
          <w:color w:val="auto"/>
          <w:sz w:val="44"/>
          <w:szCs w:val="24"/>
          <w:highlight w:val="none"/>
        </w:rPr>
        <w:t>评标</w:t>
      </w:r>
      <w:r>
        <w:rPr>
          <w:rFonts w:hint="eastAsia" w:cs="宋体"/>
          <w:color w:val="auto"/>
          <w:sz w:val="44"/>
          <w:szCs w:val="24"/>
          <w:highlight w:val="none"/>
          <w:u w:val="single"/>
          <w:lang w:eastAsia="zh-CN"/>
        </w:rPr>
        <w:t>、定标</w:t>
      </w:r>
      <w:r>
        <w:rPr>
          <w:rFonts w:hint="eastAsia" w:cs="宋体"/>
          <w:color w:val="auto"/>
          <w:sz w:val="44"/>
          <w:szCs w:val="24"/>
          <w:highlight w:val="none"/>
        </w:rPr>
        <w:t>办法</w:t>
      </w:r>
      <w:bookmarkEnd w:id="91"/>
    </w:p>
    <w:p w14:paraId="15756DAA">
      <w:pPr>
        <w:pStyle w:val="4"/>
        <w:kinsoku w:val="0"/>
        <w:overflowPunct w:val="0"/>
        <w:ind w:left="120"/>
        <w:jc w:val="center"/>
        <w:outlineLvl w:val="1"/>
        <w:rPr>
          <w:rFonts w:hint="eastAsia" w:cs="宋体"/>
          <w:color w:val="auto"/>
          <w:sz w:val="32"/>
          <w:szCs w:val="24"/>
          <w:highlight w:val="none"/>
        </w:rPr>
      </w:pPr>
      <w:bookmarkStart w:id="92" w:name="bookmark83"/>
      <w:bookmarkEnd w:id="92"/>
      <w:bookmarkStart w:id="93" w:name="_Toc10305"/>
      <w:r>
        <w:rPr>
          <w:rFonts w:hint="eastAsia" w:cs="宋体"/>
          <w:color w:val="auto"/>
          <w:sz w:val="32"/>
          <w:szCs w:val="24"/>
          <w:highlight w:val="none"/>
        </w:rPr>
        <w:t>评标办法前附表</w:t>
      </w:r>
      <w:bookmarkEnd w:id="93"/>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126"/>
      </w:tblGrid>
      <w:tr w14:paraId="6B05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636EE55">
            <w:pPr>
              <w:pStyle w:val="34"/>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9B204">
            <w:pPr>
              <w:pStyle w:val="34"/>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17BA6">
            <w:pPr>
              <w:pStyle w:val="34"/>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0839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BF05F">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F305059">
            <w:pPr>
              <w:pStyle w:val="34"/>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w:t>
            </w:r>
            <w:r>
              <w:rPr>
                <w:rFonts w:hint="eastAsia" w:ascii="宋体" w:hAnsi="宋体" w:cs="宋体"/>
                <w:color w:val="auto"/>
                <w:sz w:val="21"/>
                <w:szCs w:val="21"/>
                <w:highlight w:val="none"/>
                <w:u w:val="single"/>
                <w:lang w:eastAsia="zh-CN"/>
              </w:rPr>
              <w:t>、定标</w:t>
            </w:r>
            <w:r>
              <w:rPr>
                <w:rFonts w:hint="eastAsia" w:ascii="宋体" w:hAnsi="宋体" w:eastAsia="宋体" w:cs="宋体"/>
                <w:color w:val="auto"/>
                <w:sz w:val="21"/>
                <w:szCs w:val="21"/>
                <w:highlight w:val="none"/>
              </w:rPr>
              <w:t>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E7F8E">
            <w:pPr>
              <w:pStyle w:val="34"/>
              <w:kinsoku w:val="0"/>
              <w:overflowPunct w:val="0"/>
              <w:spacing w:before="141"/>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合格</w:t>
            </w:r>
            <w:r>
              <w:rPr>
                <w:rFonts w:hint="eastAsia" w:ascii="宋体" w:hAnsi="宋体" w:eastAsia="宋体" w:cs="宋体"/>
                <w:color w:val="auto"/>
                <w:sz w:val="21"/>
                <w:szCs w:val="21"/>
                <w:highlight w:val="none"/>
              </w:rPr>
              <w:t>中标候选人排序方法</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F6BAF">
            <w:pPr>
              <w:pStyle w:val="34"/>
              <w:kinsoku w:val="0"/>
              <w:overflowPunct w:val="0"/>
              <w:spacing w:before="107"/>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1"/>
                <w:highlight w:val="none"/>
                <w:u w:val="single"/>
              </w:rPr>
              <w:t>详见本章第1款规定</w:t>
            </w:r>
          </w:p>
        </w:tc>
      </w:tr>
      <w:tr w14:paraId="0271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5904BB1">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3A0A44E">
            <w:pPr>
              <w:pStyle w:val="34"/>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1800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top"/>
          </w:tcPr>
          <w:p w14:paraId="3526DE9A">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43E5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03380D">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B2E8E9">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7E71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88632">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1131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4671BD">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D2254F">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FB89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9B1791">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177D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EA27E5">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467804">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85A1C">
            <w:pPr>
              <w:pStyle w:val="34"/>
              <w:kinsoku w:val="0"/>
              <w:overflowPunct w:val="0"/>
              <w:jc w:val="center"/>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7395B">
            <w:pPr>
              <w:pStyle w:val="34"/>
              <w:kinsoku w:val="0"/>
              <w:overflowPunct w:val="0"/>
              <w:spacing w:before="107"/>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1.4.1项规定</w:t>
            </w:r>
          </w:p>
        </w:tc>
      </w:tr>
      <w:tr w14:paraId="5867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A5B2DE">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13A18D">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CC83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93368">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p>
        </w:tc>
      </w:tr>
      <w:tr w14:paraId="0A3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950E6F">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7B9C71">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DB509">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3F4A75">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05B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10D3FF">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DB08AE">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7BF3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2DCD2">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w:t>
            </w:r>
            <w:r>
              <w:rPr>
                <w:rFonts w:hint="eastAsia" w:ascii="宋体" w:hAnsi="宋体" w:cs="宋体"/>
                <w:color w:val="auto"/>
                <w:sz w:val="21"/>
                <w:szCs w:val="21"/>
                <w:highlight w:val="none"/>
                <w:lang w:val="en-US" w:eastAsia="zh-CN"/>
              </w:rPr>
              <w:t>法定代表人、</w:t>
            </w:r>
            <w:r>
              <w:rPr>
                <w:rFonts w:hint="eastAsia" w:ascii="宋体" w:hAnsi="宋体" w:eastAsia="宋体" w:cs="宋体"/>
                <w:color w:val="auto"/>
                <w:sz w:val="21"/>
                <w:szCs w:val="21"/>
                <w:highlight w:val="none"/>
              </w:rPr>
              <w:t>总监理工程师、技术负责人签字确认</w:t>
            </w:r>
          </w:p>
        </w:tc>
      </w:tr>
      <w:tr w14:paraId="391A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CF93CA">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C0CF1A">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C9AF9">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D939B">
            <w:pPr>
              <w:pStyle w:val="34"/>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不存在第二章“投标人须知”第1.4.3项规定的任何一种情形（以《投标函》为准）</w:t>
            </w:r>
          </w:p>
        </w:tc>
      </w:tr>
      <w:tr w14:paraId="429A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983B28">
            <w:pPr>
              <w:pStyle w:val="34"/>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E09EB2">
            <w:pPr>
              <w:pStyle w:val="34"/>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C2D30F">
            <w:pPr>
              <w:pStyle w:val="34"/>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87B39">
            <w:pPr>
              <w:pStyle w:val="34"/>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0A8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23421B17">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59DCC7E4">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B9687">
            <w:pPr>
              <w:pStyle w:val="34"/>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509ECD">
            <w:pPr>
              <w:pStyle w:val="34"/>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廉洁承诺书、法定代表人证明书；委托投标的还应提供法人授权委托证明书</w:t>
            </w:r>
          </w:p>
        </w:tc>
      </w:tr>
      <w:tr w14:paraId="34B2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26F5B6">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37CCF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D9988">
            <w:pPr>
              <w:pStyle w:val="34"/>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9801D5">
            <w:pPr>
              <w:pStyle w:val="34"/>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w:t>
            </w:r>
            <w:r>
              <w:rPr>
                <w:rFonts w:hint="eastAsia" w:ascii="宋体" w:hAnsi="宋体" w:cs="宋体"/>
                <w:color w:val="auto"/>
                <w:sz w:val="21"/>
                <w:szCs w:val="21"/>
                <w:highlight w:val="none"/>
                <w:lang w:val="en-US" w:eastAsia="zh-CN"/>
              </w:rPr>
              <w:t>（或签章）并</w:t>
            </w:r>
            <w:r>
              <w:rPr>
                <w:rFonts w:hint="eastAsia" w:ascii="宋体" w:hAnsi="宋体" w:eastAsia="宋体" w:cs="宋体"/>
                <w:color w:val="auto"/>
                <w:sz w:val="21"/>
                <w:szCs w:val="21"/>
                <w:highlight w:val="none"/>
              </w:rPr>
              <w:t>加盖单位章。由法定代表人签字的，应附法定代表人身份证明，由代理人签字的，应附授权委托书，身份证明或授权委托书应符合第六章“投标文件格式”的规定</w:t>
            </w:r>
          </w:p>
        </w:tc>
      </w:tr>
      <w:tr w14:paraId="341A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FA460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D4F1A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88179">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229179">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0D6E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E5DC6">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260F28">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1024E6">
            <w:pPr>
              <w:pStyle w:val="34"/>
              <w:kinsoku w:val="0"/>
              <w:overflowPunct w:val="0"/>
              <w:jc w:val="center"/>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联合体投标人</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863D3">
            <w:pPr>
              <w:pStyle w:val="34"/>
              <w:kinsoku w:val="0"/>
              <w:overflowPunct w:val="0"/>
              <w:spacing w:before="107"/>
              <w:jc w:val="both"/>
              <w:rPr>
                <w:rFonts w:hint="eastAsia" w:ascii="宋体" w:hAnsi="宋体" w:eastAsia="宋体" w:cs="宋体"/>
                <w:strike/>
                <w:dstrike w:val="0"/>
                <w:color w:val="auto"/>
                <w:sz w:val="21"/>
                <w:szCs w:val="21"/>
                <w:highlight w:val="none"/>
                <w:lang w:eastAsia="zh-CN"/>
              </w:rPr>
            </w:pPr>
            <w:r>
              <w:rPr>
                <w:rFonts w:hint="eastAsia" w:ascii="宋体" w:hAnsi="宋体" w:eastAsia="宋体" w:cs="宋体"/>
                <w:strike/>
                <w:dstrike w:val="0"/>
                <w:color w:val="auto"/>
                <w:sz w:val="21"/>
                <w:szCs w:val="21"/>
                <w:highlight w:val="none"/>
              </w:rPr>
              <w:t>提交符合招标文件要求的联合体协议书，明确各方承担连带责任，并明确联合体</w:t>
            </w:r>
            <w:r>
              <w:rPr>
                <w:rFonts w:hint="eastAsia" w:ascii="宋体" w:hAnsi="宋体" w:eastAsia="宋体" w:cs="宋体"/>
                <w:strike/>
                <w:dstrike w:val="0"/>
                <w:color w:val="auto"/>
                <w:sz w:val="21"/>
                <w:szCs w:val="21"/>
                <w:highlight w:val="none"/>
                <w:lang w:eastAsia="zh-CN"/>
              </w:rPr>
              <w:t>主办方</w:t>
            </w:r>
          </w:p>
        </w:tc>
      </w:tr>
      <w:tr w14:paraId="674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A4F1EA">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11E286">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B5A8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4D96C">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不允许。</w:t>
            </w:r>
          </w:p>
        </w:tc>
      </w:tr>
      <w:tr w14:paraId="6943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305FC8">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F6B524">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062A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投标人机器码</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BCA83">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投标人与</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rPr>
              <w:t>其他投标人加密打包投标文件电脑机器特征码</w:t>
            </w:r>
            <w:r>
              <w:rPr>
                <w:rFonts w:hint="eastAsia" w:ascii="宋体" w:hAnsi="宋体" w:eastAsia="宋体" w:cs="宋体"/>
                <w:color w:val="auto"/>
                <w:sz w:val="21"/>
                <w:szCs w:val="24"/>
                <w:highlight w:val="none"/>
                <w:lang w:eastAsia="zh-CN"/>
              </w:rPr>
              <w:t>不</w:t>
            </w:r>
            <w:r>
              <w:rPr>
                <w:rFonts w:hint="eastAsia" w:ascii="宋体" w:hAnsi="宋体" w:eastAsia="宋体" w:cs="宋体"/>
                <w:color w:val="auto"/>
                <w:sz w:val="21"/>
                <w:szCs w:val="24"/>
                <w:highlight w:val="none"/>
              </w:rPr>
              <w:t>一致的(以</w:t>
            </w:r>
            <w:r>
              <w:rPr>
                <w:rFonts w:hint="eastAsia" w:ascii="宋体" w:hAnsi="宋体" w:cs="宋体"/>
                <w:color w:val="auto"/>
                <w:sz w:val="21"/>
                <w:szCs w:val="24"/>
                <w:highlight w:val="none"/>
                <w:lang w:eastAsia="zh-CN"/>
              </w:rPr>
              <w:t>广州交易集团有限公司（广州公共资源交易中心）</w:t>
            </w:r>
            <w:r>
              <w:rPr>
                <w:rFonts w:hint="eastAsia" w:ascii="宋体" w:hAnsi="宋体" w:eastAsia="宋体" w:cs="宋体"/>
                <w:color w:val="auto"/>
                <w:sz w:val="21"/>
                <w:szCs w:val="24"/>
                <w:highlight w:val="none"/>
                <w:lang w:eastAsia="zh-CN"/>
              </w:rPr>
              <w:t>交易</w:t>
            </w:r>
            <w:r>
              <w:rPr>
                <w:rFonts w:hint="eastAsia" w:ascii="宋体" w:hAnsi="宋体" w:eastAsia="宋体" w:cs="宋体"/>
                <w:color w:val="auto"/>
                <w:sz w:val="21"/>
                <w:szCs w:val="24"/>
                <w:highlight w:val="none"/>
              </w:rPr>
              <w:t>平台</w:t>
            </w:r>
            <w:r>
              <w:rPr>
                <w:rFonts w:hint="eastAsia" w:ascii="宋体" w:hAnsi="宋体" w:cs="宋体"/>
                <w:color w:val="auto"/>
                <w:sz w:val="21"/>
                <w:szCs w:val="24"/>
                <w:highlight w:val="none"/>
                <w:lang w:eastAsia="zh-CN"/>
              </w:rPr>
              <w:t>开标</w:t>
            </w:r>
            <w:r>
              <w:rPr>
                <w:rFonts w:hint="eastAsia" w:ascii="宋体" w:hAnsi="宋体" w:eastAsia="宋体" w:cs="宋体"/>
                <w:color w:val="auto"/>
                <w:sz w:val="21"/>
                <w:szCs w:val="24"/>
                <w:highlight w:val="none"/>
              </w:rPr>
              <w:t>系统的检索信息为准)</w:t>
            </w:r>
          </w:p>
        </w:tc>
      </w:tr>
      <w:tr w14:paraId="0933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13D15A">
            <w:pPr>
              <w:pStyle w:val="34"/>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65A792">
            <w:pPr>
              <w:pStyle w:val="34"/>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13A3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37D37">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1982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877B50">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347BA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480B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BC595">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6C1B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11BB43">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D65C18">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0264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C93E1">
            <w:pPr>
              <w:pStyle w:val="34"/>
              <w:tabs>
                <w:tab w:val="right" w:pos="4795"/>
              </w:tabs>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符合第二章“投标人须知”第1.3.2项规定</w:t>
            </w:r>
            <w:r>
              <w:rPr>
                <w:rFonts w:hint="eastAsia" w:ascii="宋体" w:hAnsi="宋体" w:cs="宋体"/>
                <w:color w:val="auto"/>
                <w:sz w:val="21"/>
                <w:szCs w:val="21"/>
                <w:highlight w:val="none"/>
                <w:lang w:eastAsia="zh-CN"/>
              </w:rPr>
              <w:tab/>
            </w:r>
          </w:p>
        </w:tc>
      </w:tr>
      <w:tr w14:paraId="631F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15896F">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28CE29">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61B9E">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93704">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D60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C99358">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49803C">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60B5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4B80D">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1D19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E4F3E4">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E918D7">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4AB29F66">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10920">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14:paraId="7A85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691345">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C332A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B509E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top"/>
          </w:tcPr>
          <w:p w14:paraId="058DDC49">
            <w:pPr>
              <w:pStyle w:val="34"/>
              <w:kinsoku w:val="0"/>
              <w:overflowPunct w:val="0"/>
              <w:spacing w:line="360" w:lineRule="auto"/>
              <w:ind w:right="-57"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不存在</w:t>
            </w:r>
            <w:r>
              <w:rPr>
                <w:rFonts w:hint="eastAsia" w:ascii="宋体" w:hAnsi="宋体" w:eastAsia="宋体" w:cs="宋体"/>
                <w:color w:val="auto"/>
                <w:sz w:val="21"/>
                <w:szCs w:val="21"/>
                <w:highlight w:val="none"/>
                <w:lang w:eastAsia="zh-CN"/>
              </w:rPr>
              <w:t>串通投标情形（串通投标情形以</w:t>
            </w:r>
            <w:r>
              <w:rPr>
                <w:rFonts w:hint="eastAsia" w:ascii="宋体" w:hAnsi="宋体" w:eastAsia="宋体" w:cs="宋体"/>
                <w:color w:val="auto"/>
                <w:sz w:val="21"/>
                <w:szCs w:val="21"/>
                <w:highlight w:val="none"/>
              </w:rPr>
              <w:t>《中华人民共和国招标投标法</w:t>
            </w:r>
            <w:r>
              <w:rPr>
                <w:rFonts w:hint="eastAsia" w:ascii="宋体" w:hAnsi="宋体" w:eastAsia="宋体" w:cs="宋体"/>
                <w:color w:val="auto"/>
                <w:sz w:val="21"/>
                <w:szCs w:val="21"/>
                <w:highlight w:val="none"/>
                <w:lang w:eastAsia="zh-CN"/>
              </w:rPr>
              <w:t>实施条例</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规定为准</w:t>
            </w:r>
            <w:r>
              <w:rPr>
                <w:rFonts w:hint="eastAsia" w:ascii="宋体" w:hAnsi="宋体" w:cs="宋体"/>
                <w:color w:val="auto"/>
                <w:sz w:val="21"/>
                <w:szCs w:val="21"/>
                <w:highlight w:val="none"/>
                <w:lang w:val="en-US" w:eastAsia="zh-CN"/>
              </w:rPr>
              <w:t>)</w:t>
            </w:r>
          </w:p>
        </w:tc>
      </w:tr>
      <w:tr w14:paraId="47A1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ACC660A">
            <w:pPr>
              <w:pStyle w:val="34"/>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B7A6E">
            <w:pPr>
              <w:pStyle w:val="34"/>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87076">
            <w:pPr>
              <w:pStyle w:val="34"/>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0E4A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58ED1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5DF56">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0CE40">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分</w:t>
            </w:r>
          </w:p>
          <w:p w14:paraId="363E2EDA">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14:paraId="53CB1AA8">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3220BDA8">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诚信得分</w:t>
            </w:r>
            <w:r>
              <w:rPr>
                <w:rFonts w:hint="eastAsia" w:ascii="宋体" w:hAnsi="宋体" w:eastAsia="宋体" w:cs="宋体"/>
                <w:color w:val="auto"/>
                <w:sz w:val="21"/>
                <w:szCs w:val="21"/>
                <w:highlight w:val="none"/>
              </w:rPr>
              <w:t>：</w:t>
            </w:r>
            <w:r>
              <w:rPr>
                <w:rFonts w:hint="eastAsia" w:ascii="宋体" w:hAnsi="宋体" w:cs="宋体"/>
                <w:color w:val="auto"/>
                <w:sz w:val="24"/>
                <w:szCs w:val="24"/>
                <w:highlight w:val="none"/>
                <w:u w:val="single"/>
              </w:rPr>
              <w:t>/</w:t>
            </w:r>
            <w:r>
              <w:rPr>
                <w:rFonts w:hint="eastAsia" w:ascii="宋体" w:hAnsi="宋体" w:eastAsia="宋体" w:cs="宋体"/>
                <w:color w:val="auto"/>
                <w:sz w:val="21"/>
                <w:szCs w:val="21"/>
                <w:highlight w:val="none"/>
              </w:rPr>
              <w:t>分</w:t>
            </w:r>
          </w:p>
        </w:tc>
      </w:tr>
      <w:tr w14:paraId="3692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D348D85">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69E4F">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F714C">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资格评审、形式评审和响应性评审的有效投标人大于5名时，去掉一个最高价和一个最低价，取余下有效投标价的算术平均值的作为评标基准价（PC）。当通过资格评审、形式评审和响应性评审的有效投标人小于或等于5名时，取所有入围的有效投标价的算术平均值的作为评标基准价（PC）。低于最高投标限价80%的有效投标价不参与计算评标基准价（PC）。</w:t>
            </w:r>
            <w:r>
              <w:rPr>
                <w:rFonts w:hint="eastAsia" w:ascii="宋体" w:hAnsi="宋体" w:cs="宋体"/>
                <w:color w:val="auto"/>
                <w:sz w:val="21"/>
                <w:szCs w:val="21"/>
                <w:highlight w:val="none"/>
                <w:lang w:eastAsia="zh-CN"/>
              </w:rPr>
              <w:t>若所有入围的有效投标价均低于最高投标限价</w:t>
            </w:r>
            <w:r>
              <w:rPr>
                <w:rFonts w:hint="eastAsia" w:ascii="宋体" w:hAnsi="宋体" w:cs="宋体"/>
                <w:color w:val="auto"/>
                <w:sz w:val="21"/>
                <w:szCs w:val="21"/>
                <w:highlight w:val="none"/>
                <w:lang w:val="en-US" w:eastAsia="zh-CN"/>
              </w:rPr>
              <w:t>80%，则取最高投标限价80%为评标基准价。</w:t>
            </w:r>
          </w:p>
        </w:tc>
      </w:tr>
      <w:tr w14:paraId="546F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9986AF3">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6F3D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投标报价的偏差率计算公式（10分）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4B0B3">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评标基准价（PC）作为计算各有效投标价得分的基础。当有效投标价（PT）等于评标基准价（PC）时，有效投标价得分I=10分；有效投标价（PT）比评标基准价（PC）上偏差1%减0.6分，下偏差1%减0.3分，最多减至0分止。</w:t>
            </w:r>
          </w:p>
          <w:p w14:paraId="66AB94CB">
            <w:pPr>
              <w:pStyle w:val="34"/>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计算公式为：</w:t>
            </w:r>
          </w:p>
          <w:p w14:paraId="42B00F11">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投标报价得分=10-n×100*|PT-PC|/PC，当PT≥PC时，n=0.6；当PT ＜PC时，n=0.3</w:t>
            </w:r>
          </w:p>
        </w:tc>
      </w:tr>
      <w:tr w14:paraId="074D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7217A8A9">
            <w:pPr>
              <w:pStyle w:val="34"/>
              <w:kinsoku w:val="0"/>
              <w:overflowPunct w:val="0"/>
              <w:jc w:val="center"/>
              <w:rPr>
                <w:rFonts w:hint="eastAsia" w:ascii="宋体" w:hAnsi="宋体" w:eastAsia="宋体" w:cs="宋体"/>
                <w:color w:val="auto"/>
                <w:sz w:val="21"/>
                <w:szCs w:val="21"/>
                <w:highlight w:val="none"/>
              </w:rPr>
            </w:pPr>
          </w:p>
          <w:p w14:paraId="7F7B3B4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7EF3C0BF">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1141413E">
            <w:pPr>
              <w:pStyle w:val="34"/>
              <w:kinsoku w:val="0"/>
              <w:overflowPunct w:val="0"/>
              <w:jc w:val="center"/>
              <w:rPr>
                <w:rFonts w:hint="eastAsia" w:ascii="宋体" w:hAnsi="宋体" w:eastAsia="宋体" w:cs="宋体"/>
                <w:color w:val="auto"/>
                <w:sz w:val="21"/>
                <w:szCs w:val="21"/>
                <w:highlight w:val="none"/>
              </w:rPr>
            </w:pPr>
          </w:p>
          <w:p w14:paraId="06B0BDD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rPr>
              <w:t>60</w:t>
            </w:r>
            <w:r>
              <w:rPr>
                <w:rFonts w:hint="eastAsia" w:ascii="宋体" w:hAnsi="宋体" w:cs="宋体"/>
                <w:color w:val="auto"/>
                <w:sz w:val="24"/>
                <w:szCs w:val="24"/>
                <w:highlight w:val="none"/>
              </w:rPr>
              <w:t>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17DB0B">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p w14:paraId="315FA580">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9D4898">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none"/>
              </w:rPr>
              <w:t>投标人自</w:t>
            </w:r>
            <w:r>
              <w:rPr>
                <w:rFonts w:hint="eastAsia" w:ascii="宋体" w:hAnsi="宋体" w:eastAsia="宋体" w:cs="宋体"/>
                <w:color w:val="auto"/>
                <w:sz w:val="21"/>
                <w:szCs w:val="21"/>
                <w:highlight w:val="none"/>
                <w:u w:val="none"/>
                <w:lang w:val="en-US"/>
              </w:rPr>
              <w:t>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年1月1日至今独立完成过类似项目监理。类似项目监理是指总投资金额大于等于</w:t>
            </w:r>
            <w:r>
              <w:rPr>
                <w:rFonts w:hint="eastAsia" w:ascii="宋体" w:hAnsi="宋体" w:cs="宋体"/>
                <w:color w:val="auto"/>
                <w:sz w:val="21"/>
                <w:szCs w:val="21"/>
                <w:highlight w:val="none"/>
                <w:u w:val="none"/>
                <w:lang w:val="en-US" w:eastAsia="zh-CN"/>
              </w:rPr>
              <w:t>18700</w:t>
            </w:r>
            <w:r>
              <w:rPr>
                <w:rFonts w:hint="eastAsia" w:ascii="宋体" w:hAnsi="宋体" w:eastAsia="宋体" w:cs="宋体"/>
                <w:color w:val="auto"/>
                <w:sz w:val="21"/>
                <w:szCs w:val="21"/>
                <w:highlight w:val="none"/>
                <w:u w:val="none"/>
              </w:rPr>
              <w:t>万元的市政公用工程监理项目，每项得5分；项目总投资金额</w:t>
            </w:r>
            <w:r>
              <w:rPr>
                <w:rFonts w:hint="eastAsia" w:ascii="宋体" w:hAnsi="宋体" w:eastAsia="宋体" w:cs="宋体"/>
                <w:color w:val="auto"/>
                <w:sz w:val="21"/>
                <w:szCs w:val="21"/>
                <w:highlight w:val="none"/>
                <w:u w:val="none"/>
                <w:lang w:val="en-US" w:eastAsia="zh-CN"/>
              </w:rPr>
              <w:t>大于等于</w:t>
            </w:r>
            <w:r>
              <w:rPr>
                <w:rFonts w:hint="eastAsia" w:ascii="宋体" w:hAnsi="宋体" w:cs="宋体"/>
                <w:color w:val="auto"/>
                <w:sz w:val="21"/>
                <w:szCs w:val="21"/>
                <w:highlight w:val="none"/>
                <w:u w:val="none"/>
                <w:lang w:val="en-US" w:eastAsia="zh-CN"/>
              </w:rPr>
              <w:t>9300</w:t>
            </w:r>
            <w:r>
              <w:rPr>
                <w:rFonts w:hint="eastAsia" w:ascii="宋体" w:hAnsi="宋体" w:eastAsia="宋体" w:cs="宋体"/>
                <w:color w:val="auto"/>
                <w:sz w:val="21"/>
                <w:szCs w:val="21"/>
                <w:highlight w:val="none"/>
                <w:u w:val="none"/>
                <w:lang w:val="en-US" w:eastAsia="zh-CN"/>
              </w:rPr>
              <w:t>万元且小于</w:t>
            </w:r>
            <w:r>
              <w:rPr>
                <w:rFonts w:hint="eastAsia" w:ascii="宋体" w:hAnsi="宋体" w:cs="宋体"/>
                <w:color w:val="auto"/>
                <w:sz w:val="21"/>
                <w:szCs w:val="21"/>
                <w:highlight w:val="none"/>
                <w:u w:val="none"/>
                <w:lang w:val="en-US" w:eastAsia="zh-CN"/>
              </w:rPr>
              <w:t>18700</w:t>
            </w:r>
            <w:r>
              <w:rPr>
                <w:rFonts w:hint="eastAsia" w:ascii="宋体" w:hAnsi="宋体" w:eastAsia="宋体" w:cs="宋体"/>
                <w:color w:val="auto"/>
                <w:sz w:val="21"/>
                <w:szCs w:val="21"/>
                <w:highlight w:val="none"/>
                <w:u w:val="none"/>
                <w:lang w:val="en-US" w:eastAsia="zh-CN"/>
              </w:rPr>
              <w:t>万元</w:t>
            </w:r>
            <w:r>
              <w:rPr>
                <w:rFonts w:hint="eastAsia" w:ascii="宋体" w:hAnsi="宋体" w:eastAsia="宋体" w:cs="宋体"/>
                <w:color w:val="auto"/>
                <w:sz w:val="21"/>
                <w:szCs w:val="21"/>
                <w:highlight w:val="none"/>
                <w:u w:val="none"/>
              </w:rPr>
              <w:t>的市政公用工程监理项目，每项得2.5分；本项最高得15分。</w:t>
            </w:r>
          </w:p>
        </w:tc>
      </w:tr>
      <w:tr w14:paraId="7EF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left w:val="single" w:color="auto" w:sz="4" w:space="0"/>
              <w:right w:val="single" w:color="auto" w:sz="4" w:space="0"/>
              <w:tl2br w:val="nil"/>
              <w:tr2bl w:val="nil"/>
            </w:tcBorders>
            <w:noWrap w:val="0"/>
            <w:vAlign w:val="top"/>
          </w:tcPr>
          <w:p w14:paraId="019E39F3">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75946607">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AAB256">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项目获奖</w:t>
            </w:r>
            <w:r>
              <w:rPr>
                <w:rFonts w:hint="eastAsia" w:ascii="宋体" w:hAnsi="宋体" w:cs="宋体"/>
                <w:color w:val="auto"/>
                <w:sz w:val="21"/>
                <w:szCs w:val="21"/>
                <w:highlight w:val="none"/>
                <w:lang w:val="en-US" w:eastAsia="zh-CN"/>
              </w:rPr>
              <w:t>情况</w:t>
            </w:r>
          </w:p>
          <w:p w14:paraId="52B9694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7A507">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年1月1日至今独立完成过市政公用工程监理项目获得国家级奖项的，每项得3分;获得省级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含行业级、部级，包括自治区、直辖市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奖项的，每项得2分;获得市级</w:t>
            </w:r>
            <w:r>
              <w:rPr>
                <w:rFonts w:hint="eastAsia" w:ascii="宋体" w:hAnsi="宋体" w:eastAsia="宋体" w:cs="宋体"/>
                <w:color w:val="auto"/>
                <w:sz w:val="21"/>
                <w:szCs w:val="21"/>
                <w:highlight w:val="none"/>
                <w:lang w:val="zh-CN"/>
              </w:rPr>
              <w:t>（含副省级）</w:t>
            </w:r>
            <w:r>
              <w:rPr>
                <w:rFonts w:hint="eastAsia" w:ascii="宋体" w:hAnsi="宋体" w:eastAsia="宋体" w:cs="宋体"/>
                <w:color w:val="auto"/>
                <w:sz w:val="21"/>
                <w:szCs w:val="21"/>
                <w:highlight w:val="none"/>
              </w:rPr>
              <w:t>奖项的，每项得1分;本项最高得9分。</w:t>
            </w:r>
          </w:p>
        </w:tc>
      </w:tr>
      <w:tr w14:paraId="7ABC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left w:val="single" w:color="auto" w:sz="4" w:space="0"/>
              <w:right w:val="single" w:color="auto" w:sz="4" w:space="0"/>
              <w:tl2br w:val="nil"/>
              <w:tr2bl w:val="nil"/>
            </w:tcBorders>
            <w:noWrap w:val="0"/>
            <w:vAlign w:val="top"/>
          </w:tcPr>
          <w:p w14:paraId="506F0374">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8281766">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E20D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36996E64">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资历经验</w:t>
            </w:r>
          </w:p>
          <w:p w14:paraId="53031AB9">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C5DB7">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none"/>
              </w:rPr>
              <w:t>自20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年1月1日至今,曾在已完成的类似项目监理中担任监理项目总监。类似项目监理是指项目总投资金额大于等于</w:t>
            </w:r>
            <w:r>
              <w:rPr>
                <w:rFonts w:hint="eastAsia" w:ascii="宋体" w:hAnsi="宋体" w:cs="宋体"/>
                <w:color w:val="auto"/>
                <w:sz w:val="21"/>
                <w:szCs w:val="21"/>
                <w:highlight w:val="none"/>
                <w:u w:val="none"/>
                <w:lang w:val="en-US" w:eastAsia="zh-CN"/>
              </w:rPr>
              <w:t>18700</w:t>
            </w:r>
            <w:r>
              <w:rPr>
                <w:rFonts w:hint="eastAsia" w:ascii="宋体" w:hAnsi="宋体" w:eastAsia="宋体" w:cs="宋体"/>
                <w:color w:val="auto"/>
                <w:sz w:val="21"/>
                <w:szCs w:val="21"/>
                <w:highlight w:val="none"/>
                <w:u w:val="none"/>
              </w:rPr>
              <w:t>万元的市政公用工程监理项目，每项得4分；项目总投资金额大于等于</w:t>
            </w:r>
            <w:r>
              <w:rPr>
                <w:rFonts w:hint="eastAsia" w:ascii="宋体" w:hAnsi="宋体" w:cs="宋体"/>
                <w:color w:val="auto"/>
                <w:sz w:val="21"/>
                <w:szCs w:val="21"/>
                <w:highlight w:val="none"/>
                <w:u w:val="none"/>
                <w:lang w:val="en-US" w:eastAsia="zh-CN"/>
              </w:rPr>
              <w:t>9300</w:t>
            </w:r>
            <w:r>
              <w:rPr>
                <w:rFonts w:hint="eastAsia" w:ascii="宋体" w:hAnsi="宋体" w:eastAsia="宋体" w:cs="宋体"/>
                <w:color w:val="auto"/>
                <w:sz w:val="21"/>
                <w:szCs w:val="21"/>
                <w:highlight w:val="none"/>
                <w:u w:val="none"/>
                <w:lang w:val="en-US" w:eastAsia="zh-CN"/>
              </w:rPr>
              <w:t>万元且小于</w:t>
            </w:r>
            <w:r>
              <w:rPr>
                <w:rFonts w:hint="eastAsia" w:ascii="宋体" w:hAnsi="宋体" w:cs="宋体"/>
                <w:color w:val="auto"/>
                <w:sz w:val="21"/>
                <w:szCs w:val="21"/>
                <w:highlight w:val="none"/>
                <w:u w:val="none"/>
                <w:lang w:val="en-US" w:eastAsia="zh-CN"/>
              </w:rPr>
              <w:t>18700</w:t>
            </w:r>
            <w:r>
              <w:rPr>
                <w:rFonts w:hint="eastAsia" w:ascii="宋体" w:hAnsi="宋体" w:eastAsia="宋体" w:cs="宋体"/>
                <w:color w:val="auto"/>
                <w:sz w:val="21"/>
                <w:szCs w:val="21"/>
                <w:highlight w:val="none"/>
                <w:u w:val="none"/>
                <w:lang w:val="en-US" w:eastAsia="zh-CN"/>
              </w:rPr>
              <w:t>万元</w:t>
            </w:r>
            <w:r>
              <w:rPr>
                <w:rFonts w:hint="eastAsia" w:ascii="宋体" w:hAnsi="宋体" w:eastAsia="宋体" w:cs="宋体"/>
                <w:color w:val="auto"/>
                <w:sz w:val="21"/>
                <w:szCs w:val="21"/>
                <w:highlight w:val="none"/>
                <w:u w:val="none"/>
              </w:rPr>
              <w:t>的，每项得2分；本项最高得4分。</w:t>
            </w:r>
          </w:p>
        </w:tc>
      </w:tr>
      <w:tr w14:paraId="2E5C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left w:val="single" w:color="auto" w:sz="4" w:space="0"/>
              <w:right w:val="single" w:color="auto" w:sz="4" w:space="0"/>
              <w:tl2br w:val="nil"/>
              <w:tr2bl w:val="nil"/>
            </w:tcBorders>
            <w:noWrap w:val="0"/>
            <w:vAlign w:val="top"/>
          </w:tcPr>
          <w:p w14:paraId="285C8AB9">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14731A88">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F6AD3B">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人员配备满足程度</w:t>
            </w:r>
          </w:p>
          <w:p w14:paraId="57DB3852">
            <w:pPr>
              <w:spacing w:line="360" w:lineRule="auto"/>
              <w:ind w:left="-3" w:leftChars="-16" w:hanging="35" w:hangingChars="1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A457A">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满足招标文件第五章委托人要求中监理人员（总监除外）最低配置要求的得</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分，不满足最低配置要求不得分。在满足最低配置要求的条件下：</w:t>
            </w:r>
          </w:p>
          <w:p w14:paraId="255C68C2">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1.其中，每增加一名监理人员的职称证或学历证或资格证专业为给排水工程相关专业的，加1分，最多加</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分。</w:t>
            </w:r>
          </w:p>
          <w:p w14:paraId="4CEB89E7">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2.其中，每增加一名具有注册监理工程师注册执业证书的监理人员的加1分，最多加</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分。</w:t>
            </w:r>
          </w:p>
          <w:p w14:paraId="2867A873">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rPr>
              <w:t>13</w:t>
            </w:r>
            <w:r>
              <w:rPr>
                <w:rFonts w:hint="eastAsia" w:ascii="宋体" w:hAnsi="宋体" w:eastAsia="宋体" w:cs="宋体"/>
                <w:color w:val="auto"/>
                <w:sz w:val="21"/>
                <w:szCs w:val="21"/>
                <w:highlight w:val="none"/>
              </w:rPr>
              <w:t>分。</w:t>
            </w:r>
          </w:p>
          <w:p w14:paraId="5B720FA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（若投入的监理人员，既具有注册监理工程执业证，又具有职称证或学历证或资格证专业为给排水工程相关专业的，两项能同时加分。）</w:t>
            </w:r>
          </w:p>
        </w:tc>
      </w:tr>
      <w:tr w14:paraId="3D73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7873E979">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00EDC5F0">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B5B9F">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检测设备</w:t>
            </w:r>
          </w:p>
          <w:p w14:paraId="1F0E3DB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A9862">
            <w:pPr>
              <w:pStyle w:val="34"/>
              <w:kinsoku w:val="0"/>
              <w:overflowPunct w:val="0"/>
              <w:spacing w:line="360" w:lineRule="auto"/>
              <w:ind w:right="45"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满足招标文件第五章委托人要求中设备最低配置要求的得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分，不满足最低配置要求不得分。优于最低配置要求的得</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分。</w:t>
            </w:r>
          </w:p>
        </w:tc>
      </w:tr>
      <w:tr w14:paraId="4314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71B9F643">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5D18EC85">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D4C2B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企业管理体系认证</w:t>
            </w:r>
          </w:p>
          <w:p w14:paraId="2CFF12E3">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1CC539">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rPr>
              <w:t>有效期内的质量管理体系、</w:t>
            </w:r>
            <w:r>
              <w:rPr>
                <w:rFonts w:hint="eastAsia" w:ascii="宋体" w:hAnsi="宋体" w:eastAsia="宋体" w:cs="宋体"/>
                <w:color w:val="auto"/>
                <w:sz w:val="21"/>
                <w:szCs w:val="21"/>
                <w:highlight w:val="none"/>
              </w:rPr>
              <w:t>环境管理体系、职业健康安全管理体系、</w:t>
            </w:r>
            <w:r>
              <w:rPr>
                <w:rFonts w:hint="eastAsia" w:ascii="宋体" w:hAnsi="宋体" w:eastAsia="宋体" w:cs="宋体"/>
                <w:color w:val="auto"/>
                <w:sz w:val="21"/>
                <w:szCs w:val="21"/>
                <w:highlight w:val="none"/>
                <w:lang w:val="en-US"/>
              </w:rPr>
              <w:t>知识产权管理体系认证、信息安全管理体系认证的，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rPr>
              <w:t>提供一项</w:t>
            </w:r>
            <w:r>
              <w:rPr>
                <w:rFonts w:hint="eastAsia" w:ascii="宋体" w:hAnsi="宋体" w:eastAsia="宋体" w:cs="宋体"/>
                <w:color w:val="auto"/>
                <w:sz w:val="21"/>
                <w:szCs w:val="21"/>
                <w:highlight w:val="none"/>
              </w:rPr>
              <w:t>得2分，本项最高得</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分。没有</w:t>
            </w:r>
            <w:r>
              <w:rPr>
                <w:rFonts w:hint="eastAsia" w:ascii="宋体" w:hAnsi="宋体" w:eastAsia="宋体" w:cs="宋体"/>
                <w:color w:val="auto"/>
                <w:sz w:val="21"/>
                <w:szCs w:val="21"/>
                <w:highlight w:val="none"/>
                <w:lang w:val="en-US"/>
              </w:rPr>
              <w:t>提供证书</w:t>
            </w:r>
            <w:r>
              <w:rPr>
                <w:rFonts w:hint="eastAsia" w:ascii="宋体" w:hAnsi="宋体" w:eastAsia="宋体" w:cs="宋体"/>
                <w:color w:val="auto"/>
                <w:sz w:val="21"/>
                <w:szCs w:val="21"/>
                <w:highlight w:val="none"/>
              </w:rPr>
              <w:t>的或证书不在有效期内的不得分。</w:t>
            </w:r>
          </w:p>
        </w:tc>
      </w:tr>
      <w:tr w14:paraId="0EE0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bottom w:val="single" w:color="auto" w:sz="4" w:space="0"/>
              <w:right w:val="single" w:color="auto" w:sz="4" w:space="0"/>
              <w:tl2br w:val="nil"/>
              <w:tr2bl w:val="nil"/>
            </w:tcBorders>
            <w:noWrap w:val="0"/>
            <w:vAlign w:val="top"/>
          </w:tcPr>
          <w:p w14:paraId="75FC4E58">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bottom w:val="single" w:color="auto" w:sz="4" w:space="0"/>
              <w:right w:val="single" w:color="auto" w:sz="4" w:space="0"/>
              <w:tl2br w:val="nil"/>
              <w:tr2bl w:val="nil"/>
            </w:tcBorders>
            <w:noWrap w:val="0"/>
            <w:vAlign w:val="top"/>
          </w:tcPr>
          <w:p w14:paraId="6E74C1E4">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B11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履约能力评价</w:t>
            </w:r>
          </w:p>
          <w:p w14:paraId="340B01E3">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02231B">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投标人具有履约能力评价认证证书，AAA等级或以上的得5分，AA等级的得3分，A等级或以下的得1分，没有的或证书不在有效期内的不得分。</w:t>
            </w:r>
          </w:p>
        </w:tc>
      </w:tr>
      <w:tr w14:paraId="043D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56B72E4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7055B4F4">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4483B223">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监理大纲评分标准（30分）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F388C">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投资控制</w:t>
            </w:r>
          </w:p>
          <w:p w14:paraId="1FF15B54">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D9B2D2">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要求目标明确、方法合理可行、措施具体、针对性强为优得3分；良得2分；一般得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分；无措施不得分。</w:t>
            </w:r>
          </w:p>
        </w:tc>
      </w:tr>
      <w:tr w14:paraId="15AF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left w:val="single" w:color="auto" w:sz="4" w:space="0"/>
              <w:right w:val="single" w:color="auto" w:sz="4" w:space="0"/>
              <w:tl2br w:val="nil"/>
              <w:tr2bl w:val="nil"/>
            </w:tcBorders>
            <w:noWrap w:val="0"/>
            <w:vAlign w:val="center"/>
          </w:tcPr>
          <w:p w14:paraId="0D11EA9F">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D043829">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A36516">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进度控制</w:t>
            </w:r>
          </w:p>
          <w:p w14:paraId="6A97DCA1">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C23BF">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要求目标明确、方法合理可行、措施具体、针对性强为优得3分；良得2分；一般得1分；无措施不得分。</w:t>
            </w:r>
          </w:p>
        </w:tc>
      </w:tr>
      <w:tr w14:paraId="0322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left w:val="single" w:color="auto" w:sz="4" w:space="0"/>
              <w:right w:val="single" w:color="auto" w:sz="4" w:space="0"/>
              <w:tl2br w:val="nil"/>
              <w:tr2bl w:val="nil"/>
            </w:tcBorders>
            <w:noWrap w:val="0"/>
            <w:vAlign w:val="center"/>
          </w:tcPr>
          <w:p w14:paraId="01B74787">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08C442E">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FDEF">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w:t>
            </w:r>
          </w:p>
          <w:p w14:paraId="7D108613">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F4B35">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要求目标明确、方法合理可行、措施具体、针对性强为优得3分；良得2分；一般得1分；无措施不得分。</w:t>
            </w:r>
          </w:p>
        </w:tc>
      </w:tr>
      <w:tr w14:paraId="4C96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left w:val="single" w:color="auto" w:sz="4" w:space="0"/>
              <w:right w:val="single" w:color="auto" w:sz="4" w:space="0"/>
              <w:tl2br w:val="nil"/>
              <w:tr2bl w:val="nil"/>
            </w:tcBorders>
            <w:noWrap w:val="0"/>
            <w:vAlign w:val="center"/>
          </w:tcPr>
          <w:p w14:paraId="3EC98D1B">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70DE18D">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8C00F">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组织协调</w:t>
            </w:r>
          </w:p>
          <w:p w14:paraId="189245F0">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0F4F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0.5</w:t>
            </w:r>
            <w:r>
              <w:rPr>
                <w:rFonts w:hint="eastAsia" w:ascii="宋体" w:hAnsi="宋体" w:eastAsia="宋体" w:cs="宋体"/>
                <w:color w:val="auto"/>
                <w:sz w:val="21"/>
                <w:szCs w:val="21"/>
                <w:highlight w:val="none"/>
              </w:rPr>
              <w:t>分；无措施不得分。</w:t>
            </w:r>
          </w:p>
        </w:tc>
      </w:tr>
      <w:tr w14:paraId="7D30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left w:val="single" w:color="auto" w:sz="4" w:space="0"/>
              <w:right w:val="single" w:color="auto" w:sz="4" w:space="0"/>
              <w:tl2br w:val="nil"/>
              <w:tr2bl w:val="nil"/>
            </w:tcBorders>
            <w:noWrap w:val="0"/>
            <w:vAlign w:val="center"/>
          </w:tcPr>
          <w:p w14:paraId="196B7CBE">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0C2827BF">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E8B5D">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合同、信息管理</w:t>
            </w:r>
          </w:p>
          <w:p w14:paraId="057B52B6">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rPr>
              <w:t>）</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BB712">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措施具体、合理可行、针对性强为优得3分；良得2分；一般得1分；无措施不得分。</w:t>
            </w:r>
          </w:p>
        </w:tc>
      </w:tr>
      <w:tr w14:paraId="138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left w:val="single" w:color="auto" w:sz="4" w:space="0"/>
              <w:right w:val="single" w:color="auto" w:sz="4" w:space="0"/>
              <w:tl2br w:val="nil"/>
              <w:tr2bl w:val="nil"/>
            </w:tcBorders>
            <w:noWrap w:val="0"/>
            <w:vAlign w:val="center"/>
          </w:tcPr>
          <w:p w14:paraId="5545A451">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07088911">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F5EB9">
            <w:pPr>
              <w:pStyle w:val="34"/>
              <w:kinsoku w:val="0"/>
              <w:overflowPunct w:val="0"/>
              <w:spacing w:before="14"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安全、文明施工管理</w:t>
            </w:r>
          </w:p>
          <w:p w14:paraId="74A9F116">
            <w:pPr>
              <w:pStyle w:val="34"/>
              <w:kinsoku w:val="0"/>
              <w:overflowPunct w:val="0"/>
              <w:spacing w:before="1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rPr>
              <w:t>）</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131D7">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措施具体、合理可行、针对性强为优得3分；良得2分；一般得1分；无措施不得分。</w:t>
            </w:r>
          </w:p>
        </w:tc>
      </w:tr>
      <w:tr w14:paraId="3C73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left w:val="single" w:color="auto" w:sz="4" w:space="0"/>
              <w:right w:val="single" w:color="auto" w:sz="4" w:space="0"/>
              <w:tl2br w:val="nil"/>
              <w:tr2bl w:val="nil"/>
            </w:tcBorders>
            <w:noWrap w:val="0"/>
            <w:vAlign w:val="center"/>
          </w:tcPr>
          <w:p w14:paraId="1157C88F">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58276905">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FB45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工程进度款、结算管理</w:t>
            </w:r>
          </w:p>
          <w:p w14:paraId="1C818A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D87BE">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措施具体、合理可行、针对性强为优得2分；良得1分；一般得0.5分；无措施不得分。</w:t>
            </w:r>
          </w:p>
        </w:tc>
      </w:tr>
      <w:tr w14:paraId="4BC7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left w:val="single" w:color="auto" w:sz="4" w:space="0"/>
              <w:right w:val="single" w:color="auto" w:sz="4" w:space="0"/>
              <w:tl2br w:val="nil"/>
              <w:tr2bl w:val="nil"/>
            </w:tcBorders>
            <w:noWrap w:val="0"/>
            <w:vAlign w:val="center"/>
          </w:tcPr>
          <w:p w14:paraId="7DFA68DE">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B55CC5D">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5F88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会议制度</w:t>
            </w:r>
          </w:p>
          <w:p w14:paraId="447670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B5092">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工地会议制度完善健全为优得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0.5</w:t>
            </w:r>
            <w:r>
              <w:rPr>
                <w:rFonts w:hint="eastAsia" w:ascii="宋体" w:hAnsi="宋体" w:eastAsia="宋体" w:cs="宋体"/>
                <w:color w:val="auto"/>
                <w:sz w:val="21"/>
                <w:szCs w:val="21"/>
                <w:highlight w:val="none"/>
              </w:rPr>
              <w:t>分；无措施不得分。</w:t>
            </w:r>
          </w:p>
        </w:tc>
      </w:tr>
      <w:tr w14:paraId="2237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left w:val="single" w:color="auto" w:sz="4" w:space="0"/>
              <w:right w:val="single" w:color="auto" w:sz="4" w:space="0"/>
              <w:tl2br w:val="nil"/>
              <w:tr2bl w:val="nil"/>
            </w:tcBorders>
            <w:noWrap w:val="0"/>
            <w:vAlign w:val="center"/>
          </w:tcPr>
          <w:p w14:paraId="691B8A46">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016A403B">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4FA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重点难点监控措施</w:t>
            </w:r>
          </w:p>
          <w:p w14:paraId="7FCB51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41AB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措施具体、合理可行、针对性强为优得3分；良得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分；无措施不得分。</w:t>
            </w:r>
          </w:p>
        </w:tc>
      </w:tr>
      <w:tr w14:paraId="2BD4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528EA704">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BB238E1">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90E7C">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14:paraId="3C0BF59B">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5065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建议具体、合理可行、针对性强为优得3分；良得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分；无建议不得分。</w:t>
            </w:r>
          </w:p>
        </w:tc>
      </w:tr>
      <w:tr w14:paraId="0755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75373B69">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25621F0">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73A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配合行政主管部门开展监督检查及加快项目推进的措施</w:t>
            </w:r>
          </w:p>
          <w:p w14:paraId="55A6A6F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B1A8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结合投标人以往配合主管部门监督检查或加快项目推进的经历（可例举如配合参与主管部门的监督检查、防疫防控、配合开展救急抢修工作经验，或配合完成各级政府的攻坚达标任务等相关经历），</w:t>
            </w:r>
            <w:r>
              <w:rPr>
                <w:rFonts w:hint="eastAsia" w:ascii="宋体" w:hAnsi="宋体" w:eastAsia="宋体" w:cs="宋体"/>
                <w:color w:val="auto"/>
                <w:sz w:val="21"/>
                <w:szCs w:val="21"/>
                <w:highlight w:val="none"/>
              </w:rPr>
              <w:t>编制针对本项目具体特点的配合行政主管部门开展监督检查及加快项目推进的措施</w:t>
            </w:r>
            <w:r>
              <w:rPr>
                <w:rFonts w:hint="eastAsia" w:ascii="宋体" w:hAnsi="宋体" w:eastAsia="宋体" w:cs="宋体"/>
                <w:bCs/>
                <w:color w:val="auto"/>
                <w:sz w:val="21"/>
                <w:szCs w:val="21"/>
                <w:highlight w:val="none"/>
              </w:rPr>
              <w:t>。</w:t>
            </w:r>
          </w:p>
          <w:p w14:paraId="423491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措施为优得3分；良得2分；一般得1分；无措施不得分。</w:t>
            </w:r>
          </w:p>
        </w:tc>
      </w:tr>
      <w:tr w14:paraId="2F69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06CB0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38FD9D3">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06BBDEEB">
            <w:pPr>
              <w:pStyle w:val="34"/>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43FCC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投标报价评分标准（10分</w:t>
            </w:r>
            <w:r>
              <w:rPr>
                <w:rFonts w:hint="eastAsia" w:ascii="宋体" w:hAnsi="宋体" w:eastAsia="宋体" w:cs="宋体"/>
                <w:color w:val="auto"/>
                <w:spacing w:val="-7"/>
                <w:sz w:val="21"/>
                <w:szCs w:val="21"/>
                <w:highlight w:val="none"/>
              </w:rPr>
              <w:t>）</w:t>
            </w:r>
          </w:p>
        </w:tc>
        <w:tc>
          <w:tcPr>
            <w:tcW w:w="2013" w:type="dxa"/>
            <w:tcBorders>
              <w:top w:val="single" w:color="auto" w:sz="4" w:space="0"/>
              <w:left w:val="single" w:color="auto" w:sz="4" w:space="0"/>
              <w:right w:val="single" w:color="auto" w:sz="4" w:space="0"/>
              <w:tl2br w:val="nil"/>
              <w:tr2bl w:val="nil"/>
            </w:tcBorders>
            <w:noWrap w:val="0"/>
            <w:vAlign w:val="center"/>
          </w:tcPr>
          <w:p w14:paraId="376CB8B3">
            <w:pPr>
              <w:pStyle w:val="34"/>
              <w:kinsoku w:val="0"/>
              <w:overflowPunct w:val="0"/>
              <w:jc w:val="center"/>
              <w:rPr>
                <w:rFonts w:hint="eastAsia" w:ascii="宋体" w:hAnsi="宋体" w:eastAsia="宋体" w:cs="宋体"/>
                <w:color w:val="auto"/>
                <w:sz w:val="21"/>
                <w:szCs w:val="21"/>
                <w:highlight w:val="none"/>
              </w:rPr>
            </w:pPr>
          </w:p>
          <w:p w14:paraId="146D5BD6">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r>
              <w:rPr>
                <w:rFonts w:hint="eastAsia" w:ascii="宋体" w:hAnsi="宋体" w:eastAsia="宋体" w:cs="宋体"/>
                <w:color w:val="auto"/>
                <w:sz w:val="21"/>
                <w:szCs w:val="21"/>
                <w:highlight w:val="none"/>
              </w:rPr>
              <w:t>（10分</w:t>
            </w:r>
            <w:r>
              <w:rPr>
                <w:rFonts w:hint="eastAsia" w:ascii="宋体" w:hAnsi="宋体" w:eastAsia="宋体" w:cs="宋体"/>
                <w:color w:val="auto"/>
                <w:spacing w:val="-7"/>
                <w:sz w:val="21"/>
                <w:szCs w:val="21"/>
                <w:highlight w:val="none"/>
              </w:rPr>
              <w:t>）</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1E8E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0.6分，每下偏1%扣0.3分，最多扣10分。（评分如出现小数点，则保留小数点后两位，第三位四舍五入）。</w:t>
            </w:r>
          </w:p>
          <w:p w14:paraId="35335190">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（如有）计算价格得分时，对小微企业投标的，在采用原报价进行评分的基础上增加其价格得分的5%作为其价格得分，若原报价己满分，仍突破满分上限继续享受加分优惠，以实际计算结果作为最终价格分。</w:t>
            </w:r>
          </w:p>
        </w:tc>
      </w:tr>
    </w:tbl>
    <w:p w14:paraId="7136BE2C">
      <w:pPr>
        <w:numPr>
          <w:ilvl w:val="0"/>
          <w:numId w:val="1"/>
        </w:numPr>
        <w:snapToGrid w:val="0"/>
        <w:spacing w:before="240" w:beforeLines="10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监理项目业绩需同时提供中标通知书（或免招标的相关证明）、监理合同、单位工程验收鉴定书或合同工程完工验收鉴定书或工程竣工验收证明扫描件，时间以工程验收时间为准。总投资以合同载明为准，若合同未能体现总投资，则需提供立项批复文件或其他有效的证明材料。</w:t>
      </w:r>
    </w:p>
    <w:p w14:paraId="6153C510">
      <w:pPr>
        <w:snapToGrid/>
        <w:spacing w:before="0" w:beforeLines="-2147483648" w:line="360" w:lineRule="auto"/>
        <w:ind w:firstLine="480" w:firstLineChars="200"/>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 w:val="21"/>
          <w:szCs w:val="21"/>
          <w:highlight w:val="none"/>
          <w:lang w:val="en-US" w:eastAsia="zh-CN"/>
        </w:rPr>
        <w:t>项目获奖情况：需提供</w:t>
      </w:r>
      <w:r>
        <w:rPr>
          <w:rFonts w:hint="eastAsia" w:ascii="宋体" w:hAnsi="宋体" w:cs="宋体"/>
          <w:color w:val="auto"/>
          <w:sz w:val="21"/>
          <w:szCs w:val="21"/>
          <w:highlight w:val="none"/>
        </w:rPr>
        <w:t>政府或社会组织机构颁发的获奖证书扫描件；若为社会组织机构颁发的证书，还需提供该机构已在民政管理部门登记备案的官网查询结果截图；获奖时间以获奖证书颁发日期为准，同一工程项目获得多个奖项的，按最高奖项计取，不重复计算</w:t>
      </w:r>
      <w:r>
        <w:rPr>
          <w:rFonts w:hint="eastAsia" w:ascii="宋体" w:hAnsi="宋体" w:cs="宋体"/>
          <w:color w:val="auto"/>
          <w:sz w:val="21"/>
          <w:szCs w:val="21"/>
          <w:highlight w:val="none"/>
          <w:lang w:val="en-US" w:eastAsia="zh-CN"/>
        </w:rPr>
        <w:t>。如获奖证书无法体现投标人名称，则投标人</w:t>
      </w:r>
      <w:r>
        <w:rPr>
          <w:rFonts w:hint="eastAsia" w:ascii="宋体" w:hAnsi="宋体" w:cs="宋体"/>
          <w:color w:val="auto"/>
          <w:sz w:val="21"/>
          <w:szCs w:val="21"/>
          <w:highlight w:val="none"/>
        </w:rPr>
        <w:t>需提供</w:t>
      </w:r>
      <w:r>
        <w:rPr>
          <w:rFonts w:hint="eastAsia" w:ascii="宋体" w:hAnsi="宋体" w:cs="宋体"/>
          <w:color w:val="auto"/>
          <w:sz w:val="21"/>
          <w:szCs w:val="21"/>
          <w:highlight w:val="none"/>
          <w:lang w:val="en-US" w:eastAsia="zh-CN"/>
        </w:rPr>
        <w:t>相关佐证材料。</w:t>
      </w:r>
      <w:r>
        <w:rPr>
          <w:rFonts w:hint="eastAsia" w:ascii="宋体" w:hAnsi="宋体" w:cs="宋体"/>
          <w:color w:val="auto"/>
          <w:sz w:val="21"/>
          <w:szCs w:val="21"/>
          <w:highlight w:val="none"/>
        </w:rPr>
        <w:t>未提供或提供资料不全的不得分。</w:t>
      </w:r>
    </w:p>
    <w:p w14:paraId="2A78A1C9">
      <w:pPr>
        <w:snapToGrid w:val="0"/>
        <w:spacing w:before="120" w:beforeLines="50"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3、监理人员需提供有效的身份证、相关证书证明及投标人企业（不含子公司）购买的社保证明文件的扫描件。（社保证明文件详见第二章《投标人须知前附表》10.4项）</w:t>
      </w:r>
    </w:p>
    <w:p w14:paraId="5168EFC6">
      <w:pPr>
        <w:snapToGrid w:val="0"/>
        <w:spacing w:before="120" w:before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企业管理体系需提供官方认可的</w:t>
      </w:r>
      <w:r>
        <w:rPr>
          <w:rFonts w:hint="eastAsia" w:ascii="宋体" w:hAnsi="宋体" w:cs="宋体"/>
          <w:color w:val="auto"/>
          <w:kern w:val="0"/>
          <w:sz w:val="21"/>
          <w:szCs w:val="21"/>
          <w:highlight w:val="none"/>
        </w:rPr>
        <w:t>第三方机构出具的</w:t>
      </w:r>
      <w:r>
        <w:rPr>
          <w:rFonts w:hint="eastAsia" w:ascii="宋体" w:hAnsi="宋体" w:cs="宋体"/>
          <w:color w:val="auto"/>
          <w:sz w:val="21"/>
          <w:szCs w:val="21"/>
          <w:highlight w:val="none"/>
        </w:rPr>
        <w:t>有效的“管理体系认证证书”扫描件</w:t>
      </w:r>
      <w:r>
        <w:rPr>
          <w:rFonts w:hint="eastAsia" w:ascii="宋体" w:hAnsi="宋体" w:cs="宋体"/>
          <w:color w:val="auto"/>
          <w:kern w:val="0"/>
          <w:sz w:val="21"/>
          <w:szCs w:val="21"/>
          <w:highlight w:val="none"/>
        </w:rPr>
        <w:t>及在全国认证认可信息公共服务平台（</w:t>
      </w:r>
      <w:r>
        <w:rPr>
          <w:rFonts w:hint="eastAsia" w:ascii="宋体" w:hAnsi="宋体" w:cs="宋体"/>
          <w:color w:val="auto"/>
          <w:kern w:val="0"/>
          <w:sz w:val="21"/>
          <w:szCs w:val="21"/>
          <w:highlight w:val="none"/>
        </w:rPr>
        <w:fldChar w:fldCharType="begin"/>
      </w:r>
      <w:r>
        <w:rPr>
          <w:rFonts w:hint="eastAsia" w:ascii="宋体" w:hAnsi="宋体" w:cs="宋体"/>
          <w:color w:val="auto"/>
          <w:kern w:val="0"/>
          <w:sz w:val="21"/>
          <w:szCs w:val="21"/>
          <w:highlight w:val="none"/>
        </w:rPr>
        <w:instrText xml:space="preserve"> HYPERLINK "http://cx.cnca.cn/" </w:instrText>
      </w:r>
      <w:r>
        <w:rPr>
          <w:rFonts w:hint="eastAsia" w:ascii="宋体" w:hAnsi="宋体" w:cs="宋体"/>
          <w:color w:val="auto"/>
          <w:kern w:val="0"/>
          <w:sz w:val="21"/>
          <w:szCs w:val="21"/>
          <w:highlight w:val="none"/>
        </w:rPr>
        <w:fldChar w:fldCharType="separate"/>
      </w:r>
      <w:r>
        <w:rPr>
          <w:rStyle w:val="30"/>
          <w:rFonts w:hint="eastAsia" w:ascii="宋体" w:hAnsi="宋体" w:eastAsia="宋体" w:cs="宋体"/>
          <w:color w:val="auto"/>
          <w:kern w:val="0"/>
          <w:sz w:val="21"/>
          <w:szCs w:val="21"/>
          <w:highlight w:val="none"/>
        </w:rPr>
        <w:t>http://cx.cnca.cn/</w: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）查询到企业已认证的相关信息结果截图。</w:t>
      </w:r>
    </w:p>
    <w:p w14:paraId="3A5CF096">
      <w:pPr>
        <w:snapToGrid w:val="0"/>
        <w:spacing w:before="120" w:before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履约能力评价需提供</w:t>
      </w:r>
      <w:r>
        <w:rPr>
          <w:rFonts w:hint="eastAsia" w:ascii="宋体" w:hAnsi="宋体" w:cs="宋体"/>
          <w:color w:val="auto"/>
          <w:kern w:val="0"/>
          <w:sz w:val="21"/>
          <w:szCs w:val="21"/>
          <w:highlight w:val="none"/>
        </w:rPr>
        <w:t>第三方机构出具的</w:t>
      </w:r>
      <w:r>
        <w:rPr>
          <w:rFonts w:hint="eastAsia" w:ascii="宋体" w:hAnsi="宋体" w:cs="宋体"/>
          <w:color w:val="auto"/>
          <w:sz w:val="21"/>
          <w:szCs w:val="21"/>
          <w:highlight w:val="none"/>
        </w:rPr>
        <w:t>有效的“履约能力评价认证证书”扫描件</w:t>
      </w:r>
      <w:r>
        <w:rPr>
          <w:rFonts w:hint="eastAsia" w:ascii="宋体" w:hAnsi="宋体" w:cs="宋体"/>
          <w:color w:val="auto"/>
          <w:kern w:val="0"/>
          <w:sz w:val="21"/>
          <w:szCs w:val="21"/>
          <w:highlight w:val="none"/>
        </w:rPr>
        <w:t>及全国认证认可信息公共服务平台（</w:t>
      </w:r>
      <w:r>
        <w:rPr>
          <w:rFonts w:hint="eastAsia" w:ascii="宋体" w:hAnsi="宋体" w:cs="宋体"/>
          <w:color w:val="auto"/>
          <w:kern w:val="0"/>
          <w:sz w:val="21"/>
          <w:szCs w:val="21"/>
          <w:highlight w:val="none"/>
        </w:rPr>
        <w:fldChar w:fldCharType="begin"/>
      </w:r>
      <w:r>
        <w:rPr>
          <w:rFonts w:hint="eastAsia" w:ascii="宋体" w:hAnsi="宋体" w:cs="宋体"/>
          <w:color w:val="auto"/>
          <w:kern w:val="0"/>
          <w:sz w:val="21"/>
          <w:szCs w:val="21"/>
          <w:highlight w:val="none"/>
        </w:rPr>
        <w:instrText xml:space="preserve"> HYPERLINK "http://cx.cnca.cn/" </w:instrText>
      </w:r>
      <w:r>
        <w:rPr>
          <w:rFonts w:hint="eastAsia" w:ascii="宋体" w:hAnsi="宋体" w:cs="宋体"/>
          <w:color w:val="auto"/>
          <w:kern w:val="0"/>
          <w:sz w:val="21"/>
          <w:szCs w:val="21"/>
          <w:highlight w:val="none"/>
        </w:rPr>
        <w:fldChar w:fldCharType="separate"/>
      </w:r>
      <w:r>
        <w:rPr>
          <w:rStyle w:val="30"/>
          <w:rFonts w:hint="eastAsia" w:ascii="宋体" w:hAnsi="宋体" w:eastAsia="宋体" w:cs="宋体"/>
          <w:color w:val="auto"/>
          <w:kern w:val="0"/>
          <w:sz w:val="21"/>
          <w:szCs w:val="21"/>
          <w:highlight w:val="none"/>
        </w:rPr>
        <w:t>http://cx.cnca.cn/</w: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）查询到</w:t>
      </w:r>
      <w:r>
        <w:rPr>
          <w:rFonts w:hint="eastAsia" w:ascii="宋体" w:hAnsi="宋体" w:cs="宋体"/>
          <w:color w:val="auto"/>
          <w:sz w:val="21"/>
          <w:szCs w:val="21"/>
          <w:highlight w:val="none"/>
        </w:rPr>
        <w:t>企业</w:t>
      </w:r>
      <w:r>
        <w:rPr>
          <w:rFonts w:hint="eastAsia" w:ascii="宋体" w:hAnsi="宋体" w:cs="宋体"/>
          <w:color w:val="auto"/>
          <w:kern w:val="0"/>
          <w:sz w:val="21"/>
          <w:szCs w:val="21"/>
          <w:highlight w:val="none"/>
        </w:rPr>
        <w:t>已认证的相关信息结果截图。</w:t>
      </w:r>
    </w:p>
    <w:p w14:paraId="33D1E2E4">
      <w:pPr>
        <w:snapToGrid w:val="0"/>
        <w:spacing w:before="120" w:before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评分如出现小数点，则保留小数点后两位，第三位四舍五入。</w:t>
      </w:r>
    </w:p>
    <w:p w14:paraId="0AC4D204">
      <w:pPr>
        <w:pStyle w:val="4"/>
        <w:kinsoku w:val="0"/>
        <w:overflowPunct w:val="0"/>
        <w:ind w:left="120"/>
        <w:outlineLvl w:val="9"/>
        <w:rPr>
          <w:rFonts w:hint="eastAsia" w:ascii="宋体" w:hAnsi="宋体" w:eastAsia="宋体" w:cs="宋体"/>
          <w:color w:val="auto"/>
          <w:sz w:val="21"/>
          <w:szCs w:val="21"/>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4763B5AA">
      <w:pPr>
        <w:spacing w:line="360" w:lineRule="auto"/>
        <w:ind w:firstLine="560" w:firstLineChars="200"/>
        <w:jc w:val="center"/>
        <w:rPr>
          <w:rFonts w:hint="eastAsia" w:ascii="宋体" w:hAnsi="宋体" w:eastAsia="宋体" w:cs="宋体"/>
          <w:color w:val="auto"/>
          <w:sz w:val="28"/>
          <w:szCs w:val="27"/>
          <w:highlight w:val="none"/>
        </w:rPr>
      </w:pPr>
      <w:bookmarkStart w:id="94" w:name="bookmark84"/>
      <w:bookmarkEnd w:id="94"/>
      <w:r>
        <w:rPr>
          <w:rFonts w:hint="eastAsia" w:ascii="宋体" w:hAnsi="宋体" w:eastAsia="宋体" w:cs="宋体"/>
          <w:color w:val="auto"/>
          <w:sz w:val="28"/>
          <w:szCs w:val="27"/>
          <w:highlight w:val="none"/>
        </w:rPr>
        <w:t>评标办法修改表</w:t>
      </w:r>
    </w:p>
    <w:p w14:paraId="73909B50">
      <w:pPr>
        <w:pStyle w:val="24"/>
        <w:pBdr>
          <w:bottom w:val="single" w:color="auto" w:sz="4" w:space="0"/>
        </w:pBdr>
        <w:spacing w:after="0" w:line="360" w:lineRule="auto"/>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SWZB2024-05</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14:paraId="568CCFF1">
      <w:pPr>
        <w:pStyle w:val="4"/>
        <w:kinsoku w:val="0"/>
        <w:overflowPunct w:val="0"/>
        <w:spacing w:line="360" w:lineRule="auto"/>
        <w:ind w:left="0" w:firstLine="482" w:firstLineChars="200"/>
        <w:jc w:val="both"/>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color w:val="auto"/>
          <w:sz w:val="24"/>
          <w:szCs w:val="24"/>
          <w:highlight w:val="none"/>
        </w:rPr>
        <w:t>1.评标方法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0B84148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cs="宋体"/>
          <w:color w:val="auto"/>
          <w:sz w:val="24"/>
          <w:szCs w:val="24"/>
          <w:highlight w:val="none"/>
        </w:rPr>
        <w:t>1.评标方法</w:t>
      </w:r>
    </w:p>
    <w:p w14:paraId="1A708F15">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w:t>
      </w:r>
      <w:r>
        <w:rPr>
          <w:rFonts w:hint="eastAsia" w:cs="宋体"/>
          <w:color w:val="auto"/>
          <w:sz w:val="24"/>
          <w:szCs w:val="24"/>
          <w:highlight w:val="none"/>
          <w:lang w:eastAsia="zh-CN"/>
        </w:rPr>
        <w:t>，</w:t>
      </w:r>
      <w:r>
        <w:rPr>
          <w:rFonts w:hint="eastAsia" w:cs="宋体"/>
          <w:color w:val="auto"/>
          <w:sz w:val="24"/>
          <w:szCs w:val="24"/>
          <w:highlight w:val="none"/>
        </w:rPr>
        <w:t>按照评标办法前附表的规定确定中标候选人顺序。</w:t>
      </w:r>
    </w:p>
    <w:p w14:paraId="338DDF3E">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ascii="宋体" w:hAnsi="宋体" w:eastAsia="宋体" w:cs="宋体"/>
          <w:color w:val="auto"/>
          <w:sz w:val="24"/>
          <w:szCs w:val="21"/>
          <w:highlight w:val="none"/>
        </w:rPr>
        <w:t>现文：</w:t>
      </w:r>
      <w:r>
        <w:rPr>
          <w:rFonts w:hint="eastAsia" w:cs="宋体"/>
          <w:color w:val="auto"/>
          <w:sz w:val="24"/>
          <w:szCs w:val="24"/>
          <w:highlight w:val="none"/>
          <w:u w:val="single"/>
        </w:rPr>
        <w:t>1.评标、定标方法</w:t>
      </w:r>
    </w:p>
    <w:p w14:paraId="0F40B2E7">
      <w:pPr>
        <w:pStyle w:val="4"/>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本标段采用评定分离方式（评标采用综合评估法，定标采用票决法</w:t>
      </w:r>
      <w:r>
        <w:rPr>
          <w:rFonts w:hint="eastAsia" w:ascii="宋体" w:hAnsi="宋体" w:cs="宋体"/>
          <w:b w:val="0"/>
          <w:bCs w:val="0"/>
          <w:color w:val="auto"/>
          <w:sz w:val="24"/>
          <w:highlight w:val="none"/>
          <w:u w:val="single"/>
          <w:lang w:val="en-US" w:eastAsia="zh-CN"/>
        </w:rPr>
        <w:t>+撰写评语</w:t>
      </w:r>
      <w:r>
        <w:rPr>
          <w:rFonts w:hint="eastAsia" w:ascii="宋体" w:hAnsi="宋体" w:eastAsia="宋体" w:cs="宋体"/>
          <w:b w:val="0"/>
          <w:bCs w:val="0"/>
          <w:color w:val="auto"/>
          <w:sz w:val="24"/>
          <w:szCs w:val="24"/>
          <w:highlight w:val="none"/>
          <w:u w:val="single"/>
        </w:rPr>
        <w:t>）。评标委员会对满足招标文件实质性要求的投标文件（评标部分），按照本章第2.2款规定的评分标准进行打分，并按投标文件（评标部分）总得分由高到低顺序推荐合格中标候选人，但投标报价低于其成本的除外。投标文件（评标部分）总得分相同的，以报价较低的排前；投标文件（评标部分）总得分与报价均相同的，以</w:t>
      </w:r>
      <w:r>
        <w:rPr>
          <w:rFonts w:hint="eastAsia" w:ascii="宋体" w:hAnsi="宋体" w:eastAsia="宋体" w:cs="宋体"/>
          <w:b w:val="0"/>
          <w:bCs w:val="0"/>
          <w:color w:val="auto"/>
          <w:sz w:val="24"/>
          <w:szCs w:val="24"/>
          <w:highlight w:val="none"/>
          <w:u w:val="single"/>
          <w:lang w:val="en-US" w:eastAsia="zh-CN"/>
        </w:rPr>
        <w:t>监理大纲</w:t>
      </w:r>
      <w:r>
        <w:rPr>
          <w:rFonts w:hint="eastAsia" w:ascii="宋体" w:hAnsi="宋体" w:eastAsia="宋体" w:cs="宋体"/>
          <w:b w:val="0"/>
          <w:bCs w:val="0"/>
          <w:color w:val="auto"/>
          <w:sz w:val="24"/>
          <w:szCs w:val="24"/>
          <w:highlight w:val="none"/>
          <w:u w:val="single"/>
        </w:rPr>
        <w:t>得分较高的排前；如仍存在相同情况，则对具有相同情况的投标人，由评委通过记名投票表决（不得弃权），以“少数服从多数”的原则确定排序。</w:t>
      </w:r>
    </w:p>
    <w:p w14:paraId="72EFEE20">
      <w:pPr>
        <w:pStyle w:val="4"/>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合格中标候选人按统一社会信用代码后4位（除校验码外）大小排位，如统一社会信用代码后4位出现字母情况的，字母以“0”进行代替大小排位；如出现后4位（除校验码外）大小一致的，则随机排位。</w:t>
      </w:r>
    </w:p>
    <w:p w14:paraId="61B8CDD9">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ascii="宋体" w:hAnsi="宋体" w:eastAsia="宋体" w:cs="宋体"/>
          <w:b w:val="0"/>
          <w:bCs w:val="0"/>
          <w:color w:val="auto"/>
          <w:sz w:val="24"/>
          <w:szCs w:val="24"/>
          <w:highlight w:val="none"/>
          <w:u w:val="single"/>
        </w:rPr>
        <w:t>注：</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cs="宋体"/>
          <w:color w:val="auto"/>
          <w:sz w:val="24"/>
          <w:szCs w:val="24"/>
          <w:highlight w:val="none"/>
          <w:u w:val="single"/>
        </w:rPr>
        <w:t>得分</w:t>
      </w:r>
      <w:r>
        <w:rPr>
          <w:rFonts w:hint="eastAsia" w:ascii="宋体" w:hAnsi="宋体" w:eastAsia="宋体" w:cs="宋体"/>
          <w:b w:val="0"/>
          <w:bCs w:val="0"/>
          <w:color w:val="auto"/>
          <w:sz w:val="24"/>
          <w:szCs w:val="24"/>
          <w:highlight w:val="none"/>
          <w:u w:val="single"/>
        </w:rPr>
        <w:t>及评标委员会票决得分排序仅作为推荐入围定标阶段的依据，不作为定标阶段确定中标人的依据。</w:t>
      </w:r>
    </w:p>
    <w:p w14:paraId="244AD945">
      <w:pPr>
        <w:pStyle w:val="12"/>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2" w:firstLineChars="200"/>
        <w:jc w:val="both"/>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bookmarkStart w:id="95" w:name="_Toc262229169"/>
      <w:bookmarkEnd w:id="95"/>
      <w:bookmarkStart w:id="96" w:name="_Toc155150493"/>
      <w:bookmarkEnd w:id="96"/>
      <w:bookmarkStart w:id="97" w:name="_Toc359263257"/>
      <w:bookmarkEnd w:id="97"/>
      <w:r>
        <w:rPr>
          <w:rFonts w:hint="eastAsia" w:ascii="宋体" w:hAnsi="宋体" w:eastAsia="宋体" w:cs="宋体"/>
          <w:b/>
          <w:bCs/>
          <w:color w:val="auto"/>
          <w:sz w:val="24"/>
          <w:szCs w:val="21"/>
          <w:highlight w:val="none"/>
          <w:lang w:val="en-US" w:eastAsia="zh-CN"/>
        </w:rPr>
        <w:t>2.2.1</w:t>
      </w:r>
      <w:r>
        <w:rPr>
          <w:rFonts w:hint="eastAsia" w:ascii="宋体" w:hAnsi="宋体" w:eastAsia="宋体" w:cs="宋体"/>
          <w:b/>
          <w:bCs/>
          <w:color w:val="auto"/>
          <w:sz w:val="24"/>
          <w:szCs w:val="24"/>
          <w:highlight w:val="none"/>
        </w:rPr>
        <w:t>分值构成</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33AB37D4">
      <w:pPr>
        <w:pStyle w:val="12"/>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2.2.1  分值构成</w:t>
      </w:r>
    </w:p>
    <w:p w14:paraId="11411BD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437795F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7CCCA8D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7BB5C24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 xml:space="preserve">：见评标办法前附表。 </w:t>
      </w:r>
    </w:p>
    <w:p w14:paraId="35FAC39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2.2.1  分值构成</w:t>
      </w:r>
    </w:p>
    <w:p w14:paraId="56B7F50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5D9A7DF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30210D0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68355183">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 xml:space="preserve">：见评标办法前附表。 </w:t>
      </w:r>
    </w:p>
    <w:p w14:paraId="075D254D">
      <w:pP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1"/>
          <w:highlight w:val="none"/>
          <w:lang w:val="en-US" w:eastAsia="zh-CN"/>
        </w:rPr>
        <w:t>2.2.4</w:t>
      </w:r>
      <w:r>
        <w:rPr>
          <w:rFonts w:hint="eastAsia" w:ascii="宋体" w:hAnsi="宋体" w:eastAsia="宋体" w:cs="宋体"/>
          <w:b/>
          <w:bCs/>
          <w:color w:val="auto"/>
          <w:sz w:val="24"/>
          <w:szCs w:val="24"/>
          <w:highlight w:val="none"/>
        </w:rPr>
        <w:t xml:space="preserve"> 评分标准</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5959134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75E499C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6F48065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6973E54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25AF774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评分标准：见评标办法前附表。</w:t>
      </w:r>
    </w:p>
    <w:p w14:paraId="5FA9A80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rPr>
      </w:pPr>
      <w:r>
        <w:rPr>
          <w:rFonts w:hint="eastAsia" w:ascii="宋体" w:hAnsi="宋体" w:eastAsia="宋体" w:cs="宋体"/>
          <w:strike w:val="0"/>
          <w:color w:val="auto"/>
          <w:sz w:val="21"/>
          <w:szCs w:val="21"/>
          <w:highlight w:val="none"/>
        </w:rPr>
        <w:t>注：投标人的诚信评价总分取自本项目招标公告发布第1天所在季度的上一季度的诚信综合评价分。</w:t>
      </w:r>
    </w:p>
    <w:p w14:paraId="43CEFD6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9B9C7E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5928941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640BF0B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0B1DC87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评分标准：见评标办法前附表。</w:t>
      </w:r>
    </w:p>
    <w:p w14:paraId="795AEF13">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strike/>
          <w:color w:val="auto"/>
          <w:sz w:val="21"/>
          <w:szCs w:val="21"/>
          <w:highlight w:val="none"/>
        </w:rPr>
        <w:t>注：投标人的诚信评价总分取自本项目招标公告发布</w:t>
      </w:r>
      <w:r>
        <w:rPr>
          <w:rFonts w:hint="eastAsia" w:cs="宋体"/>
          <w:strike/>
          <w:color w:val="auto"/>
          <w:sz w:val="21"/>
          <w:szCs w:val="21"/>
          <w:highlight w:val="none"/>
        </w:rPr>
        <w:t>第1天所在季度的上一季度的诚信综合评价分。</w:t>
      </w:r>
    </w:p>
    <w:p w14:paraId="4E75DBE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highlight w:val="none"/>
        </w:rPr>
        <w:t>3.1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6D5A6244">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002B85B">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w:t>
      </w:r>
      <w:r>
        <w:rPr>
          <w:rFonts w:hint="eastAsia" w:ascii="宋体" w:hAnsi="宋体" w:cs="宋体"/>
          <w:color w:val="auto"/>
          <w:sz w:val="24"/>
          <w:szCs w:val="24"/>
          <w:highlight w:val="none"/>
          <w:u w:val="single"/>
          <w:lang w:eastAsia="zh-CN"/>
        </w:rPr>
        <w:t>（评标部分）</w:t>
      </w:r>
      <w:r>
        <w:rPr>
          <w:rFonts w:hint="eastAsia" w:ascii="宋体" w:hAnsi="宋体" w:eastAsia="宋体" w:cs="宋体"/>
          <w:color w:val="auto"/>
          <w:sz w:val="24"/>
          <w:szCs w:val="24"/>
          <w:highlight w:val="none"/>
        </w:rPr>
        <w:t>进行初步评审。有一项不符合评审标准的，评标委员会应当否决其投标。</w:t>
      </w:r>
      <w:r>
        <w:rPr>
          <w:rFonts w:hint="eastAsia" w:ascii="宋体" w:hAnsi="宋体" w:eastAsia="宋体" w:cs="宋体"/>
          <w:b w:val="0"/>
          <w:bCs/>
          <w:color w:val="auto"/>
          <w:sz w:val="24"/>
          <w:szCs w:val="24"/>
          <w:highlight w:val="none"/>
          <w:u w:val="single"/>
        </w:rPr>
        <w:t>评委发现投标文件</w:t>
      </w:r>
      <w:r>
        <w:rPr>
          <w:rFonts w:hint="eastAsia" w:ascii="宋体" w:hAnsi="宋体" w:cs="宋体"/>
          <w:color w:val="auto"/>
          <w:sz w:val="24"/>
          <w:szCs w:val="24"/>
          <w:highlight w:val="none"/>
          <w:u w:val="single"/>
          <w:lang w:eastAsia="zh-CN"/>
        </w:rPr>
        <w:t>（评标部分）</w:t>
      </w:r>
      <w:r>
        <w:rPr>
          <w:rFonts w:hint="eastAsia" w:ascii="宋体" w:hAnsi="宋体" w:eastAsia="宋体" w:cs="宋体"/>
          <w:b w:val="0"/>
          <w:bCs/>
          <w:color w:val="auto"/>
          <w:sz w:val="24"/>
          <w:szCs w:val="24"/>
          <w:highlight w:val="none"/>
          <w:u w:val="single"/>
        </w:rPr>
        <w:t>中含义不明确、对同类问题表述不一致、有明显文字和计算错误的，应当要求投标人作必要的澄清、说明后再判定投标人是否通过初步评审，不得直接认定其不通过初步评审。</w:t>
      </w:r>
    </w:p>
    <w:p w14:paraId="2E818C71">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highlight w:val="none"/>
        </w:rPr>
        <w:t>3.1</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5AC0C0D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3.1.2 投标人有以下情形之一的，评标委员会应当否决其投标：</w:t>
      </w:r>
    </w:p>
    <w:p w14:paraId="7C49E94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3D6D6B4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3164C32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lang w:eastAsia="zh-CN"/>
        </w:rPr>
        <w:t>）两个（含两个）以上</w:t>
      </w:r>
      <w:r>
        <w:rPr>
          <w:rFonts w:hint="eastAsia" w:ascii="宋体" w:hAnsi="宋体" w:eastAsia="宋体" w:cs="宋体"/>
          <w:strike w:val="0"/>
          <w:color w:val="auto"/>
          <w:sz w:val="24"/>
          <w:szCs w:val="24"/>
          <w:highlight w:val="none"/>
        </w:rPr>
        <w:t>投标人加密打包投标文件</w:t>
      </w:r>
      <w:r>
        <w:rPr>
          <w:rFonts w:hint="eastAsia" w:ascii="宋体" w:hAnsi="宋体" w:eastAsia="宋体" w:cs="宋体"/>
          <w:strike w:val="0"/>
          <w:color w:val="auto"/>
          <w:sz w:val="24"/>
          <w:szCs w:val="24"/>
          <w:highlight w:val="none"/>
          <w:lang w:eastAsia="zh-CN"/>
        </w:rPr>
        <w:t>工程量清单编制</w:t>
      </w:r>
      <w:r>
        <w:rPr>
          <w:rFonts w:hint="eastAsia" w:ascii="宋体" w:hAnsi="宋体" w:eastAsia="宋体" w:cs="宋体"/>
          <w:strike w:val="0"/>
          <w:color w:val="auto"/>
          <w:sz w:val="24"/>
          <w:szCs w:val="24"/>
          <w:highlight w:val="none"/>
        </w:rPr>
        <w:t>机器</w:t>
      </w:r>
      <w:r>
        <w:rPr>
          <w:rFonts w:hint="eastAsia" w:ascii="宋体" w:hAnsi="宋体" w:eastAsia="宋体" w:cs="宋体"/>
          <w:strike w:val="0"/>
          <w:color w:val="auto"/>
          <w:sz w:val="24"/>
          <w:szCs w:val="24"/>
          <w:highlight w:val="none"/>
          <w:lang w:eastAsia="zh-CN"/>
        </w:rPr>
        <w:t>硬件信息</w:t>
      </w:r>
      <w:r>
        <w:rPr>
          <w:rFonts w:hint="eastAsia" w:ascii="宋体" w:hAnsi="宋体" w:eastAsia="宋体" w:cs="宋体"/>
          <w:strike w:val="0"/>
          <w:color w:val="auto"/>
          <w:sz w:val="24"/>
          <w:szCs w:val="24"/>
          <w:highlight w:val="none"/>
        </w:rPr>
        <w:t>一致的</w:t>
      </w:r>
      <w:r>
        <w:rPr>
          <w:rFonts w:hint="eastAsia" w:ascii="宋体" w:hAnsi="宋体" w:eastAsia="宋体" w:cs="宋体"/>
          <w:strike w:val="0"/>
          <w:color w:val="auto"/>
          <w:sz w:val="24"/>
          <w:szCs w:val="24"/>
          <w:highlight w:val="none"/>
          <w:lang w:eastAsia="zh-CN"/>
        </w:rPr>
        <w:t>。</w:t>
      </w:r>
    </w:p>
    <w:p w14:paraId="7FE615A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4"/>
          <w:highlight w:val="none"/>
        </w:rPr>
        <w:t>3.1.2 投标人有以下情形之一的，评标委员会应当否决其投标：</w:t>
      </w:r>
    </w:p>
    <w:p w14:paraId="1169DF9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w:t>
      </w:r>
      <w:r>
        <w:rPr>
          <w:rFonts w:hint="eastAsia" w:ascii="宋体" w:hAnsi="宋体" w:cs="宋体"/>
          <w:color w:val="auto"/>
          <w:sz w:val="24"/>
          <w:szCs w:val="24"/>
          <w:highlight w:val="none"/>
          <w:u w:val="single"/>
          <w:lang w:eastAsia="zh-CN"/>
        </w:rPr>
        <w:t>（评标部分）</w:t>
      </w:r>
      <w:r>
        <w:rPr>
          <w:rFonts w:hint="eastAsia" w:ascii="宋体" w:hAnsi="宋体" w:eastAsia="宋体" w:cs="宋体"/>
          <w:color w:val="auto"/>
          <w:sz w:val="24"/>
          <w:szCs w:val="24"/>
          <w:highlight w:val="none"/>
        </w:rPr>
        <w:t>没有对招标文件的实质性要求和条件作出响应，或者对招标文件的偏差超出招标文件规定的偏差范围或最高项数；</w:t>
      </w:r>
    </w:p>
    <w:p w14:paraId="4E93AC4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14F76EA5">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w:t>
      </w:r>
      <w:r>
        <w:rPr>
          <w:rFonts w:hint="eastAsia" w:ascii="宋体" w:hAnsi="宋体" w:eastAsia="宋体" w:cs="宋体"/>
          <w:strike/>
          <w:color w:val="auto"/>
          <w:sz w:val="24"/>
          <w:szCs w:val="24"/>
          <w:highlight w:val="none"/>
          <w:lang w:val="en-US" w:eastAsia="zh-CN"/>
        </w:rPr>
        <w:t>3</w:t>
      </w:r>
      <w:r>
        <w:rPr>
          <w:rFonts w:hint="eastAsia" w:ascii="宋体" w:hAnsi="宋体" w:eastAsia="宋体" w:cs="宋体"/>
          <w:strike/>
          <w:color w:val="auto"/>
          <w:sz w:val="24"/>
          <w:szCs w:val="24"/>
          <w:highlight w:val="none"/>
          <w:lang w:eastAsia="zh-CN"/>
        </w:rPr>
        <w:t>）两个（含两个）以上</w:t>
      </w:r>
      <w:r>
        <w:rPr>
          <w:rFonts w:hint="eastAsia" w:ascii="宋体" w:hAnsi="宋体" w:eastAsia="宋体" w:cs="宋体"/>
          <w:strike/>
          <w:color w:val="auto"/>
          <w:sz w:val="24"/>
          <w:szCs w:val="24"/>
          <w:highlight w:val="none"/>
        </w:rPr>
        <w:t>投标人加密打包投标文件</w:t>
      </w:r>
      <w:r>
        <w:rPr>
          <w:rFonts w:hint="eastAsia" w:ascii="宋体" w:hAnsi="宋体" w:eastAsia="宋体" w:cs="宋体"/>
          <w:strike/>
          <w:color w:val="auto"/>
          <w:sz w:val="24"/>
          <w:szCs w:val="24"/>
          <w:highlight w:val="none"/>
          <w:lang w:eastAsia="zh-CN"/>
        </w:rPr>
        <w:t>工程量清单编制</w:t>
      </w:r>
      <w:r>
        <w:rPr>
          <w:rFonts w:hint="eastAsia" w:ascii="宋体" w:hAnsi="宋体" w:eastAsia="宋体" w:cs="宋体"/>
          <w:strike/>
          <w:color w:val="auto"/>
          <w:sz w:val="24"/>
          <w:szCs w:val="24"/>
          <w:highlight w:val="none"/>
        </w:rPr>
        <w:t>机器</w:t>
      </w:r>
      <w:r>
        <w:rPr>
          <w:rFonts w:hint="eastAsia" w:ascii="宋体" w:hAnsi="宋体" w:eastAsia="宋体" w:cs="宋体"/>
          <w:strike/>
          <w:color w:val="auto"/>
          <w:sz w:val="24"/>
          <w:szCs w:val="24"/>
          <w:highlight w:val="none"/>
          <w:lang w:eastAsia="zh-CN"/>
        </w:rPr>
        <w:t>硬件信息</w:t>
      </w:r>
      <w:r>
        <w:rPr>
          <w:rFonts w:hint="eastAsia" w:ascii="宋体" w:hAnsi="宋体" w:eastAsia="宋体" w:cs="宋体"/>
          <w:strike/>
          <w:color w:val="auto"/>
          <w:sz w:val="24"/>
          <w:szCs w:val="24"/>
          <w:highlight w:val="none"/>
        </w:rPr>
        <w:t>一致的</w:t>
      </w:r>
      <w:r>
        <w:rPr>
          <w:rFonts w:hint="eastAsia" w:ascii="宋体" w:hAnsi="宋体" w:eastAsia="宋体" w:cs="宋体"/>
          <w:strike/>
          <w:color w:val="auto"/>
          <w:sz w:val="24"/>
          <w:szCs w:val="24"/>
          <w:highlight w:val="none"/>
          <w:lang w:eastAsia="zh-CN"/>
        </w:rPr>
        <w:t>。</w:t>
      </w:r>
    </w:p>
    <w:p w14:paraId="5C990876">
      <w:pPr>
        <w:pStyle w:val="12"/>
        <w:pBdr>
          <w:bottom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b/>
          <w:bCs/>
          <w:color w:val="auto"/>
          <w:sz w:val="24"/>
          <w:szCs w:val="21"/>
          <w:highlight w:val="none"/>
          <w:lang w:val="en-US" w:eastAsia="zh-CN"/>
        </w:rPr>
      </w:pPr>
      <w:r>
        <w:rPr>
          <w:rFonts w:hint="eastAsia" w:ascii="宋体" w:hAnsi="宋体" w:eastAsia="宋体" w:cs="宋体"/>
          <w:b/>
          <w:bCs/>
          <w:color w:val="auto"/>
          <w:sz w:val="24"/>
          <w:szCs w:val="21"/>
          <w:highlight w:val="none"/>
        </w:rPr>
        <w:t>条款号：3.1</w:t>
      </w:r>
      <w:r>
        <w:rPr>
          <w:rFonts w:hint="eastAsia" w:ascii="宋体" w:hAnsi="宋体" w:eastAsia="宋体" w:cs="宋体"/>
          <w:b/>
          <w:bCs/>
          <w:color w:val="auto"/>
          <w:sz w:val="24"/>
          <w:szCs w:val="21"/>
          <w:highlight w:val="none"/>
          <w:lang w:val="en-US" w:eastAsia="zh-CN"/>
        </w:rPr>
        <w:t>.</w:t>
      </w:r>
      <w:r>
        <w:rPr>
          <w:rFonts w:hint="eastAsia" w:cs="宋体"/>
          <w:b/>
          <w:bCs/>
          <w:color w:val="auto"/>
          <w:sz w:val="24"/>
          <w:szCs w:val="21"/>
          <w:highlight w:val="none"/>
          <w:lang w:val="en-US" w:eastAsia="zh-CN"/>
        </w:rPr>
        <w:t>3</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cs="宋体"/>
          <w:b/>
          <w:bCs/>
          <w:color w:val="auto"/>
          <w:sz w:val="24"/>
          <w:szCs w:val="21"/>
          <w:highlight w:val="none"/>
          <w:lang w:val="en-US" w:eastAsia="zh-CN"/>
        </w:rPr>
        <w:t>修改</w:t>
      </w:r>
    </w:p>
    <w:p w14:paraId="3673D7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原文：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D8A67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0342E4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70B4FBB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现文：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5B4EBF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6E6BF0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7DB463FA">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1302087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highlight w:val="none"/>
        </w:rPr>
        <w:t>3.1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增加</w:t>
      </w:r>
    </w:p>
    <w:p w14:paraId="4A7E6541">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4"/>
          <w:highlight w:val="none"/>
          <w:u w:val="single"/>
        </w:rPr>
        <w:t>3.1.4 只有通过初步评审的投标人才能进入下一阶段详细评审。当通过初步评审的有效投标人不足</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名时，招标人应当依法重新组织招标。在进行资格评审、形式评审、响应性评审过程中，若评委意见不一致时，则按少数服从多数的原则，决定该投标人是否通过相应阶段的评审，进入下一阶段评审。</w:t>
      </w:r>
    </w:p>
    <w:p w14:paraId="3B60B154">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2</w:t>
      </w: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详细评审</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45303BD3">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color w:val="auto"/>
          <w:highlight w:val="none"/>
        </w:rPr>
        <w:t>3.2  详细评审</w:t>
      </w:r>
    </w:p>
    <w:p w14:paraId="4F8E42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2DFE0D27">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none"/>
        </w:rPr>
        <w:t>资信业绩</w:t>
      </w:r>
      <w:r>
        <w:rPr>
          <w:rFonts w:hint="eastAsia" w:cs="宋体"/>
          <w:color w:val="auto"/>
          <w:sz w:val="24"/>
          <w:szCs w:val="24"/>
          <w:highlight w:val="none"/>
          <w:u w:val="none"/>
          <w:lang w:eastAsia="zh-CN"/>
        </w:rPr>
        <w:t>部分</w:t>
      </w:r>
      <w:r>
        <w:rPr>
          <w:rFonts w:hint="eastAsia" w:cs="宋体"/>
          <w:color w:val="auto"/>
          <w:sz w:val="24"/>
          <w:szCs w:val="24"/>
          <w:highlight w:val="none"/>
          <w:u w:val="none"/>
        </w:rPr>
        <w:t>评审得分A为各评标专家打分的算术平均值；</w:t>
      </w:r>
    </w:p>
    <w:p w14:paraId="1A69F360">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u w:val="none"/>
        </w:rPr>
        <w:t>（2）按本章第2.2.4（2）目规定的评审因素和分值对监理大纲部分计算出得分B</w:t>
      </w:r>
      <w:r>
        <w:rPr>
          <w:rFonts w:hint="eastAsia" w:cs="宋体"/>
          <w:color w:val="auto"/>
          <w:sz w:val="24"/>
          <w:szCs w:val="24"/>
          <w:highlight w:val="none"/>
          <w:u w:val="none"/>
          <w:lang w:val="en-US" w:eastAsia="zh-CN"/>
        </w:rPr>
        <w:t>，</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1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①</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w:t>
      </w:r>
      <w:r>
        <w:rPr>
          <w:rFonts w:hint="eastAsia" w:cs="宋体"/>
          <w:color w:val="auto"/>
          <w:sz w:val="24"/>
          <w:szCs w:val="24"/>
          <w:highlight w:val="none"/>
          <w:u w:val="none"/>
        </w:rPr>
        <w:t>部分评审得分B为从各评标专家打分中去掉一个最高分和去掉一个最低分后的剩余评标专家打分的算术平均值</w:t>
      </w:r>
      <w:r>
        <w:rPr>
          <w:rFonts w:hint="eastAsia" w:cs="宋体"/>
          <w:color w:val="auto"/>
          <w:sz w:val="24"/>
          <w:szCs w:val="24"/>
          <w:highlight w:val="none"/>
          <w:u w:val="none"/>
          <w:lang w:eastAsia="zh-CN"/>
        </w:rPr>
        <w:t>或</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2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②</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监理大纲部分</w:t>
      </w:r>
      <w:r>
        <w:rPr>
          <w:rFonts w:hint="eastAsia" w:cs="宋体"/>
          <w:color w:val="auto"/>
          <w:sz w:val="24"/>
          <w:szCs w:val="24"/>
          <w:highlight w:val="none"/>
          <w:u w:val="none"/>
        </w:rPr>
        <w:t>评审得分B为各评标专家打分的算术平均值</w:t>
      </w:r>
      <w:r>
        <w:rPr>
          <w:rFonts w:hint="eastAsia" w:cs="宋体"/>
          <w:i/>
          <w:iCs/>
          <w:color w:val="auto"/>
          <w:sz w:val="24"/>
          <w:szCs w:val="24"/>
          <w:highlight w:val="none"/>
          <w:u w:val="none"/>
          <w:lang w:eastAsia="zh-CN"/>
        </w:rPr>
        <w:t>（二选一，招标人自行选择）</w:t>
      </w:r>
      <w:r>
        <w:rPr>
          <w:rFonts w:hint="eastAsia" w:cs="宋体"/>
          <w:color w:val="auto"/>
          <w:sz w:val="24"/>
          <w:szCs w:val="24"/>
          <w:highlight w:val="none"/>
          <w:u w:val="none"/>
        </w:rPr>
        <w:t>；</w:t>
      </w:r>
    </w:p>
    <w:p w14:paraId="37F0FC2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479012A0">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lang w:eastAsia="zh-CN"/>
        </w:rPr>
      </w:pPr>
      <w:r>
        <w:rPr>
          <w:rFonts w:hint="eastAsia" w:cs="宋体"/>
          <w:color w:val="auto"/>
          <w:sz w:val="24"/>
          <w:szCs w:val="24"/>
          <w:highlight w:val="none"/>
        </w:rPr>
        <w:t>（4）按本章第2.2.4（4）目规定的评审因素和分值对</w:t>
      </w:r>
      <w:r>
        <w:rPr>
          <w:rFonts w:hint="eastAsia" w:cs="宋体"/>
          <w:color w:val="auto"/>
          <w:sz w:val="24"/>
          <w:szCs w:val="24"/>
          <w:highlight w:val="none"/>
          <w:lang w:eastAsia="zh-CN"/>
        </w:rPr>
        <w:t>诚信评价</w:t>
      </w:r>
      <w:r>
        <w:rPr>
          <w:rFonts w:hint="eastAsia" w:cs="宋体"/>
          <w:color w:val="auto"/>
          <w:sz w:val="24"/>
          <w:szCs w:val="24"/>
          <w:highlight w:val="none"/>
        </w:rPr>
        <w:t>计算出得分D</w:t>
      </w:r>
      <w:r>
        <w:rPr>
          <w:rFonts w:hint="eastAsia" w:cs="宋体"/>
          <w:color w:val="auto"/>
          <w:sz w:val="24"/>
          <w:szCs w:val="24"/>
          <w:highlight w:val="none"/>
          <w:lang w:eastAsia="zh-CN"/>
        </w:rPr>
        <w:t>。</w:t>
      </w:r>
    </w:p>
    <w:p w14:paraId="095C3146">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8DB07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投标人得分=A+B+C+D。</w:t>
      </w:r>
    </w:p>
    <w:p w14:paraId="369C552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2E5B8B6">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cs="宋体"/>
          <w:b/>
          <w:bCs/>
          <w:strike w:val="0"/>
          <w:color w:val="auto"/>
          <w:sz w:val="24"/>
          <w:szCs w:val="24"/>
          <w:highlight w:val="none"/>
          <w:lang w:eastAsia="zh-CN"/>
        </w:rPr>
        <w:t>现文：</w:t>
      </w:r>
      <w:r>
        <w:rPr>
          <w:rFonts w:hint="eastAsia" w:ascii="宋体" w:hAnsi="宋体" w:eastAsia="宋体" w:cs="宋体"/>
          <w:color w:val="auto"/>
          <w:highlight w:val="none"/>
        </w:rPr>
        <w:t>3.2  详细评审</w:t>
      </w:r>
    </w:p>
    <w:p w14:paraId="53B9217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rPr>
        <w:t>。</w:t>
      </w:r>
    </w:p>
    <w:p w14:paraId="29D7B7FB">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29CF8F13">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1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①</w:t>
      </w:r>
      <w:r>
        <w:rPr>
          <w:rFonts w:hint="eastAsia" w:cs="宋体"/>
          <w:strike/>
          <w:color w:val="auto"/>
          <w:sz w:val="21"/>
          <w:szCs w:val="24"/>
          <w:highlight w:val="none"/>
          <w:u w:val="single"/>
        </w:rPr>
        <w:fldChar w:fldCharType="end"/>
      </w:r>
      <w:r>
        <w:rPr>
          <w:rFonts w:hint="eastAsia" w:cs="宋体"/>
          <w:strike/>
          <w:color w:val="auto"/>
          <w:sz w:val="24"/>
          <w:szCs w:val="24"/>
          <w:highlight w:val="none"/>
          <w:u w:val="single"/>
          <w:lang w:eastAsia="zh-CN"/>
        </w:rPr>
        <w:t>监理大纲</w:t>
      </w:r>
      <w:r>
        <w:rPr>
          <w:rFonts w:hint="eastAsia" w:cs="宋体"/>
          <w:strike/>
          <w:color w:val="auto"/>
          <w:sz w:val="24"/>
          <w:szCs w:val="24"/>
          <w:highlight w:val="none"/>
          <w:u w:val="single"/>
        </w:rPr>
        <w:t>部分评审得分</w:t>
      </w:r>
      <w:r>
        <w:rPr>
          <w:rFonts w:hint="eastAsia" w:cs="宋体"/>
          <w:strike/>
          <w:color w:val="auto"/>
          <w:sz w:val="24"/>
          <w:szCs w:val="24"/>
          <w:highlight w:val="none"/>
        </w:rPr>
        <w:t>B</w:t>
      </w:r>
      <w:r>
        <w:rPr>
          <w:rFonts w:hint="eastAsia" w:cs="宋体"/>
          <w:strike/>
          <w:color w:val="auto"/>
          <w:sz w:val="24"/>
          <w:szCs w:val="24"/>
          <w:highlight w:val="none"/>
          <w:u w:val="single"/>
        </w:rPr>
        <w:t>为从各评标专家打分中去掉一个最高分和去掉一个最低分后的剩余评标专家打分的算术平均值</w:t>
      </w:r>
      <w:r>
        <w:rPr>
          <w:rFonts w:hint="eastAsia" w:cs="宋体"/>
          <w:strike/>
          <w:dstrike w:val="0"/>
          <w:color w:val="auto"/>
          <w:sz w:val="24"/>
          <w:szCs w:val="24"/>
          <w:highlight w:val="none"/>
          <w:u w:val="single"/>
          <w:lang w:eastAsia="zh-CN"/>
        </w:rPr>
        <w:t>或</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2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②</w:t>
      </w:r>
      <w:r>
        <w:rPr>
          <w:rFonts w:hint="eastAsia" w:cs="宋体"/>
          <w:strike/>
          <w:color w:val="auto"/>
          <w:sz w:val="21"/>
          <w:szCs w:val="24"/>
          <w:highlight w:val="none"/>
          <w:u w:val="single"/>
        </w:rPr>
        <w:fldChar w:fldCharType="end"/>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i/>
          <w:iCs/>
          <w:strike/>
          <w:color w:val="auto"/>
          <w:sz w:val="24"/>
          <w:szCs w:val="24"/>
          <w:highlight w:val="none"/>
          <w:u w:val="single"/>
          <w:lang w:eastAsia="zh-CN"/>
        </w:rPr>
        <w:t>（二选一，招标人自行选择）</w:t>
      </w:r>
      <w:r>
        <w:rPr>
          <w:rFonts w:hint="eastAsia" w:cs="宋体"/>
          <w:strike/>
          <w:color w:val="auto"/>
          <w:sz w:val="24"/>
          <w:szCs w:val="24"/>
          <w:highlight w:val="none"/>
        </w:rPr>
        <w:t>；</w:t>
      </w:r>
    </w:p>
    <w:p w14:paraId="58297C8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3C3418F7">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07A5E2DC">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122D6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w:t>
      </w:r>
      <w:r>
        <w:rPr>
          <w:rFonts w:hint="eastAsia" w:cs="宋体"/>
          <w:color w:val="auto"/>
          <w:sz w:val="24"/>
          <w:szCs w:val="24"/>
          <w:highlight w:val="none"/>
          <w:u w:val="single"/>
        </w:rPr>
        <w:t xml:space="preserve"> 投标人</w:t>
      </w:r>
      <w:r>
        <w:rPr>
          <w:rFonts w:hint="eastAsia" w:cs="宋体"/>
          <w:color w:val="auto"/>
          <w:sz w:val="24"/>
          <w:szCs w:val="24"/>
          <w:highlight w:val="none"/>
          <w:u w:val="single"/>
          <w:lang w:eastAsia="zh-CN"/>
        </w:rPr>
        <w:t>的</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u w:val="single"/>
        </w:rPr>
        <w:t>=A+B+C</w:t>
      </w:r>
      <w:r>
        <w:rPr>
          <w:rFonts w:hint="eastAsia" w:cs="宋体"/>
          <w:color w:val="auto"/>
          <w:sz w:val="24"/>
          <w:szCs w:val="24"/>
          <w:highlight w:val="none"/>
        </w:rPr>
        <w:t>。</w:t>
      </w:r>
      <w:r>
        <w:rPr>
          <w:rFonts w:hint="eastAsia" w:cs="宋体"/>
          <w:color w:val="auto"/>
          <w:sz w:val="24"/>
          <w:szCs w:val="24"/>
          <w:highlight w:val="none"/>
          <w:u w:val="single"/>
        </w:rPr>
        <w:t>评标委员会应按照投标文件（评标部分）总得分从高至低的顺序推荐排序位于前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名次的合格投标人不排序进入定标阶段，若通过初步评审的合格投标人大于</w:t>
      </w:r>
      <w:r>
        <w:rPr>
          <w:rFonts w:hint="eastAsia" w:cs="宋体"/>
          <w:color w:val="auto"/>
          <w:sz w:val="24"/>
          <w:szCs w:val="24"/>
          <w:highlight w:val="none"/>
          <w:u w:val="single"/>
          <w:lang w:eastAsia="zh-CN"/>
        </w:rPr>
        <w:t>等于4家</w:t>
      </w:r>
      <w:r>
        <w:rPr>
          <w:rFonts w:hint="eastAsia" w:cs="宋体"/>
          <w:color w:val="auto"/>
          <w:sz w:val="24"/>
          <w:szCs w:val="24"/>
          <w:highlight w:val="none"/>
          <w:u w:val="single"/>
        </w:rPr>
        <w:t>，小于等于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家的，则全部通过初步评审的合格投标人不排序进入定标阶段；若通过初步评审的合格投标人大于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家的，按投标文件（评标部分）总得分从高到低进行排序，推荐排序位于前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名次的合格投标人中存在投标文件（评标部分）总得分相同的，则按第三章“评标、定标办法”第1款的原则确定排序。）。</w:t>
      </w:r>
    </w:p>
    <w:p w14:paraId="219DEB1C">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lang w:eastAsia="zh-CN"/>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9FD01DF">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 xml:space="preserve">4 </w:t>
      </w:r>
      <w:r>
        <w:rPr>
          <w:rFonts w:hint="eastAsia" w:ascii="宋体" w:hAnsi="宋体" w:eastAsia="宋体" w:cs="宋体"/>
          <w:b/>
          <w:bCs/>
          <w:color w:val="auto"/>
          <w:sz w:val="24"/>
          <w:szCs w:val="21"/>
          <w:highlight w:val="none"/>
        </w:rPr>
        <w:t xml:space="preserve">评标结果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4A9E3DEC">
      <w:pPr>
        <w:pStyle w:val="12"/>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b/>
          <w:bCs/>
          <w:color w:val="auto"/>
          <w:sz w:val="24"/>
          <w:szCs w:val="21"/>
          <w:highlight w:val="none"/>
        </w:rPr>
        <w:t>3.</w:t>
      </w:r>
      <w:r>
        <w:rPr>
          <w:rFonts w:hint="eastAsia" w:ascii="宋体" w:hAnsi="宋体" w:eastAsia="宋体" w:cs="宋体"/>
          <w:b/>
          <w:bCs/>
          <w:color w:val="auto"/>
          <w:sz w:val="24"/>
          <w:szCs w:val="21"/>
          <w:highlight w:val="none"/>
          <w:lang w:val="en-US" w:eastAsia="zh-CN"/>
        </w:rPr>
        <w:t xml:space="preserve">4 </w:t>
      </w:r>
      <w:r>
        <w:rPr>
          <w:rFonts w:hint="eastAsia" w:ascii="宋体" w:hAnsi="宋体" w:eastAsia="宋体" w:cs="宋体"/>
          <w:b/>
          <w:bCs/>
          <w:color w:val="auto"/>
          <w:sz w:val="24"/>
          <w:szCs w:val="21"/>
          <w:highlight w:val="none"/>
        </w:rPr>
        <w:t>评标结果</w:t>
      </w:r>
    </w:p>
    <w:p w14:paraId="4D0DB53A">
      <w:pPr>
        <w:pStyle w:val="12"/>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14:paraId="5D580E6F">
      <w:pPr>
        <w:pStyle w:val="12"/>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rPr>
        <w:t>3.4.2 评标委员会完成评标后，应当向招标人提交书面评标报告和中标候选人名单。</w:t>
      </w:r>
    </w:p>
    <w:p w14:paraId="4ED69B8D">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宋体" w:hAnsi="宋体" w:cs="宋体"/>
          <w:color w:val="auto"/>
          <w:sz w:val="24"/>
          <w:highlight w:val="none"/>
          <w:u w:val="single"/>
        </w:rPr>
      </w:pPr>
      <w:r>
        <w:rPr>
          <w:rFonts w:hint="eastAsia" w:ascii="宋体" w:hAnsi="宋体" w:eastAsia="宋体" w:cs="宋体"/>
          <w:b/>
          <w:bCs/>
          <w:color w:val="auto"/>
          <w:sz w:val="24"/>
          <w:szCs w:val="21"/>
          <w:highlight w:val="none"/>
          <w:lang w:eastAsia="zh-CN"/>
        </w:rPr>
        <w:t>现文：</w:t>
      </w:r>
      <w:r>
        <w:rPr>
          <w:rFonts w:hint="eastAsia" w:ascii="宋体" w:hAnsi="宋体" w:cs="宋体"/>
          <w:color w:val="auto"/>
          <w:sz w:val="24"/>
          <w:highlight w:val="none"/>
          <w:u w:val="single"/>
        </w:rPr>
        <w:t xml:space="preserve">3.4.1 </w:t>
      </w:r>
      <w:r>
        <w:rPr>
          <w:rFonts w:hint="eastAsia" w:ascii="宋体" w:hAnsi="宋体" w:eastAsia="宋体" w:cs="宋体"/>
          <w:color w:val="auto"/>
          <w:sz w:val="24"/>
          <w:highlight w:val="none"/>
          <w:u w:val="single"/>
        </w:rPr>
        <w:t>评标</w:t>
      </w:r>
      <w:r>
        <w:rPr>
          <w:rFonts w:hint="eastAsia" w:ascii="宋体" w:hAnsi="宋体" w:cs="宋体"/>
          <w:color w:val="auto"/>
          <w:sz w:val="24"/>
          <w:highlight w:val="none"/>
          <w:u w:val="single"/>
        </w:rPr>
        <w:t>委员会依据本章第2.2条评分标准进行评分，按评标办法前附表的约定计算投标人</w:t>
      </w:r>
      <w:r>
        <w:rPr>
          <w:rFonts w:hint="eastAsia" w:ascii="宋体" w:hAnsi="宋体" w:cs="宋体"/>
          <w:color w:val="auto"/>
          <w:sz w:val="24"/>
          <w:highlight w:val="none"/>
          <w:u w:val="single"/>
          <w:lang w:eastAsia="zh-CN"/>
        </w:rPr>
        <w:t>投标文件（评标部分）总</w:t>
      </w:r>
      <w:r>
        <w:rPr>
          <w:rFonts w:hint="eastAsia" w:ascii="宋体" w:hAnsi="宋体" w:cs="宋体"/>
          <w:color w:val="auto"/>
          <w:sz w:val="24"/>
          <w:highlight w:val="none"/>
          <w:u w:val="single"/>
        </w:rPr>
        <w:t>得分，评标委员会应按照</w:t>
      </w:r>
      <w:r>
        <w:rPr>
          <w:rFonts w:hint="eastAsia" w:ascii="宋体" w:hAnsi="宋体" w:cs="宋体"/>
          <w:color w:val="auto"/>
          <w:sz w:val="24"/>
          <w:highlight w:val="none"/>
          <w:u w:val="single"/>
          <w:lang w:eastAsia="zh-CN"/>
        </w:rPr>
        <w:t>投标文件（评标部分）总</w:t>
      </w:r>
      <w:r>
        <w:rPr>
          <w:rFonts w:hint="eastAsia" w:ascii="宋体" w:hAnsi="宋体" w:cs="宋体"/>
          <w:color w:val="auto"/>
          <w:sz w:val="24"/>
          <w:highlight w:val="none"/>
          <w:u w:val="single"/>
        </w:rPr>
        <w:t>得分从高至低的顺序</w:t>
      </w:r>
      <w:r>
        <w:rPr>
          <w:rFonts w:hint="eastAsia" w:ascii="宋体" w:hAnsi="宋体" w:eastAsia="宋体" w:cs="宋体"/>
          <w:color w:val="auto"/>
          <w:kern w:val="2"/>
          <w:sz w:val="24"/>
          <w:szCs w:val="22"/>
          <w:highlight w:val="none"/>
          <w:u w:val="single"/>
        </w:rPr>
        <w:t>推荐排序位于前</w:t>
      </w:r>
      <w:r>
        <w:rPr>
          <w:rFonts w:hint="eastAsia" w:ascii="宋体" w:hAnsi="宋体" w:cs="宋体"/>
          <w:color w:val="auto"/>
          <w:kern w:val="2"/>
          <w:sz w:val="24"/>
          <w:szCs w:val="22"/>
          <w:highlight w:val="none"/>
          <w:u w:val="single"/>
          <w:lang w:val="en-US" w:eastAsia="zh-CN"/>
        </w:rPr>
        <w:t>20</w:t>
      </w:r>
      <w:r>
        <w:rPr>
          <w:rFonts w:hint="eastAsia" w:ascii="宋体" w:hAnsi="宋体" w:eastAsia="宋体" w:cs="宋体"/>
          <w:color w:val="auto"/>
          <w:kern w:val="2"/>
          <w:sz w:val="24"/>
          <w:szCs w:val="22"/>
          <w:highlight w:val="none"/>
          <w:u w:val="single"/>
        </w:rPr>
        <w:t>名次</w:t>
      </w:r>
      <w:r>
        <w:rPr>
          <w:rFonts w:hint="eastAsia" w:ascii="宋体" w:hAnsi="宋体" w:eastAsia="宋体" w:cs="宋体"/>
          <w:color w:val="auto"/>
          <w:kern w:val="2"/>
          <w:sz w:val="24"/>
          <w:szCs w:val="22"/>
          <w:highlight w:val="none"/>
          <w:u w:val="single"/>
          <w:lang w:val="en-US" w:eastAsia="zh-CN"/>
        </w:rPr>
        <w:t>的合格投标人</w:t>
      </w:r>
      <w:r>
        <w:rPr>
          <w:rFonts w:hint="eastAsia" w:ascii="宋体" w:hAnsi="宋体" w:eastAsia="宋体" w:cs="宋体"/>
          <w:color w:val="auto"/>
          <w:kern w:val="2"/>
          <w:sz w:val="24"/>
          <w:szCs w:val="22"/>
          <w:highlight w:val="none"/>
          <w:u w:val="single"/>
        </w:rPr>
        <w:t>不排序进入定标阶段</w:t>
      </w:r>
      <w:r>
        <w:rPr>
          <w:rFonts w:hint="eastAsia" w:ascii="宋体" w:hAnsi="宋体" w:eastAsia="宋体" w:cs="宋体"/>
          <w:color w:val="auto"/>
          <w:kern w:val="2"/>
          <w:sz w:val="24"/>
          <w:szCs w:val="22"/>
          <w:highlight w:val="none"/>
          <w:u w:val="single"/>
          <w:lang w:eastAsia="zh-CN"/>
        </w:rPr>
        <w:t>，若通过初步评审的合格投标人大于</w:t>
      </w:r>
      <w:r>
        <w:rPr>
          <w:rFonts w:hint="eastAsia" w:ascii="宋体" w:hAnsi="宋体" w:cs="宋体"/>
          <w:color w:val="auto"/>
          <w:kern w:val="2"/>
          <w:sz w:val="24"/>
          <w:szCs w:val="22"/>
          <w:highlight w:val="none"/>
          <w:u w:val="single"/>
          <w:lang w:eastAsia="zh-CN"/>
        </w:rPr>
        <w:t>等于4家</w:t>
      </w:r>
      <w:r>
        <w:rPr>
          <w:rFonts w:hint="eastAsia" w:ascii="宋体" w:hAnsi="宋体" w:eastAsia="宋体" w:cs="宋体"/>
          <w:color w:val="auto"/>
          <w:kern w:val="2"/>
          <w:sz w:val="24"/>
          <w:szCs w:val="22"/>
          <w:highlight w:val="none"/>
          <w:u w:val="single"/>
          <w:lang w:eastAsia="zh-CN"/>
        </w:rPr>
        <w:t>，小于等于</w:t>
      </w:r>
      <w:r>
        <w:rPr>
          <w:rFonts w:hint="eastAsia" w:ascii="宋体" w:hAnsi="宋体" w:eastAsia="宋体" w:cs="宋体"/>
          <w:color w:val="auto"/>
          <w:kern w:val="2"/>
          <w:sz w:val="24"/>
          <w:szCs w:val="22"/>
          <w:highlight w:val="none"/>
          <w:u w:val="single"/>
          <w:lang w:val="en-US" w:eastAsia="zh-CN"/>
        </w:rPr>
        <w:t>20</w:t>
      </w:r>
      <w:r>
        <w:rPr>
          <w:rFonts w:hint="eastAsia" w:ascii="宋体" w:hAnsi="宋体" w:eastAsia="宋体" w:cs="宋体"/>
          <w:color w:val="auto"/>
          <w:kern w:val="2"/>
          <w:sz w:val="24"/>
          <w:szCs w:val="22"/>
          <w:highlight w:val="none"/>
          <w:u w:val="single"/>
          <w:lang w:eastAsia="zh-CN"/>
        </w:rPr>
        <w:t>家的，则全部通过初步评审的合格投标人不排序进入定标阶段；若通过初步评审的合格投标人大于</w:t>
      </w:r>
      <w:r>
        <w:rPr>
          <w:rFonts w:hint="eastAsia" w:ascii="宋体" w:hAnsi="宋体" w:cs="宋体"/>
          <w:color w:val="auto"/>
          <w:kern w:val="2"/>
          <w:sz w:val="24"/>
          <w:szCs w:val="22"/>
          <w:highlight w:val="none"/>
          <w:u w:val="single"/>
          <w:lang w:val="en-US" w:eastAsia="zh-CN"/>
        </w:rPr>
        <w:t>20</w:t>
      </w:r>
      <w:r>
        <w:rPr>
          <w:rFonts w:hint="eastAsia" w:ascii="宋体" w:hAnsi="宋体" w:eastAsia="宋体" w:cs="宋体"/>
          <w:color w:val="auto"/>
          <w:kern w:val="2"/>
          <w:sz w:val="24"/>
          <w:szCs w:val="22"/>
          <w:highlight w:val="none"/>
          <w:u w:val="single"/>
          <w:lang w:eastAsia="zh-CN"/>
        </w:rPr>
        <w:t>家的，按投标文件（评标部分）总得分从高到低进行排序，推荐排序位于前</w:t>
      </w:r>
      <w:r>
        <w:rPr>
          <w:rFonts w:hint="eastAsia" w:ascii="宋体" w:hAnsi="宋体" w:cs="宋体"/>
          <w:color w:val="auto"/>
          <w:kern w:val="2"/>
          <w:sz w:val="24"/>
          <w:szCs w:val="22"/>
          <w:highlight w:val="none"/>
          <w:u w:val="single"/>
          <w:lang w:val="en-US" w:eastAsia="zh-CN"/>
        </w:rPr>
        <w:t>20</w:t>
      </w:r>
      <w:r>
        <w:rPr>
          <w:rFonts w:hint="eastAsia" w:ascii="宋体" w:hAnsi="宋体" w:eastAsia="宋体" w:cs="宋体"/>
          <w:color w:val="auto"/>
          <w:kern w:val="2"/>
          <w:sz w:val="24"/>
          <w:szCs w:val="22"/>
          <w:highlight w:val="none"/>
          <w:u w:val="single"/>
          <w:lang w:eastAsia="zh-CN"/>
        </w:rPr>
        <w:t>名次的合格投标人不排序进入定标阶段（若前</w:t>
      </w:r>
      <w:r>
        <w:rPr>
          <w:rFonts w:hint="eastAsia" w:ascii="宋体" w:hAnsi="宋体" w:cs="宋体"/>
          <w:color w:val="auto"/>
          <w:kern w:val="2"/>
          <w:sz w:val="24"/>
          <w:szCs w:val="22"/>
          <w:highlight w:val="none"/>
          <w:u w:val="single"/>
          <w:lang w:val="en-US" w:eastAsia="zh-CN"/>
        </w:rPr>
        <w:t>20</w:t>
      </w:r>
      <w:r>
        <w:rPr>
          <w:rFonts w:hint="eastAsia" w:ascii="宋体" w:hAnsi="宋体" w:eastAsia="宋体" w:cs="宋体"/>
          <w:color w:val="auto"/>
          <w:kern w:val="2"/>
          <w:sz w:val="24"/>
          <w:szCs w:val="22"/>
          <w:highlight w:val="none"/>
          <w:u w:val="single"/>
          <w:lang w:eastAsia="zh-CN"/>
        </w:rPr>
        <w:t>名次的</w:t>
      </w:r>
      <w:r>
        <w:rPr>
          <w:rFonts w:hint="eastAsia" w:cs="宋体"/>
          <w:color w:val="auto"/>
          <w:sz w:val="24"/>
          <w:szCs w:val="24"/>
          <w:highlight w:val="none"/>
          <w:u w:val="single"/>
        </w:rPr>
        <w:t>合格投标人</w:t>
      </w:r>
      <w:r>
        <w:rPr>
          <w:rFonts w:hint="eastAsia" w:ascii="宋体" w:hAnsi="宋体" w:eastAsia="宋体" w:cs="宋体"/>
          <w:color w:val="auto"/>
          <w:kern w:val="2"/>
          <w:sz w:val="24"/>
          <w:szCs w:val="22"/>
          <w:highlight w:val="none"/>
          <w:u w:val="single"/>
          <w:lang w:eastAsia="zh-CN"/>
        </w:rPr>
        <w:t>中存在投标文件（评标部分）总得分相同的，则按第三章“评标、定标办法”第1款的原则确定排序。）</w:t>
      </w:r>
      <w:r>
        <w:rPr>
          <w:rFonts w:hint="eastAsia" w:ascii="宋体" w:hAnsi="宋体" w:eastAsia="宋体" w:cs="宋体"/>
          <w:color w:val="auto"/>
          <w:kern w:val="2"/>
          <w:sz w:val="24"/>
          <w:szCs w:val="22"/>
          <w:highlight w:val="none"/>
          <w:u w:val="single"/>
          <w:lang w:val="en-US" w:eastAsia="zh-CN"/>
        </w:rPr>
        <w:t>。</w:t>
      </w:r>
    </w:p>
    <w:p w14:paraId="71881FE0">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3.4.2 评标结束后，由评标委员会向招标人提交书面评标报告及合格中标候选人名单。</w:t>
      </w:r>
    </w:p>
    <w:p w14:paraId="62337ADE">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cs="宋体"/>
          <w:color w:val="auto"/>
          <w:sz w:val="24"/>
          <w:szCs w:val="24"/>
          <w:highlight w:val="none"/>
          <w:u w:val="single"/>
        </w:rPr>
        <w:t>注：</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cs="宋体"/>
          <w:color w:val="auto"/>
          <w:sz w:val="24"/>
          <w:szCs w:val="24"/>
          <w:highlight w:val="none"/>
          <w:u w:val="single"/>
        </w:rPr>
        <w:t>得分</w:t>
      </w:r>
      <w:r>
        <w:rPr>
          <w:rFonts w:hint="eastAsia" w:ascii="宋体" w:hAnsi="宋体" w:cs="宋体"/>
          <w:color w:val="auto"/>
          <w:sz w:val="24"/>
          <w:szCs w:val="24"/>
          <w:highlight w:val="none"/>
          <w:u w:val="single"/>
          <w:lang w:val="en-US" w:eastAsia="zh-CN"/>
        </w:rPr>
        <w:t>及评标委员会票决</w:t>
      </w:r>
      <w:r>
        <w:rPr>
          <w:rFonts w:hint="eastAsia" w:ascii="宋体" w:hAnsi="宋体" w:eastAsia="宋体" w:cs="宋体"/>
          <w:b w:val="0"/>
          <w:bCs w:val="0"/>
          <w:color w:val="auto"/>
          <w:sz w:val="24"/>
          <w:szCs w:val="24"/>
          <w:highlight w:val="none"/>
          <w:u w:val="single"/>
        </w:rPr>
        <w:t>得分</w:t>
      </w:r>
      <w:r>
        <w:rPr>
          <w:rFonts w:hint="eastAsia" w:ascii="宋体" w:hAnsi="宋体" w:cs="宋体"/>
          <w:color w:val="auto"/>
          <w:sz w:val="24"/>
          <w:szCs w:val="24"/>
          <w:highlight w:val="none"/>
          <w:u w:val="single"/>
        </w:rPr>
        <w:t>排序仅作为推荐入围定标阶段的依据，不作为定标阶段确定中</w:t>
      </w:r>
      <w:r>
        <w:rPr>
          <w:rFonts w:hint="eastAsia" w:ascii="宋体" w:hAnsi="宋体" w:cs="宋体"/>
          <w:color w:val="auto"/>
          <w:sz w:val="24"/>
          <w:szCs w:val="24"/>
          <w:highlight w:val="none"/>
          <w:u w:val="single"/>
          <w:lang w:val="en-US" w:eastAsia="zh-CN"/>
        </w:rPr>
        <w:t>标</w:t>
      </w:r>
      <w:r>
        <w:rPr>
          <w:rFonts w:hint="eastAsia" w:ascii="宋体" w:hAnsi="宋体" w:cs="宋体"/>
          <w:color w:val="auto"/>
          <w:sz w:val="24"/>
          <w:szCs w:val="24"/>
          <w:highlight w:val="none"/>
          <w:u w:val="single"/>
        </w:rPr>
        <w:t>人的依据。</w:t>
      </w:r>
    </w:p>
    <w:p w14:paraId="0129D06B">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cs="宋体"/>
          <w:b/>
          <w:bCs/>
          <w:color w:val="auto"/>
          <w:sz w:val="24"/>
          <w:szCs w:val="21"/>
          <w:highlight w:val="none"/>
          <w:lang w:val="en-US" w:eastAsia="zh-CN"/>
        </w:rPr>
        <w:t>3</w:t>
      </w:r>
      <w:r>
        <w:rPr>
          <w:rFonts w:hint="eastAsia" w:ascii="宋体" w:hAnsi="宋体" w:eastAsia="宋体" w:cs="宋体"/>
          <w:b/>
          <w:bCs/>
          <w:color w:val="auto"/>
          <w:sz w:val="24"/>
          <w:szCs w:val="21"/>
          <w:highlight w:val="none"/>
          <w:lang w:val="en-US" w:eastAsia="zh-CN"/>
        </w:rPr>
        <w:t>.</w:t>
      </w:r>
      <w:r>
        <w:rPr>
          <w:rFonts w:hint="eastAsia" w:ascii="宋体" w:hAnsi="宋体" w:cs="宋体"/>
          <w:b/>
          <w:bCs/>
          <w:color w:val="auto"/>
          <w:sz w:val="24"/>
          <w:szCs w:val="21"/>
          <w:highlight w:val="none"/>
          <w:lang w:val="en-US" w:eastAsia="zh-CN"/>
        </w:rPr>
        <w:t>5</w:t>
      </w:r>
      <w:r>
        <w:rPr>
          <w:rFonts w:hint="eastAsia" w:ascii="宋体" w:hAnsi="宋体" w:eastAsia="宋体" w:cs="宋体"/>
          <w:b/>
          <w:bCs/>
          <w:color w:val="auto"/>
          <w:sz w:val="24"/>
          <w:szCs w:val="21"/>
          <w:highlight w:val="none"/>
          <w:lang w:val="en-US" w:eastAsia="zh-CN"/>
        </w:rPr>
        <w:t>定标</w:t>
      </w:r>
      <w:r>
        <w:rPr>
          <w:rFonts w:hint="eastAsia" w:ascii="宋体" w:hAnsi="宋体" w:eastAsia="宋体" w:cs="宋体"/>
          <w:color w:val="auto"/>
          <w:highlight w:val="none"/>
        </w:rPr>
        <w:t xml:space="preserve"> </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增加</w:t>
      </w:r>
    </w:p>
    <w:p w14:paraId="18CE8F6C">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宋体" w:hAnsi="宋体" w:cs="宋体"/>
          <w:b w:val="0"/>
          <w:bCs w:val="0"/>
          <w:color w:val="auto"/>
          <w:sz w:val="24"/>
          <w:highlight w:val="none"/>
          <w:u w:val="single"/>
          <w:lang w:val="en-US" w:eastAsia="zh-CN"/>
        </w:rPr>
      </w:pPr>
      <w:r>
        <w:rPr>
          <w:rFonts w:hint="eastAsia" w:ascii="宋体" w:hAnsi="宋体" w:eastAsia="宋体" w:cs="宋体"/>
          <w:b/>
          <w:bCs/>
          <w:color w:val="auto"/>
          <w:sz w:val="24"/>
          <w:szCs w:val="21"/>
          <w:highlight w:val="none"/>
          <w:lang w:eastAsia="zh-CN"/>
        </w:rPr>
        <w:t>现文：</w:t>
      </w:r>
      <w:r>
        <w:rPr>
          <w:rFonts w:hint="eastAsia" w:ascii="宋体" w:hAnsi="宋体" w:cs="宋体"/>
          <w:b w:val="0"/>
          <w:bCs w:val="0"/>
          <w:color w:val="auto"/>
          <w:sz w:val="24"/>
          <w:highlight w:val="none"/>
          <w:u w:val="single"/>
          <w:lang w:val="en-US" w:eastAsia="zh-CN"/>
        </w:rPr>
        <w:t>3.5定标（定标办法采用票决法+撰写评语）</w:t>
      </w:r>
    </w:p>
    <w:p w14:paraId="6BA247AE">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.1</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定标委员会由招标人组建。</w:t>
      </w:r>
    </w:p>
    <w:p w14:paraId="780EE7CF">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.2</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招标人在合格中标候选人公示完成后10个工作日内完成定标工作。</w:t>
      </w:r>
    </w:p>
    <w:p w14:paraId="7E06CC51">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5.3 </w:t>
      </w:r>
      <w:r>
        <w:rPr>
          <w:rFonts w:hint="eastAsia" w:ascii="宋体" w:hAnsi="宋体"/>
          <w:b w:val="0"/>
          <w:bCs w:val="0"/>
          <w:color w:val="auto"/>
          <w:highlight w:val="none"/>
          <w:u w:val="single"/>
        </w:rPr>
        <w:t>定标工作开始后，发放选票，由定标委员会参考定标因素及定标辅助资料进行投票排名。</w:t>
      </w:r>
    </w:p>
    <w:p w14:paraId="60381D0F">
      <w:pPr>
        <w:adjustRightInd/>
        <w:snapToGrid/>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5.4</w:t>
      </w:r>
      <w:r>
        <w:rPr>
          <w:rFonts w:hint="eastAsia" w:ascii="宋体" w:hAnsi="宋体"/>
          <w:b w:val="0"/>
          <w:bCs w:val="0"/>
          <w:color w:val="auto"/>
          <w:szCs w:val="22"/>
          <w:highlight w:val="none"/>
          <w:u w:val="single"/>
        </w:rPr>
        <w:t xml:space="preserve"> 定标辅助资料为评标阶段的评标报告、投标人提交的投标与定标文件。</w:t>
      </w:r>
    </w:p>
    <w:p w14:paraId="0394B21A">
      <w:pPr>
        <w:adjustRightInd/>
        <w:snapToGrid/>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5.5 </w:t>
      </w:r>
      <w:r>
        <w:rPr>
          <w:rFonts w:hint="eastAsia" w:ascii="宋体" w:hAnsi="宋体"/>
          <w:b w:val="0"/>
          <w:bCs w:val="0"/>
          <w:color w:val="auto"/>
          <w:szCs w:val="22"/>
          <w:highlight w:val="none"/>
          <w:u w:val="single"/>
        </w:rPr>
        <w:t>定标委员会根据定标辅助资料，在同等条件下，定标因素的相对标准按以下几个方面进行：</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（1）</w:t>
      </w:r>
      <w:r>
        <w:rPr>
          <w:rFonts w:hint="eastAsia" w:ascii="宋体" w:hAnsi="宋体" w:cs="宋体"/>
          <w:b w:val="0"/>
          <w:bCs w:val="0"/>
          <w:color w:val="auto"/>
          <w:szCs w:val="21"/>
          <w:highlight w:val="none"/>
          <w:u w:val="single"/>
        </w:rPr>
        <w:t>价格因素</w:t>
      </w: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（2）</w:t>
      </w:r>
      <w:r>
        <w:rPr>
          <w:rFonts w:hint="eastAsia" w:ascii="宋体" w:hAnsi="宋体" w:cs="宋体"/>
          <w:b w:val="0"/>
          <w:bCs w:val="0"/>
          <w:color w:val="auto"/>
          <w:szCs w:val="21"/>
          <w:highlight w:val="none"/>
          <w:u w:val="single"/>
        </w:rPr>
        <w:t>方案因素</w:t>
      </w:r>
      <w:r>
        <w:rPr>
          <w:rFonts w:hint="eastAsia" w:ascii="宋体" w:hAnsi="宋体"/>
          <w:b w:val="0"/>
          <w:bCs w:val="0"/>
          <w:color w:val="auto"/>
          <w:szCs w:val="22"/>
          <w:highlight w:val="none"/>
          <w:u w:val="single"/>
        </w:rPr>
        <w:t>；</w:t>
      </w:r>
    </w:p>
    <w:p w14:paraId="24B1FBB7">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3</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团队因素</w:t>
      </w:r>
      <w:r>
        <w:rPr>
          <w:rFonts w:hint="eastAsia" w:ascii="宋体" w:hAnsi="宋体"/>
          <w:b w:val="0"/>
          <w:bCs w:val="0"/>
          <w:color w:val="auto"/>
          <w:szCs w:val="22"/>
          <w:highlight w:val="none"/>
          <w:u w:val="single"/>
        </w:rPr>
        <w:t>；</w:t>
      </w:r>
    </w:p>
    <w:p w14:paraId="329F34F4">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4</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资信因素</w:t>
      </w:r>
      <w:r>
        <w:rPr>
          <w:rFonts w:hint="eastAsia" w:ascii="宋体" w:hAnsi="宋体" w:cs="宋体"/>
          <w:b w:val="0"/>
          <w:bCs w:val="0"/>
          <w:color w:val="auto"/>
          <w:szCs w:val="21"/>
          <w:highlight w:val="none"/>
          <w:u w:val="single"/>
          <w:lang w:eastAsia="zh-CN"/>
        </w:rPr>
        <w:t>。</w:t>
      </w:r>
    </w:p>
    <w:p w14:paraId="0C5F4785">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 xml:space="preserve">3.5.6 </w:t>
      </w:r>
      <w:r>
        <w:rPr>
          <w:rFonts w:hint="eastAsia" w:ascii="宋体" w:hAnsi="宋体"/>
          <w:b w:val="0"/>
          <w:bCs w:val="0"/>
          <w:color w:val="auto"/>
          <w:highlight w:val="none"/>
          <w:u w:val="single"/>
        </w:rPr>
        <w:t>投票规则：</w:t>
      </w:r>
      <w:r>
        <w:rPr>
          <w:rFonts w:hint="eastAsia" w:ascii="宋体" w:hAnsi="宋体"/>
          <w:b w:val="0"/>
          <w:bCs w:val="0"/>
          <w:color w:val="auto"/>
          <w:highlight w:val="none"/>
          <w:u w:val="single"/>
          <w:lang w:val="en-US" w:eastAsia="zh-CN"/>
        </w:rPr>
        <w:t>定标阶段由定标委员会根据定标因素对各合格中标候选人进行综合比较后，进行一次性票决，每位定标委员会成员只有1票表决权（即只能对其中一家合格中标候选人投票），得票数最多的合格中标候选人确定为中标人，若出现最高票数相同且无法决出中标人时，对最高票数相同的合格中标候选人再进行附加的一次性票决，直至决出中标人。若最高票数相同的合格中标候选人经三轮票决票数仍相同且无法决出中标人时，以投标报价低者为中标人。定标委员会成员投票时，应按照招标文件规定的投票规则独立行使投票权，不得弃权或产生废票。</w:t>
      </w:r>
    </w:p>
    <w:p w14:paraId="328B30EE">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rPr>
        <w:t xml:space="preserve"> </w:t>
      </w:r>
      <w:r>
        <w:rPr>
          <w:rFonts w:hint="eastAsia" w:ascii="宋体" w:hAnsi="宋体"/>
          <w:b w:val="0"/>
          <w:bCs w:val="0"/>
          <w:color w:val="auto"/>
          <w:highlight w:val="none"/>
          <w:u w:val="single"/>
          <w:lang w:val="en-US" w:eastAsia="zh-CN"/>
        </w:rPr>
        <w:t>3.5.7</w:t>
      </w:r>
      <w:r>
        <w:rPr>
          <w:rFonts w:hint="eastAsia" w:ascii="宋体" w:hAnsi="宋体"/>
          <w:b w:val="0"/>
          <w:bCs w:val="0"/>
          <w:color w:val="auto"/>
          <w:highlight w:val="none"/>
          <w:u w:val="single"/>
        </w:rPr>
        <w:t xml:space="preserve"> 经票决，定标委员会推荐合格中标候选人名单中定标得票数最高为中标人，并提交定标报告。</w:t>
      </w:r>
    </w:p>
    <w:p w14:paraId="0D229B46">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b w:val="0"/>
          <w:bCs w:val="0"/>
          <w:color w:val="auto"/>
          <w:highlight w:val="none"/>
          <w:u w:val="single"/>
        </w:rPr>
        <w:t xml:space="preserve"> </w:t>
      </w:r>
      <w:r>
        <w:rPr>
          <w:rFonts w:hint="eastAsia" w:ascii="宋体" w:hAnsi="宋体" w:eastAsia="宋体" w:cs="宋体"/>
          <w:b w:val="0"/>
          <w:bCs w:val="0"/>
          <w:color w:val="auto"/>
          <w:sz w:val="24"/>
          <w:szCs w:val="24"/>
          <w:highlight w:val="none"/>
          <w:u w:val="single"/>
        </w:rPr>
        <w:t>注：本项目分</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个标段，应遵循以下</w:t>
      </w:r>
      <w:r>
        <w:rPr>
          <w:rFonts w:hint="eastAsia" w:ascii="宋体" w:hAnsi="宋体" w:eastAsia="宋体" w:cs="宋体"/>
          <w:b w:val="0"/>
          <w:bCs w:val="0"/>
          <w:color w:val="auto"/>
          <w:sz w:val="24"/>
          <w:szCs w:val="24"/>
          <w:highlight w:val="none"/>
          <w:u w:val="single"/>
          <w:lang w:val="en-US" w:eastAsia="zh-CN"/>
        </w:rPr>
        <w:t>推荐</w:t>
      </w:r>
      <w:r>
        <w:rPr>
          <w:rFonts w:hint="eastAsia" w:ascii="宋体" w:hAnsi="宋体" w:eastAsia="宋体" w:cs="宋体"/>
          <w:b w:val="0"/>
          <w:bCs w:val="0"/>
          <w:color w:val="auto"/>
          <w:sz w:val="24"/>
          <w:szCs w:val="24"/>
          <w:highlight w:val="none"/>
          <w:u w:val="single"/>
        </w:rPr>
        <w:t>原则：</w:t>
      </w:r>
    </w:p>
    <w:p w14:paraId="5F400BDE">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本项目采用评定分离方式确定中标人，投标人可以自行选择参加本次招标项目的一个或多个标段的投标，若投标人同时参加多个标段的投标，需分别单独办理各标段投标登记手续，分别编制投标文件并按标段单独提交，但不可以兼中，只能中其中一个标段；各标段投入人员可以</w:t>
      </w:r>
      <w:r>
        <w:rPr>
          <w:rFonts w:hint="eastAsia" w:ascii="宋体" w:hAnsi="宋体" w:eastAsia="宋体" w:cs="宋体"/>
          <w:b w:val="0"/>
          <w:bCs w:val="0"/>
          <w:color w:val="auto"/>
          <w:sz w:val="24"/>
          <w:szCs w:val="24"/>
          <w:highlight w:val="none"/>
          <w:u w:val="single"/>
          <w:lang w:eastAsia="zh-CN"/>
        </w:rPr>
        <w:t>重复</w:t>
      </w:r>
      <w:r>
        <w:rPr>
          <w:rFonts w:hint="eastAsia" w:ascii="宋体" w:hAnsi="宋体" w:eastAsia="宋体" w:cs="宋体"/>
          <w:b w:val="0"/>
          <w:bCs w:val="0"/>
          <w:color w:val="auto"/>
          <w:sz w:val="24"/>
          <w:szCs w:val="24"/>
          <w:highlight w:val="none"/>
          <w:u w:val="single"/>
        </w:rPr>
        <w:t>；</w:t>
      </w:r>
    </w:p>
    <w:p w14:paraId="0783A663">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个标段按照招标人最终公布的最高投标限价金额由大到小的先后顺序，依次先后开标、评标、定标</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定标委员会按照招标人最终公布最高投标限价金额由大到小的先后顺序的标段进行一次性票决,每位定标委员会成员只有1票表决权(</w:t>
      </w:r>
      <w:r>
        <w:rPr>
          <w:rFonts w:hint="eastAsia" w:ascii="宋体" w:hAnsi="宋体" w:cs="宋体"/>
          <w:b w:val="0"/>
          <w:bCs w:val="0"/>
          <w:color w:val="auto"/>
          <w:sz w:val="24"/>
          <w:szCs w:val="24"/>
          <w:highlight w:val="none"/>
          <w:u w:val="single"/>
          <w:lang w:val="en-US" w:eastAsia="zh-CN"/>
        </w:rPr>
        <w:t>即</w:t>
      </w:r>
      <w:r>
        <w:rPr>
          <w:rFonts w:hint="eastAsia" w:ascii="宋体" w:hAnsi="宋体" w:eastAsia="宋体" w:cs="宋体"/>
          <w:b w:val="0"/>
          <w:bCs w:val="0"/>
          <w:color w:val="auto"/>
          <w:sz w:val="24"/>
          <w:szCs w:val="24"/>
          <w:highlight w:val="none"/>
          <w:u w:val="single"/>
        </w:rPr>
        <w:t>只能对其中一家合格</w:t>
      </w:r>
      <w:r>
        <w:rPr>
          <w:rFonts w:hint="eastAsia" w:ascii="宋体" w:hAnsi="宋体" w:cs="宋体"/>
          <w:b w:val="0"/>
          <w:bCs w:val="0"/>
          <w:color w:val="auto"/>
          <w:sz w:val="24"/>
          <w:szCs w:val="24"/>
          <w:highlight w:val="none"/>
          <w:u w:val="single"/>
          <w:lang w:val="en-US" w:eastAsia="zh-CN"/>
        </w:rPr>
        <w:t>中</w:t>
      </w:r>
      <w:r>
        <w:rPr>
          <w:rFonts w:hint="eastAsia" w:ascii="宋体" w:hAnsi="宋体" w:eastAsia="宋体" w:cs="宋体"/>
          <w:b w:val="0"/>
          <w:bCs w:val="0"/>
          <w:color w:val="auto"/>
          <w:sz w:val="24"/>
          <w:szCs w:val="24"/>
          <w:highlight w:val="none"/>
          <w:u w:val="single"/>
        </w:rPr>
        <w:t>标候选人投票)，得票数最多的合格中标候选人为该标段的中标人，同时自动放弃参与其他标段投</w:t>
      </w:r>
      <w:r>
        <w:rPr>
          <w:rFonts w:hint="eastAsia" w:ascii="宋体" w:hAnsi="宋体" w:cs="宋体"/>
          <w:b w:val="0"/>
          <w:bCs w:val="0"/>
          <w:color w:val="auto"/>
          <w:sz w:val="24"/>
          <w:szCs w:val="24"/>
          <w:highlight w:val="none"/>
          <w:u w:val="single"/>
          <w:lang w:val="en-US" w:eastAsia="zh-CN"/>
        </w:rPr>
        <w:t>票</w:t>
      </w:r>
      <w:r>
        <w:rPr>
          <w:rFonts w:hint="eastAsia" w:ascii="宋体" w:hAnsi="宋体" w:cs="宋体"/>
          <w:b w:val="0"/>
          <w:bCs w:val="0"/>
          <w:color w:val="auto"/>
          <w:sz w:val="24"/>
          <w:highlight w:val="none"/>
          <w:u w:val="single"/>
          <w:lang w:val="en-US" w:eastAsia="zh-CN"/>
        </w:rPr>
        <w:t>环节</w:t>
      </w:r>
      <w:r>
        <w:rPr>
          <w:rFonts w:hint="eastAsia" w:ascii="宋体" w:hAnsi="宋体" w:eastAsia="宋体" w:cs="宋体"/>
          <w:b w:val="0"/>
          <w:bCs w:val="0"/>
          <w:color w:val="auto"/>
          <w:sz w:val="24"/>
          <w:szCs w:val="24"/>
          <w:highlight w:val="none"/>
          <w:u w:val="single"/>
        </w:rPr>
        <w:t>。但仍参与其他标段</w:t>
      </w:r>
      <w:r>
        <w:rPr>
          <w:rFonts w:hint="eastAsia" w:ascii="宋体" w:hAnsi="宋体" w:cs="宋体"/>
          <w:b w:val="0"/>
          <w:bCs w:val="0"/>
          <w:color w:val="auto"/>
          <w:sz w:val="24"/>
          <w:highlight w:val="none"/>
          <w:u w:val="single"/>
          <w:lang w:val="en-US" w:eastAsia="zh-CN"/>
        </w:rPr>
        <w:t>撰</w:t>
      </w:r>
      <w:r>
        <w:rPr>
          <w:rFonts w:hint="eastAsia" w:ascii="宋体" w:hAnsi="宋体" w:eastAsia="宋体" w:cs="宋体"/>
          <w:b w:val="0"/>
          <w:bCs w:val="0"/>
          <w:color w:val="auto"/>
          <w:sz w:val="24"/>
          <w:szCs w:val="24"/>
          <w:highlight w:val="none"/>
          <w:u w:val="single"/>
        </w:rPr>
        <w:t>写评语环节。</w:t>
      </w:r>
    </w:p>
    <w:p w14:paraId="4F0E9449">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（3）如果出现某标段(为清晰表述，本段以下代称“A标段”）的中标人放弃中标或因其他原因被取消中标资格的：招标人可以从A标段其他合格中标候选人中采用</w:t>
      </w:r>
      <w:r>
        <w:rPr>
          <w:rFonts w:hint="eastAsia" w:ascii="宋体" w:hAnsi="宋体" w:cs="宋体"/>
          <w:b w:val="0"/>
          <w:bCs w:val="0"/>
          <w:color w:val="auto"/>
          <w:sz w:val="24"/>
          <w:highlight w:val="none"/>
          <w:u w:val="single"/>
          <w:lang w:val="en-US" w:eastAsia="zh-CN"/>
        </w:rPr>
        <w:t>原定标办法</w:t>
      </w:r>
      <w:r>
        <w:rPr>
          <w:rFonts w:hint="eastAsia" w:ascii="宋体" w:hAnsi="宋体" w:eastAsia="宋体" w:cs="宋体"/>
          <w:b w:val="0"/>
          <w:bCs w:val="0"/>
          <w:color w:val="auto"/>
          <w:sz w:val="24"/>
          <w:szCs w:val="24"/>
          <w:highlight w:val="none"/>
          <w:u w:val="single"/>
        </w:rPr>
        <w:t>，由原定标委员会重新确定A标段的中标人，也可以重新组织招标。不影响其他标段的定标工作及中标人的确定</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若A标段所有合格中标候选人都不能成为中标人，则A标段招标失败，不影响其他标段中标人的确</w:t>
      </w:r>
      <w:r>
        <w:rPr>
          <w:rFonts w:hint="eastAsia" w:ascii="宋体" w:hAnsi="宋体" w:eastAsia="宋体" w:cs="宋体"/>
          <w:b w:val="0"/>
          <w:bCs w:val="0"/>
          <w:color w:val="auto"/>
          <w:sz w:val="24"/>
          <w:szCs w:val="24"/>
          <w:highlight w:val="none"/>
          <w:u w:val="single"/>
          <w:lang w:val="en-US" w:eastAsia="zh-CN"/>
        </w:rPr>
        <w:t>定</w:t>
      </w:r>
      <w:r>
        <w:rPr>
          <w:rFonts w:hint="eastAsia" w:ascii="宋体" w:hAnsi="宋体" w:eastAsia="宋体" w:cs="宋体"/>
          <w:b w:val="0"/>
          <w:bCs w:val="0"/>
          <w:color w:val="auto"/>
          <w:sz w:val="24"/>
          <w:szCs w:val="24"/>
          <w:highlight w:val="none"/>
          <w:u w:val="single"/>
        </w:rPr>
        <w:t>；</w:t>
      </w:r>
    </w:p>
    <w:p w14:paraId="02FD7B1C">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（4）若某标段在确定中标人后，因其他原因导致该标段重新招标或中标通知书不能发出，将不影响其他标段中标人的确定；</w:t>
      </w:r>
    </w:p>
    <w:p w14:paraId="2F6122FA">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single"/>
        </w:rPr>
        <w:t>（5）若某标段招标失败而重新招标的，其他标段的中标人不能再成为该重新招标标段的中标人。</w:t>
      </w:r>
    </w:p>
    <w:p w14:paraId="05195D35">
      <w:pPr>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注：以上修改，仅限于本范本中有可供选择条</w:t>
      </w:r>
      <w:r>
        <w:rPr>
          <w:rFonts w:hint="eastAsia" w:ascii="宋体" w:hAnsi="宋体" w:eastAsia="宋体" w:cs="宋体"/>
          <w:color w:val="auto"/>
          <w:sz w:val="24"/>
          <w:szCs w:val="24"/>
          <w:highlight w:val="none"/>
        </w:rPr>
        <w:t>款的情形。</w:t>
      </w:r>
    </w:p>
    <w:p w14:paraId="2AACD10A">
      <w:pPr>
        <w:pStyle w:val="31"/>
        <w:ind w:left="0" w:leftChars="0" w:firstLine="0" w:firstLineChars="0"/>
        <w:rPr>
          <w:rFonts w:ascii="宋体" w:hAnsi="宋体" w:eastAsia="宋体" w:cs="宋体"/>
          <w:color w:val="auto"/>
          <w:highlight w:val="none"/>
        </w:rPr>
        <w:sectPr>
          <w:pgSz w:w="11906" w:h="16838"/>
          <w:pgMar w:top="1417" w:right="1417" w:bottom="1417" w:left="1417" w:header="0" w:footer="940" w:gutter="0"/>
          <w:pgNumType w:fmt="decimal"/>
          <w:cols w:space="720" w:num="1"/>
        </w:sectPr>
      </w:pPr>
      <w:r>
        <w:rPr>
          <w:rFonts w:ascii="宋体" w:hAnsi="宋体" w:eastAsia="宋体" w:cs="宋体"/>
          <w:color w:val="auto"/>
          <w:sz w:val="24"/>
          <w:szCs w:val="21"/>
          <w:highlight w:val="none"/>
        </w:rPr>
        <w:br w:type="page"/>
      </w:r>
    </w:p>
    <w:p w14:paraId="21C32A31">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hint="eastAsia" w:ascii="宋体" w:hAnsi="宋体" w:eastAsia="宋体" w:cs="宋体"/>
          <w:b/>
          <w:bCs/>
          <w:color w:val="auto"/>
          <w:sz w:val="24"/>
          <w:szCs w:val="24"/>
          <w:highlight w:val="none"/>
        </w:rPr>
      </w:pPr>
      <w:bookmarkStart w:id="98" w:name="_Toc10219"/>
      <w:r>
        <w:rPr>
          <w:rFonts w:hint="eastAsia" w:ascii="宋体" w:hAnsi="宋体" w:eastAsia="宋体" w:cs="宋体"/>
          <w:b/>
          <w:bCs/>
          <w:color w:val="auto"/>
          <w:sz w:val="24"/>
          <w:szCs w:val="24"/>
          <w:highlight w:val="none"/>
        </w:rPr>
        <w:t>1.评标</w:t>
      </w:r>
      <w:bookmarkEnd w:id="98"/>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定标</w:t>
      </w:r>
      <w:r>
        <w:rPr>
          <w:rFonts w:hint="eastAsia" w:ascii="宋体" w:hAnsi="宋体" w:eastAsia="宋体" w:cs="宋体"/>
          <w:b/>
          <w:bCs/>
          <w:color w:val="auto"/>
          <w:sz w:val="24"/>
          <w:szCs w:val="24"/>
          <w:highlight w:val="none"/>
        </w:rPr>
        <w:t>方法</w:t>
      </w:r>
    </w:p>
    <w:p w14:paraId="5D17D936">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本标段采用评定分离方式（评标采用综合评估法，定标采用票决法</w:t>
      </w:r>
      <w:r>
        <w:rPr>
          <w:rFonts w:hint="eastAsia" w:ascii="宋体" w:hAnsi="宋体" w:cs="宋体"/>
          <w:b w:val="0"/>
          <w:bCs w:val="0"/>
          <w:color w:val="auto"/>
          <w:sz w:val="24"/>
          <w:highlight w:val="none"/>
          <w:u w:val="single"/>
          <w:lang w:val="en-US" w:eastAsia="zh-CN"/>
        </w:rPr>
        <w:t>+撰写评语</w:t>
      </w:r>
      <w:r>
        <w:rPr>
          <w:rFonts w:hint="eastAsia" w:ascii="宋体" w:hAnsi="宋体" w:eastAsia="宋体" w:cs="宋体"/>
          <w:b w:val="0"/>
          <w:bCs w:val="0"/>
          <w:color w:val="auto"/>
          <w:sz w:val="24"/>
          <w:szCs w:val="24"/>
          <w:highlight w:val="none"/>
          <w:u w:val="single"/>
        </w:rPr>
        <w:t>）。评标委员会对满足招标文件实质性要求的投标文件（评标部分），按照本章第2.2款规定的评分标准进行打分，并按投标文件（评标部分）总得分由高到低顺序推荐合格中标候选人，但投标报价低于其成本的除外。投标文件（评标部分）总得分相同的，以报价较低的排前；投标文件（评标部分）总得分与报价均相同的，以</w:t>
      </w:r>
      <w:r>
        <w:rPr>
          <w:rFonts w:hint="eastAsia" w:ascii="宋体" w:hAnsi="宋体" w:eastAsia="宋体" w:cs="宋体"/>
          <w:b w:val="0"/>
          <w:bCs w:val="0"/>
          <w:color w:val="auto"/>
          <w:sz w:val="24"/>
          <w:szCs w:val="24"/>
          <w:highlight w:val="none"/>
          <w:u w:val="single"/>
          <w:lang w:val="en-US" w:eastAsia="zh-CN"/>
        </w:rPr>
        <w:t>监理大纲</w:t>
      </w:r>
      <w:r>
        <w:rPr>
          <w:rFonts w:hint="eastAsia" w:ascii="宋体" w:hAnsi="宋体" w:eastAsia="宋体" w:cs="宋体"/>
          <w:b w:val="0"/>
          <w:bCs w:val="0"/>
          <w:color w:val="auto"/>
          <w:sz w:val="24"/>
          <w:szCs w:val="24"/>
          <w:highlight w:val="none"/>
          <w:u w:val="single"/>
        </w:rPr>
        <w:t>得分较高的排前；如仍存在相同情况，则对具有相同情况的投标人，由评委通过记名投票表决（不得弃权），以“少数服从多数”的原则确定排序。</w:t>
      </w:r>
    </w:p>
    <w:p w14:paraId="1AEF69D1">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合格中标候选人按统一社会信用代码后4位（除校验码外）大小排位，如统一社会信用代码后4位出现字母情况的，字母以“0”进行代替大小排位；如出现后4位（除校验码外）大小一致的，则随机排位。</w:t>
      </w:r>
    </w:p>
    <w:p w14:paraId="68844B5C">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注：投标文件（评标部分）</w:t>
      </w:r>
      <w:r>
        <w:rPr>
          <w:rFonts w:hint="eastAsia" w:ascii="宋体" w:hAnsi="宋体" w:eastAsia="宋体" w:cs="宋体"/>
          <w:b w:val="0"/>
          <w:bCs w:val="0"/>
          <w:color w:val="auto"/>
          <w:sz w:val="24"/>
          <w:szCs w:val="24"/>
          <w:highlight w:val="none"/>
          <w:u w:val="single"/>
          <w:lang w:val="en-US" w:eastAsia="zh-CN"/>
        </w:rPr>
        <w:t>总</w:t>
      </w:r>
      <w:r>
        <w:rPr>
          <w:rFonts w:hint="eastAsia" w:ascii="宋体" w:hAnsi="宋体" w:eastAsia="宋体" w:cs="宋体"/>
          <w:b w:val="0"/>
          <w:bCs w:val="0"/>
          <w:color w:val="auto"/>
          <w:sz w:val="24"/>
          <w:szCs w:val="24"/>
          <w:highlight w:val="none"/>
          <w:u w:val="single"/>
        </w:rPr>
        <w:t>得分及评标委员会票决得分排序仅作为推荐入围定标阶段的依据，不作为定标阶段确定中标人的依据。</w:t>
      </w:r>
    </w:p>
    <w:p w14:paraId="540FB0A8">
      <w:pPr>
        <w:pStyle w:val="4"/>
        <w:outlineLvl w:val="1"/>
        <w:rPr>
          <w:rFonts w:hint="eastAsia" w:ascii="宋体" w:hAnsi="宋体" w:eastAsia="宋体" w:cs="宋体"/>
          <w:b w:val="0"/>
          <w:color w:val="auto"/>
          <w:sz w:val="30"/>
          <w:szCs w:val="24"/>
          <w:highlight w:val="none"/>
        </w:rPr>
      </w:pPr>
      <w:bookmarkStart w:id="99" w:name="bookmark85"/>
      <w:bookmarkEnd w:id="99"/>
      <w:bookmarkStart w:id="100" w:name="_Toc17929"/>
      <w:r>
        <w:rPr>
          <w:rFonts w:hint="eastAsia" w:cs="宋体"/>
          <w:color w:val="auto"/>
          <w:sz w:val="24"/>
          <w:szCs w:val="24"/>
          <w:highlight w:val="none"/>
        </w:rPr>
        <w:t>2.评审标准</w:t>
      </w:r>
      <w:bookmarkEnd w:id="100"/>
    </w:p>
    <w:p w14:paraId="7971741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1" w:name="bookmark86"/>
      <w:bookmarkEnd w:id="101"/>
      <w:r>
        <w:rPr>
          <w:rFonts w:hint="eastAsia" w:ascii="宋体" w:hAnsi="宋体" w:eastAsia="宋体" w:cs="宋体"/>
          <w:color w:val="auto"/>
          <w:highlight w:val="none"/>
        </w:rPr>
        <w:t>2.1 初步评审标准</w:t>
      </w:r>
    </w:p>
    <w:p w14:paraId="5C3B4E0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1</w:t>
      </w:r>
      <w:r>
        <w:rPr>
          <w:rFonts w:hint="eastAsia" w:cs="宋体"/>
          <w:color w:val="auto"/>
          <w:sz w:val="24"/>
          <w:szCs w:val="24"/>
          <w:highlight w:val="none"/>
        </w:rPr>
        <w:t xml:space="preserve"> 资格评审标准：见评标办法前附表。</w:t>
      </w:r>
    </w:p>
    <w:p w14:paraId="54A6473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2</w:t>
      </w:r>
      <w:r>
        <w:rPr>
          <w:rFonts w:hint="eastAsia" w:cs="宋体"/>
          <w:color w:val="auto"/>
          <w:sz w:val="24"/>
          <w:szCs w:val="24"/>
          <w:highlight w:val="none"/>
        </w:rPr>
        <w:t xml:space="preserve"> 形式评审标准：见评标办法前附表。</w:t>
      </w:r>
    </w:p>
    <w:p w14:paraId="3BD870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2.1.3 响应性评审标准：见评标办法前附表。</w:t>
      </w:r>
    </w:p>
    <w:p w14:paraId="5F47FCF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2" w:name="bookmark87"/>
      <w:bookmarkEnd w:id="102"/>
      <w:r>
        <w:rPr>
          <w:rFonts w:hint="eastAsia" w:ascii="宋体" w:hAnsi="宋体" w:eastAsia="宋体" w:cs="宋体"/>
          <w:color w:val="auto"/>
          <w:highlight w:val="none"/>
        </w:rPr>
        <w:t>2.2 分值构成与评分标准</w:t>
      </w:r>
    </w:p>
    <w:p w14:paraId="251E993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分值构成</w:t>
      </w:r>
    </w:p>
    <w:p w14:paraId="191838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（1）资信业绩部分：见评标办法前附表；</w:t>
      </w:r>
    </w:p>
    <w:p w14:paraId="5ADB2C8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（2）监理大纲部分：见评标办法前附表；</w:t>
      </w:r>
    </w:p>
    <w:p w14:paraId="7F1AD8F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（3）投标报价：见评标办法前附表；</w:t>
      </w:r>
    </w:p>
    <w:p w14:paraId="663CEBE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 xml:space="preserve">：见评标办法前附表。 </w:t>
      </w:r>
    </w:p>
    <w:p w14:paraId="6A05A5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 评标基准价计算评标基准价计算方法：见评标办法前附表。</w:t>
      </w:r>
    </w:p>
    <w:p w14:paraId="3E7C831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2.2.3 投标报价的偏差率计算</w:t>
      </w:r>
    </w:p>
    <w:p w14:paraId="1989E3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投标报价的偏差率计算公式：见评标办法前附表。</w:t>
      </w:r>
    </w:p>
    <w:p w14:paraId="08E8ABA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2.2.4  评分标准</w:t>
      </w:r>
    </w:p>
    <w:p w14:paraId="783D0C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（1）资信业绩评分标准：见评标办法前附表；</w:t>
      </w:r>
    </w:p>
    <w:p w14:paraId="2E1021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（2）监理大纲评分标准：见评标办法前附表；</w:t>
      </w:r>
    </w:p>
    <w:p w14:paraId="5D73F6A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（3）投标报价评分标准：见评标办法前附表；</w:t>
      </w:r>
    </w:p>
    <w:p w14:paraId="21FDA1F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评分标准：见评标办法前附表。</w:t>
      </w:r>
    </w:p>
    <w:p w14:paraId="69DAF2E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cs="宋体"/>
          <w:strike/>
          <w:color w:val="auto"/>
          <w:sz w:val="21"/>
          <w:szCs w:val="21"/>
          <w:highlight w:val="none"/>
        </w:rPr>
      </w:pPr>
      <w:r>
        <w:rPr>
          <w:rFonts w:hint="eastAsia" w:cs="宋体"/>
          <w:strike/>
          <w:color w:val="auto"/>
          <w:sz w:val="21"/>
          <w:szCs w:val="21"/>
          <w:highlight w:val="none"/>
        </w:rPr>
        <w:t>注：投标人的诚信评价总分取自本项目招标公告发布第1天所在季度的上一季度的诚信综合评价分。</w:t>
      </w:r>
    </w:p>
    <w:p w14:paraId="2AF6A606">
      <w:pPr>
        <w:pStyle w:val="4"/>
        <w:outlineLvl w:val="1"/>
        <w:rPr>
          <w:rFonts w:hint="eastAsia" w:cs="宋体"/>
          <w:color w:val="auto"/>
          <w:sz w:val="24"/>
          <w:szCs w:val="24"/>
          <w:highlight w:val="none"/>
        </w:rPr>
      </w:pPr>
      <w:bookmarkStart w:id="103" w:name="bookmark88"/>
      <w:bookmarkEnd w:id="103"/>
      <w:bookmarkStart w:id="104" w:name="_Toc15176"/>
      <w:r>
        <w:rPr>
          <w:rFonts w:hint="eastAsia" w:cs="宋体"/>
          <w:color w:val="auto"/>
          <w:sz w:val="24"/>
          <w:szCs w:val="24"/>
          <w:highlight w:val="none"/>
        </w:rPr>
        <w:t>3.评标程序</w:t>
      </w:r>
      <w:bookmarkEnd w:id="104"/>
    </w:p>
    <w:p w14:paraId="2A46EDA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5" w:name="bookmark89"/>
      <w:bookmarkEnd w:id="105"/>
      <w:r>
        <w:rPr>
          <w:rFonts w:hint="eastAsia" w:ascii="宋体" w:hAnsi="宋体" w:eastAsia="宋体" w:cs="宋体"/>
          <w:color w:val="auto"/>
          <w:highlight w:val="none"/>
        </w:rPr>
        <w:t>3.1  初步评审</w:t>
      </w:r>
    </w:p>
    <w:p w14:paraId="0368A6C2">
      <w:pPr>
        <w:kinsoku w:val="0"/>
        <w:overflowPunct w:val="0"/>
        <w:spacing w:line="360" w:lineRule="auto"/>
        <w:ind w:left="0" w:firstLine="480" w:firstLineChars="200"/>
        <w:jc w:val="both"/>
        <w:rPr>
          <w:rFonts w:hint="eastAsia" w:ascii="宋体" w:hAnsi="宋体" w:cs="宋体"/>
          <w:b w:val="0"/>
          <w:bCs/>
          <w:color w:val="auto"/>
          <w:sz w:val="24"/>
          <w:szCs w:val="24"/>
          <w:highlight w:val="none"/>
          <w:u w:val="singl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w:t>
      </w:r>
      <w:r>
        <w:rPr>
          <w:rFonts w:hint="eastAsia" w:ascii="宋体" w:hAnsi="宋体" w:cs="宋体"/>
          <w:color w:val="auto"/>
          <w:sz w:val="24"/>
          <w:szCs w:val="24"/>
          <w:highlight w:val="none"/>
          <w:u w:val="single"/>
          <w:lang w:eastAsia="zh-CN"/>
        </w:rPr>
        <w:t>（评标部分）</w:t>
      </w:r>
      <w:r>
        <w:rPr>
          <w:rFonts w:hint="eastAsia" w:ascii="宋体" w:hAnsi="宋体" w:cs="宋体"/>
          <w:color w:val="auto"/>
          <w:sz w:val="24"/>
          <w:szCs w:val="24"/>
          <w:highlight w:val="none"/>
        </w:rPr>
        <w:t>进行初步评审。有一项不符合评审标准的，评标委员会应当否决其投标。</w:t>
      </w:r>
      <w:r>
        <w:rPr>
          <w:rFonts w:hint="eastAsia" w:ascii="宋体" w:hAnsi="宋体" w:cs="宋体"/>
          <w:b w:val="0"/>
          <w:bCs/>
          <w:color w:val="auto"/>
          <w:sz w:val="24"/>
          <w:szCs w:val="24"/>
          <w:highlight w:val="none"/>
          <w:u w:val="single"/>
        </w:rPr>
        <w:t>评委发现投标文件</w:t>
      </w:r>
      <w:r>
        <w:rPr>
          <w:rFonts w:hint="eastAsia" w:ascii="宋体" w:hAnsi="宋体" w:cs="宋体"/>
          <w:color w:val="auto"/>
          <w:sz w:val="24"/>
          <w:szCs w:val="24"/>
          <w:highlight w:val="none"/>
          <w:u w:val="single"/>
          <w:lang w:eastAsia="zh-CN"/>
        </w:rPr>
        <w:t>（评标部分）</w:t>
      </w:r>
      <w:r>
        <w:rPr>
          <w:rFonts w:hint="eastAsia" w:ascii="宋体" w:hAnsi="宋体" w:cs="宋体"/>
          <w:b w:val="0"/>
          <w:bCs/>
          <w:color w:val="auto"/>
          <w:sz w:val="24"/>
          <w:szCs w:val="24"/>
          <w:highlight w:val="none"/>
          <w:u w:val="single"/>
        </w:rPr>
        <w:t>中含义不明确、对同类问题表述不一致、有明显文字和计算错误的，应当要求投标人作必要的澄清、说明后再判定投标人是否通过初步评审，不得直接认定其不通过初步评审。</w:t>
      </w:r>
    </w:p>
    <w:p w14:paraId="0915E2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3.1.2 投标人有以下情形之一的，评标委员会应当否决其投标：</w:t>
      </w:r>
    </w:p>
    <w:p w14:paraId="2DFFD4F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w:t>
      </w:r>
      <w:r>
        <w:rPr>
          <w:rFonts w:hint="eastAsia" w:ascii="宋体" w:hAnsi="宋体" w:cs="宋体"/>
          <w:color w:val="auto"/>
          <w:sz w:val="24"/>
          <w:szCs w:val="24"/>
          <w:highlight w:val="none"/>
          <w:u w:val="single"/>
          <w:lang w:eastAsia="zh-CN"/>
        </w:rPr>
        <w:t>（评标部分）</w:t>
      </w:r>
      <w:r>
        <w:rPr>
          <w:rFonts w:hint="eastAsia" w:cs="宋体"/>
          <w:color w:val="auto"/>
          <w:sz w:val="24"/>
          <w:szCs w:val="24"/>
          <w:highlight w:val="none"/>
        </w:rPr>
        <w:t>没有对招标文件的实质性要求和条件作出响应，或者对招标文件的偏差超出招标文件规定的偏差范围或最高项数；</w:t>
      </w:r>
    </w:p>
    <w:p w14:paraId="06D44E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（2）有串通投标、弄虚作假、行贿等违法行为。</w:t>
      </w:r>
    </w:p>
    <w:p w14:paraId="527291D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lang w:eastAsia="zh-CN"/>
        </w:rPr>
      </w:pPr>
      <w:r>
        <w:rPr>
          <w:rFonts w:hint="eastAsia" w:cs="宋体"/>
          <w:strike/>
          <w:color w:val="auto"/>
          <w:sz w:val="24"/>
          <w:szCs w:val="24"/>
          <w:highlight w:val="none"/>
          <w:lang w:eastAsia="zh-CN"/>
        </w:rPr>
        <w:t>（</w:t>
      </w:r>
      <w:r>
        <w:rPr>
          <w:rFonts w:hint="eastAsia" w:cs="宋体"/>
          <w:strike/>
          <w:color w:val="auto"/>
          <w:sz w:val="24"/>
          <w:szCs w:val="24"/>
          <w:highlight w:val="none"/>
          <w:lang w:val="en-US" w:eastAsia="zh-CN"/>
        </w:rPr>
        <w:t>3</w:t>
      </w:r>
      <w:r>
        <w:rPr>
          <w:rFonts w:hint="eastAsia" w:cs="宋体"/>
          <w:strike/>
          <w:color w:val="auto"/>
          <w:sz w:val="24"/>
          <w:szCs w:val="24"/>
          <w:highlight w:val="none"/>
          <w:lang w:eastAsia="zh-CN"/>
        </w:rPr>
        <w:t>）两个（含两个）以上</w:t>
      </w:r>
      <w:r>
        <w:rPr>
          <w:rFonts w:hint="eastAsia" w:eastAsia="宋体" w:cs="宋体"/>
          <w:strike/>
          <w:color w:val="auto"/>
          <w:sz w:val="24"/>
          <w:szCs w:val="24"/>
          <w:highlight w:val="none"/>
        </w:rPr>
        <w:t>投标人加密打包投标文件</w:t>
      </w:r>
      <w:r>
        <w:rPr>
          <w:rFonts w:hint="eastAsia" w:cs="宋体"/>
          <w:strike/>
          <w:color w:val="auto"/>
          <w:sz w:val="24"/>
          <w:szCs w:val="24"/>
          <w:highlight w:val="none"/>
          <w:lang w:eastAsia="zh-CN"/>
        </w:rPr>
        <w:t>工程量清单编制</w:t>
      </w:r>
      <w:r>
        <w:rPr>
          <w:rFonts w:hint="eastAsia" w:eastAsia="宋体" w:cs="宋体"/>
          <w:strike/>
          <w:color w:val="auto"/>
          <w:sz w:val="24"/>
          <w:szCs w:val="24"/>
          <w:highlight w:val="none"/>
        </w:rPr>
        <w:t>机器</w:t>
      </w:r>
      <w:r>
        <w:rPr>
          <w:rFonts w:hint="eastAsia" w:cs="宋体"/>
          <w:strike/>
          <w:color w:val="auto"/>
          <w:sz w:val="24"/>
          <w:szCs w:val="24"/>
          <w:highlight w:val="none"/>
          <w:lang w:eastAsia="zh-CN"/>
        </w:rPr>
        <w:t>硬件信息</w:t>
      </w:r>
      <w:r>
        <w:rPr>
          <w:rFonts w:hint="eastAsia" w:eastAsia="宋体" w:cs="宋体"/>
          <w:strike/>
          <w:color w:val="auto"/>
          <w:sz w:val="24"/>
          <w:szCs w:val="24"/>
          <w:highlight w:val="none"/>
        </w:rPr>
        <w:t>一致的</w:t>
      </w:r>
      <w:r>
        <w:rPr>
          <w:rFonts w:hint="eastAsia" w:cs="宋体"/>
          <w:strike/>
          <w:color w:val="auto"/>
          <w:sz w:val="24"/>
          <w:szCs w:val="24"/>
          <w:highlight w:val="none"/>
          <w:lang w:eastAsia="zh-CN"/>
        </w:rPr>
        <w:t>。</w:t>
      </w:r>
    </w:p>
    <w:p w14:paraId="75D145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90D04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03683E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1B6B7AC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2F48274D">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3.1.4 只有通过初步评审的投标人才能进入下一阶段详细评审。当通过初步评审的有效投标人不足</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名时，招标人应当依法重新组织招标。在进行资格评审</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形式评审、响应性评审过程中，若评委意见不一致时，则按少数服从多数的原则，决定该投标人是否通过相应阶段的评审，进入下一阶段评审。</w:t>
      </w:r>
    </w:p>
    <w:p w14:paraId="2527F7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6" w:name="bookmark90"/>
      <w:bookmarkEnd w:id="106"/>
      <w:r>
        <w:rPr>
          <w:rFonts w:hint="eastAsia" w:ascii="宋体" w:hAnsi="宋体" w:eastAsia="宋体" w:cs="宋体"/>
          <w:color w:val="auto"/>
          <w:highlight w:val="none"/>
        </w:rPr>
        <w:t>3.2  详细评审</w:t>
      </w:r>
    </w:p>
    <w:p w14:paraId="6D589D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rPr>
        <w:t>。</w:t>
      </w:r>
    </w:p>
    <w:p w14:paraId="0AC4796B">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68269FC5">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1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①</w:t>
      </w:r>
      <w:r>
        <w:rPr>
          <w:rFonts w:hint="eastAsia" w:cs="宋体"/>
          <w:strike/>
          <w:color w:val="auto"/>
          <w:sz w:val="21"/>
          <w:szCs w:val="24"/>
          <w:highlight w:val="none"/>
          <w:u w:val="single"/>
        </w:rPr>
        <w:fldChar w:fldCharType="end"/>
      </w:r>
      <w:r>
        <w:rPr>
          <w:rFonts w:hint="eastAsia" w:cs="宋体"/>
          <w:strike/>
          <w:color w:val="auto"/>
          <w:sz w:val="24"/>
          <w:szCs w:val="24"/>
          <w:highlight w:val="none"/>
          <w:u w:val="single"/>
          <w:lang w:eastAsia="zh-CN"/>
        </w:rPr>
        <w:t>监理大纲</w:t>
      </w:r>
      <w:r>
        <w:rPr>
          <w:rFonts w:hint="eastAsia" w:cs="宋体"/>
          <w:strike/>
          <w:color w:val="auto"/>
          <w:sz w:val="24"/>
          <w:szCs w:val="24"/>
          <w:highlight w:val="none"/>
          <w:u w:val="single"/>
        </w:rPr>
        <w:t>部分评审得分</w:t>
      </w:r>
      <w:r>
        <w:rPr>
          <w:rFonts w:hint="eastAsia" w:cs="宋体"/>
          <w:strike/>
          <w:color w:val="auto"/>
          <w:sz w:val="24"/>
          <w:szCs w:val="24"/>
          <w:highlight w:val="none"/>
        </w:rPr>
        <w:t>B</w:t>
      </w:r>
      <w:r>
        <w:rPr>
          <w:rFonts w:hint="eastAsia" w:cs="宋体"/>
          <w:strike/>
          <w:color w:val="auto"/>
          <w:sz w:val="24"/>
          <w:szCs w:val="24"/>
          <w:highlight w:val="none"/>
          <w:u w:val="single"/>
        </w:rPr>
        <w:t>为从各评标专家打分中去掉一个最高分和去掉一个最低分后的剩余评标专家打分的算术平均值</w:t>
      </w:r>
      <w:r>
        <w:rPr>
          <w:rFonts w:hint="eastAsia" w:cs="宋体"/>
          <w:strike/>
          <w:color w:val="auto"/>
          <w:sz w:val="24"/>
          <w:szCs w:val="24"/>
          <w:highlight w:val="none"/>
          <w:u w:val="single"/>
          <w:lang w:eastAsia="zh-CN"/>
        </w:rPr>
        <w:t>或</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2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②</w:t>
      </w:r>
      <w:r>
        <w:rPr>
          <w:rFonts w:hint="eastAsia" w:cs="宋体"/>
          <w:strike/>
          <w:color w:val="auto"/>
          <w:sz w:val="21"/>
          <w:szCs w:val="24"/>
          <w:highlight w:val="none"/>
          <w:u w:val="single"/>
        </w:rPr>
        <w:fldChar w:fldCharType="end"/>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w:t>
      </w:r>
      <w:r>
        <w:rPr>
          <w:rFonts w:hint="eastAsia" w:cs="宋体"/>
          <w:strike w:val="0"/>
          <w:color w:val="auto"/>
          <w:sz w:val="24"/>
          <w:szCs w:val="24"/>
          <w:highlight w:val="none"/>
        </w:rPr>
        <w:t>B</w:t>
      </w:r>
      <w:r>
        <w:rPr>
          <w:rFonts w:hint="eastAsia" w:cs="宋体"/>
          <w:strike w:val="0"/>
          <w:color w:val="auto"/>
          <w:sz w:val="24"/>
          <w:szCs w:val="24"/>
          <w:highlight w:val="none"/>
          <w:u w:val="single"/>
        </w:rPr>
        <w:t>为各评标专家打分的算术平均值</w:t>
      </w:r>
      <w:r>
        <w:rPr>
          <w:rFonts w:hint="eastAsia" w:cs="宋体"/>
          <w:i/>
          <w:iCs/>
          <w:strike/>
          <w:color w:val="auto"/>
          <w:sz w:val="24"/>
          <w:szCs w:val="24"/>
          <w:highlight w:val="none"/>
          <w:u w:val="single"/>
          <w:lang w:eastAsia="zh-CN"/>
        </w:rPr>
        <w:t>（二选一，招标人自行选择）</w:t>
      </w:r>
      <w:r>
        <w:rPr>
          <w:rFonts w:hint="eastAsia" w:cs="宋体"/>
          <w:strike/>
          <w:color w:val="auto"/>
          <w:sz w:val="24"/>
          <w:szCs w:val="24"/>
          <w:highlight w:val="none"/>
        </w:rPr>
        <w:t>；</w:t>
      </w:r>
    </w:p>
    <w:p w14:paraId="1F828B5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674B5FAE">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13266BD4">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3F8E49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u w:val="single"/>
        </w:rPr>
        <w:t>投标人</w:t>
      </w:r>
      <w:r>
        <w:rPr>
          <w:rFonts w:hint="eastAsia" w:cs="宋体"/>
          <w:color w:val="auto"/>
          <w:sz w:val="24"/>
          <w:szCs w:val="24"/>
          <w:highlight w:val="none"/>
          <w:u w:val="single"/>
          <w:lang w:eastAsia="zh-CN"/>
        </w:rPr>
        <w:t>的</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u w:val="single"/>
        </w:rPr>
        <w:t>=A+B+C</w:t>
      </w:r>
      <w:r>
        <w:rPr>
          <w:rFonts w:hint="eastAsia" w:cs="宋体"/>
          <w:color w:val="auto"/>
          <w:sz w:val="24"/>
          <w:szCs w:val="24"/>
          <w:highlight w:val="none"/>
        </w:rPr>
        <w:t>。</w:t>
      </w:r>
      <w:r>
        <w:rPr>
          <w:rFonts w:hint="eastAsia" w:cs="宋体"/>
          <w:color w:val="auto"/>
          <w:sz w:val="24"/>
          <w:szCs w:val="24"/>
          <w:highlight w:val="none"/>
          <w:u w:val="single"/>
        </w:rPr>
        <w:t>评标委员会应按照投标文件（评标部分）总得分从高至低的顺序推荐排序位于前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名次的合格投标人不排序进入定标阶段，若通过初步评审的合格投标人大于</w:t>
      </w:r>
      <w:r>
        <w:rPr>
          <w:rFonts w:hint="eastAsia" w:cs="宋体"/>
          <w:color w:val="auto"/>
          <w:sz w:val="24"/>
          <w:szCs w:val="24"/>
          <w:highlight w:val="none"/>
          <w:u w:val="single"/>
          <w:lang w:eastAsia="zh-CN"/>
        </w:rPr>
        <w:t>等于4家</w:t>
      </w:r>
      <w:r>
        <w:rPr>
          <w:rFonts w:hint="eastAsia" w:cs="宋体"/>
          <w:color w:val="auto"/>
          <w:sz w:val="24"/>
          <w:szCs w:val="24"/>
          <w:highlight w:val="none"/>
          <w:u w:val="single"/>
        </w:rPr>
        <w:t>，小于等于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家的，则全部通过初步评审的合格投标人不排序进入定标阶段；若通过初步评审的合格投标人大于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家的，按投标文件（评标部分）总得分从高到低进行排序，推荐排序位于前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名次的合格投标人中存在投标文件（评标部分）总得分相同的，则按第三章“评标、定标办法”第1款的原则确定排序。）。</w:t>
      </w:r>
    </w:p>
    <w:p w14:paraId="5BC388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89BDF3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7" w:name="bookmark91"/>
      <w:bookmarkEnd w:id="107"/>
      <w:r>
        <w:rPr>
          <w:rFonts w:hint="eastAsia" w:ascii="宋体" w:hAnsi="宋体" w:eastAsia="宋体" w:cs="宋体"/>
          <w:color w:val="auto"/>
          <w:highlight w:val="none"/>
        </w:rPr>
        <w:t>3.3  投标文件的澄清</w:t>
      </w:r>
    </w:p>
    <w:p w14:paraId="5957E82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3.3.1 在评标过程中，</w:t>
      </w:r>
      <w:r>
        <w:rPr>
          <w:rFonts w:hint="eastAsia" w:ascii="宋体" w:hAnsi="宋体" w:cs="宋体"/>
          <w:color w:val="auto"/>
          <w:sz w:val="24"/>
          <w:highlight w:val="none"/>
        </w:rPr>
        <w:t>经评标委员会中两人以上（含两人）以书面形式提出动议，评标委员会</w:t>
      </w:r>
      <w:r>
        <w:rPr>
          <w:rFonts w:hint="eastAsia"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37B9116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3.3.2 澄清、说明或补正不得超出投标文件的范围且不得改变投标文件的实质性内容，并构成投标文件的组成部分。</w:t>
      </w:r>
    </w:p>
    <w:p w14:paraId="63F5BDC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3.3.3 评标委员会对投标人提交的澄清、说明或补正有疑问的，可以要求投标人进一步澄清、 说明或补正，直至满足评标委员会的要求。</w:t>
      </w:r>
    </w:p>
    <w:p w14:paraId="7C3D405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8" w:name="bookmark92"/>
      <w:bookmarkEnd w:id="108"/>
      <w:r>
        <w:rPr>
          <w:rFonts w:hint="eastAsia" w:ascii="宋体" w:hAnsi="宋体" w:eastAsia="宋体" w:cs="宋体"/>
          <w:color w:val="auto"/>
          <w:highlight w:val="none"/>
        </w:rPr>
        <w:t>3.4  评标结果</w:t>
      </w:r>
    </w:p>
    <w:p w14:paraId="434DABCF">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rPr>
      </w:pPr>
      <w:r>
        <w:rPr>
          <w:rFonts w:hint="eastAsia" w:ascii="宋体" w:hAnsi="宋体" w:cs="宋体"/>
          <w:b w:val="0"/>
          <w:bCs w:val="0"/>
          <w:color w:val="auto"/>
          <w:sz w:val="24"/>
          <w:highlight w:val="none"/>
          <w:u w:val="single"/>
        </w:rPr>
        <w:t xml:space="preserve">3.4.1 </w:t>
      </w:r>
      <w:r>
        <w:rPr>
          <w:rFonts w:hint="eastAsia" w:ascii="宋体" w:hAnsi="宋体" w:eastAsia="宋体" w:cs="宋体"/>
          <w:b w:val="0"/>
          <w:bCs w:val="0"/>
          <w:color w:val="auto"/>
          <w:sz w:val="24"/>
          <w:highlight w:val="none"/>
          <w:u w:val="single"/>
        </w:rPr>
        <w:t>评标</w:t>
      </w:r>
      <w:r>
        <w:rPr>
          <w:rFonts w:hint="eastAsia" w:ascii="宋体" w:hAnsi="宋体" w:cs="宋体"/>
          <w:b w:val="0"/>
          <w:bCs w:val="0"/>
          <w:color w:val="auto"/>
          <w:sz w:val="24"/>
          <w:highlight w:val="none"/>
          <w:u w:val="single"/>
        </w:rPr>
        <w:t>委员会依据本章第2.2条评分标准进行评分，按评标办法前附表的约定计算投标人</w:t>
      </w:r>
      <w:r>
        <w:rPr>
          <w:rFonts w:hint="eastAsia" w:ascii="宋体" w:hAnsi="宋体" w:cs="宋体"/>
          <w:b w:val="0"/>
          <w:bCs w:val="0"/>
          <w:color w:val="auto"/>
          <w:sz w:val="24"/>
          <w:highlight w:val="none"/>
          <w:u w:val="single"/>
          <w:lang w:eastAsia="zh-CN"/>
        </w:rPr>
        <w:t>投标文件（评标部分）总</w:t>
      </w:r>
      <w:r>
        <w:rPr>
          <w:rFonts w:hint="eastAsia" w:ascii="宋体" w:hAnsi="宋体" w:cs="宋体"/>
          <w:b w:val="0"/>
          <w:bCs w:val="0"/>
          <w:color w:val="auto"/>
          <w:sz w:val="24"/>
          <w:highlight w:val="none"/>
          <w:u w:val="single"/>
        </w:rPr>
        <w:t>得分，评标委员会应按照</w:t>
      </w:r>
      <w:r>
        <w:rPr>
          <w:rFonts w:hint="eastAsia" w:ascii="宋体" w:hAnsi="宋体" w:cs="宋体"/>
          <w:b w:val="0"/>
          <w:bCs w:val="0"/>
          <w:color w:val="auto"/>
          <w:sz w:val="24"/>
          <w:highlight w:val="none"/>
          <w:u w:val="single"/>
          <w:lang w:eastAsia="zh-CN"/>
        </w:rPr>
        <w:t>投标文件（评标部分）总</w:t>
      </w:r>
      <w:r>
        <w:rPr>
          <w:rFonts w:hint="eastAsia" w:ascii="宋体" w:hAnsi="宋体" w:cs="宋体"/>
          <w:b w:val="0"/>
          <w:bCs w:val="0"/>
          <w:color w:val="auto"/>
          <w:sz w:val="24"/>
          <w:highlight w:val="none"/>
          <w:u w:val="single"/>
        </w:rPr>
        <w:t>得分从高至低的顺序</w:t>
      </w:r>
      <w:r>
        <w:rPr>
          <w:rFonts w:hint="eastAsia" w:ascii="宋体" w:hAnsi="宋体" w:eastAsia="宋体" w:cs="宋体"/>
          <w:b w:val="0"/>
          <w:bCs w:val="0"/>
          <w:color w:val="auto"/>
          <w:kern w:val="2"/>
          <w:sz w:val="24"/>
          <w:szCs w:val="22"/>
          <w:highlight w:val="none"/>
          <w:u w:val="single"/>
        </w:rPr>
        <w:t>推荐排序位于前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rPr>
        <w:t>名次</w:t>
      </w:r>
      <w:r>
        <w:rPr>
          <w:rFonts w:hint="eastAsia" w:ascii="宋体" w:hAnsi="宋体" w:eastAsia="宋体" w:cs="宋体"/>
          <w:b w:val="0"/>
          <w:bCs w:val="0"/>
          <w:color w:val="auto"/>
          <w:kern w:val="2"/>
          <w:sz w:val="24"/>
          <w:szCs w:val="22"/>
          <w:highlight w:val="none"/>
          <w:u w:val="single"/>
          <w:lang w:val="en-US" w:eastAsia="zh-CN"/>
        </w:rPr>
        <w:t>的合格投标人</w:t>
      </w:r>
      <w:r>
        <w:rPr>
          <w:rFonts w:hint="eastAsia" w:ascii="宋体" w:hAnsi="宋体" w:eastAsia="宋体" w:cs="宋体"/>
          <w:b w:val="0"/>
          <w:bCs w:val="0"/>
          <w:color w:val="auto"/>
          <w:kern w:val="2"/>
          <w:sz w:val="24"/>
          <w:szCs w:val="22"/>
          <w:highlight w:val="none"/>
          <w:u w:val="single"/>
        </w:rPr>
        <w:t>不排序进入定标阶段</w:t>
      </w:r>
      <w:r>
        <w:rPr>
          <w:rFonts w:hint="eastAsia" w:ascii="宋体" w:hAnsi="宋体" w:eastAsia="宋体" w:cs="宋体"/>
          <w:b w:val="0"/>
          <w:bCs w:val="0"/>
          <w:color w:val="auto"/>
          <w:kern w:val="2"/>
          <w:sz w:val="24"/>
          <w:szCs w:val="22"/>
          <w:highlight w:val="none"/>
          <w:u w:val="single"/>
          <w:lang w:eastAsia="zh-CN"/>
        </w:rPr>
        <w:t>，若通过初步评审的合格投标人大于</w:t>
      </w:r>
      <w:r>
        <w:rPr>
          <w:rFonts w:hint="eastAsia" w:ascii="宋体" w:hAnsi="宋体" w:cs="宋体"/>
          <w:b w:val="0"/>
          <w:bCs w:val="0"/>
          <w:color w:val="auto"/>
          <w:kern w:val="2"/>
          <w:sz w:val="24"/>
          <w:szCs w:val="22"/>
          <w:highlight w:val="none"/>
          <w:u w:val="single"/>
          <w:lang w:eastAsia="zh-CN"/>
        </w:rPr>
        <w:t>等于4家</w:t>
      </w:r>
      <w:r>
        <w:rPr>
          <w:rFonts w:hint="eastAsia" w:ascii="宋体" w:hAnsi="宋体" w:eastAsia="宋体" w:cs="宋体"/>
          <w:b w:val="0"/>
          <w:bCs w:val="0"/>
          <w:color w:val="auto"/>
          <w:kern w:val="2"/>
          <w:sz w:val="24"/>
          <w:szCs w:val="22"/>
          <w:highlight w:val="none"/>
          <w:u w:val="single"/>
          <w:lang w:eastAsia="zh-CN"/>
        </w:rPr>
        <w:t>，小于等于</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家的，则全部通过初步评审的合格投标人不排序进入定标阶段；若通过初步评审的合格投标人大于</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家的，按投标文件（评标部分）总得分从高到低进行排序，推荐排序位于前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名次的合格投标人不排序进入定标阶段（若前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名次的</w:t>
      </w:r>
      <w:r>
        <w:rPr>
          <w:rFonts w:hint="eastAsia" w:cs="宋体"/>
          <w:b w:val="0"/>
          <w:bCs w:val="0"/>
          <w:color w:val="auto"/>
          <w:sz w:val="24"/>
          <w:szCs w:val="24"/>
          <w:highlight w:val="none"/>
          <w:u w:val="single"/>
        </w:rPr>
        <w:t>合格投标人</w:t>
      </w:r>
      <w:r>
        <w:rPr>
          <w:rFonts w:hint="eastAsia" w:ascii="宋体" w:hAnsi="宋体" w:eastAsia="宋体" w:cs="宋体"/>
          <w:b w:val="0"/>
          <w:bCs w:val="0"/>
          <w:color w:val="auto"/>
          <w:kern w:val="2"/>
          <w:sz w:val="24"/>
          <w:szCs w:val="22"/>
          <w:highlight w:val="none"/>
          <w:u w:val="single"/>
          <w:lang w:eastAsia="zh-CN"/>
        </w:rPr>
        <w:t>中存在投标文件（评标部分）总得分相同的，则按第三章“评标、定标办法”第1款的原则确定排序。）</w:t>
      </w:r>
      <w:r>
        <w:rPr>
          <w:rFonts w:hint="eastAsia" w:ascii="宋体" w:hAnsi="宋体" w:eastAsia="宋体" w:cs="宋体"/>
          <w:b w:val="0"/>
          <w:bCs w:val="0"/>
          <w:color w:val="auto"/>
          <w:kern w:val="2"/>
          <w:sz w:val="24"/>
          <w:szCs w:val="22"/>
          <w:highlight w:val="none"/>
          <w:u w:val="single"/>
          <w:lang w:val="en-US" w:eastAsia="zh-CN"/>
        </w:rPr>
        <w:t>。</w:t>
      </w:r>
    </w:p>
    <w:p w14:paraId="5CBA4B8D">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lang w:val="en-US" w:eastAsia="zh-CN"/>
        </w:rPr>
      </w:pPr>
      <w:r>
        <w:rPr>
          <w:rFonts w:hint="eastAsia" w:ascii="宋体" w:hAnsi="宋体" w:cs="宋体"/>
          <w:b w:val="0"/>
          <w:bCs w:val="0"/>
          <w:color w:val="auto"/>
          <w:sz w:val="24"/>
          <w:highlight w:val="none"/>
          <w:u w:val="single"/>
          <w:lang w:val="en-US" w:eastAsia="zh-CN"/>
        </w:rPr>
        <w:t>3.4.2 评标结束后，由评标委员会向招标人提交书面评标报告及合格中标候选人名单。</w:t>
      </w:r>
    </w:p>
    <w:p w14:paraId="5D937502">
      <w:pPr>
        <w:spacing w:line="360" w:lineRule="auto"/>
        <w:ind w:firstLine="480" w:firstLineChars="200"/>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注：</w:t>
      </w:r>
      <w:r>
        <w:rPr>
          <w:rFonts w:hint="eastAsia" w:cs="宋体"/>
          <w:b w:val="0"/>
          <w:bCs w:val="0"/>
          <w:color w:val="auto"/>
          <w:sz w:val="24"/>
          <w:szCs w:val="24"/>
          <w:highlight w:val="none"/>
          <w:u w:val="single"/>
        </w:rPr>
        <w:t>投标文件（评标部分）</w:t>
      </w:r>
      <w:r>
        <w:rPr>
          <w:rFonts w:hint="eastAsia" w:ascii="宋体" w:hAnsi="宋体" w:cs="宋体"/>
          <w:b w:val="0"/>
          <w:bCs w:val="0"/>
          <w:color w:val="auto"/>
          <w:sz w:val="24"/>
          <w:szCs w:val="24"/>
          <w:highlight w:val="none"/>
          <w:u w:val="single"/>
          <w:lang w:val="en-US" w:eastAsia="zh-CN"/>
        </w:rPr>
        <w:t>总</w:t>
      </w:r>
      <w:r>
        <w:rPr>
          <w:rFonts w:hint="eastAsia" w:ascii="宋体" w:hAnsi="宋体" w:cs="宋体"/>
          <w:b w:val="0"/>
          <w:bCs w:val="0"/>
          <w:color w:val="auto"/>
          <w:sz w:val="24"/>
          <w:szCs w:val="24"/>
          <w:highlight w:val="none"/>
          <w:u w:val="single"/>
        </w:rPr>
        <w:t>得分</w:t>
      </w:r>
      <w:r>
        <w:rPr>
          <w:rFonts w:hint="eastAsia" w:ascii="宋体" w:hAnsi="宋体" w:cs="宋体"/>
          <w:b w:val="0"/>
          <w:bCs w:val="0"/>
          <w:color w:val="auto"/>
          <w:sz w:val="24"/>
          <w:szCs w:val="24"/>
          <w:highlight w:val="none"/>
          <w:u w:val="single"/>
          <w:lang w:val="en-US" w:eastAsia="zh-CN"/>
        </w:rPr>
        <w:t>及评标委员会票决</w:t>
      </w:r>
      <w:r>
        <w:rPr>
          <w:rFonts w:hint="eastAsia" w:ascii="宋体" w:hAnsi="宋体" w:eastAsia="宋体" w:cs="宋体"/>
          <w:b w:val="0"/>
          <w:bCs w:val="0"/>
          <w:color w:val="auto"/>
          <w:sz w:val="24"/>
          <w:szCs w:val="24"/>
          <w:highlight w:val="none"/>
          <w:u w:val="single"/>
        </w:rPr>
        <w:t>得分</w:t>
      </w:r>
      <w:r>
        <w:rPr>
          <w:rFonts w:hint="eastAsia" w:ascii="宋体" w:hAnsi="宋体" w:cs="宋体"/>
          <w:b w:val="0"/>
          <w:bCs w:val="0"/>
          <w:color w:val="auto"/>
          <w:sz w:val="24"/>
          <w:szCs w:val="24"/>
          <w:highlight w:val="none"/>
          <w:u w:val="single"/>
        </w:rPr>
        <w:t>排序仅作为推荐入围定标阶段的依据，不作为定标阶段确定中</w:t>
      </w:r>
      <w:r>
        <w:rPr>
          <w:rFonts w:hint="eastAsia" w:ascii="宋体" w:hAnsi="宋体" w:cs="宋体"/>
          <w:b w:val="0"/>
          <w:bCs w:val="0"/>
          <w:color w:val="auto"/>
          <w:sz w:val="24"/>
          <w:szCs w:val="24"/>
          <w:highlight w:val="none"/>
          <w:u w:val="single"/>
          <w:lang w:val="en-US" w:eastAsia="zh-CN"/>
        </w:rPr>
        <w:t>标</w:t>
      </w:r>
      <w:r>
        <w:rPr>
          <w:rFonts w:hint="eastAsia" w:ascii="宋体" w:hAnsi="宋体" w:cs="宋体"/>
          <w:b w:val="0"/>
          <w:bCs w:val="0"/>
          <w:color w:val="auto"/>
          <w:sz w:val="24"/>
          <w:szCs w:val="24"/>
          <w:highlight w:val="none"/>
          <w:u w:val="single"/>
        </w:rPr>
        <w:t>人的依据。</w:t>
      </w:r>
    </w:p>
    <w:p w14:paraId="5C9D0E93">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lang w:val="en-US" w:eastAsia="zh-CN"/>
        </w:rPr>
      </w:pPr>
      <w:r>
        <w:rPr>
          <w:rFonts w:hint="eastAsia" w:ascii="宋体" w:hAnsi="宋体" w:cs="宋体"/>
          <w:b w:val="0"/>
          <w:bCs w:val="0"/>
          <w:color w:val="auto"/>
          <w:sz w:val="24"/>
          <w:highlight w:val="none"/>
          <w:u w:val="single"/>
          <w:lang w:val="en-US" w:eastAsia="zh-CN"/>
        </w:rPr>
        <w:t>3.5 定标（定标办法采用票决法+撰写评语）</w:t>
      </w:r>
    </w:p>
    <w:p w14:paraId="5C77EA5E">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.1</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定标委员会由招标人组建。</w:t>
      </w:r>
    </w:p>
    <w:p w14:paraId="2849511D">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.2</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招标人在合格中标候选人公示完成后10个工作日内完成定标工作。</w:t>
      </w:r>
    </w:p>
    <w:p w14:paraId="096434F9">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5.3 </w:t>
      </w:r>
      <w:r>
        <w:rPr>
          <w:rFonts w:hint="eastAsia" w:ascii="宋体" w:hAnsi="宋体"/>
          <w:b w:val="0"/>
          <w:bCs w:val="0"/>
          <w:color w:val="auto"/>
          <w:highlight w:val="none"/>
          <w:u w:val="single"/>
        </w:rPr>
        <w:t>定标工作开始后，发放选票，由定标委员会参考定标因素及定标辅助资料进行投票排名。</w:t>
      </w:r>
    </w:p>
    <w:p w14:paraId="5A39AF4B">
      <w:pPr>
        <w:adjustRightInd/>
        <w:snapToGrid/>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5.4</w:t>
      </w:r>
      <w:r>
        <w:rPr>
          <w:rFonts w:hint="eastAsia" w:ascii="宋体" w:hAnsi="宋体"/>
          <w:b w:val="0"/>
          <w:bCs w:val="0"/>
          <w:color w:val="auto"/>
          <w:szCs w:val="22"/>
          <w:highlight w:val="none"/>
          <w:u w:val="single"/>
        </w:rPr>
        <w:t xml:space="preserve"> 定标辅助资料为评标阶段的评标报告、投标人提交的投标与定标文件。</w:t>
      </w:r>
    </w:p>
    <w:p w14:paraId="48AC5761">
      <w:pPr>
        <w:adjustRightInd/>
        <w:snapToGrid/>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5.5 </w:t>
      </w:r>
      <w:r>
        <w:rPr>
          <w:rFonts w:hint="eastAsia" w:ascii="宋体" w:hAnsi="宋体"/>
          <w:b w:val="0"/>
          <w:bCs w:val="0"/>
          <w:color w:val="auto"/>
          <w:szCs w:val="22"/>
          <w:highlight w:val="none"/>
          <w:u w:val="single"/>
        </w:rPr>
        <w:t>定标委员会根据定标辅助资料，在同等条件下，定标因素的相对标准按以下几个方面进行：</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（1）</w:t>
      </w:r>
      <w:r>
        <w:rPr>
          <w:rFonts w:hint="eastAsia" w:ascii="宋体" w:hAnsi="宋体" w:cs="宋体"/>
          <w:b w:val="0"/>
          <w:bCs w:val="0"/>
          <w:color w:val="auto"/>
          <w:szCs w:val="21"/>
          <w:highlight w:val="none"/>
          <w:u w:val="single"/>
        </w:rPr>
        <w:t>价格因素</w:t>
      </w: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（2）</w:t>
      </w:r>
      <w:r>
        <w:rPr>
          <w:rFonts w:hint="eastAsia" w:ascii="宋体" w:hAnsi="宋体" w:cs="宋体"/>
          <w:b w:val="0"/>
          <w:bCs w:val="0"/>
          <w:color w:val="auto"/>
          <w:szCs w:val="21"/>
          <w:highlight w:val="none"/>
          <w:u w:val="single"/>
        </w:rPr>
        <w:t>方案因素</w:t>
      </w:r>
      <w:r>
        <w:rPr>
          <w:rFonts w:hint="eastAsia" w:ascii="宋体" w:hAnsi="宋体"/>
          <w:b w:val="0"/>
          <w:bCs w:val="0"/>
          <w:color w:val="auto"/>
          <w:szCs w:val="22"/>
          <w:highlight w:val="none"/>
          <w:u w:val="single"/>
        </w:rPr>
        <w:t>；</w:t>
      </w:r>
    </w:p>
    <w:p w14:paraId="5AA81747">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3</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团队因素</w:t>
      </w:r>
      <w:r>
        <w:rPr>
          <w:rFonts w:hint="eastAsia" w:ascii="宋体" w:hAnsi="宋体"/>
          <w:b w:val="0"/>
          <w:bCs w:val="0"/>
          <w:color w:val="auto"/>
          <w:szCs w:val="22"/>
          <w:highlight w:val="none"/>
          <w:u w:val="single"/>
        </w:rPr>
        <w:t>；</w:t>
      </w:r>
    </w:p>
    <w:p w14:paraId="297BE81B">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4</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资信因素</w:t>
      </w:r>
      <w:r>
        <w:rPr>
          <w:rFonts w:hint="eastAsia" w:ascii="宋体" w:hAnsi="宋体" w:cs="宋体"/>
          <w:b w:val="0"/>
          <w:bCs w:val="0"/>
          <w:color w:val="auto"/>
          <w:szCs w:val="21"/>
          <w:highlight w:val="none"/>
          <w:u w:val="single"/>
          <w:lang w:eastAsia="zh-CN"/>
        </w:rPr>
        <w:t>。</w:t>
      </w:r>
    </w:p>
    <w:p w14:paraId="0451FBA7">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 xml:space="preserve">3.5.6 </w:t>
      </w:r>
      <w:r>
        <w:rPr>
          <w:rFonts w:hint="eastAsia" w:ascii="宋体" w:hAnsi="宋体"/>
          <w:b w:val="0"/>
          <w:bCs w:val="0"/>
          <w:color w:val="auto"/>
          <w:highlight w:val="none"/>
          <w:u w:val="single"/>
        </w:rPr>
        <w:t>投票规则：</w:t>
      </w:r>
      <w:r>
        <w:rPr>
          <w:rFonts w:hint="eastAsia" w:ascii="宋体" w:hAnsi="宋体"/>
          <w:b w:val="0"/>
          <w:bCs w:val="0"/>
          <w:color w:val="auto"/>
          <w:highlight w:val="none"/>
          <w:u w:val="single"/>
          <w:lang w:val="en-US" w:eastAsia="zh-CN"/>
        </w:rPr>
        <w:t>定标阶段由定标委员会根据定标因素对各合格中标候选人进行综合比较后，进行一次性票决，每位定标委员会成员只有1票表决权（即只能对其中一家合格中标候选人投票），得票数最多的合格中标候选人确定为中标人，若出现最高票数相同且无法决出中标人时，对最高票数相同的合格中标候选人再进行附加的一次性票决，直至决出中标人。若最高票数相同的合格中标候选人经三轮票决票数仍相同且无法决出中标人时，以投标报价低者为中标人。定标委员会成员投票时，应按照招标文件规定的投票规则独立行使投票权，不得弃权或产生废票。</w:t>
      </w:r>
    </w:p>
    <w:p w14:paraId="70F8DF94">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rPr>
        <w:t xml:space="preserve"> </w:t>
      </w:r>
      <w:r>
        <w:rPr>
          <w:rFonts w:hint="eastAsia" w:ascii="宋体" w:hAnsi="宋体"/>
          <w:b w:val="0"/>
          <w:bCs w:val="0"/>
          <w:color w:val="auto"/>
          <w:highlight w:val="none"/>
          <w:u w:val="single"/>
          <w:lang w:val="en-US" w:eastAsia="zh-CN"/>
        </w:rPr>
        <w:t>3.5.7</w:t>
      </w:r>
      <w:r>
        <w:rPr>
          <w:rFonts w:hint="eastAsia" w:ascii="宋体" w:hAnsi="宋体"/>
          <w:b w:val="0"/>
          <w:bCs w:val="0"/>
          <w:color w:val="auto"/>
          <w:highlight w:val="none"/>
          <w:u w:val="single"/>
        </w:rPr>
        <w:t xml:space="preserve"> 经票决，定标委员会推荐合格中标候选人名单中定标得票数最高为中标人，并提交定标报告。</w:t>
      </w:r>
    </w:p>
    <w:p w14:paraId="3FE30D4F">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b w:val="0"/>
          <w:bCs w:val="0"/>
          <w:color w:val="auto"/>
          <w:highlight w:val="none"/>
          <w:u w:val="single"/>
        </w:rPr>
        <w:t xml:space="preserve"> </w:t>
      </w:r>
      <w:r>
        <w:rPr>
          <w:rFonts w:hint="eastAsia" w:ascii="宋体" w:hAnsi="宋体" w:eastAsia="宋体" w:cs="宋体"/>
          <w:b w:val="0"/>
          <w:bCs w:val="0"/>
          <w:color w:val="auto"/>
          <w:sz w:val="24"/>
          <w:szCs w:val="24"/>
          <w:highlight w:val="none"/>
          <w:u w:val="single"/>
        </w:rPr>
        <w:t>注：本项目分</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个标段，应遵循以下</w:t>
      </w:r>
      <w:r>
        <w:rPr>
          <w:rFonts w:hint="eastAsia" w:ascii="宋体" w:hAnsi="宋体" w:cs="宋体"/>
          <w:b w:val="0"/>
          <w:bCs w:val="0"/>
          <w:color w:val="auto"/>
          <w:sz w:val="24"/>
          <w:szCs w:val="24"/>
          <w:highlight w:val="none"/>
          <w:u w:val="single"/>
          <w:lang w:val="en-US" w:eastAsia="zh-CN"/>
        </w:rPr>
        <w:t>推荐</w:t>
      </w:r>
      <w:r>
        <w:rPr>
          <w:rFonts w:hint="eastAsia" w:ascii="宋体" w:hAnsi="宋体" w:eastAsia="宋体" w:cs="宋体"/>
          <w:b w:val="0"/>
          <w:bCs w:val="0"/>
          <w:color w:val="auto"/>
          <w:sz w:val="24"/>
          <w:szCs w:val="24"/>
          <w:highlight w:val="none"/>
          <w:u w:val="single"/>
        </w:rPr>
        <w:t>原则：</w:t>
      </w:r>
    </w:p>
    <w:p w14:paraId="0E1AC3A4">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本项目采用评定分离方式确定中标人，投标人可以自行选择参加本次招标项目的一个或多个标段的投标，若投标人同时参加多个标段的投标，需分别单独办理各标段投标登记手续，分别编制投标文件并按标段单独提交，但不可以兼中，只能中其中一个标段；各标段投入人员可以</w:t>
      </w:r>
      <w:r>
        <w:rPr>
          <w:rFonts w:hint="eastAsia" w:ascii="宋体" w:hAnsi="宋体" w:eastAsia="宋体" w:cs="宋体"/>
          <w:b w:val="0"/>
          <w:bCs w:val="0"/>
          <w:color w:val="auto"/>
          <w:sz w:val="24"/>
          <w:szCs w:val="24"/>
          <w:highlight w:val="none"/>
          <w:u w:val="single"/>
          <w:lang w:eastAsia="zh-CN"/>
        </w:rPr>
        <w:t>重复</w:t>
      </w:r>
      <w:r>
        <w:rPr>
          <w:rFonts w:hint="eastAsia" w:ascii="宋体" w:hAnsi="宋体" w:eastAsia="宋体" w:cs="宋体"/>
          <w:b w:val="0"/>
          <w:bCs w:val="0"/>
          <w:color w:val="auto"/>
          <w:sz w:val="24"/>
          <w:szCs w:val="24"/>
          <w:highlight w:val="none"/>
          <w:u w:val="single"/>
        </w:rPr>
        <w:t>；</w:t>
      </w:r>
    </w:p>
    <w:p w14:paraId="68088F18">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个标段按照招标人最终公布的最高投标限价金额由大到小的先后顺序，依次先后开标、评标、定标</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定标委员会按照招标人最终公布最高投标限价金额由大到小的先后顺序的标段进行一次性票决,每位定标委员会成员只有1票表决权(</w:t>
      </w:r>
      <w:r>
        <w:rPr>
          <w:rFonts w:hint="eastAsia" w:ascii="宋体" w:hAnsi="宋体" w:cs="宋体"/>
          <w:b w:val="0"/>
          <w:bCs w:val="0"/>
          <w:color w:val="auto"/>
          <w:sz w:val="24"/>
          <w:szCs w:val="24"/>
          <w:highlight w:val="none"/>
          <w:u w:val="single"/>
          <w:lang w:val="en-US" w:eastAsia="zh-CN"/>
        </w:rPr>
        <w:t>即</w:t>
      </w:r>
      <w:r>
        <w:rPr>
          <w:rFonts w:hint="eastAsia" w:ascii="宋体" w:hAnsi="宋体" w:eastAsia="宋体" w:cs="宋体"/>
          <w:b w:val="0"/>
          <w:bCs w:val="0"/>
          <w:color w:val="auto"/>
          <w:sz w:val="24"/>
          <w:szCs w:val="24"/>
          <w:highlight w:val="none"/>
          <w:u w:val="single"/>
        </w:rPr>
        <w:t>只能对其中一家合格</w:t>
      </w:r>
      <w:r>
        <w:rPr>
          <w:rFonts w:hint="eastAsia" w:ascii="宋体" w:hAnsi="宋体" w:cs="宋体"/>
          <w:b w:val="0"/>
          <w:bCs w:val="0"/>
          <w:color w:val="auto"/>
          <w:sz w:val="24"/>
          <w:szCs w:val="24"/>
          <w:highlight w:val="none"/>
          <w:u w:val="single"/>
          <w:lang w:val="en-US" w:eastAsia="zh-CN"/>
        </w:rPr>
        <w:t>中</w:t>
      </w:r>
      <w:r>
        <w:rPr>
          <w:rFonts w:hint="eastAsia" w:ascii="宋体" w:hAnsi="宋体" w:eastAsia="宋体" w:cs="宋体"/>
          <w:b w:val="0"/>
          <w:bCs w:val="0"/>
          <w:color w:val="auto"/>
          <w:sz w:val="24"/>
          <w:szCs w:val="24"/>
          <w:highlight w:val="none"/>
          <w:u w:val="single"/>
        </w:rPr>
        <w:t>标候选人投票)，得票数最多的合格中标候选人为该标段的中标人，同时自动放弃参与其他标段投</w:t>
      </w:r>
      <w:r>
        <w:rPr>
          <w:rFonts w:hint="eastAsia" w:ascii="宋体" w:hAnsi="宋体" w:cs="宋体"/>
          <w:b w:val="0"/>
          <w:bCs w:val="0"/>
          <w:color w:val="auto"/>
          <w:sz w:val="24"/>
          <w:szCs w:val="24"/>
          <w:highlight w:val="none"/>
          <w:u w:val="single"/>
          <w:lang w:val="en-US" w:eastAsia="zh-CN"/>
        </w:rPr>
        <w:t>票</w:t>
      </w:r>
      <w:r>
        <w:rPr>
          <w:rFonts w:hint="eastAsia" w:ascii="宋体" w:hAnsi="宋体" w:cs="宋体"/>
          <w:b w:val="0"/>
          <w:bCs w:val="0"/>
          <w:color w:val="auto"/>
          <w:sz w:val="24"/>
          <w:highlight w:val="none"/>
          <w:u w:val="single"/>
          <w:lang w:val="en-US" w:eastAsia="zh-CN"/>
        </w:rPr>
        <w:t>环节</w:t>
      </w:r>
      <w:r>
        <w:rPr>
          <w:rFonts w:hint="eastAsia" w:ascii="宋体" w:hAnsi="宋体" w:eastAsia="宋体" w:cs="宋体"/>
          <w:b w:val="0"/>
          <w:bCs w:val="0"/>
          <w:color w:val="auto"/>
          <w:sz w:val="24"/>
          <w:szCs w:val="24"/>
          <w:highlight w:val="none"/>
          <w:u w:val="single"/>
        </w:rPr>
        <w:t>。但仍参与其他标段</w:t>
      </w:r>
      <w:r>
        <w:rPr>
          <w:rFonts w:hint="eastAsia" w:ascii="宋体" w:hAnsi="宋体" w:cs="宋体"/>
          <w:b w:val="0"/>
          <w:bCs w:val="0"/>
          <w:color w:val="auto"/>
          <w:sz w:val="24"/>
          <w:highlight w:val="none"/>
          <w:u w:val="single"/>
          <w:lang w:val="en-US" w:eastAsia="zh-CN"/>
        </w:rPr>
        <w:t>撰</w:t>
      </w:r>
      <w:r>
        <w:rPr>
          <w:rFonts w:hint="eastAsia" w:ascii="宋体" w:hAnsi="宋体" w:eastAsia="宋体" w:cs="宋体"/>
          <w:b w:val="0"/>
          <w:bCs w:val="0"/>
          <w:color w:val="auto"/>
          <w:sz w:val="24"/>
          <w:szCs w:val="24"/>
          <w:highlight w:val="none"/>
          <w:u w:val="single"/>
        </w:rPr>
        <w:t>写评语环节。</w:t>
      </w:r>
    </w:p>
    <w:p w14:paraId="2C492812">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（3）如果出现某标段(为清晰表述，本段以下代称“A标段”）的中标人放弃中标或因其他原因被取消中标资格的：招标人可以从A标段其他合格中标候选人中采用</w:t>
      </w:r>
      <w:r>
        <w:rPr>
          <w:rFonts w:hint="eastAsia" w:ascii="宋体" w:hAnsi="宋体" w:cs="宋体"/>
          <w:b w:val="0"/>
          <w:bCs w:val="0"/>
          <w:color w:val="auto"/>
          <w:sz w:val="24"/>
          <w:highlight w:val="none"/>
          <w:u w:val="single"/>
          <w:lang w:val="en-US" w:eastAsia="zh-CN"/>
        </w:rPr>
        <w:t>原定标办法</w:t>
      </w:r>
      <w:r>
        <w:rPr>
          <w:rFonts w:hint="eastAsia" w:ascii="宋体" w:hAnsi="宋体" w:eastAsia="宋体" w:cs="宋体"/>
          <w:b w:val="0"/>
          <w:bCs w:val="0"/>
          <w:color w:val="auto"/>
          <w:sz w:val="24"/>
          <w:szCs w:val="24"/>
          <w:highlight w:val="none"/>
          <w:u w:val="single"/>
        </w:rPr>
        <w:t>，由原定标委员会重新确定A标段的中标人，也可以重新组织招标。不影响其他标段的定标工作及中标人的确定</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若A标段所有合格中标候选人都不能成为中标人，则A标段招标失败，不影响其他标段中标人的确</w:t>
      </w:r>
      <w:r>
        <w:rPr>
          <w:rFonts w:hint="eastAsia" w:ascii="宋体" w:hAnsi="宋体" w:eastAsia="宋体" w:cs="宋体"/>
          <w:b w:val="0"/>
          <w:bCs w:val="0"/>
          <w:color w:val="auto"/>
          <w:sz w:val="24"/>
          <w:szCs w:val="24"/>
          <w:highlight w:val="none"/>
          <w:u w:val="single"/>
          <w:lang w:val="en-US" w:eastAsia="zh-CN"/>
        </w:rPr>
        <w:t>定</w:t>
      </w:r>
      <w:r>
        <w:rPr>
          <w:rFonts w:hint="eastAsia" w:ascii="宋体" w:hAnsi="宋体" w:eastAsia="宋体" w:cs="宋体"/>
          <w:b w:val="0"/>
          <w:bCs w:val="0"/>
          <w:color w:val="auto"/>
          <w:sz w:val="24"/>
          <w:szCs w:val="24"/>
          <w:highlight w:val="none"/>
          <w:u w:val="single"/>
        </w:rPr>
        <w:t>；</w:t>
      </w:r>
    </w:p>
    <w:p w14:paraId="77F9FCEC">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（4）若某标段在确定中标人后，因其他原因导致该标段重新招标或中标通知书不能发出，将不影响其他标段中标人的确定；</w:t>
      </w:r>
    </w:p>
    <w:p w14:paraId="78A80677">
      <w:pPr>
        <w:spacing w:line="360" w:lineRule="auto"/>
        <w:ind w:firstLine="480" w:firstLineChars="200"/>
        <w:rPr>
          <w:rFonts w:hint="eastAsia" w:ascii="宋体" w:hAnsi="宋体"/>
          <w:b w:val="0"/>
          <w:bCs w:val="0"/>
          <w:color w:val="auto"/>
          <w:highlight w:val="none"/>
          <w:u w:val="single"/>
          <w:lang w:eastAsia="zh-CN"/>
        </w:rPr>
      </w:pPr>
      <w:r>
        <w:rPr>
          <w:rFonts w:hint="eastAsia" w:ascii="宋体" w:hAnsi="宋体" w:eastAsia="宋体" w:cs="宋体"/>
          <w:b w:val="0"/>
          <w:bCs w:val="0"/>
          <w:color w:val="auto"/>
          <w:sz w:val="24"/>
          <w:szCs w:val="24"/>
          <w:highlight w:val="none"/>
          <w:u w:val="single"/>
        </w:rPr>
        <w:t>（5）若某标段招标失败而重新招标的，其他标段的中标人不能再成为该重新招标标段的中标人。</w:t>
      </w:r>
    </w:p>
    <w:p w14:paraId="02D23500">
      <w:pPr>
        <w:pStyle w:val="12"/>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cs="宋体"/>
          <w:color w:val="auto"/>
          <w:sz w:val="24"/>
          <w:szCs w:val="24"/>
          <w:highlight w:val="none"/>
          <w:u w:val="single"/>
        </w:rPr>
      </w:pPr>
    </w:p>
    <w:p w14:paraId="4730864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p>
    <w:p w14:paraId="16C9B204">
      <w:pPr>
        <w:rPr>
          <w:rFonts w:hint="eastAsia"/>
          <w:color w:val="auto"/>
          <w:highlight w:val="none"/>
        </w:rPr>
      </w:pPr>
      <w:r>
        <w:rPr>
          <w:rFonts w:hint="eastAsia"/>
          <w:color w:val="auto"/>
          <w:highlight w:val="none"/>
        </w:rPr>
        <w:br w:type="page"/>
      </w:r>
    </w:p>
    <w:p w14:paraId="4EA0936F">
      <w:pPr>
        <w:pStyle w:val="5"/>
        <w:rPr>
          <w:rFonts w:hint="eastAsia"/>
          <w:color w:val="auto"/>
          <w:highlight w:val="none"/>
        </w:rPr>
      </w:pPr>
    </w:p>
    <w:p w14:paraId="099A22D1">
      <w:pPr>
        <w:widowControl/>
        <w:spacing w:line="360" w:lineRule="auto"/>
        <w:ind w:firstLine="643" w:firstLineChars="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附件一、</w:t>
      </w:r>
      <w:r>
        <w:rPr>
          <w:rFonts w:hint="eastAsia" w:ascii="宋体" w:hAnsi="宋体" w:cs="宋体"/>
          <w:b/>
          <w:color w:val="auto"/>
          <w:sz w:val="32"/>
          <w:szCs w:val="32"/>
          <w:highlight w:val="none"/>
        </w:rPr>
        <w:t>定标阶段附表</w:t>
      </w:r>
    </w:p>
    <w:p w14:paraId="2E220540">
      <w:pPr>
        <w:widowControl/>
        <w:spacing w:line="360" w:lineRule="auto"/>
        <w:jc w:val="center"/>
        <w:rPr>
          <w:rFonts w:hint="eastAsia" w:ascii="宋体" w:hAnsi="宋体" w:eastAsia="宋体" w:cs="宋体"/>
          <w:b/>
          <w:color w:val="auto"/>
          <w:sz w:val="36"/>
          <w:szCs w:val="36"/>
          <w:highlight w:val="none"/>
          <w:lang w:eastAsia="zh-CN"/>
        </w:rPr>
      </w:pPr>
    </w:p>
    <w:p w14:paraId="72EB4EF2">
      <w:pPr>
        <w:widowControl/>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定标因素表（定标阶段用）</w:t>
      </w:r>
    </w:p>
    <w:p w14:paraId="4751F2A2">
      <w:pPr>
        <w:pStyle w:val="9"/>
        <w:ind w:firstLine="480"/>
        <w:rPr>
          <w:rFonts w:hint="eastAsia" w:ascii="宋体" w:hAnsi="宋体" w:cs="宋体"/>
          <w:color w:val="auto"/>
          <w:sz w:val="24"/>
          <w:highlight w:val="none"/>
        </w:rPr>
      </w:pPr>
    </w:p>
    <w:tbl>
      <w:tblPr>
        <w:tblStyle w:val="2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96"/>
        <w:gridCol w:w="5316"/>
        <w:gridCol w:w="1676"/>
      </w:tblGrid>
      <w:tr w14:paraId="2AAC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9" w:type="dxa"/>
            <w:noWrap w:val="0"/>
            <w:vAlign w:val="center"/>
          </w:tcPr>
          <w:p w14:paraId="42E6EE75">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96" w:type="dxa"/>
            <w:noWrap w:val="0"/>
            <w:vAlign w:val="center"/>
          </w:tcPr>
          <w:p w14:paraId="73A2FD5D">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定标因素</w:t>
            </w:r>
          </w:p>
        </w:tc>
        <w:tc>
          <w:tcPr>
            <w:tcW w:w="5316" w:type="dxa"/>
            <w:noWrap w:val="0"/>
            <w:vAlign w:val="center"/>
          </w:tcPr>
          <w:p w14:paraId="070F020C">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定标评价的内容</w:t>
            </w:r>
          </w:p>
        </w:tc>
        <w:tc>
          <w:tcPr>
            <w:tcW w:w="1676" w:type="dxa"/>
            <w:noWrap w:val="0"/>
            <w:vAlign w:val="center"/>
          </w:tcPr>
          <w:p w14:paraId="7A459934">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评价标准</w:t>
            </w:r>
          </w:p>
        </w:tc>
      </w:tr>
      <w:tr w14:paraId="202B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689" w:type="dxa"/>
            <w:noWrap w:val="0"/>
            <w:vAlign w:val="center"/>
          </w:tcPr>
          <w:p w14:paraId="0F9634E8">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p>
        </w:tc>
        <w:tc>
          <w:tcPr>
            <w:tcW w:w="1496" w:type="dxa"/>
            <w:noWrap w:val="0"/>
            <w:vAlign w:val="center"/>
          </w:tcPr>
          <w:p w14:paraId="4A46E64B">
            <w:pPr>
              <w:pStyle w:val="8"/>
              <w:ind w:firstLine="0" w:firstLineChars="0"/>
              <w:rPr>
                <w:rFonts w:hint="eastAsia" w:ascii="宋体" w:hAnsi="宋体" w:cs="宋体"/>
                <w:color w:val="auto"/>
                <w:szCs w:val="21"/>
                <w:highlight w:val="none"/>
              </w:rPr>
            </w:pPr>
            <w:r>
              <w:rPr>
                <w:rFonts w:hint="eastAsia" w:ascii="宋体" w:hAnsi="宋体" w:cs="宋体"/>
                <w:b w:val="0"/>
                <w:color w:val="auto"/>
                <w:szCs w:val="21"/>
                <w:highlight w:val="none"/>
              </w:rPr>
              <w:t>价格因素</w:t>
            </w:r>
          </w:p>
        </w:tc>
        <w:tc>
          <w:tcPr>
            <w:tcW w:w="5316" w:type="dxa"/>
            <w:noWrap w:val="0"/>
            <w:vAlign w:val="center"/>
          </w:tcPr>
          <w:p w14:paraId="6098FDFF">
            <w:pPr>
              <w:pStyle w:val="8"/>
              <w:ind w:firstLine="0" w:firstLineChars="0"/>
              <w:rPr>
                <w:rFonts w:hint="eastAsia" w:ascii="宋体" w:hAnsi="宋体" w:cs="宋体"/>
                <w:color w:val="auto"/>
                <w:szCs w:val="21"/>
                <w:highlight w:val="none"/>
              </w:rPr>
            </w:pPr>
            <w:r>
              <w:rPr>
                <w:rFonts w:hint="eastAsia" w:ascii="宋体" w:hAnsi="宋体" w:cs="宋体"/>
                <w:b w:val="0"/>
                <w:bCs/>
                <w:color w:val="auto"/>
                <w:szCs w:val="21"/>
                <w:highlight w:val="none"/>
              </w:rPr>
              <w:t>对进入定标阶段的合格中标候选人的报价进行横向比较。投标报价合理性强，全生命周期内能源资源消耗低、环境影响最小。</w:t>
            </w:r>
          </w:p>
        </w:tc>
        <w:tc>
          <w:tcPr>
            <w:tcW w:w="1676" w:type="dxa"/>
            <w:noWrap w:val="0"/>
            <w:vAlign w:val="center"/>
          </w:tcPr>
          <w:p w14:paraId="6C4FEE89">
            <w:pPr>
              <w:rPr>
                <w:rFonts w:hint="eastAsia" w:ascii="宋体" w:hAnsi="宋体" w:cs="宋体"/>
                <w:color w:val="auto"/>
                <w:highlight w:val="none"/>
              </w:rPr>
            </w:pPr>
            <w:r>
              <w:rPr>
                <w:rFonts w:hint="eastAsia" w:ascii="宋体" w:hAnsi="宋体" w:cs="宋体"/>
                <w:color w:val="auto"/>
                <w:highlight w:val="none"/>
              </w:rPr>
              <w:t>分为【优】、【良】</w:t>
            </w:r>
          </w:p>
          <w:p w14:paraId="41A5DD1C">
            <w:pPr>
              <w:pStyle w:val="8"/>
              <w:ind w:firstLine="0" w:firstLineChars="0"/>
              <w:jc w:val="center"/>
              <w:rPr>
                <w:rFonts w:hint="eastAsia" w:ascii="宋体" w:hAnsi="宋体" w:cs="宋体"/>
                <w:color w:val="auto"/>
                <w:szCs w:val="21"/>
                <w:highlight w:val="none"/>
              </w:rPr>
            </w:pPr>
            <w:r>
              <w:rPr>
                <w:rFonts w:hint="eastAsia" w:ascii="宋体" w:hAnsi="宋体" w:cs="宋体"/>
                <w:b w:val="0"/>
                <w:color w:val="auto"/>
                <w:highlight w:val="none"/>
              </w:rPr>
              <w:t>【中】三档。</w:t>
            </w:r>
          </w:p>
        </w:tc>
      </w:tr>
      <w:tr w14:paraId="439C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exact"/>
          <w:jc w:val="center"/>
        </w:trPr>
        <w:tc>
          <w:tcPr>
            <w:tcW w:w="689" w:type="dxa"/>
            <w:noWrap w:val="0"/>
            <w:vAlign w:val="center"/>
          </w:tcPr>
          <w:p w14:paraId="536FD028">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p>
        </w:tc>
        <w:tc>
          <w:tcPr>
            <w:tcW w:w="1496" w:type="dxa"/>
            <w:noWrap w:val="0"/>
            <w:vAlign w:val="center"/>
          </w:tcPr>
          <w:p w14:paraId="17516163">
            <w:pPr>
              <w:pStyle w:val="8"/>
              <w:ind w:firstLine="0" w:firstLineChars="0"/>
              <w:rPr>
                <w:rFonts w:hint="eastAsia" w:ascii="宋体" w:hAnsi="宋体" w:cs="宋体"/>
                <w:b w:val="0"/>
                <w:color w:val="auto"/>
                <w:szCs w:val="21"/>
                <w:highlight w:val="none"/>
              </w:rPr>
            </w:pPr>
            <w:r>
              <w:rPr>
                <w:rFonts w:hint="eastAsia" w:ascii="宋体" w:hAnsi="宋体" w:cs="宋体"/>
                <w:b w:val="0"/>
                <w:color w:val="auto"/>
                <w:szCs w:val="21"/>
                <w:highlight w:val="none"/>
              </w:rPr>
              <w:t>方案因素</w:t>
            </w:r>
          </w:p>
        </w:tc>
        <w:tc>
          <w:tcPr>
            <w:tcW w:w="5316" w:type="dxa"/>
            <w:noWrap w:val="0"/>
            <w:vAlign w:val="center"/>
          </w:tcPr>
          <w:p w14:paraId="532FB5C8">
            <w:pPr>
              <w:pStyle w:val="8"/>
              <w:ind w:firstLine="0" w:firstLineChars="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方案</w:t>
            </w:r>
            <w:r>
              <w:rPr>
                <w:rFonts w:hint="eastAsia" w:ascii="宋体" w:hAnsi="宋体" w:eastAsia="宋体" w:cs="宋体"/>
                <w:b w:val="0"/>
                <w:bCs/>
                <w:color w:val="auto"/>
                <w:szCs w:val="21"/>
                <w:highlight w:val="none"/>
              </w:rPr>
              <w:t>内容包括但不限于：公司简介部分体现监理资质和优势</w:t>
            </w:r>
            <w:r>
              <w:rPr>
                <w:rFonts w:hint="eastAsia" w:ascii="宋体" w:hAnsi="宋体" w:eastAsia="宋体" w:cs="宋体"/>
                <w:b w:val="0"/>
                <w:bCs/>
                <w:color w:val="auto"/>
                <w:szCs w:val="21"/>
                <w:highlight w:val="none"/>
                <w:lang w:eastAsia="zh-CN"/>
              </w:rPr>
              <w:t>；监理工作范围和内容要明确各阶段任务</w:t>
            </w:r>
            <w:r>
              <w:rPr>
                <w:rFonts w:hint="eastAsia" w:cs="宋体"/>
                <w:b w:val="0"/>
                <w:bCs/>
                <w:color w:val="auto"/>
                <w:szCs w:val="21"/>
                <w:highlight w:val="none"/>
                <w:lang w:val="en-US" w:eastAsia="zh-CN"/>
              </w:rPr>
              <w:t>是否科学性、合理性</w:t>
            </w:r>
            <w:r>
              <w:rPr>
                <w:rFonts w:hint="eastAsia" w:ascii="宋体" w:hAnsi="宋体" w:eastAsia="宋体" w:cs="宋体"/>
                <w:b w:val="0"/>
                <w:bCs/>
                <w:color w:val="auto"/>
                <w:szCs w:val="21"/>
                <w:highlight w:val="none"/>
                <w:lang w:eastAsia="zh-CN"/>
              </w:rPr>
              <w:t>；安全、质量、进度、造价控制管理体系</w:t>
            </w:r>
            <w:r>
              <w:rPr>
                <w:rFonts w:hint="eastAsia" w:ascii="宋体" w:hAnsi="宋体" w:eastAsia="宋体" w:cs="宋体"/>
                <w:b w:val="0"/>
                <w:bCs/>
                <w:color w:val="auto"/>
                <w:szCs w:val="21"/>
                <w:highlight w:val="none"/>
                <w:lang w:val="en-US" w:eastAsia="zh-CN"/>
              </w:rPr>
              <w:t>等</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对于</w:t>
            </w:r>
            <w:r>
              <w:rPr>
                <w:rFonts w:hint="eastAsia" w:ascii="宋体" w:hAnsi="宋体" w:eastAsia="宋体" w:cs="宋体"/>
                <w:b w:val="0"/>
                <w:bCs/>
                <w:color w:val="auto"/>
                <w:szCs w:val="21"/>
                <w:highlight w:val="none"/>
                <w:lang w:eastAsia="zh-CN"/>
              </w:rPr>
              <w:t>工程重点难点分析及针对性监理措施</w:t>
            </w:r>
            <w:r>
              <w:rPr>
                <w:rFonts w:hint="eastAsia" w:ascii="宋体" w:hAnsi="宋体" w:eastAsia="宋体" w:cs="宋体"/>
                <w:b w:val="0"/>
                <w:bCs/>
                <w:color w:val="auto"/>
                <w:szCs w:val="21"/>
                <w:highlight w:val="none"/>
                <w:lang w:val="en-US" w:eastAsia="zh-CN"/>
              </w:rPr>
              <w:t>以及资金保障措施等</w:t>
            </w:r>
            <w:r>
              <w:rPr>
                <w:rFonts w:hint="eastAsia" w:ascii="宋体" w:hAnsi="宋体" w:eastAsia="宋体" w:cs="宋体"/>
                <w:b w:val="0"/>
                <w:bCs/>
                <w:color w:val="auto"/>
                <w:szCs w:val="21"/>
                <w:highlight w:val="none"/>
              </w:rPr>
              <w:t>。</w:t>
            </w:r>
          </w:p>
        </w:tc>
        <w:tc>
          <w:tcPr>
            <w:tcW w:w="1676" w:type="dxa"/>
            <w:noWrap w:val="0"/>
            <w:vAlign w:val="center"/>
          </w:tcPr>
          <w:p w14:paraId="06D008F9">
            <w:pPr>
              <w:rPr>
                <w:rFonts w:hint="eastAsia" w:ascii="宋体" w:hAnsi="宋体" w:cs="宋体"/>
                <w:color w:val="auto"/>
                <w:highlight w:val="none"/>
              </w:rPr>
            </w:pPr>
            <w:r>
              <w:rPr>
                <w:rFonts w:hint="eastAsia" w:ascii="宋体" w:hAnsi="宋体" w:cs="宋体"/>
                <w:color w:val="auto"/>
                <w:highlight w:val="none"/>
              </w:rPr>
              <w:t>分为【优】、【良】</w:t>
            </w:r>
          </w:p>
          <w:p w14:paraId="22DED079">
            <w:pPr>
              <w:jc w:val="center"/>
              <w:rPr>
                <w:rFonts w:hint="eastAsia" w:ascii="宋体" w:hAnsi="宋体" w:cs="宋体"/>
                <w:color w:val="auto"/>
                <w:highlight w:val="none"/>
              </w:rPr>
            </w:pPr>
            <w:r>
              <w:rPr>
                <w:rFonts w:hint="eastAsia" w:ascii="宋体" w:hAnsi="宋体" w:cs="宋体"/>
                <w:color w:val="auto"/>
                <w:highlight w:val="none"/>
              </w:rPr>
              <w:t>【中】三档。</w:t>
            </w:r>
          </w:p>
        </w:tc>
      </w:tr>
      <w:tr w14:paraId="2D96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689" w:type="dxa"/>
            <w:noWrap w:val="0"/>
            <w:vAlign w:val="center"/>
          </w:tcPr>
          <w:p w14:paraId="4DAD8B39">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3</w:t>
            </w:r>
          </w:p>
        </w:tc>
        <w:tc>
          <w:tcPr>
            <w:tcW w:w="1496" w:type="dxa"/>
            <w:noWrap w:val="0"/>
            <w:vAlign w:val="center"/>
          </w:tcPr>
          <w:p w14:paraId="6C1736CD">
            <w:pPr>
              <w:pStyle w:val="8"/>
              <w:ind w:firstLine="0" w:firstLineChars="0"/>
              <w:rPr>
                <w:rFonts w:hint="eastAsia" w:ascii="宋体" w:hAnsi="宋体" w:cs="宋体"/>
                <w:b w:val="0"/>
                <w:color w:val="auto"/>
                <w:szCs w:val="21"/>
                <w:highlight w:val="none"/>
              </w:rPr>
            </w:pPr>
            <w:r>
              <w:rPr>
                <w:rFonts w:hint="eastAsia" w:ascii="宋体" w:hAnsi="宋体" w:cs="宋体"/>
                <w:b w:val="0"/>
                <w:color w:val="auto"/>
                <w:szCs w:val="21"/>
                <w:highlight w:val="none"/>
              </w:rPr>
              <w:t>团队因素</w:t>
            </w:r>
          </w:p>
        </w:tc>
        <w:tc>
          <w:tcPr>
            <w:tcW w:w="5316" w:type="dxa"/>
            <w:noWrap w:val="0"/>
            <w:vAlign w:val="center"/>
          </w:tcPr>
          <w:p w14:paraId="3219BBFC">
            <w:pPr>
              <w:rPr>
                <w:rFonts w:hint="eastAsia" w:ascii="宋体" w:hAnsi="宋体" w:cs="宋体"/>
                <w:bCs/>
                <w:color w:val="auto"/>
                <w:szCs w:val="21"/>
                <w:highlight w:val="none"/>
              </w:rPr>
            </w:pPr>
            <w:r>
              <w:rPr>
                <w:rFonts w:hint="eastAsia" w:ascii="宋体" w:hAnsi="宋体" w:cs="宋体"/>
                <w:bCs/>
                <w:color w:val="auto"/>
                <w:szCs w:val="21"/>
                <w:highlight w:val="none"/>
              </w:rPr>
              <w:t>履约能力强，信用情况好，社会评价好，公司管理人员、职称人员、专业技术人员配备、人员技术水平、管理人员履职到位情况好，</w:t>
            </w:r>
            <w:r>
              <w:rPr>
                <w:rFonts w:hint="eastAsia" w:ascii="宋体" w:hAnsi="宋体" w:cs="宋体"/>
                <w:bCs/>
                <w:color w:val="auto"/>
                <w:kern w:val="0"/>
                <w:szCs w:val="21"/>
                <w:highlight w:val="none"/>
              </w:rPr>
              <w:t>过往业绩履约情况好</w:t>
            </w:r>
            <w:r>
              <w:rPr>
                <w:rFonts w:hint="eastAsia" w:ascii="宋体" w:hAnsi="宋体" w:cs="宋体"/>
                <w:bCs/>
                <w:color w:val="auto"/>
                <w:szCs w:val="21"/>
                <w:highlight w:val="none"/>
              </w:rPr>
              <w:t>。</w:t>
            </w:r>
          </w:p>
        </w:tc>
        <w:tc>
          <w:tcPr>
            <w:tcW w:w="1676" w:type="dxa"/>
            <w:noWrap w:val="0"/>
            <w:vAlign w:val="center"/>
          </w:tcPr>
          <w:p w14:paraId="7F2EB1DD">
            <w:pPr>
              <w:rPr>
                <w:rFonts w:hint="eastAsia" w:ascii="宋体" w:hAnsi="宋体" w:cs="宋体"/>
                <w:color w:val="auto"/>
                <w:highlight w:val="none"/>
              </w:rPr>
            </w:pPr>
            <w:r>
              <w:rPr>
                <w:rFonts w:hint="eastAsia" w:ascii="宋体" w:hAnsi="宋体" w:cs="宋体"/>
                <w:color w:val="auto"/>
                <w:highlight w:val="none"/>
              </w:rPr>
              <w:t>分为【优】、【良】</w:t>
            </w:r>
          </w:p>
          <w:p w14:paraId="3C8C6C95">
            <w:pPr>
              <w:jc w:val="center"/>
              <w:rPr>
                <w:rFonts w:hint="eastAsia" w:ascii="宋体" w:hAnsi="宋体" w:cs="宋体"/>
                <w:color w:val="auto"/>
                <w:szCs w:val="21"/>
                <w:highlight w:val="none"/>
              </w:rPr>
            </w:pPr>
            <w:r>
              <w:rPr>
                <w:rFonts w:hint="eastAsia" w:ascii="宋体" w:hAnsi="宋体" w:cs="宋体"/>
                <w:color w:val="auto"/>
                <w:highlight w:val="none"/>
              </w:rPr>
              <w:t>【中】三档。</w:t>
            </w:r>
          </w:p>
        </w:tc>
      </w:tr>
      <w:tr w14:paraId="138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689" w:type="dxa"/>
            <w:noWrap w:val="0"/>
            <w:vAlign w:val="center"/>
          </w:tcPr>
          <w:p w14:paraId="2C92F8B5">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4</w:t>
            </w:r>
          </w:p>
        </w:tc>
        <w:tc>
          <w:tcPr>
            <w:tcW w:w="1496" w:type="dxa"/>
            <w:noWrap w:val="0"/>
            <w:vAlign w:val="center"/>
          </w:tcPr>
          <w:p w14:paraId="29C694E3">
            <w:pPr>
              <w:pStyle w:val="8"/>
              <w:ind w:firstLine="0" w:firstLineChars="0"/>
              <w:rPr>
                <w:rFonts w:hint="eastAsia" w:ascii="宋体" w:hAnsi="宋体" w:cs="宋体"/>
                <w:b w:val="0"/>
                <w:color w:val="auto"/>
                <w:szCs w:val="21"/>
                <w:highlight w:val="none"/>
              </w:rPr>
            </w:pPr>
            <w:r>
              <w:rPr>
                <w:rFonts w:hint="eastAsia" w:ascii="宋体" w:hAnsi="宋体" w:cs="宋体"/>
                <w:b w:val="0"/>
                <w:color w:val="auto"/>
                <w:szCs w:val="21"/>
                <w:highlight w:val="none"/>
              </w:rPr>
              <w:t>资信因素</w:t>
            </w:r>
          </w:p>
        </w:tc>
        <w:tc>
          <w:tcPr>
            <w:tcW w:w="5316" w:type="dxa"/>
            <w:noWrap w:val="0"/>
            <w:vAlign w:val="center"/>
          </w:tcPr>
          <w:p w14:paraId="1CACF34C">
            <w:pPr>
              <w:rPr>
                <w:rFonts w:hint="eastAsia" w:ascii="宋体" w:hAnsi="宋体" w:cs="宋体"/>
                <w:bCs/>
                <w:color w:val="auto"/>
                <w:szCs w:val="21"/>
                <w:highlight w:val="none"/>
              </w:rPr>
            </w:pPr>
            <w:r>
              <w:rPr>
                <w:rFonts w:hint="eastAsia" w:ascii="宋体" w:hAnsi="宋体" w:cs="宋体"/>
                <w:bCs/>
                <w:color w:val="auto"/>
                <w:szCs w:val="21"/>
                <w:highlight w:val="none"/>
              </w:rPr>
              <w:t>企业经营实力好，以企业诚信评价情况、资质等级、财务状况等情况综合比较。</w:t>
            </w:r>
          </w:p>
        </w:tc>
        <w:tc>
          <w:tcPr>
            <w:tcW w:w="1676" w:type="dxa"/>
            <w:noWrap w:val="0"/>
            <w:vAlign w:val="center"/>
          </w:tcPr>
          <w:p w14:paraId="0965454B">
            <w:pPr>
              <w:rPr>
                <w:rFonts w:hint="eastAsia" w:ascii="宋体" w:hAnsi="宋体" w:cs="宋体"/>
                <w:color w:val="auto"/>
                <w:highlight w:val="none"/>
              </w:rPr>
            </w:pPr>
            <w:r>
              <w:rPr>
                <w:rFonts w:hint="eastAsia" w:ascii="宋体" w:hAnsi="宋体" w:cs="宋体"/>
                <w:color w:val="auto"/>
                <w:highlight w:val="none"/>
              </w:rPr>
              <w:t>分为【优】、【良】</w:t>
            </w:r>
          </w:p>
          <w:p w14:paraId="41A615A5">
            <w:pPr>
              <w:jc w:val="center"/>
              <w:rPr>
                <w:rFonts w:hint="eastAsia" w:ascii="宋体" w:hAnsi="宋体" w:cs="宋体"/>
                <w:color w:val="auto"/>
                <w:szCs w:val="21"/>
                <w:highlight w:val="none"/>
              </w:rPr>
            </w:pPr>
            <w:r>
              <w:rPr>
                <w:rFonts w:hint="eastAsia" w:ascii="宋体" w:hAnsi="宋体" w:cs="宋体"/>
                <w:color w:val="auto"/>
                <w:highlight w:val="none"/>
              </w:rPr>
              <w:t>【中】三档。</w:t>
            </w:r>
          </w:p>
        </w:tc>
      </w:tr>
    </w:tbl>
    <w:p w14:paraId="40E4B958">
      <w:pPr>
        <w:pStyle w:val="9"/>
        <w:ind w:firstLine="0" w:firstLineChars="0"/>
        <w:rPr>
          <w:rFonts w:hint="eastAsia" w:ascii="宋体" w:hAnsi="宋体" w:cs="宋体"/>
          <w:b/>
          <w:color w:val="auto"/>
          <w:sz w:val="36"/>
          <w:szCs w:val="36"/>
          <w:highlight w:val="none"/>
        </w:rPr>
      </w:pPr>
    </w:p>
    <w:p w14:paraId="0A957B0E">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E1C518A">
      <w:pPr>
        <w:spacing w:line="360" w:lineRule="auto"/>
        <w:jc w:val="center"/>
        <w:rPr>
          <w:rFonts w:hint="eastAsia" w:ascii="宋体" w:hAnsi="宋体" w:cs="宋体"/>
          <w:b/>
          <w:color w:val="auto"/>
          <w:sz w:val="36"/>
          <w:szCs w:val="36"/>
          <w:highlight w:val="none"/>
        </w:rPr>
      </w:pPr>
    </w:p>
    <w:p w14:paraId="4E483F3D">
      <w:pPr>
        <w:spacing w:line="360" w:lineRule="auto"/>
        <w:jc w:val="center"/>
        <w:rPr>
          <w:rFonts w:hint="eastAsia"/>
          <w:b/>
          <w:bCs/>
          <w:color w:val="auto"/>
          <w:sz w:val="28"/>
          <w:szCs w:val="28"/>
          <w:highlight w:val="none"/>
        </w:rPr>
      </w:pPr>
      <w:r>
        <w:rPr>
          <w:rFonts w:hint="eastAsia"/>
          <w:b/>
          <w:bCs/>
          <w:color w:val="auto"/>
          <w:sz w:val="28"/>
          <w:szCs w:val="28"/>
          <w:highlight w:val="none"/>
        </w:rPr>
        <w:t>票决定标选票表（定标阶段）</w:t>
      </w:r>
    </w:p>
    <w:p w14:paraId="3CA6B36F">
      <w:pPr>
        <w:adjustRightInd w:val="0"/>
        <w:snapToGrid w:val="0"/>
        <w:spacing w:line="360" w:lineRule="auto"/>
        <w:rPr>
          <w:rFonts w:hint="eastAsia"/>
          <w:color w:val="auto"/>
          <w:highlight w:val="none"/>
        </w:rPr>
      </w:pPr>
      <w:r>
        <w:rPr>
          <w:rFonts w:hint="eastAsia"/>
          <w:color w:val="auto"/>
          <w:highlight w:val="none"/>
          <w:lang w:val="en-US" w:eastAsia="zh-CN"/>
        </w:rPr>
        <w:t>标段</w:t>
      </w:r>
      <w:r>
        <w:rPr>
          <w:rFonts w:hint="eastAsia"/>
          <w:color w:val="auto"/>
          <w:highlight w:val="none"/>
        </w:rPr>
        <w:t>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4792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4FCF336F">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w:t>
            </w:r>
            <w:r>
              <w:rPr>
                <w:rFonts w:hint="eastAsia"/>
                <w:b/>
                <w:color w:val="auto"/>
                <w:szCs w:val="21"/>
                <w:highlight w:val="none"/>
                <w:lang w:val="en-US" w:eastAsia="zh-CN"/>
              </w:rPr>
              <w:t>合格中标候选人</w:t>
            </w:r>
            <w:r>
              <w:rPr>
                <w:rFonts w:hint="eastAsia"/>
                <w:b/>
                <w:color w:val="auto"/>
                <w:szCs w:val="21"/>
                <w:highlight w:val="none"/>
              </w:rPr>
              <w:t>名称</w:t>
            </w:r>
          </w:p>
        </w:tc>
        <w:tc>
          <w:tcPr>
            <w:tcW w:w="2990" w:type="dxa"/>
            <w:tcBorders>
              <w:top w:val="single" w:color="auto" w:sz="4" w:space="0"/>
              <w:left w:val="nil"/>
              <w:bottom w:val="single" w:color="auto" w:sz="4" w:space="0"/>
              <w:right w:val="single" w:color="auto" w:sz="4" w:space="0"/>
            </w:tcBorders>
            <w:noWrap w:val="0"/>
            <w:vAlign w:val="center"/>
          </w:tcPr>
          <w:p w14:paraId="0DE36D9B">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7D4E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67022843">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22186254">
            <w:pPr>
              <w:adjustRightInd w:val="0"/>
              <w:snapToGrid w:val="0"/>
              <w:spacing w:line="360" w:lineRule="auto"/>
              <w:jc w:val="center"/>
              <w:rPr>
                <w:rFonts w:hint="eastAsia"/>
                <w:color w:val="auto"/>
                <w:szCs w:val="21"/>
                <w:highlight w:val="none"/>
              </w:rPr>
            </w:pPr>
          </w:p>
        </w:tc>
      </w:tr>
    </w:tbl>
    <w:p w14:paraId="7CF2C753">
      <w:pPr>
        <w:pStyle w:val="47"/>
        <w:rPr>
          <w:rFonts w:hint="eastAsia" w:ascii="宋体" w:hAnsi="宋体" w:eastAsia="宋体" w:cs="宋体"/>
          <w:color w:val="auto"/>
          <w:kern w:val="0"/>
          <w:szCs w:val="21"/>
          <w:highlight w:val="none"/>
        </w:rPr>
      </w:pPr>
    </w:p>
    <w:p w14:paraId="1B92850A">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 xml:space="preserve">     日期：</w:t>
      </w:r>
    </w:p>
    <w:p w14:paraId="5655A830">
      <w:pPr>
        <w:adjustRightInd w:val="0"/>
        <w:snapToGrid w:val="0"/>
        <w:spacing w:line="360" w:lineRule="auto"/>
        <w:rPr>
          <w:rFonts w:hint="eastAsia"/>
          <w:color w:val="auto"/>
          <w:highlight w:val="none"/>
        </w:rPr>
      </w:pPr>
    </w:p>
    <w:p w14:paraId="7941F008">
      <w:pPr>
        <w:spacing w:line="360" w:lineRule="auto"/>
        <w:jc w:val="left"/>
        <w:rPr>
          <w:rFonts w:hint="eastAsia" w:ascii="宋体" w:hAnsi="宋体" w:cs="宋体"/>
          <w:color w:val="auto"/>
          <w:sz w:val="24"/>
          <w:highlight w:val="none"/>
        </w:rPr>
      </w:pPr>
      <w:r>
        <w:rPr>
          <w:rFonts w:hint="eastAsia"/>
          <w:b/>
          <w:color w:val="auto"/>
          <w:highlight w:val="none"/>
        </w:rPr>
        <w:t>注：由定标委员会成员进行投票，每轮各定标委员会成员只能支持一家</w:t>
      </w:r>
      <w:r>
        <w:rPr>
          <w:rFonts w:hint="eastAsia"/>
          <w:b/>
          <w:color w:val="auto"/>
          <w:szCs w:val="21"/>
          <w:highlight w:val="none"/>
          <w:lang w:val="en-US" w:eastAsia="zh-CN"/>
        </w:rPr>
        <w:t>合格中标候选人</w:t>
      </w:r>
      <w:r>
        <w:rPr>
          <w:rFonts w:hint="eastAsia"/>
          <w:b/>
          <w:color w:val="auto"/>
          <w:highlight w:val="none"/>
        </w:rPr>
        <w:t>。</w:t>
      </w:r>
    </w:p>
    <w:p w14:paraId="0E2EF384">
      <w:pPr>
        <w:spacing w:line="240" w:lineRule="auto"/>
        <w:ind w:left="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7254ECD">
      <w:pPr>
        <w:pStyle w:val="23"/>
        <w:rPr>
          <w:rFonts w:hint="eastAsia" w:ascii="宋体" w:hAnsi="宋体" w:eastAsia="宋体" w:cs="宋体"/>
          <w:color w:val="auto"/>
          <w:sz w:val="36"/>
          <w:szCs w:val="36"/>
          <w:highlight w:val="none"/>
        </w:rPr>
      </w:pPr>
    </w:p>
    <w:p w14:paraId="11D2E62D">
      <w:pPr>
        <w:pStyle w:val="23"/>
        <w:rPr>
          <w:rFonts w:hint="eastAsia" w:ascii="宋体" w:hAnsi="宋体" w:eastAsia="宋体" w:cs="宋体"/>
          <w:color w:val="auto"/>
          <w:sz w:val="36"/>
          <w:szCs w:val="36"/>
          <w:highlight w:val="none"/>
        </w:rPr>
      </w:pPr>
    </w:p>
    <w:p w14:paraId="2B38DB69">
      <w:pPr>
        <w:jc w:val="center"/>
        <w:rPr>
          <w:rFonts w:hint="eastAsia"/>
          <w:b/>
          <w:color w:val="auto"/>
          <w:sz w:val="28"/>
          <w:szCs w:val="28"/>
          <w:highlight w:val="none"/>
        </w:rPr>
      </w:pPr>
      <w:r>
        <w:rPr>
          <w:rFonts w:hint="eastAsia"/>
          <w:b/>
          <w:bCs/>
          <w:color w:val="auto"/>
          <w:sz w:val="28"/>
          <w:szCs w:val="28"/>
          <w:highlight w:val="none"/>
        </w:rPr>
        <w:t>票决定标选票汇总表</w:t>
      </w:r>
      <w:r>
        <w:rPr>
          <w:rFonts w:hint="eastAsia"/>
          <w:b/>
          <w:color w:val="auto"/>
          <w:sz w:val="28"/>
          <w:szCs w:val="28"/>
          <w:highlight w:val="none"/>
        </w:rPr>
        <w:t>（定标阶段）</w:t>
      </w:r>
    </w:p>
    <w:p w14:paraId="6BF2651E">
      <w:pPr>
        <w:pStyle w:val="47"/>
        <w:rPr>
          <w:rFonts w:hint="eastAsia" w:ascii="宋体" w:hAnsi="宋体" w:eastAsia="宋体" w:cs="宋体"/>
          <w:color w:val="auto"/>
          <w:highlight w:val="none"/>
        </w:rPr>
      </w:pPr>
    </w:p>
    <w:p w14:paraId="3986238B">
      <w:pPr>
        <w:adjustRightInd w:val="0"/>
        <w:snapToGrid w:val="0"/>
        <w:spacing w:line="360" w:lineRule="auto"/>
        <w:rPr>
          <w:rFonts w:hint="eastAsia"/>
          <w:color w:val="auto"/>
          <w:szCs w:val="21"/>
          <w:highlight w:val="none"/>
        </w:rPr>
      </w:pPr>
      <w:r>
        <w:rPr>
          <w:rFonts w:hint="eastAsia"/>
          <w:color w:val="auto"/>
          <w:highlight w:val="none"/>
          <w:lang w:val="en-US" w:eastAsia="zh-CN"/>
        </w:rPr>
        <w:t>标段</w:t>
      </w:r>
      <w:r>
        <w:rPr>
          <w:rFonts w:hint="eastAsia"/>
          <w:color w:val="auto"/>
          <w:szCs w:val="21"/>
          <w:highlight w:val="none"/>
        </w:rPr>
        <w:t>名称：</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131"/>
        <w:gridCol w:w="3884"/>
      </w:tblGrid>
      <w:tr w14:paraId="5A83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20480231">
            <w:pPr>
              <w:adjustRightInd w:val="0"/>
              <w:snapToGrid w:val="0"/>
              <w:spacing w:line="360" w:lineRule="auto"/>
              <w:jc w:val="center"/>
              <w:rPr>
                <w:rFonts w:hint="eastAsia"/>
                <w:b/>
                <w:color w:val="auto"/>
                <w:szCs w:val="21"/>
                <w:highlight w:val="none"/>
              </w:rPr>
            </w:pPr>
            <w:r>
              <w:rPr>
                <w:rFonts w:hint="eastAsia"/>
                <w:b/>
                <w:color w:val="auto"/>
                <w:szCs w:val="21"/>
                <w:highlight w:val="none"/>
              </w:rPr>
              <w:t>序号</w:t>
            </w:r>
          </w:p>
        </w:tc>
        <w:tc>
          <w:tcPr>
            <w:tcW w:w="2225" w:type="pct"/>
            <w:tcBorders>
              <w:top w:val="single" w:color="auto" w:sz="4" w:space="0"/>
              <w:left w:val="single" w:color="auto" w:sz="4" w:space="0"/>
              <w:bottom w:val="single" w:color="auto" w:sz="6" w:space="0"/>
              <w:right w:val="single" w:color="auto" w:sz="6" w:space="0"/>
            </w:tcBorders>
            <w:noWrap w:val="0"/>
            <w:vAlign w:val="center"/>
          </w:tcPr>
          <w:p w14:paraId="2D26FDC5">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合格中标候选人</w:t>
            </w:r>
            <w:r>
              <w:rPr>
                <w:rFonts w:hint="eastAsia"/>
                <w:b/>
                <w:color w:val="auto"/>
                <w:szCs w:val="21"/>
                <w:highlight w:val="none"/>
              </w:rPr>
              <w:t>名称</w:t>
            </w:r>
          </w:p>
        </w:tc>
        <w:tc>
          <w:tcPr>
            <w:tcW w:w="2092" w:type="pct"/>
            <w:tcBorders>
              <w:top w:val="single" w:color="auto" w:sz="4" w:space="0"/>
              <w:left w:val="single" w:color="auto" w:sz="6" w:space="0"/>
              <w:bottom w:val="single" w:color="auto" w:sz="6" w:space="0"/>
              <w:right w:val="single" w:color="auto" w:sz="6" w:space="0"/>
            </w:tcBorders>
            <w:noWrap w:val="0"/>
            <w:vAlign w:val="center"/>
          </w:tcPr>
          <w:p w14:paraId="794AC329">
            <w:pPr>
              <w:adjustRightInd w:val="0"/>
              <w:snapToGrid w:val="0"/>
              <w:spacing w:line="360" w:lineRule="auto"/>
              <w:jc w:val="center"/>
              <w:rPr>
                <w:rFonts w:hint="eastAsia"/>
                <w:b/>
                <w:color w:val="auto"/>
                <w:szCs w:val="21"/>
                <w:highlight w:val="none"/>
              </w:rPr>
            </w:pPr>
            <w:r>
              <w:rPr>
                <w:rFonts w:hint="eastAsia"/>
                <w:b/>
                <w:color w:val="auto"/>
                <w:szCs w:val="21"/>
                <w:highlight w:val="none"/>
              </w:rPr>
              <w:t>得票数</w:t>
            </w:r>
          </w:p>
        </w:tc>
      </w:tr>
      <w:tr w14:paraId="1542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437D16B1">
            <w:pPr>
              <w:adjustRightInd w:val="0"/>
              <w:snapToGrid w:val="0"/>
              <w:spacing w:line="360" w:lineRule="auto"/>
              <w:jc w:val="center"/>
              <w:rPr>
                <w:rFonts w:hint="eastAsia"/>
                <w:color w:val="auto"/>
                <w:szCs w:val="21"/>
                <w:highlight w:val="none"/>
              </w:rPr>
            </w:pPr>
            <w:r>
              <w:rPr>
                <w:rFonts w:hint="eastAsia"/>
                <w:color w:val="auto"/>
                <w:szCs w:val="21"/>
                <w:highlight w:val="none"/>
              </w:rPr>
              <w:t>1</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689B2713">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32C26B99">
            <w:pPr>
              <w:adjustRightInd w:val="0"/>
              <w:snapToGrid w:val="0"/>
              <w:spacing w:line="360" w:lineRule="auto"/>
              <w:jc w:val="center"/>
              <w:rPr>
                <w:rFonts w:hint="eastAsia"/>
                <w:color w:val="auto"/>
                <w:szCs w:val="21"/>
                <w:highlight w:val="none"/>
              </w:rPr>
            </w:pPr>
          </w:p>
        </w:tc>
      </w:tr>
      <w:tr w14:paraId="6088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2E713E4F">
            <w:pPr>
              <w:adjustRightInd w:val="0"/>
              <w:snapToGrid w:val="0"/>
              <w:spacing w:line="360" w:lineRule="auto"/>
              <w:jc w:val="center"/>
              <w:rPr>
                <w:rFonts w:hint="eastAsia"/>
                <w:color w:val="auto"/>
                <w:szCs w:val="21"/>
                <w:highlight w:val="none"/>
              </w:rPr>
            </w:pPr>
            <w:r>
              <w:rPr>
                <w:rFonts w:hint="eastAsia"/>
                <w:color w:val="auto"/>
                <w:szCs w:val="21"/>
                <w:highlight w:val="none"/>
              </w:rPr>
              <w:t>2</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4182E6CC">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2A958A08">
            <w:pPr>
              <w:adjustRightInd w:val="0"/>
              <w:snapToGrid w:val="0"/>
              <w:spacing w:line="360" w:lineRule="auto"/>
              <w:jc w:val="center"/>
              <w:rPr>
                <w:rFonts w:hint="eastAsia"/>
                <w:color w:val="auto"/>
                <w:szCs w:val="21"/>
                <w:highlight w:val="none"/>
              </w:rPr>
            </w:pPr>
          </w:p>
        </w:tc>
      </w:tr>
      <w:tr w14:paraId="2C81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75DDF2E6">
            <w:pPr>
              <w:adjustRightInd w:val="0"/>
              <w:snapToGrid w:val="0"/>
              <w:spacing w:line="360" w:lineRule="auto"/>
              <w:jc w:val="center"/>
              <w:rPr>
                <w:rFonts w:hint="eastAsia"/>
                <w:color w:val="auto"/>
                <w:szCs w:val="21"/>
                <w:highlight w:val="none"/>
              </w:rPr>
            </w:pPr>
            <w:r>
              <w:rPr>
                <w:rFonts w:hint="eastAsia"/>
                <w:color w:val="auto"/>
                <w:szCs w:val="21"/>
                <w:highlight w:val="none"/>
              </w:rPr>
              <w:t>3</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29796B62">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0AB80F69">
            <w:pPr>
              <w:adjustRightInd w:val="0"/>
              <w:snapToGrid w:val="0"/>
              <w:spacing w:line="360" w:lineRule="auto"/>
              <w:jc w:val="center"/>
              <w:rPr>
                <w:rFonts w:hint="eastAsia"/>
                <w:color w:val="auto"/>
                <w:szCs w:val="21"/>
                <w:highlight w:val="none"/>
              </w:rPr>
            </w:pPr>
          </w:p>
        </w:tc>
      </w:tr>
      <w:tr w14:paraId="77BE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791F9D13">
            <w:pPr>
              <w:adjustRightInd w:val="0"/>
              <w:snapToGrid w:val="0"/>
              <w:spacing w:line="360" w:lineRule="auto"/>
              <w:jc w:val="center"/>
              <w:rPr>
                <w:rFonts w:hint="eastAsia"/>
                <w:color w:val="auto"/>
                <w:szCs w:val="21"/>
                <w:highlight w:val="none"/>
              </w:rPr>
            </w:pPr>
            <w:r>
              <w:rPr>
                <w:rFonts w:hint="eastAsia"/>
                <w:color w:val="auto"/>
                <w:szCs w:val="21"/>
                <w:highlight w:val="none"/>
              </w:rPr>
              <w:t>4</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70714971">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05C480D9">
            <w:pPr>
              <w:adjustRightInd w:val="0"/>
              <w:snapToGrid w:val="0"/>
              <w:spacing w:line="360" w:lineRule="auto"/>
              <w:jc w:val="center"/>
              <w:rPr>
                <w:rFonts w:hint="eastAsia"/>
                <w:color w:val="auto"/>
                <w:szCs w:val="21"/>
                <w:highlight w:val="none"/>
              </w:rPr>
            </w:pPr>
          </w:p>
        </w:tc>
      </w:tr>
      <w:tr w14:paraId="5C8C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768156EC">
            <w:pPr>
              <w:adjustRightInd w:val="0"/>
              <w:snapToGrid w:val="0"/>
              <w:spacing w:line="360" w:lineRule="auto"/>
              <w:jc w:val="center"/>
              <w:rPr>
                <w:rFonts w:hint="eastAsia"/>
                <w:color w:val="auto"/>
                <w:szCs w:val="21"/>
                <w:highlight w:val="none"/>
              </w:rPr>
            </w:pPr>
            <w:r>
              <w:rPr>
                <w:rFonts w:hint="eastAsia"/>
                <w:color w:val="auto"/>
                <w:szCs w:val="21"/>
                <w:highlight w:val="none"/>
              </w:rPr>
              <w:t>……</w:t>
            </w:r>
          </w:p>
        </w:tc>
        <w:tc>
          <w:tcPr>
            <w:tcW w:w="2225" w:type="pct"/>
            <w:tcBorders>
              <w:top w:val="single" w:color="auto" w:sz="6" w:space="0"/>
              <w:left w:val="single" w:color="auto" w:sz="4" w:space="0"/>
              <w:bottom w:val="single" w:color="auto" w:sz="4" w:space="0"/>
              <w:right w:val="single" w:color="auto" w:sz="6" w:space="0"/>
            </w:tcBorders>
            <w:noWrap w:val="0"/>
            <w:vAlign w:val="center"/>
          </w:tcPr>
          <w:p w14:paraId="73DD9A9A">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4" w:space="0"/>
              <w:right w:val="single" w:color="auto" w:sz="6" w:space="0"/>
            </w:tcBorders>
            <w:noWrap w:val="0"/>
            <w:vAlign w:val="center"/>
          </w:tcPr>
          <w:p w14:paraId="0173E3EE">
            <w:pPr>
              <w:adjustRightInd w:val="0"/>
              <w:snapToGrid w:val="0"/>
              <w:spacing w:line="360" w:lineRule="auto"/>
              <w:jc w:val="center"/>
              <w:rPr>
                <w:rFonts w:hint="eastAsia"/>
                <w:color w:val="auto"/>
                <w:szCs w:val="21"/>
                <w:highlight w:val="none"/>
              </w:rPr>
            </w:pPr>
          </w:p>
        </w:tc>
      </w:tr>
    </w:tbl>
    <w:p w14:paraId="615640A6">
      <w:pPr>
        <w:rPr>
          <w:rFonts w:hint="eastAsia"/>
          <w:color w:val="auto"/>
          <w:szCs w:val="21"/>
          <w:highlight w:val="none"/>
        </w:rPr>
      </w:pPr>
    </w:p>
    <w:p w14:paraId="1630DD9D">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 xml:space="preserve"> 日期：</w:t>
      </w:r>
    </w:p>
    <w:p w14:paraId="2770537A">
      <w:pPr>
        <w:pStyle w:val="47"/>
        <w:rPr>
          <w:rFonts w:hint="eastAsia" w:ascii="宋体" w:hAnsi="宋体" w:eastAsia="宋体" w:cs="宋体"/>
          <w:color w:val="auto"/>
          <w:highlight w:val="none"/>
        </w:rPr>
      </w:pPr>
    </w:p>
    <w:p w14:paraId="7119B06D">
      <w:pPr>
        <w:pStyle w:val="47"/>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1956DF">
      <w:pPr>
        <w:pStyle w:val="47"/>
        <w:jc w:val="center"/>
        <w:rPr>
          <w:rFonts w:hint="eastAsia" w:ascii="宋体" w:hAnsi="宋体" w:eastAsia="宋体" w:cs="宋体"/>
          <w:b/>
          <w:color w:val="auto"/>
          <w:sz w:val="28"/>
          <w:szCs w:val="28"/>
          <w:highlight w:val="none"/>
        </w:rPr>
      </w:pPr>
    </w:p>
    <w:p w14:paraId="1B7C5D61">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r>
        <w:rPr>
          <w:rFonts w:hint="eastAsia" w:ascii="宋体" w:hAnsi="宋体" w:eastAsia="宋体" w:cs="宋体"/>
          <w:b/>
          <w:bCs/>
          <w:color w:val="auto"/>
          <w:kern w:val="0"/>
          <w:sz w:val="28"/>
          <w:szCs w:val="28"/>
          <w:highlight w:val="none"/>
        </w:rPr>
        <w:t>票决定标选票</w:t>
      </w:r>
      <w:r>
        <w:rPr>
          <w:rFonts w:hint="eastAsia" w:ascii="宋体" w:hAnsi="宋体" w:eastAsia="宋体" w:cs="宋体"/>
          <w:b/>
          <w:color w:val="auto"/>
          <w:sz w:val="28"/>
          <w:szCs w:val="28"/>
          <w:highlight w:val="none"/>
        </w:rPr>
        <w:t>表</w:t>
      </w:r>
    </w:p>
    <w:p w14:paraId="57D40777">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（定标阶段-票数相同时定标委员会个人用表）</w:t>
      </w:r>
    </w:p>
    <w:p w14:paraId="41B343E0">
      <w:pPr>
        <w:pStyle w:val="47"/>
        <w:jc w:val="center"/>
        <w:rPr>
          <w:rFonts w:hint="eastAsia" w:ascii="宋体" w:hAnsi="宋体" w:eastAsia="宋体" w:cs="宋体"/>
          <w:b/>
          <w:color w:val="auto"/>
          <w:sz w:val="28"/>
          <w:szCs w:val="28"/>
          <w:highlight w:val="none"/>
        </w:rPr>
      </w:pPr>
    </w:p>
    <w:p w14:paraId="1C89371F">
      <w:pPr>
        <w:adjustRightInd w:val="0"/>
        <w:snapToGrid w:val="0"/>
        <w:spacing w:line="360" w:lineRule="auto"/>
        <w:rPr>
          <w:rFonts w:hint="eastAsia"/>
          <w:color w:val="auto"/>
          <w:highlight w:val="none"/>
        </w:rPr>
      </w:pPr>
      <w:r>
        <w:rPr>
          <w:rFonts w:hint="eastAsia"/>
          <w:color w:val="auto"/>
          <w:highlight w:val="none"/>
          <w:lang w:val="en-US" w:eastAsia="zh-CN"/>
        </w:rPr>
        <w:t>标段</w:t>
      </w:r>
      <w:r>
        <w:rPr>
          <w:rFonts w:hint="eastAsia"/>
          <w:color w:val="auto"/>
          <w:highlight w:val="none"/>
        </w:rPr>
        <w:t>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5FED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19ED0C24">
            <w:pPr>
              <w:spacing w:line="600" w:lineRule="exact"/>
              <w:jc w:val="center"/>
              <w:rPr>
                <w:rFonts w:hint="eastAsia"/>
                <w:color w:val="auto"/>
                <w:highlight w:val="none"/>
              </w:rPr>
            </w:pPr>
            <w:r>
              <w:rPr>
                <w:rFonts w:hint="eastAsia"/>
                <w:color w:val="auto"/>
                <w:highlight w:val="none"/>
              </w:rPr>
              <w:t>合格中标候选人名称</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4C0EA1E8">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26B75164">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32C4758A">
            <w:pPr>
              <w:spacing w:line="600" w:lineRule="exact"/>
              <w:jc w:val="center"/>
              <w:rPr>
                <w:rFonts w:hint="eastAsia"/>
                <w:color w:val="auto"/>
                <w:highlight w:val="none"/>
              </w:rPr>
            </w:pPr>
          </w:p>
        </w:tc>
      </w:tr>
      <w:tr w14:paraId="60AF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78954330">
            <w:pPr>
              <w:spacing w:line="600" w:lineRule="exact"/>
              <w:jc w:val="center"/>
              <w:rPr>
                <w:rFonts w:hint="eastAsia"/>
                <w:color w:val="auto"/>
                <w:szCs w:val="21"/>
                <w:highlight w:val="none"/>
              </w:rPr>
            </w:pPr>
            <w:r>
              <w:rPr>
                <w:rFonts w:hint="eastAsia"/>
                <w:color w:val="auto"/>
                <w:highlight w:val="none"/>
              </w:rPr>
              <w:t>票决意见</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235871E7">
            <w:pPr>
              <w:spacing w:line="600" w:lineRule="exact"/>
              <w:jc w:val="center"/>
              <w:rPr>
                <w:rFonts w:hint="eastAsia"/>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0745E32">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1BB3CD05">
            <w:pPr>
              <w:spacing w:line="600" w:lineRule="exact"/>
              <w:jc w:val="center"/>
              <w:rPr>
                <w:rFonts w:hint="eastAsia"/>
                <w:color w:val="auto"/>
                <w:highlight w:val="none"/>
              </w:rPr>
            </w:pPr>
          </w:p>
        </w:tc>
      </w:tr>
    </w:tbl>
    <w:p w14:paraId="580896C1">
      <w:pPr>
        <w:pStyle w:val="47"/>
        <w:rPr>
          <w:rFonts w:hint="eastAsia" w:ascii="宋体" w:hAnsi="宋体" w:eastAsia="宋体" w:cs="宋体"/>
          <w:color w:val="auto"/>
          <w:kern w:val="0"/>
          <w:szCs w:val="21"/>
          <w:highlight w:val="none"/>
        </w:rPr>
      </w:pPr>
    </w:p>
    <w:p w14:paraId="56A2718C">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 xml:space="preserve">                     日期：</w:t>
      </w:r>
    </w:p>
    <w:p w14:paraId="19A7768E">
      <w:pPr>
        <w:pStyle w:val="47"/>
        <w:rPr>
          <w:rFonts w:hint="eastAsia" w:ascii="宋体" w:hAnsi="宋体" w:eastAsia="宋体" w:cs="宋体"/>
          <w:color w:val="auto"/>
          <w:highlight w:val="none"/>
        </w:rPr>
      </w:pPr>
    </w:p>
    <w:p w14:paraId="01370A4D">
      <w:pPr>
        <w:pStyle w:val="47"/>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7CE075D3">
      <w:pPr>
        <w:pStyle w:val="47"/>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1、本表用于投票出现票数相同的情况。</w:t>
      </w:r>
    </w:p>
    <w:p w14:paraId="705FD372">
      <w:pPr>
        <w:pStyle w:val="47"/>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由定标委员会成员进行附加投票，票决意见分别为“投票”或“不投票”，各定标委员会成员只有1票表决权（即只能对其中一名合格中标候选人“投票”），票决意见为“投票”的，用“○”表示；票决意见为“不投票”，用“×”表示。</w:t>
      </w:r>
    </w:p>
    <w:p w14:paraId="4B412898">
      <w:pPr>
        <w:pStyle w:val="47"/>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D9A9AC">
      <w:pPr>
        <w:pStyle w:val="47"/>
        <w:jc w:val="center"/>
        <w:rPr>
          <w:rFonts w:hint="eastAsia" w:ascii="宋体" w:hAnsi="宋体" w:eastAsia="宋体" w:cs="宋体"/>
          <w:b/>
          <w:color w:val="auto"/>
          <w:sz w:val="28"/>
          <w:szCs w:val="28"/>
          <w:highlight w:val="none"/>
        </w:rPr>
      </w:pPr>
    </w:p>
    <w:p w14:paraId="3856662A">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bookmarkStart w:id="109" w:name="突出显示"/>
      <w:r>
        <w:rPr>
          <w:rFonts w:hint="eastAsia" w:ascii="宋体" w:hAnsi="宋体" w:eastAsia="宋体" w:cs="宋体"/>
          <w:b/>
          <w:bCs/>
          <w:color w:val="auto"/>
          <w:kern w:val="0"/>
          <w:sz w:val="28"/>
          <w:szCs w:val="28"/>
          <w:highlight w:val="none"/>
        </w:rPr>
        <w:t>票决</w:t>
      </w:r>
      <w:bookmarkEnd w:id="109"/>
      <w:r>
        <w:rPr>
          <w:rFonts w:hint="eastAsia" w:ascii="宋体" w:hAnsi="宋体" w:eastAsia="宋体" w:cs="宋体"/>
          <w:b/>
          <w:bCs/>
          <w:color w:val="auto"/>
          <w:kern w:val="0"/>
          <w:sz w:val="28"/>
          <w:szCs w:val="28"/>
          <w:highlight w:val="none"/>
        </w:rPr>
        <w:t>定标选票汇总</w:t>
      </w:r>
      <w:r>
        <w:rPr>
          <w:rFonts w:hint="eastAsia" w:ascii="宋体" w:hAnsi="宋体" w:eastAsia="宋体" w:cs="宋体"/>
          <w:b/>
          <w:color w:val="auto"/>
          <w:sz w:val="28"/>
          <w:szCs w:val="28"/>
          <w:highlight w:val="none"/>
        </w:rPr>
        <w:t>表</w:t>
      </w:r>
    </w:p>
    <w:p w14:paraId="4DC720F9">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（定标阶段-票数相同时定标委员会汇总用表）</w:t>
      </w:r>
    </w:p>
    <w:p w14:paraId="2BBE014D">
      <w:pPr>
        <w:pStyle w:val="47"/>
        <w:jc w:val="center"/>
        <w:rPr>
          <w:rFonts w:hint="eastAsia" w:ascii="宋体" w:hAnsi="宋体" w:eastAsia="宋体" w:cs="宋体"/>
          <w:b/>
          <w:color w:val="auto"/>
          <w:sz w:val="28"/>
          <w:szCs w:val="28"/>
          <w:highlight w:val="none"/>
        </w:rPr>
      </w:pPr>
    </w:p>
    <w:p w14:paraId="31AFE32F">
      <w:pPr>
        <w:adjustRightInd w:val="0"/>
        <w:snapToGrid w:val="0"/>
        <w:spacing w:line="360" w:lineRule="auto"/>
        <w:rPr>
          <w:rFonts w:hint="eastAsia"/>
          <w:color w:val="auto"/>
          <w:highlight w:val="none"/>
          <w:u w:val="none"/>
        </w:rPr>
      </w:pPr>
      <w:r>
        <w:rPr>
          <w:rFonts w:hint="eastAsia"/>
          <w:color w:val="auto"/>
          <w:highlight w:val="none"/>
          <w:u w:val="none"/>
          <w:lang w:val="en-US" w:eastAsia="zh-CN"/>
        </w:rPr>
        <w:t>标段</w:t>
      </w:r>
      <w:r>
        <w:rPr>
          <w:rFonts w:hint="eastAsia"/>
          <w:color w:val="auto"/>
          <w:highlight w:val="none"/>
          <w:u w:val="none"/>
        </w:rPr>
        <w:t>名称：</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5243"/>
        <w:gridCol w:w="2280"/>
      </w:tblGrid>
      <w:tr w14:paraId="69CC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1935BA33">
            <w:pPr>
              <w:jc w:val="center"/>
              <w:rPr>
                <w:rFonts w:hint="eastAsia"/>
                <w:color w:val="auto"/>
                <w:highlight w:val="none"/>
              </w:rPr>
            </w:pPr>
            <w:r>
              <w:rPr>
                <w:rFonts w:hint="eastAsia"/>
                <w:color w:val="auto"/>
                <w:highlight w:val="none"/>
              </w:rPr>
              <w:t>序号</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67E48006">
            <w:pPr>
              <w:jc w:val="center"/>
              <w:rPr>
                <w:rFonts w:hint="eastAsia"/>
                <w:color w:val="auto"/>
                <w:highlight w:val="none"/>
              </w:rPr>
            </w:pPr>
            <w:r>
              <w:rPr>
                <w:rFonts w:hint="eastAsia"/>
                <w:color w:val="auto"/>
                <w:highlight w:val="none"/>
              </w:rPr>
              <w:t>合格中标候选人名称</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2545ABFB">
            <w:pPr>
              <w:jc w:val="center"/>
              <w:rPr>
                <w:rFonts w:hint="eastAsia"/>
                <w:color w:val="auto"/>
                <w:szCs w:val="21"/>
                <w:highlight w:val="none"/>
              </w:rPr>
            </w:pPr>
            <w:r>
              <w:rPr>
                <w:rFonts w:hint="eastAsia"/>
                <w:color w:val="auto"/>
                <w:szCs w:val="21"/>
                <w:highlight w:val="none"/>
              </w:rPr>
              <w:t>得票数</w:t>
            </w:r>
          </w:p>
        </w:tc>
      </w:tr>
      <w:tr w14:paraId="6EB6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27E1D25C">
            <w:pPr>
              <w:jc w:val="center"/>
              <w:rPr>
                <w:rFonts w:hint="eastAsia"/>
                <w:color w:val="auto"/>
                <w:highlight w:val="none"/>
              </w:rPr>
            </w:pPr>
            <w:r>
              <w:rPr>
                <w:rFonts w:hint="eastAsia"/>
                <w:color w:val="auto"/>
                <w:highlight w:val="none"/>
              </w:rPr>
              <w:t>1</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68017C7F">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DDF78E6">
            <w:pPr>
              <w:jc w:val="center"/>
              <w:rPr>
                <w:rFonts w:hint="eastAsia"/>
                <w:color w:val="auto"/>
                <w:highlight w:val="none"/>
              </w:rPr>
            </w:pPr>
          </w:p>
        </w:tc>
      </w:tr>
      <w:tr w14:paraId="7B8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04EE869C">
            <w:pPr>
              <w:jc w:val="center"/>
              <w:rPr>
                <w:rFonts w:hint="eastAsia"/>
                <w:color w:val="auto"/>
                <w:highlight w:val="none"/>
              </w:rPr>
            </w:pPr>
            <w:r>
              <w:rPr>
                <w:rFonts w:hint="eastAsia"/>
                <w:color w:val="auto"/>
                <w:highlight w:val="none"/>
              </w:rPr>
              <w:t>2</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707AED14">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0E8CB62C">
            <w:pPr>
              <w:jc w:val="center"/>
              <w:rPr>
                <w:rFonts w:hint="eastAsia"/>
                <w:color w:val="auto"/>
                <w:highlight w:val="none"/>
              </w:rPr>
            </w:pPr>
          </w:p>
        </w:tc>
      </w:tr>
      <w:tr w14:paraId="61E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6E9452A5">
            <w:pPr>
              <w:jc w:val="center"/>
              <w:rPr>
                <w:rFonts w:hint="eastAsia"/>
                <w:color w:val="auto"/>
                <w:highlight w:val="none"/>
              </w:rPr>
            </w:pPr>
            <w:r>
              <w:rPr>
                <w:rFonts w:hint="eastAsia"/>
                <w:color w:val="auto"/>
                <w:highlight w:val="none"/>
              </w:rPr>
              <w:t>3</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6C768D49">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4678153">
            <w:pPr>
              <w:jc w:val="center"/>
              <w:rPr>
                <w:rFonts w:hint="eastAsia"/>
                <w:color w:val="auto"/>
                <w:highlight w:val="none"/>
              </w:rPr>
            </w:pPr>
          </w:p>
        </w:tc>
      </w:tr>
      <w:tr w14:paraId="41B8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948D952">
            <w:pPr>
              <w:jc w:val="center"/>
              <w:rPr>
                <w:rFonts w:hint="eastAsia"/>
                <w:color w:val="auto"/>
                <w:highlight w:val="none"/>
              </w:rPr>
            </w:pPr>
            <w:r>
              <w:rPr>
                <w:rFonts w:hint="eastAsia"/>
                <w:color w:val="auto"/>
                <w:highlight w:val="none"/>
              </w:rPr>
              <w:t>4</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2A2052E6">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6E50A38A">
            <w:pPr>
              <w:jc w:val="center"/>
              <w:rPr>
                <w:rFonts w:hint="eastAsia"/>
                <w:color w:val="auto"/>
                <w:highlight w:val="none"/>
              </w:rPr>
            </w:pPr>
          </w:p>
        </w:tc>
      </w:tr>
      <w:tr w14:paraId="5CF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6492567F">
            <w:pPr>
              <w:jc w:val="center"/>
              <w:rPr>
                <w:rFonts w:hint="eastAsia"/>
                <w:color w:val="auto"/>
                <w:highlight w:val="none"/>
              </w:rPr>
            </w:pPr>
            <w:r>
              <w:rPr>
                <w:rFonts w:hint="eastAsia"/>
                <w:color w:val="auto"/>
                <w:highlight w:val="none"/>
              </w:rPr>
              <w:t>……</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5264A8D">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3DC3EE2">
            <w:pPr>
              <w:jc w:val="center"/>
              <w:rPr>
                <w:rFonts w:hint="eastAsia"/>
                <w:color w:val="auto"/>
                <w:highlight w:val="none"/>
              </w:rPr>
            </w:pPr>
          </w:p>
        </w:tc>
      </w:tr>
    </w:tbl>
    <w:p w14:paraId="3138B540">
      <w:pPr>
        <w:pStyle w:val="47"/>
        <w:rPr>
          <w:rFonts w:hint="eastAsia" w:ascii="宋体" w:hAnsi="宋体" w:eastAsia="宋体" w:cs="宋体"/>
          <w:color w:val="auto"/>
          <w:kern w:val="0"/>
          <w:szCs w:val="21"/>
          <w:highlight w:val="none"/>
        </w:rPr>
      </w:pPr>
    </w:p>
    <w:p w14:paraId="3C873347">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日期：</w:t>
      </w:r>
    </w:p>
    <w:p w14:paraId="6F27BFC5">
      <w:pPr>
        <w:rPr>
          <w:rFonts w:hint="eastAsia"/>
          <w:color w:val="auto"/>
          <w:highlight w:val="none"/>
        </w:rPr>
      </w:pPr>
      <w:r>
        <w:rPr>
          <w:rFonts w:hint="eastAsia"/>
          <w:color w:val="auto"/>
          <w:highlight w:val="none"/>
        </w:rPr>
        <w:br w:type="page"/>
      </w:r>
    </w:p>
    <w:p w14:paraId="08CB122A">
      <w:pPr>
        <w:jc w:val="center"/>
        <w:rPr>
          <w:rFonts w:hint="eastAsia" w:ascii="宋体" w:hAnsi="宋体" w:cs="宋体"/>
          <w:b/>
          <w:color w:val="auto"/>
          <w:sz w:val="36"/>
          <w:szCs w:val="36"/>
          <w:highlight w:val="none"/>
        </w:rPr>
      </w:pPr>
    </w:p>
    <w:p w14:paraId="6308B5F3">
      <w:pPr>
        <w:jc w:val="center"/>
        <w:rPr>
          <w:rFonts w:hint="eastAsia"/>
          <w:color w:val="auto"/>
          <w:highlight w:val="none"/>
        </w:rPr>
      </w:pPr>
      <w:r>
        <w:rPr>
          <w:rFonts w:hint="eastAsia"/>
          <w:b/>
          <w:bCs/>
          <w:color w:val="auto"/>
          <w:sz w:val="32"/>
          <w:highlight w:val="none"/>
        </w:rPr>
        <w:t>定标阶段各合格中标候选人评语</w:t>
      </w:r>
    </w:p>
    <w:p w14:paraId="3D3210E2">
      <w:pPr>
        <w:rPr>
          <w:rFonts w:hint="eastAsia"/>
          <w:color w:val="auto"/>
          <w:highlight w:val="none"/>
          <w:u w:val="none"/>
        </w:rPr>
      </w:pPr>
      <w:r>
        <w:rPr>
          <w:rFonts w:hint="eastAsia"/>
          <w:color w:val="auto"/>
          <w:highlight w:val="none"/>
          <w:u w:val="none"/>
          <w:lang w:val="en-US" w:eastAsia="zh-CN"/>
        </w:rPr>
        <w:t>标段</w:t>
      </w:r>
      <w:r>
        <w:rPr>
          <w:rFonts w:hint="eastAsia"/>
          <w:color w:val="auto"/>
          <w:highlight w:val="none"/>
          <w:u w:val="none"/>
        </w:rPr>
        <w:t>名称：</w:t>
      </w:r>
    </w:p>
    <w:tbl>
      <w:tblPr>
        <w:tblStyle w:val="27"/>
        <w:tblW w:w="985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9"/>
        <w:gridCol w:w="5533"/>
      </w:tblGrid>
      <w:tr w14:paraId="6535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6D3330B0">
            <w:pPr>
              <w:jc w:val="center"/>
              <w:rPr>
                <w:rFonts w:hint="eastAsia"/>
                <w:b/>
                <w:color w:val="auto"/>
                <w:highlight w:val="none"/>
                <w:u w:val="single"/>
              </w:rPr>
            </w:pPr>
            <w:r>
              <w:rPr>
                <w:rFonts w:hint="eastAsia"/>
                <w:b/>
                <w:color w:val="auto"/>
                <w:highlight w:val="none"/>
                <w:u w:val="single"/>
              </w:rPr>
              <w:t>合格中标候选人名称</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D5A778B">
            <w:pPr>
              <w:jc w:val="center"/>
              <w:rPr>
                <w:rFonts w:hint="eastAsia"/>
                <w:b/>
                <w:color w:val="auto"/>
                <w:highlight w:val="none"/>
                <w:u w:val="single"/>
              </w:rPr>
            </w:pPr>
            <w:r>
              <w:rPr>
                <w:rFonts w:hint="eastAsia"/>
                <w:b/>
                <w:color w:val="auto"/>
                <w:highlight w:val="none"/>
                <w:u w:val="single"/>
              </w:rPr>
              <w:t>评    语</w:t>
            </w:r>
          </w:p>
        </w:tc>
      </w:tr>
      <w:tr w14:paraId="2D4F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5EC34ED8">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16E27D12">
            <w:pPr>
              <w:rPr>
                <w:rFonts w:hint="eastAsia"/>
                <w:color w:val="auto"/>
                <w:highlight w:val="none"/>
                <w:u w:val="single"/>
              </w:rPr>
            </w:pPr>
          </w:p>
        </w:tc>
      </w:tr>
      <w:tr w14:paraId="618F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601A2E14">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5AC8733">
            <w:pPr>
              <w:rPr>
                <w:rFonts w:hint="eastAsia"/>
                <w:color w:val="auto"/>
                <w:highlight w:val="none"/>
                <w:u w:val="single"/>
              </w:rPr>
            </w:pPr>
          </w:p>
        </w:tc>
      </w:tr>
      <w:tr w14:paraId="36A4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13DE7264">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39FF795">
            <w:pPr>
              <w:rPr>
                <w:rFonts w:hint="eastAsia"/>
                <w:color w:val="auto"/>
                <w:highlight w:val="none"/>
                <w:u w:val="single"/>
              </w:rPr>
            </w:pPr>
          </w:p>
        </w:tc>
      </w:tr>
      <w:tr w14:paraId="13AF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284E0ED8">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3C274EE">
            <w:pPr>
              <w:rPr>
                <w:rFonts w:hint="eastAsia"/>
                <w:color w:val="auto"/>
                <w:highlight w:val="none"/>
                <w:u w:val="single"/>
              </w:rPr>
            </w:pPr>
          </w:p>
        </w:tc>
      </w:tr>
      <w:tr w14:paraId="0128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455086DA">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6F9E211">
            <w:pPr>
              <w:rPr>
                <w:rFonts w:hint="eastAsia"/>
                <w:color w:val="auto"/>
                <w:highlight w:val="none"/>
                <w:u w:val="single"/>
              </w:rPr>
            </w:pPr>
          </w:p>
        </w:tc>
      </w:tr>
      <w:tr w14:paraId="368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25CA21E9">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93ED890">
            <w:pPr>
              <w:rPr>
                <w:rFonts w:hint="eastAsia"/>
                <w:color w:val="auto"/>
                <w:highlight w:val="none"/>
                <w:u w:val="single"/>
              </w:rPr>
            </w:pPr>
          </w:p>
        </w:tc>
      </w:tr>
      <w:tr w14:paraId="3B70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535171BC">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9B92A8F">
            <w:pPr>
              <w:rPr>
                <w:rFonts w:hint="eastAsia"/>
                <w:color w:val="auto"/>
                <w:highlight w:val="none"/>
                <w:u w:val="single"/>
              </w:rPr>
            </w:pPr>
          </w:p>
        </w:tc>
      </w:tr>
      <w:tr w14:paraId="44BD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17E62153">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2CE5770B">
            <w:pPr>
              <w:rPr>
                <w:rFonts w:hint="eastAsia"/>
                <w:color w:val="auto"/>
                <w:highlight w:val="none"/>
                <w:u w:val="single"/>
              </w:rPr>
            </w:pPr>
          </w:p>
        </w:tc>
      </w:tr>
    </w:tbl>
    <w:p w14:paraId="60C0FDC7">
      <w:pPr>
        <w:adjustRightInd w:val="0"/>
        <w:snapToGrid w:val="0"/>
        <w:spacing w:line="360" w:lineRule="auto"/>
        <w:ind w:right="713" w:rightChars="297" w:firstLine="480" w:firstLineChars="200"/>
        <w:rPr>
          <w:rFonts w:hint="eastAsia"/>
          <w:b/>
          <w:bCs/>
          <w:color w:val="auto"/>
          <w:sz w:val="28"/>
          <w:szCs w:val="28"/>
          <w:highlight w:val="none"/>
        </w:rPr>
      </w:pPr>
      <w:r>
        <w:rPr>
          <w:rFonts w:hint="eastAsia"/>
          <w:color w:val="auto"/>
          <w:highlight w:val="none"/>
        </w:rPr>
        <w:t xml:space="preserve">定标委员签名：          </w:t>
      </w:r>
      <w:r>
        <w:rPr>
          <w:rFonts w:hint="eastAsia"/>
          <w:color w:val="auto"/>
          <w:highlight w:val="none"/>
          <w:lang w:val="en-US" w:eastAsia="zh-CN"/>
        </w:rPr>
        <w:t xml:space="preserve">                                  </w:t>
      </w:r>
      <w:r>
        <w:rPr>
          <w:rFonts w:hint="eastAsia"/>
          <w:color w:val="auto"/>
          <w:highlight w:val="none"/>
        </w:rPr>
        <w:t xml:space="preserve">                       日期：     </w:t>
      </w:r>
    </w:p>
    <w:p w14:paraId="4F59043D">
      <w:pPr>
        <w:pStyle w:val="47"/>
        <w:rPr>
          <w:rFonts w:hint="eastAsia" w:ascii="宋体" w:hAnsi="宋体" w:eastAsia="宋体" w:cs="宋体"/>
          <w:color w:val="auto"/>
          <w:highlight w:val="none"/>
        </w:rPr>
      </w:pPr>
    </w:p>
    <w:p w14:paraId="0E69F208">
      <w:pPr>
        <w:pStyle w:val="47"/>
        <w:rPr>
          <w:rFonts w:hint="eastAsia" w:ascii="宋体" w:hAnsi="宋体" w:eastAsia="宋体" w:cs="宋体"/>
          <w:color w:val="auto"/>
          <w:highlight w:val="none"/>
        </w:rPr>
      </w:pPr>
      <w:r>
        <w:rPr>
          <w:rFonts w:hint="eastAsia" w:ascii="宋体" w:hAnsi="宋体" w:eastAsia="宋体" w:cs="宋体"/>
          <w:color w:val="auto"/>
          <w:highlight w:val="none"/>
        </w:rPr>
        <w:t>注：由定标委员会各成员依据招标文件中列出的各定标因素，给予进入定标环节的各合格中标候选人客观实际的评语，并作为投票依据。</w:t>
      </w:r>
    </w:p>
    <w:p w14:paraId="3302F4BA">
      <w:pPr>
        <w:jc w:val="center"/>
        <w:rPr>
          <w:rFonts w:hint="eastAsia" w:ascii="宋体" w:hAnsi="宋体" w:cs="宋体"/>
          <w:b/>
          <w:color w:val="auto"/>
          <w:sz w:val="36"/>
          <w:szCs w:val="36"/>
          <w:highlight w:val="none"/>
        </w:rPr>
      </w:pPr>
    </w:p>
    <w:p w14:paraId="1A826008">
      <w:pPr>
        <w:pStyle w:val="24"/>
        <w:rPr>
          <w:rFonts w:hint="eastAsia" w:ascii="宋体" w:hAnsi="宋体" w:eastAsia="宋体" w:cs="宋体"/>
          <w:b/>
          <w:color w:val="auto"/>
          <w:sz w:val="36"/>
          <w:szCs w:val="36"/>
          <w:highlight w:val="none"/>
        </w:rPr>
      </w:pPr>
    </w:p>
    <w:p w14:paraId="13597FA3">
      <w:pPr>
        <w:pStyle w:val="25"/>
        <w:ind w:firstLine="723"/>
        <w:rPr>
          <w:rFonts w:hint="eastAsia" w:ascii="宋体" w:hAnsi="宋体" w:cs="宋体"/>
          <w:b/>
          <w:color w:val="auto"/>
          <w:sz w:val="36"/>
          <w:szCs w:val="36"/>
          <w:highlight w:val="none"/>
        </w:rPr>
      </w:pPr>
    </w:p>
    <w:p w14:paraId="02F95690">
      <w:pPr>
        <w:pStyle w:val="26"/>
        <w:ind w:firstLine="723"/>
        <w:rPr>
          <w:rFonts w:hint="eastAsia" w:ascii="宋体" w:hAnsi="宋体" w:cs="宋体"/>
          <w:b/>
          <w:color w:val="auto"/>
          <w:sz w:val="36"/>
          <w:szCs w:val="36"/>
          <w:highlight w:val="none"/>
        </w:rPr>
      </w:pPr>
    </w:p>
    <w:p w14:paraId="25B9826F">
      <w:pPr>
        <w:rPr>
          <w:rFonts w:hint="eastAsia" w:ascii="宋体" w:hAnsi="宋体" w:cs="宋体"/>
          <w:b/>
          <w:color w:val="auto"/>
          <w:sz w:val="36"/>
          <w:szCs w:val="36"/>
          <w:highlight w:val="none"/>
        </w:rPr>
      </w:pPr>
    </w:p>
    <w:p w14:paraId="0F492DA9">
      <w:pPr>
        <w:pStyle w:val="24"/>
        <w:rPr>
          <w:rFonts w:hint="eastAsia" w:ascii="宋体" w:hAnsi="宋体" w:eastAsia="宋体" w:cs="宋体"/>
          <w:color w:val="auto"/>
          <w:highlight w:val="none"/>
        </w:rPr>
      </w:pPr>
    </w:p>
    <w:p w14:paraId="2D47676A">
      <w:pPr>
        <w:pStyle w:val="23"/>
        <w:rPr>
          <w:rFonts w:hint="eastAsia" w:ascii="宋体" w:hAnsi="宋体"/>
          <w:color w:val="auto"/>
          <w:sz w:val="36"/>
          <w:szCs w:val="36"/>
          <w:highlight w:val="none"/>
        </w:rPr>
      </w:pPr>
      <w:r>
        <w:rPr>
          <w:rFonts w:hint="eastAsia" w:ascii="宋体" w:hAnsi="宋体"/>
          <w:color w:val="auto"/>
          <w:sz w:val="36"/>
          <w:szCs w:val="36"/>
          <w:highlight w:val="none"/>
        </w:rPr>
        <w:t>定标委员评语表</w:t>
      </w:r>
    </w:p>
    <w:p w14:paraId="6CB6D2CF">
      <w:pPr>
        <w:pStyle w:val="39"/>
        <w:rPr>
          <w:rFonts w:hint="eastAsia"/>
          <w:color w:val="auto"/>
          <w:highlight w:val="none"/>
        </w:rPr>
      </w:pPr>
    </w:p>
    <w:p w14:paraId="583D196F">
      <w:pPr>
        <w:pStyle w:val="39"/>
        <w:spacing w:line="360" w:lineRule="auto"/>
        <w:jc w:val="left"/>
        <w:rPr>
          <w:rFonts w:hint="eastAsia" w:ascii="宋体" w:hAnsi="宋体" w:cs="宋体"/>
          <w:b w:val="0"/>
          <w:color w:val="auto"/>
          <w:highlight w:val="none"/>
        </w:rPr>
      </w:pPr>
      <w:r>
        <w:rPr>
          <w:rFonts w:hint="eastAsia" w:ascii="宋体" w:hAnsi="宋体" w:cs="宋体"/>
          <w:b w:val="0"/>
          <w:color w:val="auto"/>
          <w:highlight w:val="none"/>
          <w:lang w:val="en-US" w:eastAsia="zh-CN"/>
        </w:rPr>
        <w:t>标段</w:t>
      </w:r>
      <w:r>
        <w:rPr>
          <w:rFonts w:hint="eastAsia" w:ascii="宋体" w:hAnsi="宋体" w:cs="宋体"/>
          <w:b w:val="0"/>
          <w:color w:val="auto"/>
          <w:highlight w:val="none"/>
        </w:rPr>
        <w:t>名称：</w:t>
      </w:r>
    </w:p>
    <w:p w14:paraId="0AC12C05">
      <w:pPr>
        <w:pStyle w:val="39"/>
        <w:spacing w:line="360" w:lineRule="auto"/>
        <w:jc w:val="left"/>
        <w:rPr>
          <w:rFonts w:hint="eastAsia" w:ascii="宋体" w:hAnsi="宋体" w:cs="宋体"/>
          <w:b w:val="0"/>
          <w:color w:val="auto"/>
          <w:highlight w:val="none"/>
        </w:rPr>
      </w:pPr>
      <w:r>
        <w:rPr>
          <w:rFonts w:hint="eastAsia" w:ascii="宋体" w:hAnsi="宋体" w:cs="宋体"/>
          <w:b w:val="0"/>
          <w:color w:val="auto"/>
          <w:highlight w:val="none"/>
        </w:rPr>
        <w:t>合格中标候选人名称：</w:t>
      </w:r>
    </w:p>
    <w:tbl>
      <w:tblPr>
        <w:tblStyle w:val="27"/>
        <w:tblW w:w="975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205"/>
        <w:gridCol w:w="2091"/>
        <w:gridCol w:w="3589"/>
      </w:tblGrid>
      <w:tr w14:paraId="4B85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7156844C">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31BE482E">
            <w:pPr>
              <w:jc w:val="center"/>
              <w:rPr>
                <w:rFonts w:hint="eastAsia" w:ascii="宋体" w:hAnsi="宋体" w:cs="宋体"/>
                <w:b/>
                <w:bCs/>
                <w:color w:val="auto"/>
                <w:highlight w:val="none"/>
              </w:rPr>
            </w:pPr>
            <w:r>
              <w:rPr>
                <w:rFonts w:hint="eastAsia" w:ascii="宋体" w:hAnsi="宋体" w:cs="宋体"/>
                <w:b/>
                <w:bCs/>
                <w:color w:val="auto"/>
                <w:highlight w:val="none"/>
              </w:rPr>
              <w:t>定标因素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5277D67C">
            <w:pPr>
              <w:jc w:val="center"/>
              <w:rPr>
                <w:rFonts w:hint="eastAsia" w:ascii="宋体" w:hAnsi="宋体" w:cs="宋体"/>
                <w:b/>
                <w:bCs/>
                <w:color w:val="auto"/>
                <w:highlight w:val="none"/>
              </w:rPr>
            </w:pPr>
            <w:r>
              <w:rPr>
                <w:rFonts w:hint="eastAsia" w:ascii="宋体" w:hAnsi="宋体" w:cs="宋体"/>
                <w:b/>
                <w:bCs/>
                <w:color w:val="auto"/>
                <w:highlight w:val="none"/>
              </w:rPr>
              <w:t>定标因素结论</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974C2E4">
            <w:pPr>
              <w:jc w:val="center"/>
              <w:rPr>
                <w:rFonts w:hint="eastAsia" w:ascii="宋体" w:hAnsi="宋体" w:cs="宋体"/>
                <w:b/>
                <w:bCs/>
                <w:color w:val="auto"/>
                <w:highlight w:val="none"/>
              </w:rPr>
            </w:pPr>
            <w:r>
              <w:rPr>
                <w:rFonts w:hint="eastAsia" w:ascii="宋体" w:hAnsi="宋体" w:cs="宋体"/>
                <w:b/>
                <w:bCs/>
                <w:color w:val="auto"/>
                <w:highlight w:val="none"/>
              </w:rPr>
              <w:t>定标委员评语</w:t>
            </w:r>
          </w:p>
        </w:tc>
      </w:tr>
      <w:tr w14:paraId="5797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3F9EB48F">
            <w:pPr>
              <w:jc w:val="center"/>
              <w:rPr>
                <w:rFonts w:hint="eastAsia" w:ascii="宋体" w:hAnsi="宋体" w:cs="宋体"/>
                <w:b/>
                <w:bCs/>
                <w:color w:val="auto"/>
                <w:highlight w:val="none"/>
              </w:rPr>
            </w:pPr>
            <w:r>
              <w:rPr>
                <w:rFonts w:hint="eastAsia" w:ascii="宋体" w:hAnsi="宋体" w:cs="宋体"/>
                <w:b/>
                <w:bCs/>
                <w:color w:val="auto"/>
                <w:highlight w:val="none"/>
              </w:rPr>
              <w:t>1</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1B1EE53E">
            <w:pPr>
              <w:spacing w:line="360" w:lineRule="auto"/>
              <w:jc w:val="center"/>
              <w:rPr>
                <w:rFonts w:hint="eastAsia" w:ascii="宋体" w:hAnsi="宋体" w:cs="宋体"/>
                <w:b/>
                <w:bCs/>
                <w:color w:val="auto"/>
                <w:sz w:val="24"/>
                <w:szCs w:val="32"/>
                <w:highlight w:val="none"/>
              </w:rPr>
            </w:pPr>
            <w:r>
              <w:rPr>
                <w:rFonts w:hint="eastAsia" w:ascii="宋体" w:hAnsi="宋体" w:cs="宋体"/>
                <w:color w:val="auto"/>
                <w:sz w:val="24"/>
                <w:highlight w:val="none"/>
              </w:rPr>
              <w:t>价格因素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0C02A6F">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393D2E3B">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0EE92EB8">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FCE184B">
            <w:pPr>
              <w:spacing w:line="360" w:lineRule="auto"/>
              <w:rPr>
                <w:rFonts w:hint="eastAsia" w:ascii="宋体" w:hAnsi="宋体" w:cs="宋体"/>
                <w:b/>
                <w:bCs/>
                <w:color w:val="auto"/>
                <w:highlight w:val="none"/>
              </w:rPr>
            </w:pPr>
          </w:p>
        </w:tc>
      </w:tr>
      <w:tr w14:paraId="5A6B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3530E5B9">
            <w:pPr>
              <w:jc w:val="center"/>
              <w:rPr>
                <w:rFonts w:hint="eastAsia" w:ascii="宋体" w:hAnsi="宋体" w:cs="宋体"/>
                <w:b/>
                <w:bCs/>
                <w:color w:val="auto"/>
                <w:highlight w:val="none"/>
              </w:rPr>
            </w:pPr>
            <w:r>
              <w:rPr>
                <w:rFonts w:hint="eastAsia" w:ascii="宋体" w:hAnsi="宋体" w:cs="宋体"/>
                <w:b/>
                <w:bCs/>
                <w:color w:val="auto"/>
                <w:highlight w:val="none"/>
              </w:rPr>
              <w:t>2</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5F148D1F">
            <w:pPr>
              <w:spacing w:line="360" w:lineRule="auto"/>
              <w:jc w:val="center"/>
              <w:rPr>
                <w:rFonts w:hint="eastAsia" w:ascii="宋体" w:hAnsi="宋体" w:cs="宋体"/>
                <w:color w:val="auto"/>
                <w:sz w:val="24"/>
                <w:szCs w:val="32"/>
                <w:highlight w:val="none"/>
              </w:rPr>
            </w:pPr>
            <w:r>
              <w:rPr>
                <w:rFonts w:hint="eastAsia" w:ascii="宋体" w:hAnsi="宋体" w:cs="宋体"/>
                <w:color w:val="auto"/>
                <w:sz w:val="24"/>
                <w:highlight w:val="none"/>
              </w:rPr>
              <w:t>方案因素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468D08D8">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31609B49">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39F1A3E1">
            <w:pPr>
              <w:spacing w:line="360" w:lineRule="auto"/>
              <w:jc w:val="center"/>
              <w:rPr>
                <w:rFonts w:hint="eastAsia" w:ascii="宋体" w:hAnsi="宋体" w:cs="宋体"/>
                <w:color w:val="auto"/>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E988D4C">
            <w:pPr>
              <w:spacing w:line="360" w:lineRule="auto"/>
              <w:rPr>
                <w:rFonts w:hint="eastAsia" w:ascii="宋体" w:hAnsi="宋体" w:cs="宋体"/>
                <w:color w:val="auto"/>
                <w:highlight w:val="none"/>
              </w:rPr>
            </w:pPr>
          </w:p>
        </w:tc>
      </w:tr>
      <w:tr w14:paraId="5833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60212FBB">
            <w:pPr>
              <w:jc w:val="center"/>
              <w:rPr>
                <w:rFonts w:hint="eastAsia" w:ascii="宋体" w:hAnsi="宋体" w:cs="宋体"/>
                <w:b/>
                <w:bCs/>
                <w:color w:val="auto"/>
                <w:highlight w:val="none"/>
              </w:rPr>
            </w:pPr>
            <w:r>
              <w:rPr>
                <w:rFonts w:hint="eastAsia" w:ascii="宋体" w:hAnsi="宋体" w:cs="宋体"/>
                <w:b/>
                <w:bCs/>
                <w:color w:val="auto"/>
                <w:highlight w:val="none"/>
              </w:rPr>
              <w:t>3</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4516CF9B">
            <w:pPr>
              <w:spacing w:line="360" w:lineRule="auto"/>
              <w:jc w:val="center"/>
              <w:rPr>
                <w:rFonts w:hint="eastAsia" w:ascii="宋体" w:hAnsi="宋体" w:cs="宋体"/>
                <w:color w:val="auto"/>
                <w:sz w:val="24"/>
                <w:szCs w:val="32"/>
                <w:highlight w:val="none"/>
              </w:rPr>
            </w:pPr>
            <w:r>
              <w:rPr>
                <w:rFonts w:hint="eastAsia" w:ascii="宋体" w:hAnsi="宋体" w:cs="宋体"/>
                <w:color w:val="auto"/>
                <w:sz w:val="24"/>
                <w:highlight w:val="none"/>
              </w:rPr>
              <w:t>团队因素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53F5BBD4">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71BD0387">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01965E74">
            <w:pPr>
              <w:spacing w:line="360" w:lineRule="auto"/>
              <w:jc w:val="center"/>
              <w:rPr>
                <w:rFonts w:hint="eastAsia" w:ascii="宋体" w:hAnsi="宋体" w:cs="宋体"/>
                <w:color w:val="auto"/>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EF5B23C">
            <w:pPr>
              <w:spacing w:line="360" w:lineRule="auto"/>
              <w:rPr>
                <w:rFonts w:hint="eastAsia" w:ascii="宋体" w:hAnsi="宋体" w:cs="宋体"/>
                <w:color w:val="auto"/>
                <w:highlight w:val="none"/>
              </w:rPr>
            </w:pPr>
          </w:p>
        </w:tc>
      </w:tr>
      <w:tr w14:paraId="5BBD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6F325B0A">
            <w:pPr>
              <w:jc w:val="center"/>
              <w:rPr>
                <w:rFonts w:hint="eastAsia" w:ascii="宋体" w:hAnsi="宋体" w:cs="宋体"/>
                <w:b/>
                <w:bCs/>
                <w:color w:val="auto"/>
                <w:highlight w:val="none"/>
              </w:rPr>
            </w:pPr>
            <w:r>
              <w:rPr>
                <w:rFonts w:hint="eastAsia" w:ascii="宋体" w:hAnsi="宋体" w:cs="宋体"/>
                <w:b/>
                <w:bCs/>
                <w:color w:val="auto"/>
                <w:highlight w:val="none"/>
              </w:rPr>
              <w:t>4</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0799101D">
            <w:pPr>
              <w:spacing w:line="360" w:lineRule="auto"/>
              <w:jc w:val="center"/>
              <w:rPr>
                <w:rFonts w:hint="eastAsia" w:ascii="宋体" w:hAnsi="宋体" w:cs="宋体"/>
                <w:color w:val="auto"/>
                <w:sz w:val="24"/>
                <w:szCs w:val="32"/>
                <w:highlight w:val="none"/>
              </w:rPr>
            </w:pPr>
            <w:r>
              <w:rPr>
                <w:rFonts w:hint="eastAsia" w:ascii="宋体" w:hAnsi="宋体" w:cs="宋体"/>
                <w:color w:val="auto"/>
                <w:sz w:val="24"/>
                <w:highlight w:val="none"/>
              </w:rPr>
              <w:t>资信因素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AF72172">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261BF71F">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105803CE">
            <w:pPr>
              <w:spacing w:line="360" w:lineRule="auto"/>
              <w:jc w:val="center"/>
              <w:rPr>
                <w:rFonts w:hint="eastAsia" w:ascii="宋体" w:hAnsi="宋体" w:cs="宋体"/>
                <w:bCs/>
                <w:color w:val="auto"/>
                <w:szCs w:val="21"/>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8BFEE85">
            <w:pPr>
              <w:spacing w:line="360" w:lineRule="auto"/>
              <w:rPr>
                <w:rFonts w:hint="eastAsia" w:ascii="宋体" w:hAnsi="宋体" w:cs="宋体"/>
                <w:bCs/>
                <w:color w:val="auto"/>
                <w:szCs w:val="21"/>
                <w:highlight w:val="none"/>
              </w:rPr>
            </w:pPr>
          </w:p>
        </w:tc>
      </w:tr>
      <w:tr w14:paraId="6D42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5EB6AE00">
            <w:pPr>
              <w:jc w:val="center"/>
              <w:rPr>
                <w:rFonts w:hint="eastAsia" w:ascii="宋体" w:hAnsi="宋体" w:cs="宋体"/>
                <w:b/>
                <w:bCs/>
                <w:color w:val="auto"/>
                <w:highlight w:val="none"/>
              </w:rPr>
            </w:pPr>
            <w:r>
              <w:rPr>
                <w:rFonts w:hint="eastAsia" w:ascii="宋体" w:hAnsi="宋体" w:cs="宋体"/>
                <w:b/>
                <w:bCs/>
                <w:color w:val="auto"/>
                <w:highlight w:val="none"/>
              </w:rPr>
              <w:t>5</w:t>
            </w:r>
          </w:p>
        </w:tc>
        <w:tc>
          <w:tcPr>
            <w:tcW w:w="5296" w:type="dxa"/>
            <w:gridSpan w:val="2"/>
            <w:tcBorders>
              <w:top w:val="single" w:color="auto" w:sz="4" w:space="0"/>
              <w:left w:val="single" w:color="auto" w:sz="4" w:space="0"/>
              <w:bottom w:val="single" w:color="auto" w:sz="4" w:space="0"/>
              <w:right w:val="single" w:color="auto" w:sz="4" w:space="0"/>
            </w:tcBorders>
            <w:noWrap w:val="0"/>
            <w:vAlign w:val="center"/>
          </w:tcPr>
          <w:p w14:paraId="358318B3">
            <w:pPr>
              <w:pStyle w:val="8"/>
              <w:ind w:firstLine="2891" w:firstLineChars="1200"/>
              <w:rPr>
                <w:rFonts w:hint="eastAsia" w:ascii="宋体" w:hAnsi="宋体" w:cs="宋体"/>
                <w:bCs/>
                <w:color w:val="auto"/>
                <w:highlight w:val="none"/>
              </w:rPr>
            </w:pPr>
            <w:r>
              <w:rPr>
                <w:rFonts w:hint="eastAsia" w:ascii="宋体" w:hAnsi="宋体" w:cs="宋体"/>
                <w:color w:val="auto"/>
                <w:highlight w:val="none"/>
              </w:rPr>
              <w:t>结论</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BB38129">
            <w:pPr>
              <w:spacing w:line="360" w:lineRule="auto"/>
              <w:rPr>
                <w:rFonts w:hint="eastAsia" w:ascii="宋体" w:hAnsi="宋体" w:cs="宋体"/>
                <w:bCs/>
                <w:color w:val="auto"/>
                <w:szCs w:val="21"/>
                <w:highlight w:val="none"/>
              </w:rPr>
            </w:pPr>
          </w:p>
        </w:tc>
      </w:tr>
    </w:tbl>
    <w:p w14:paraId="4F1DD1B2">
      <w:pPr>
        <w:spacing w:line="360" w:lineRule="auto"/>
        <w:ind w:left="316" w:hanging="361" w:hangingChars="150"/>
        <w:jc w:val="left"/>
        <w:rPr>
          <w:rFonts w:hint="eastAsia" w:ascii="宋体" w:hAnsi="宋体" w:cs="宋体"/>
          <w:b/>
          <w:bCs/>
          <w:color w:val="auto"/>
          <w:highlight w:val="none"/>
        </w:rPr>
      </w:pPr>
      <w:r>
        <w:rPr>
          <w:rFonts w:hint="eastAsia" w:ascii="宋体" w:hAnsi="宋体" w:cs="宋体"/>
          <w:b/>
          <w:bCs/>
          <w:color w:val="auto"/>
          <w:highlight w:val="none"/>
        </w:rPr>
        <w:t>注：定标委员须根据合格中标候选人的投标文件(定标部分）在定标因素结论中进行勾选，并按相应的定标因素填写评语。</w:t>
      </w:r>
    </w:p>
    <w:p w14:paraId="15C504E1">
      <w:pPr>
        <w:pStyle w:val="16"/>
        <w:rPr>
          <w:rFonts w:hint="eastAsia" w:hAnsi="宋体" w:eastAsia="宋体" w:cs="宋体"/>
          <w:color w:val="auto"/>
          <w:highlight w:val="none"/>
          <w:lang w:val="en-US"/>
        </w:rPr>
      </w:pPr>
    </w:p>
    <w:p w14:paraId="691064EE">
      <w:pPr>
        <w:spacing w:line="360" w:lineRule="auto"/>
        <w:ind w:left="360" w:hanging="360" w:hangingChars="150"/>
        <w:jc w:val="center"/>
        <w:rPr>
          <w:rFonts w:hint="eastAsia" w:ascii="宋体" w:hAnsi="宋体" w:cs="宋体"/>
          <w:color w:val="auto"/>
          <w:sz w:val="24"/>
          <w:highlight w:val="none"/>
        </w:rPr>
      </w:pPr>
    </w:p>
    <w:p w14:paraId="492D3CDB">
      <w:pPr>
        <w:spacing w:line="360" w:lineRule="auto"/>
        <w:ind w:left="360" w:hanging="360" w:hangingChars="150"/>
        <w:jc w:val="center"/>
        <w:rPr>
          <w:rFonts w:hint="eastAsia" w:ascii="宋体" w:hAnsi="宋体" w:cs="宋体"/>
          <w:color w:val="auto"/>
          <w:sz w:val="24"/>
          <w:highlight w:val="none"/>
        </w:rPr>
      </w:pPr>
      <w:r>
        <w:rPr>
          <w:rFonts w:hint="eastAsia" w:ascii="宋体" w:hAnsi="宋体" w:cs="宋体"/>
          <w:color w:val="auto"/>
          <w:sz w:val="24"/>
          <w:highlight w:val="none"/>
        </w:rPr>
        <w:t>定标委员签名：                                          日   期：</w:t>
      </w:r>
    </w:p>
    <w:p w14:paraId="1C2A5B13">
      <w:pPr>
        <w:pStyle w:val="16"/>
        <w:jc w:val="left"/>
        <w:rPr>
          <w:rFonts w:hint="eastAsia" w:ascii="黑体" w:hAnsi="黑体" w:eastAsia="黑体" w:cs="黑体"/>
          <w:color w:val="auto"/>
          <w:sz w:val="32"/>
          <w:szCs w:val="32"/>
          <w:highlight w:val="none"/>
        </w:rPr>
      </w:pPr>
      <w:r>
        <w:rPr>
          <w:rFonts w:hint="eastAsia" w:ascii="宋体" w:hAnsi="宋体" w:cs="宋体"/>
          <w:color w:val="auto"/>
          <w:sz w:val="32"/>
          <w:szCs w:val="32"/>
          <w:highlight w:val="none"/>
        </w:rPr>
        <w:br w:type="page"/>
      </w:r>
    </w:p>
    <w:p w14:paraId="631DC674">
      <w:pPr>
        <w:jc w:val="center"/>
        <w:rPr>
          <w:rFonts w:hint="eastAsia" w:ascii="宋体" w:hAnsi="宋体" w:cs="宋体"/>
          <w:b/>
          <w:color w:val="auto"/>
          <w:sz w:val="36"/>
          <w:szCs w:val="36"/>
          <w:highlight w:val="none"/>
        </w:rPr>
      </w:pPr>
    </w:p>
    <w:p w14:paraId="5925B0FC">
      <w:pPr>
        <w:pStyle w:val="3"/>
        <w:outlineLvl w:val="0"/>
        <w:rPr>
          <w:rFonts w:hint="eastAsia" w:cs="宋体"/>
          <w:color w:val="auto"/>
          <w:sz w:val="44"/>
          <w:szCs w:val="24"/>
          <w:highlight w:val="none"/>
        </w:rPr>
      </w:pPr>
      <w:bookmarkStart w:id="110" w:name="bookmark93"/>
      <w:bookmarkEnd w:id="110"/>
      <w:bookmarkStart w:id="111" w:name="_Toc14321"/>
      <w:r>
        <w:rPr>
          <w:rFonts w:hint="eastAsia" w:cs="宋体"/>
          <w:color w:val="auto"/>
          <w:sz w:val="44"/>
          <w:szCs w:val="24"/>
          <w:highlight w:val="none"/>
        </w:rPr>
        <w:t>第四章</w:t>
      </w:r>
      <w:r>
        <w:rPr>
          <w:rFonts w:hint="eastAsia" w:cs="宋体"/>
          <w:color w:val="auto"/>
          <w:sz w:val="44"/>
          <w:szCs w:val="24"/>
          <w:highlight w:val="none"/>
          <w:lang w:val="en-US" w:eastAsia="zh-CN"/>
        </w:rPr>
        <w:t xml:space="preserve"> </w:t>
      </w:r>
      <w:r>
        <w:rPr>
          <w:rFonts w:hint="eastAsia" w:cs="宋体"/>
          <w:color w:val="auto"/>
          <w:sz w:val="44"/>
          <w:szCs w:val="24"/>
          <w:highlight w:val="none"/>
        </w:rPr>
        <w:t>合同条款及格式</w:t>
      </w:r>
      <w:bookmarkEnd w:id="111"/>
    </w:p>
    <w:p w14:paraId="7032C09D">
      <w:pPr>
        <w:pStyle w:val="12"/>
        <w:kinsoku w:val="0"/>
        <w:overflowPunct w:val="0"/>
        <w:ind w:left="0"/>
        <w:rPr>
          <w:rFonts w:hint="eastAsia" w:ascii="宋体" w:hAnsi="宋体" w:eastAsia="宋体" w:cs="宋体"/>
          <w:b/>
          <w:color w:val="auto"/>
          <w:sz w:val="20"/>
          <w:szCs w:val="24"/>
          <w:highlight w:val="none"/>
        </w:rPr>
      </w:pPr>
    </w:p>
    <w:p w14:paraId="2E2393FE">
      <w:pPr>
        <w:widowControl/>
        <w:numPr>
          <w:ilvl w:val="0"/>
          <w:numId w:val="0"/>
        </w:numPr>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（另册，</w:t>
      </w:r>
      <w:r>
        <w:rPr>
          <w:rFonts w:hint="eastAsia" w:ascii="宋体" w:hAnsi="宋体" w:cs="宋体"/>
          <w:b/>
          <w:bCs/>
          <w:color w:val="auto"/>
          <w:sz w:val="36"/>
          <w:szCs w:val="36"/>
          <w:highlight w:val="none"/>
        </w:rPr>
        <w:t>详见网上发布的招标公告附件。</w:t>
      </w:r>
      <w:r>
        <w:rPr>
          <w:rFonts w:hint="eastAsia" w:ascii="宋体" w:hAnsi="宋体" w:eastAsia="宋体" w:cs="宋体"/>
          <w:b/>
          <w:bCs/>
          <w:color w:val="auto"/>
          <w:sz w:val="36"/>
          <w:szCs w:val="36"/>
          <w:highlight w:val="none"/>
          <w:lang w:eastAsia="zh-CN"/>
        </w:rPr>
        <w:t>）</w:t>
      </w:r>
    </w:p>
    <w:p w14:paraId="6796550D">
      <w:pPr>
        <w:spacing w:line="360" w:lineRule="auto"/>
        <w:rPr>
          <w:rFonts w:hint="eastAsia" w:ascii="宋体" w:hAnsi="宋体" w:eastAsia="宋体" w:cs="宋体"/>
          <w:b w:val="0"/>
          <w:color w:val="auto"/>
          <w:sz w:val="24"/>
          <w:szCs w:val="24"/>
          <w:highlight w:val="none"/>
        </w:rPr>
      </w:pPr>
    </w:p>
    <w:p w14:paraId="5DB69070">
      <w:pPr>
        <w:pStyle w:val="12"/>
        <w:kinsoku w:val="0"/>
        <w:overflowPunct w:val="0"/>
        <w:spacing w:before="2"/>
        <w:ind w:left="0"/>
        <w:rPr>
          <w:rFonts w:hint="eastAsia" w:ascii="宋体" w:hAnsi="宋体" w:eastAsia="宋体" w:cs="宋体"/>
          <w:b/>
          <w:color w:val="auto"/>
          <w:sz w:val="29"/>
          <w:szCs w:val="24"/>
          <w:highlight w:val="none"/>
        </w:rPr>
      </w:pPr>
    </w:p>
    <w:p w14:paraId="0143E0A2">
      <w:pPr>
        <w:pStyle w:val="12"/>
        <w:kinsoku w:val="0"/>
        <w:overflowPunct w:val="0"/>
        <w:ind w:left="0"/>
        <w:rPr>
          <w:rFonts w:hint="eastAsia" w:ascii="宋体" w:hAnsi="宋体" w:eastAsia="宋体" w:cs="宋体"/>
          <w:color w:val="auto"/>
          <w:sz w:val="20"/>
          <w:szCs w:val="24"/>
          <w:highlight w:val="none"/>
        </w:rPr>
        <w:sectPr>
          <w:headerReference r:id="rId8" w:type="default"/>
          <w:footerReference r:id="rId9" w:type="default"/>
          <w:pgSz w:w="11905" w:h="16838"/>
          <w:pgMar w:top="1417" w:right="1417" w:bottom="1417" w:left="1417" w:header="992" w:footer="992" w:gutter="0"/>
          <w:lnNumType w:countBy="0" w:distance="360"/>
          <w:cols w:space="720" w:num="1"/>
        </w:sectPr>
      </w:pPr>
    </w:p>
    <w:p w14:paraId="4DE3F982">
      <w:pPr>
        <w:pStyle w:val="12"/>
        <w:kinsoku w:val="0"/>
        <w:overflowPunct w:val="0"/>
        <w:ind w:left="0"/>
        <w:rPr>
          <w:rFonts w:hint="eastAsia" w:cs="宋体"/>
          <w:color w:val="auto"/>
          <w:sz w:val="20"/>
          <w:szCs w:val="24"/>
          <w:highlight w:val="none"/>
        </w:rPr>
      </w:pPr>
    </w:p>
    <w:p w14:paraId="6629E113">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2" w:name="bookmark161"/>
      <w:bookmarkEnd w:id="112"/>
      <w:bookmarkStart w:id="113" w:name="_Toc2872"/>
      <w:r>
        <w:rPr>
          <w:rFonts w:hint="eastAsia" w:ascii="宋体" w:hAnsi="宋体" w:eastAsia="宋体" w:cs="宋体"/>
          <w:color w:val="auto"/>
          <w:sz w:val="52"/>
          <w:szCs w:val="52"/>
          <w:highlight w:val="none"/>
        </w:rPr>
        <w:t>第二卷</w:t>
      </w:r>
      <w:bookmarkEnd w:id="113"/>
    </w:p>
    <w:p w14:paraId="17A170CA">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6DD52A">
      <w:pPr>
        <w:pStyle w:val="3"/>
        <w:spacing w:line="360" w:lineRule="auto"/>
        <w:outlineLvl w:val="0"/>
        <w:rPr>
          <w:rFonts w:hint="eastAsia" w:cs="宋体"/>
          <w:color w:val="auto"/>
          <w:sz w:val="44"/>
          <w:szCs w:val="24"/>
          <w:highlight w:val="none"/>
        </w:rPr>
      </w:pPr>
      <w:bookmarkStart w:id="114" w:name="bookmark162"/>
      <w:bookmarkEnd w:id="114"/>
      <w:bookmarkStart w:id="115" w:name="_Toc23118"/>
      <w:bookmarkStart w:id="116" w:name="_Toc25658"/>
      <w:r>
        <w:rPr>
          <w:rFonts w:hint="eastAsia" w:cs="宋体"/>
          <w:color w:val="auto"/>
          <w:sz w:val="44"/>
          <w:szCs w:val="24"/>
          <w:highlight w:val="none"/>
        </w:rPr>
        <w:t>第五章</w:t>
      </w:r>
      <w:r>
        <w:rPr>
          <w:rFonts w:hint="eastAsia" w:cs="宋体"/>
          <w:color w:val="auto"/>
          <w:sz w:val="44"/>
          <w:szCs w:val="24"/>
          <w:highlight w:val="none"/>
          <w:lang w:val="en-US" w:eastAsia="zh-CN"/>
        </w:rPr>
        <w:t xml:space="preserve"> </w:t>
      </w:r>
      <w:r>
        <w:rPr>
          <w:rFonts w:hint="eastAsia" w:cs="宋体"/>
          <w:color w:val="auto"/>
          <w:sz w:val="44"/>
          <w:szCs w:val="24"/>
          <w:highlight w:val="none"/>
        </w:rPr>
        <w:t>委托人要求</w:t>
      </w:r>
      <w:bookmarkEnd w:id="115"/>
    </w:p>
    <w:p w14:paraId="734706EF">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委托人要求通常包括但不限于以下内容：</w:t>
      </w:r>
    </w:p>
    <w:p w14:paraId="6C8B8B1B">
      <w:pPr>
        <w:pStyle w:val="3"/>
        <w:keepLines w:val="0"/>
        <w:jc w:val="left"/>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一、监理要求</w:t>
      </w:r>
    </w:p>
    <w:p w14:paraId="01125C17">
      <w:pPr>
        <w:spacing w:line="440" w:lineRule="exact"/>
        <w:ind w:firstLine="412" w:firstLineChars="171"/>
        <w:rPr>
          <w:rFonts w:hint="eastAsia" w:ascii="宋体" w:hAnsi="宋体" w:cs="宋体"/>
          <w:b/>
          <w:color w:val="auto"/>
          <w:sz w:val="24"/>
          <w:szCs w:val="24"/>
          <w:highlight w:val="none"/>
        </w:rPr>
      </w:pPr>
      <w:r>
        <w:rPr>
          <w:rFonts w:hint="eastAsia" w:ascii="宋体" w:hAnsi="宋体" w:cs="宋体"/>
          <w:b/>
          <w:color w:val="auto"/>
          <w:sz w:val="24"/>
          <w:szCs w:val="24"/>
          <w:highlight w:val="none"/>
        </w:rPr>
        <w:t>招标人应当根据项目情况在本章中明确相应的监理要求，一般应包括以下内容：</w:t>
      </w:r>
    </w:p>
    <w:p w14:paraId="494E98E2">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本标段</w:t>
      </w:r>
      <w:r>
        <w:rPr>
          <w:rFonts w:hint="eastAsia" w:ascii="宋体" w:hAnsi="宋体" w:cs="宋体"/>
          <w:color w:val="auto"/>
          <w:sz w:val="24"/>
          <w:szCs w:val="24"/>
          <w:highlight w:val="none"/>
        </w:rPr>
        <w:t>概况：</w:t>
      </w:r>
    </w:p>
    <w:p w14:paraId="0D45EEF7">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u w:val="single"/>
        </w:rPr>
        <w:t>本</w:t>
      </w:r>
      <w:r>
        <w:rPr>
          <w:rFonts w:hint="eastAsia" w:ascii="宋体" w:hAnsi="宋体" w:cs="宋体"/>
          <w:color w:val="auto"/>
          <w:sz w:val="24"/>
          <w:szCs w:val="24"/>
          <w:highlight w:val="none"/>
          <w:u w:val="single"/>
          <w:lang w:val="en-US" w:eastAsia="zh-CN"/>
        </w:rPr>
        <w:t>标段</w:t>
      </w:r>
      <w:r>
        <w:rPr>
          <w:rFonts w:hint="eastAsia" w:ascii="宋体" w:hAnsi="宋体" w:cs="宋体"/>
          <w:color w:val="auto"/>
          <w:sz w:val="24"/>
          <w:szCs w:val="24"/>
          <w:highlight w:val="none"/>
          <w:u w:val="single"/>
        </w:rPr>
        <w:t>位于广州市番禺区南村镇。</w:t>
      </w:r>
      <w:r>
        <w:rPr>
          <w:rFonts w:hint="eastAsia" w:ascii="宋体" w:hAnsi="宋体" w:cs="宋体"/>
          <w:color w:val="auto"/>
          <w:sz w:val="24"/>
          <w:szCs w:val="24"/>
          <w:highlight w:val="none"/>
          <w:u w:val="single"/>
          <w:lang w:val="en-US" w:eastAsia="zh-CN"/>
        </w:rPr>
        <w:t>主要新建DN150～DN800污水管54.44千米；DN150~DN1200雨水管11.67千米；200×200~1800X1200雨水沟约10.70千米；新建雨水立管137.98千米。</w:t>
      </w:r>
    </w:p>
    <w:p w14:paraId="6E5BEC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u w:val="single"/>
        </w:rPr>
        <w:t>注：具体工作内容详见施工设计图纸和工程量清单，如果工程量清单与图纸内容不一致的，以图纸内容为准。</w:t>
      </w:r>
    </w:p>
    <w:p w14:paraId="6C9264C9">
      <w:pPr>
        <w:pStyle w:val="25"/>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1.2.工程概算：本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概算批复总投资</w:t>
      </w:r>
      <w:r>
        <w:rPr>
          <w:rFonts w:hint="eastAsia" w:ascii="宋体" w:hAnsi="宋体" w:cs="宋体"/>
          <w:color w:val="auto"/>
          <w:sz w:val="24"/>
          <w:highlight w:val="none"/>
          <w:lang w:val="en-US" w:eastAsia="zh-CN"/>
        </w:rPr>
        <w:t>为</w:t>
      </w:r>
      <w:r>
        <w:rPr>
          <w:rFonts w:hint="eastAsia" w:ascii="宋体" w:hAnsi="宋体" w:eastAsia="宋体" w:cs="Times New Roman"/>
          <w:b w:val="0"/>
          <w:bCs w:val="0"/>
          <w:i w:val="0"/>
          <w:iCs w:val="0"/>
          <w:color w:val="auto"/>
          <w:kern w:val="0"/>
          <w:sz w:val="24"/>
          <w:szCs w:val="24"/>
          <w:highlight w:val="none"/>
          <w:u w:val="single"/>
          <w:lang w:val="en-US" w:eastAsia="zh-CN" w:bidi="ar"/>
        </w:rPr>
        <w:t>281425559.8</w:t>
      </w:r>
      <w:r>
        <w:rPr>
          <w:rFonts w:hint="eastAsia" w:ascii="宋体" w:hAnsi="宋体" w:cs="Times New Roman"/>
          <w:b w:val="0"/>
          <w:bCs w:val="0"/>
          <w:i w:val="0"/>
          <w:iCs w:val="0"/>
          <w:color w:val="auto"/>
          <w:kern w:val="0"/>
          <w:sz w:val="24"/>
          <w:szCs w:val="24"/>
          <w:highlight w:val="none"/>
          <w:u w:val="single"/>
          <w:lang w:val="en-US" w:eastAsia="zh-CN" w:bidi="ar"/>
        </w:rPr>
        <w:t>4</w:t>
      </w:r>
      <w:r>
        <w:rPr>
          <w:rFonts w:hint="eastAsia" w:ascii="宋体" w:hAnsi="宋体" w:cs="宋体"/>
          <w:color w:val="auto"/>
          <w:sz w:val="24"/>
          <w:highlight w:val="none"/>
        </w:rPr>
        <w:t>元。</w:t>
      </w:r>
    </w:p>
    <w:p w14:paraId="7BF802F6">
      <w:pPr>
        <w:tabs>
          <w:tab w:val="left" w:pos="7773"/>
        </w:tabs>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2.监理范围：</w:t>
      </w:r>
      <w:r>
        <w:rPr>
          <w:rFonts w:hint="eastAsia" w:ascii="宋体" w:hAnsi="宋体" w:cs="宋体"/>
          <w:color w:val="auto"/>
          <w:sz w:val="24"/>
          <w:szCs w:val="24"/>
          <w:highlight w:val="none"/>
        </w:rPr>
        <w:tab/>
      </w:r>
    </w:p>
    <w:p w14:paraId="3372DBB6">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包括但不限于：</w:t>
      </w:r>
    </w:p>
    <w:p w14:paraId="3518D587">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25D2E685">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（2）工程施工图预算（或承包商投标报价书）和竣工结算审核，及协调等相关工作。</w:t>
      </w:r>
    </w:p>
    <w:p w14:paraId="0167C754">
      <w:pPr>
        <w:pStyle w:val="8"/>
        <w:spacing w:line="360" w:lineRule="auto"/>
        <w:ind w:firstLine="480"/>
        <w:rPr>
          <w:rFonts w:hint="eastAsia" w:cs="宋体"/>
          <w:color w:val="auto"/>
          <w:sz w:val="24"/>
          <w:szCs w:val="24"/>
          <w:highlight w:val="none"/>
        </w:rPr>
      </w:pPr>
      <w:r>
        <w:rPr>
          <w:rFonts w:hint="eastAsia" w:cs="宋体"/>
          <w:b w:val="0"/>
          <w:bCs/>
          <w:color w:val="auto"/>
          <w:sz w:val="24"/>
          <w:szCs w:val="24"/>
          <w:highlight w:val="none"/>
        </w:rPr>
        <w:t>（3）对完成本工程所必需的附属临时工程项目施工进行监理。</w:t>
      </w:r>
    </w:p>
    <w:p w14:paraId="23A44DC1">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3.监理服务期</w:t>
      </w:r>
      <w:r>
        <w:rPr>
          <w:rFonts w:hint="eastAsia" w:ascii="宋体" w:hAnsi="宋体" w:cs="宋体"/>
          <w:color w:val="auto"/>
          <w:sz w:val="24"/>
          <w:szCs w:val="24"/>
          <w:highlight w:val="none"/>
          <w:lang w:val="en-US" w:eastAsia="zh-CN"/>
        </w:rPr>
        <w:t>限</w:t>
      </w:r>
      <w:r>
        <w:rPr>
          <w:rFonts w:hint="eastAsia" w:ascii="宋体" w:hAnsi="宋体" w:cs="宋体"/>
          <w:color w:val="auto"/>
          <w:sz w:val="24"/>
          <w:szCs w:val="24"/>
          <w:highlight w:val="none"/>
        </w:rPr>
        <w:t xml:space="preserve">： </w:t>
      </w:r>
    </w:p>
    <w:p w14:paraId="0B54E5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工程施工准备阶段的监理工期、施工阶段的监理工期、工程保修阶段和竣工结算期的监理工期之和：</w:t>
      </w:r>
    </w:p>
    <w:p w14:paraId="5AF4AC8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（1）施工准备阶段监理工期：从中标通知书发放之日起至业主下达开工令或开工报告审批之日为止；</w:t>
      </w:r>
    </w:p>
    <w:p w14:paraId="53CB991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（2）施工阶段监理工期：从业主下达开工令或开工报告审批之日起至施工项目全部完工并办理竣工验收、竣工结算、备案管理为止；</w:t>
      </w:r>
    </w:p>
    <w:p w14:paraId="258F3AD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（3）保修阶段监理工期：从工程竣工验收合格、备案管理完成之日起二年；</w:t>
      </w:r>
    </w:p>
    <w:p w14:paraId="1A69882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（4）竣工结算期：从竣工验收完成开始至竣工结算完成为止。</w:t>
      </w:r>
    </w:p>
    <w:p w14:paraId="126610A7">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4.监理依据：</w:t>
      </w:r>
    </w:p>
    <w:p w14:paraId="34B00EEE">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（1）适用的法律、行政法规及部门规章；</w:t>
      </w:r>
    </w:p>
    <w:p w14:paraId="59D1274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（2）与工程有关的规范、标准、规程；</w:t>
      </w:r>
    </w:p>
    <w:p w14:paraId="3A15F0A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（3）工程勘察文件、设计文件及其他文件；</w:t>
      </w:r>
    </w:p>
    <w:p w14:paraId="6C04475F">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（4）本工程监理的委托合同及补充合同；</w:t>
      </w:r>
    </w:p>
    <w:p w14:paraId="3CC16A4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（5）委托人签订的勘察、设计和施工承包合同；</w:t>
      </w:r>
    </w:p>
    <w:p w14:paraId="5A0E47A1">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（6）合同履行中与监理服务有关的来往函件；</w:t>
      </w:r>
    </w:p>
    <w:p w14:paraId="3644B38B">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（7）其他监理依据。</w:t>
      </w:r>
    </w:p>
    <w:p w14:paraId="191B247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5.监理的技术要求：</w:t>
      </w:r>
    </w:p>
    <w:p w14:paraId="34E0B7DA">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（1）符合法律、行政法规及部门规章；</w:t>
      </w:r>
    </w:p>
    <w:p w14:paraId="448A8293">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（2）符合本工程有关的规范、标准、规程；</w:t>
      </w:r>
    </w:p>
    <w:p w14:paraId="12C2E56E">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6.监理人员、设备要求（最低配置要求）：</w:t>
      </w:r>
    </w:p>
    <w:tbl>
      <w:tblPr>
        <w:tblStyle w:val="2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76"/>
        <w:gridCol w:w="1561"/>
        <w:gridCol w:w="4475"/>
      </w:tblGrid>
      <w:tr w14:paraId="672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08" w:type="dxa"/>
            <w:vMerge w:val="restart"/>
            <w:noWrap w:val="0"/>
            <w:vAlign w:val="center"/>
          </w:tcPr>
          <w:p w14:paraId="2365913F">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监理主要人员要求</w:t>
            </w:r>
          </w:p>
        </w:tc>
        <w:tc>
          <w:tcPr>
            <w:tcW w:w="2076" w:type="dxa"/>
            <w:noWrap w:val="0"/>
            <w:vAlign w:val="center"/>
          </w:tcPr>
          <w:p w14:paraId="5EE02357">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岗位</w:t>
            </w:r>
          </w:p>
        </w:tc>
        <w:tc>
          <w:tcPr>
            <w:tcW w:w="1561" w:type="dxa"/>
            <w:noWrap w:val="0"/>
            <w:vAlign w:val="center"/>
          </w:tcPr>
          <w:p w14:paraId="6CA2E672">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数量要求</w:t>
            </w:r>
          </w:p>
        </w:tc>
        <w:tc>
          <w:tcPr>
            <w:tcW w:w="4475" w:type="dxa"/>
            <w:noWrap w:val="0"/>
            <w:vAlign w:val="center"/>
          </w:tcPr>
          <w:p w14:paraId="1E60A08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基本要求</w:t>
            </w:r>
          </w:p>
        </w:tc>
      </w:tr>
      <w:tr w14:paraId="654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8" w:type="dxa"/>
            <w:vMerge w:val="continue"/>
            <w:noWrap w:val="0"/>
            <w:vAlign w:val="center"/>
          </w:tcPr>
          <w:p w14:paraId="1676AEAF">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7CB69CB7">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1561" w:type="dxa"/>
            <w:noWrap w:val="0"/>
            <w:vAlign w:val="center"/>
          </w:tcPr>
          <w:p w14:paraId="037F914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1名</w:t>
            </w:r>
          </w:p>
        </w:tc>
        <w:tc>
          <w:tcPr>
            <w:tcW w:w="4475" w:type="dxa"/>
            <w:noWrap w:val="0"/>
            <w:vAlign w:val="center"/>
          </w:tcPr>
          <w:p w14:paraId="729A061F">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具有国家注册监理工程师注册执业证书、注册专业为市政公用工程</w:t>
            </w:r>
          </w:p>
        </w:tc>
      </w:tr>
      <w:tr w14:paraId="240E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8" w:type="dxa"/>
            <w:vMerge w:val="continue"/>
            <w:noWrap w:val="0"/>
            <w:vAlign w:val="center"/>
          </w:tcPr>
          <w:p w14:paraId="1651875F">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0FA6B73B">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总监代表</w:t>
            </w:r>
          </w:p>
        </w:tc>
        <w:tc>
          <w:tcPr>
            <w:tcW w:w="1561" w:type="dxa"/>
            <w:noWrap w:val="0"/>
            <w:vAlign w:val="center"/>
          </w:tcPr>
          <w:p w14:paraId="5FB591A5">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1名</w:t>
            </w:r>
          </w:p>
        </w:tc>
        <w:tc>
          <w:tcPr>
            <w:tcW w:w="4475" w:type="dxa"/>
            <w:noWrap w:val="0"/>
            <w:vAlign w:val="center"/>
          </w:tcPr>
          <w:p w14:paraId="431F5F4A">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具有国家注册监理工程师注册执业证书、注册专业为市政公用工程</w:t>
            </w:r>
          </w:p>
        </w:tc>
      </w:tr>
      <w:tr w14:paraId="0539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08" w:type="dxa"/>
            <w:vMerge w:val="continue"/>
            <w:noWrap w:val="0"/>
            <w:vAlign w:val="center"/>
          </w:tcPr>
          <w:p w14:paraId="4672E898">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2BD8121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专业监理工程师</w:t>
            </w:r>
          </w:p>
        </w:tc>
        <w:tc>
          <w:tcPr>
            <w:tcW w:w="1561" w:type="dxa"/>
            <w:noWrap w:val="0"/>
            <w:vAlign w:val="center"/>
          </w:tcPr>
          <w:p w14:paraId="31F5E19B">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名</w:t>
            </w:r>
          </w:p>
        </w:tc>
        <w:tc>
          <w:tcPr>
            <w:tcW w:w="4475" w:type="dxa"/>
            <w:noWrap w:val="0"/>
            <w:vAlign w:val="center"/>
          </w:tcPr>
          <w:p w14:paraId="611F7AD5">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具有注册监理工程师注册执业证书或专业监理工程师资格证书</w:t>
            </w:r>
          </w:p>
        </w:tc>
      </w:tr>
      <w:tr w14:paraId="758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08" w:type="dxa"/>
            <w:vMerge w:val="continue"/>
            <w:noWrap w:val="0"/>
            <w:vAlign w:val="center"/>
          </w:tcPr>
          <w:p w14:paraId="64819672">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148CD7C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安全监理员</w:t>
            </w:r>
          </w:p>
        </w:tc>
        <w:tc>
          <w:tcPr>
            <w:tcW w:w="1561" w:type="dxa"/>
            <w:noWrap w:val="0"/>
            <w:vAlign w:val="center"/>
          </w:tcPr>
          <w:p w14:paraId="2C2F44D1">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名</w:t>
            </w:r>
          </w:p>
        </w:tc>
        <w:tc>
          <w:tcPr>
            <w:tcW w:w="4475" w:type="dxa"/>
            <w:noWrap w:val="0"/>
            <w:vAlign w:val="center"/>
          </w:tcPr>
          <w:p w14:paraId="6657E729">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具有监理员和安全监理员资格证书</w:t>
            </w:r>
          </w:p>
        </w:tc>
      </w:tr>
      <w:tr w14:paraId="745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08" w:type="dxa"/>
            <w:vMerge w:val="continue"/>
            <w:noWrap w:val="0"/>
            <w:vAlign w:val="center"/>
          </w:tcPr>
          <w:p w14:paraId="448DB3DD">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4F21536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监理员</w:t>
            </w:r>
          </w:p>
        </w:tc>
        <w:tc>
          <w:tcPr>
            <w:tcW w:w="1561" w:type="dxa"/>
            <w:noWrap w:val="0"/>
            <w:vAlign w:val="center"/>
          </w:tcPr>
          <w:p w14:paraId="6E6E4B50">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名</w:t>
            </w:r>
          </w:p>
        </w:tc>
        <w:tc>
          <w:tcPr>
            <w:tcW w:w="4475" w:type="dxa"/>
            <w:noWrap w:val="0"/>
            <w:vAlign w:val="center"/>
          </w:tcPr>
          <w:p w14:paraId="76AA31E5">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具有监理员资格证书</w:t>
            </w:r>
          </w:p>
        </w:tc>
      </w:tr>
      <w:tr w14:paraId="24E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08" w:type="dxa"/>
            <w:vMerge w:val="continue"/>
            <w:noWrap w:val="0"/>
            <w:vAlign w:val="center"/>
          </w:tcPr>
          <w:p w14:paraId="6E7EBE00">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0B1C0CF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总计</w:t>
            </w:r>
          </w:p>
        </w:tc>
        <w:tc>
          <w:tcPr>
            <w:tcW w:w="1561" w:type="dxa"/>
            <w:noWrap w:val="0"/>
            <w:vAlign w:val="center"/>
          </w:tcPr>
          <w:p w14:paraId="32348A9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名</w:t>
            </w:r>
          </w:p>
        </w:tc>
        <w:tc>
          <w:tcPr>
            <w:tcW w:w="4475" w:type="dxa"/>
            <w:noWrap w:val="0"/>
            <w:vAlign w:val="center"/>
          </w:tcPr>
          <w:p w14:paraId="596D9562">
            <w:pPr>
              <w:adjustRightInd w:val="0"/>
              <w:snapToGrid w:val="0"/>
              <w:rPr>
                <w:rFonts w:hint="eastAsia" w:ascii="宋体" w:hAnsi="宋体" w:cs="宋体"/>
                <w:color w:val="auto"/>
                <w:sz w:val="24"/>
                <w:szCs w:val="24"/>
                <w:highlight w:val="none"/>
              </w:rPr>
            </w:pPr>
          </w:p>
        </w:tc>
      </w:tr>
      <w:tr w14:paraId="557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08" w:type="dxa"/>
            <w:vMerge w:val="restart"/>
            <w:noWrap w:val="0"/>
            <w:vAlign w:val="center"/>
          </w:tcPr>
          <w:p w14:paraId="0AC2832F">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设备要求</w:t>
            </w:r>
          </w:p>
        </w:tc>
        <w:tc>
          <w:tcPr>
            <w:tcW w:w="2076" w:type="dxa"/>
            <w:noWrap w:val="0"/>
            <w:vAlign w:val="center"/>
          </w:tcPr>
          <w:p w14:paraId="585C29B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w:t>
            </w:r>
          </w:p>
        </w:tc>
        <w:tc>
          <w:tcPr>
            <w:tcW w:w="1561" w:type="dxa"/>
            <w:noWrap w:val="0"/>
            <w:vAlign w:val="center"/>
          </w:tcPr>
          <w:p w14:paraId="69A3824F">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数量要求</w:t>
            </w:r>
          </w:p>
        </w:tc>
        <w:tc>
          <w:tcPr>
            <w:tcW w:w="4475" w:type="dxa"/>
            <w:noWrap w:val="0"/>
            <w:vAlign w:val="center"/>
          </w:tcPr>
          <w:p w14:paraId="1ED04D8A">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基本要求</w:t>
            </w:r>
          </w:p>
        </w:tc>
      </w:tr>
      <w:tr w14:paraId="6C6D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08" w:type="dxa"/>
            <w:vMerge w:val="continue"/>
            <w:noWrap w:val="0"/>
            <w:vAlign w:val="top"/>
          </w:tcPr>
          <w:p w14:paraId="3C2F335C">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161F4CE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全站仪、水准仪、回弹仪、测距仪、塌落度测定仪、气体检测仪、检测尺、游标卡尺、钢卷尺</w:t>
            </w:r>
          </w:p>
        </w:tc>
        <w:tc>
          <w:tcPr>
            <w:tcW w:w="1561" w:type="dxa"/>
            <w:noWrap w:val="0"/>
            <w:vAlign w:val="center"/>
          </w:tcPr>
          <w:p w14:paraId="56A3F03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各1台（把）</w:t>
            </w:r>
          </w:p>
        </w:tc>
        <w:tc>
          <w:tcPr>
            <w:tcW w:w="4475" w:type="dxa"/>
            <w:noWrap w:val="0"/>
            <w:vAlign w:val="center"/>
          </w:tcPr>
          <w:p w14:paraId="5AF0B81C">
            <w:pPr>
              <w:rPr>
                <w:rFonts w:hint="eastAsia" w:ascii="宋体" w:hAnsi="宋体" w:cs="宋体"/>
                <w:color w:val="auto"/>
                <w:sz w:val="24"/>
                <w:szCs w:val="24"/>
                <w:highlight w:val="none"/>
              </w:rPr>
            </w:pPr>
            <w:r>
              <w:rPr>
                <w:rFonts w:hint="eastAsia" w:ascii="宋体" w:hAnsi="宋体" w:cs="宋体"/>
                <w:color w:val="auto"/>
                <w:sz w:val="24"/>
                <w:szCs w:val="24"/>
                <w:highlight w:val="none"/>
              </w:rPr>
              <w:t>提供“投入本项目的主要试验检测仪器设备表”并提供租赁合同（需提供出租方购置相应设备的发票证明）或者购置发票证明。</w:t>
            </w:r>
          </w:p>
        </w:tc>
      </w:tr>
    </w:tbl>
    <w:p w14:paraId="16A9F38E">
      <w:pPr>
        <w:spacing w:before="240" w:beforeLines="10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注：表中所列上述监理人员（总监除外）和设备要求不作为形式评审、资格评审、响应性评审的审查依据，只作为综合评分表中的评审依据。中标人可根据实际工作需要及时投入相应人员和设备。</w:t>
      </w:r>
    </w:p>
    <w:p w14:paraId="4A36939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29B920B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8.监理工作目标要求</w:t>
      </w:r>
    </w:p>
    <w:p w14:paraId="216FEC6A">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（1）投资控制目标：以不超过投资概算为基本目标。严格控制预算外费用的支出，减少索赔事件的发生，确保委托人制定的投资控制目标得以实现。</w:t>
      </w:r>
    </w:p>
    <w:p w14:paraId="73E92AF8">
      <w:pPr>
        <w:spacing w:line="440" w:lineRule="exact"/>
        <w:ind w:firstLine="410" w:firstLineChars="171"/>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（2）进度控制目标：</w:t>
      </w:r>
      <w:r>
        <w:rPr>
          <w:rFonts w:hint="eastAsia" w:ascii="宋体" w:hAnsi="宋体" w:cs="宋体"/>
          <w:color w:val="auto"/>
          <w:sz w:val="24"/>
          <w:szCs w:val="24"/>
          <w:highlight w:val="none"/>
          <w:u w:val="single"/>
        </w:rPr>
        <w:t>施工工期为委托人下达开工令或开工报告审批之日起按施工进度要求控制，施工总工期约</w:t>
      </w:r>
      <w:r>
        <w:rPr>
          <w:rFonts w:hint="eastAsia" w:ascii="宋体" w:hAnsi="宋体" w:cs="宋体"/>
          <w:color w:val="auto"/>
          <w:sz w:val="24"/>
          <w:szCs w:val="24"/>
          <w:highlight w:val="none"/>
          <w:u w:val="single"/>
          <w:lang w:val="en-US" w:eastAsia="zh-CN"/>
        </w:rPr>
        <w:t>180</w:t>
      </w:r>
      <w:r>
        <w:rPr>
          <w:rFonts w:hint="eastAsia" w:ascii="宋体" w:hAnsi="宋体" w:cs="宋体"/>
          <w:color w:val="auto"/>
          <w:sz w:val="24"/>
          <w:szCs w:val="24"/>
          <w:highlight w:val="none"/>
          <w:u w:val="single"/>
        </w:rPr>
        <w:t>日历天，缺陷责任期24个月。</w:t>
      </w:r>
    </w:p>
    <w:p w14:paraId="4A3906E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（3）质量控制目标：合格工程。</w:t>
      </w:r>
    </w:p>
    <w:p w14:paraId="3C0248C5">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（4）安全管理目标：杜绝一般及以上等级生产安全事故的发生，控制工伤事故在千分之一内。</w:t>
      </w:r>
    </w:p>
    <w:p w14:paraId="4E450CC7">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（5）文明施工管理目标：合格且不因工地文明施工管理问题受到有关政府管理部门处罚。  </w:t>
      </w:r>
    </w:p>
    <w:p w14:paraId="37F8B86F">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二、适用规范标准</w:t>
      </w:r>
    </w:p>
    <w:p w14:paraId="0726220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 国家、行业、项目所在地规范名录：</w:t>
      </w:r>
      <w:r>
        <w:rPr>
          <w:rFonts w:hint="eastAsia" w:ascii="宋体" w:hAnsi="宋体" w:cs="宋体"/>
          <w:color w:val="auto"/>
          <w:sz w:val="24"/>
          <w:szCs w:val="24"/>
          <w:highlight w:val="none"/>
          <w:u w:val="single"/>
        </w:rPr>
        <w:t>《建设工程监理规范》GB/T50319-2013，按国家、行业、项目所在地规范名录执行。</w:t>
      </w:r>
    </w:p>
    <w:p w14:paraId="6B7F817C">
      <w:pPr>
        <w:spacing w:line="440" w:lineRule="exact"/>
        <w:ind w:firstLine="410" w:firstLineChars="17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 国家、行业、项目所在地标准名录：</w:t>
      </w:r>
      <w:r>
        <w:rPr>
          <w:rFonts w:hint="eastAsia" w:ascii="宋体" w:hAnsi="宋体" w:cs="宋体"/>
          <w:color w:val="auto"/>
          <w:sz w:val="24"/>
          <w:szCs w:val="24"/>
          <w:highlight w:val="none"/>
          <w:u w:val="single"/>
        </w:rPr>
        <w:t>按国家、行业、项目所在地规范标准执行。</w:t>
      </w:r>
    </w:p>
    <w:p w14:paraId="64B17A9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 国家、行业、项目所在地规程名录：</w:t>
      </w:r>
      <w:r>
        <w:rPr>
          <w:rFonts w:hint="eastAsia" w:ascii="宋体" w:hAnsi="宋体" w:cs="宋体"/>
          <w:color w:val="auto"/>
          <w:sz w:val="24"/>
          <w:szCs w:val="24"/>
          <w:highlight w:val="none"/>
          <w:u w:val="single"/>
        </w:rPr>
        <w:t>按国家、行业、项目所在地规范规程执行。</w:t>
      </w:r>
    </w:p>
    <w:p w14:paraId="1962DD71">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三、成果文件要求</w:t>
      </w:r>
    </w:p>
    <w:p w14:paraId="1674869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按《建设工程监理规范》（GB/T50319-2013）和招标人要求</w:t>
      </w:r>
    </w:p>
    <w:p w14:paraId="05B03F8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 成果文件的组成</w:t>
      </w:r>
    </w:p>
    <w:p w14:paraId="7ADA8133">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（1）勘察设计文件、建设工程监理合同及其他合同文件；</w:t>
      </w:r>
    </w:p>
    <w:p w14:paraId="590CEE1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（2）监理规划、监理实施细则；</w:t>
      </w:r>
    </w:p>
    <w:p w14:paraId="7DFD9FAA">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（3）设计交底和图纸会审会议纪要；</w:t>
      </w:r>
    </w:p>
    <w:p w14:paraId="1AB5EB09">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（4）施工组织设计、（专项）施工方案、施工进度计划报审文件资料；</w:t>
      </w:r>
    </w:p>
    <w:p w14:paraId="0CDAC8BD">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（5）分包单位资格报审文件资料；</w:t>
      </w:r>
    </w:p>
    <w:p w14:paraId="778EF98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（6）施工控制测量成果报验文件资料；</w:t>
      </w:r>
    </w:p>
    <w:p w14:paraId="36D72CED">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（7）总监理工程师任命书、工程开工令、暂停令、复工令、开工或复工报审文件资料；</w:t>
      </w:r>
    </w:p>
    <w:p w14:paraId="50EDC7F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（8）工程材料、设备、构配件报验文件资料；</w:t>
      </w:r>
    </w:p>
    <w:p w14:paraId="439CA16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（9）见证取样和平行检验文件资料；</w:t>
      </w:r>
    </w:p>
    <w:p w14:paraId="3F2E5C8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（10）工程质量检查报验资料及工程有关验收资料；</w:t>
      </w:r>
    </w:p>
    <w:p w14:paraId="7451819B">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（11）工程变更、费用索赔及工程延期文件资料；</w:t>
      </w:r>
    </w:p>
    <w:p w14:paraId="3393F50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（12）工程计量、工程款支付文件资料；</w:t>
      </w:r>
    </w:p>
    <w:p w14:paraId="696F378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（13）监理通知单、工作联系单与监理报告；</w:t>
      </w:r>
    </w:p>
    <w:p w14:paraId="4116B1F2">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（14）第一次工地会议、监理例会、专题会议等会议纪要；</w:t>
      </w:r>
    </w:p>
    <w:p w14:paraId="2D50ECB1">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（15）监理月报、监理日志、旁站记录；</w:t>
      </w:r>
    </w:p>
    <w:p w14:paraId="7067B9DF">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（16）工程质量或生产安全事故处理文件资料；</w:t>
      </w:r>
    </w:p>
    <w:p w14:paraId="2A25AE51">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（17）工程质量评估报告及竣工验收监理文件资料；</w:t>
      </w:r>
    </w:p>
    <w:p w14:paraId="74B2883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（18）监理工作总结；</w:t>
      </w:r>
    </w:p>
    <w:p w14:paraId="05B61035">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（19）委托人、建设管理单位要求提交的其他文件。</w:t>
      </w:r>
    </w:p>
    <w:p w14:paraId="41E482E5">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 成果文件的深度:</w:t>
      </w:r>
      <w:r>
        <w:rPr>
          <w:rFonts w:hint="eastAsia" w:ascii="宋体" w:hAnsi="宋体" w:cs="宋体"/>
          <w:color w:val="auto"/>
          <w:sz w:val="24"/>
          <w:szCs w:val="24"/>
          <w:highlight w:val="none"/>
          <w:u w:val="single"/>
        </w:rPr>
        <w:t xml:space="preserve"> 满足本项目监理服务要求。</w:t>
      </w:r>
    </w:p>
    <w:p w14:paraId="69C8951C">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 成果文件的格式要求:</w:t>
      </w:r>
      <w:r>
        <w:rPr>
          <w:rFonts w:hint="eastAsia" w:ascii="宋体" w:hAnsi="宋体" w:cs="宋体"/>
          <w:color w:val="auto"/>
          <w:sz w:val="24"/>
          <w:szCs w:val="24"/>
          <w:highlight w:val="none"/>
          <w:u w:val="single"/>
        </w:rPr>
        <w:t xml:space="preserve"> 满足本项目监理服务要求。</w:t>
      </w:r>
    </w:p>
    <w:p w14:paraId="64C550C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 成果文件的份数要求:</w:t>
      </w:r>
      <w:r>
        <w:rPr>
          <w:rFonts w:hint="eastAsia" w:ascii="宋体" w:hAnsi="宋体" w:cs="宋体"/>
          <w:color w:val="auto"/>
          <w:sz w:val="24"/>
          <w:szCs w:val="24"/>
          <w:highlight w:val="none"/>
          <w:u w:val="single"/>
        </w:rPr>
        <w:t xml:space="preserve"> 一式六份，</w:t>
      </w:r>
    </w:p>
    <w:p w14:paraId="607A6F5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 成果文件的载体要求</w:t>
      </w:r>
    </w:p>
    <w:p w14:paraId="613742E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（1）纸质版的要求：</w:t>
      </w:r>
      <w:r>
        <w:rPr>
          <w:rFonts w:hint="eastAsia" w:ascii="宋体" w:hAnsi="宋体" w:cs="宋体"/>
          <w:color w:val="auto"/>
          <w:sz w:val="24"/>
          <w:szCs w:val="24"/>
          <w:highlight w:val="none"/>
          <w:u w:val="single"/>
        </w:rPr>
        <w:t xml:space="preserve"> 一式六份，</w:t>
      </w:r>
    </w:p>
    <w:p w14:paraId="3FCCC5A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（2）电子版的要求：</w:t>
      </w:r>
      <w:r>
        <w:rPr>
          <w:rFonts w:hint="eastAsia" w:ascii="宋体" w:hAnsi="宋体" w:cs="宋体"/>
          <w:color w:val="auto"/>
          <w:sz w:val="24"/>
          <w:szCs w:val="24"/>
          <w:highlight w:val="none"/>
          <w:u w:val="single"/>
        </w:rPr>
        <w:t xml:space="preserve"> 与纸质版一致的电子版文件</w:t>
      </w:r>
    </w:p>
    <w:p w14:paraId="5A9108E2">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（3）其他要求。</w:t>
      </w:r>
    </w:p>
    <w:p w14:paraId="0D22E4A7">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 成果文件的其他要求 :</w:t>
      </w:r>
      <w:r>
        <w:rPr>
          <w:rFonts w:hint="eastAsia" w:ascii="宋体" w:hAnsi="宋体" w:cs="宋体"/>
          <w:color w:val="auto"/>
          <w:sz w:val="24"/>
          <w:szCs w:val="24"/>
          <w:highlight w:val="none"/>
          <w:u w:val="single"/>
        </w:rPr>
        <w:t xml:space="preserve"> 满足本项目监理服务要求。</w:t>
      </w:r>
    </w:p>
    <w:p w14:paraId="16AE50BF">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四、委托人财产清单</w:t>
      </w:r>
    </w:p>
    <w:p w14:paraId="1F1E34DB">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1.委托人提供的设备、设施</w:t>
      </w:r>
    </w:p>
    <w:p w14:paraId="2556AF6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3"/>
          <w:sz w:val="24"/>
          <w:szCs w:val="24"/>
          <w:highlight w:val="none"/>
        </w:rPr>
        <w:t>委托人提供的办公房屋及冷暖设施：</w:t>
      </w:r>
      <w:r>
        <w:rPr>
          <w:rFonts w:hint="eastAsia" w:ascii="宋体" w:hAnsi="宋体" w:cs="宋体"/>
          <w:color w:val="auto"/>
          <w:sz w:val="24"/>
          <w:szCs w:val="24"/>
          <w:highlight w:val="none"/>
          <w:u w:val="single"/>
        </w:rPr>
        <w:t>无；</w:t>
      </w:r>
    </w:p>
    <w:p w14:paraId="63D4771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3"/>
          <w:sz w:val="24"/>
          <w:szCs w:val="24"/>
          <w:highlight w:val="none"/>
        </w:rPr>
        <w:t>委托人提供的设备清单：</w:t>
      </w:r>
      <w:r>
        <w:rPr>
          <w:rFonts w:hint="eastAsia" w:ascii="宋体" w:hAnsi="宋体" w:cs="宋体"/>
          <w:color w:val="auto"/>
          <w:sz w:val="24"/>
          <w:szCs w:val="24"/>
          <w:highlight w:val="none"/>
          <w:u w:val="single"/>
        </w:rPr>
        <w:t>无；</w:t>
      </w:r>
    </w:p>
    <w:p w14:paraId="70BD6D4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3"/>
          <w:sz w:val="24"/>
          <w:szCs w:val="24"/>
          <w:highlight w:val="none"/>
        </w:rPr>
        <w:t>委托人提供的设施清单：</w:t>
      </w:r>
      <w:r>
        <w:rPr>
          <w:rFonts w:hint="eastAsia" w:ascii="宋体" w:hAnsi="宋体" w:cs="宋体"/>
          <w:color w:val="auto"/>
          <w:sz w:val="24"/>
          <w:szCs w:val="24"/>
          <w:highlight w:val="none"/>
          <w:u w:val="single"/>
        </w:rPr>
        <w:t>无；</w:t>
      </w:r>
    </w:p>
    <w:p w14:paraId="67DF0A73">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2.委托人提供的资料</w:t>
      </w:r>
    </w:p>
    <w:p w14:paraId="646AAC0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p>
    <w:p w14:paraId="7B1D80F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（2）定位放线的基准点、基准线和基准标高</w:t>
      </w:r>
    </w:p>
    <w:p w14:paraId="4F495C6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（3）建设管理单位取得的有关审批、核准和备案材料</w:t>
      </w:r>
    </w:p>
    <w:p w14:paraId="1CCBCF2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（4）勘察文件、设计文件等资料</w:t>
      </w:r>
    </w:p>
    <w:p w14:paraId="2D7FFD3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（5）技术标准、规范</w:t>
      </w:r>
    </w:p>
    <w:p w14:paraId="27E1D0F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（6）工程承包合同及其他相关合同</w:t>
      </w:r>
    </w:p>
    <w:p w14:paraId="25EBF91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（7）其他资料</w:t>
      </w:r>
    </w:p>
    <w:p w14:paraId="337DCEA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3.委托人财产使用要求及退还要求</w:t>
      </w:r>
    </w:p>
    <w:p w14:paraId="71914DE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3"/>
          <w:sz w:val="24"/>
          <w:szCs w:val="24"/>
          <w:highlight w:val="none"/>
        </w:rPr>
        <w:t>委托人财产使用要求</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56DA37B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3"/>
          <w:sz w:val="24"/>
          <w:szCs w:val="24"/>
          <w:highlight w:val="none"/>
        </w:rPr>
        <w:t>委托人财产退还要求</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2B350AF7">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五、委托人提供的便利条件</w:t>
      </w:r>
    </w:p>
    <w:p w14:paraId="47F0204F">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1.委托人提供的生活条件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2BD98D97">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2.委托人提供的交通条件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3B2A22C8">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3.委托人提供的网络、通讯条件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68B7FDEB">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4.委托人提供的协助人员</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5CB3015E">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六、监理人需要自备的工作条件</w:t>
      </w:r>
    </w:p>
    <w:p w14:paraId="2E53C62A">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1.监理人自备的工作手册：</w:t>
      </w:r>
      <w:r>
        <w:rPr>
          <w:rFonts w:hint="eastAsia" w:ascii="宋体" w:hAnsi="宋体" w:cs="宋体"/>
          <w:color w:val="auto"/>
          <w:spacing w:val="-3"/>
          <w:sz w:val="24"/>
          <w:szCs w:val="24"/>
          <w:highlight w:val="none"/>
          <w:u w:val="single"/>
        </w:rPr>
        <w:t>本项目必备的规范标准、图集等。</w:t>
      </w:r>
    </w:p>
    <w:p w14:paraId="739817DA">
      <w:pPr>
        <w:spacing w:line="440" w:lineRule="exact"/>
        <w:ind w:firstLine="468" w:firstLineChars="200"/>
        <w:rPr>
          <w:rFonts w:hint="eastAsia" w:ascii="宋体" w:hAnsi="宋体" w:cs="宋体"/>
          <w:color w:val="auto"/>
          <w:sz w:val="24"/>
          <w:szCs w:val="24"/>
          <w:highlight w:val="none"/>
          <w:u w:val="single"/>
        </w:rPr>
      </w:pPr>
      <w:r>
        <w:rPr>
          <w:rFonts w:hint="eastAsia" w:ascii="宋体" w:hAnsi="宋体" w:cs="宋体"/>
          <w:color w:val="auto"/>
          <w:spacing w:val="-3"/>
          <w:sz w:val="24"/>
          <w:szCs w:val="24"/>
          <w:highlight w:val="none"/>
        </w:rPr>
        <w:t>2.监理人自备的办公设备：</w:t>
      </w:r>
      <w:r>
        <w:rPr>
          <w:rFonts w:hint="eastAsia" w:ascii="宋体" w:hAnsi="宋体" w:cs="宋体"/>
          <w:color w:val="auto"/>
          <w:spacing w:val="-3"/>
          <w:sz w:val="24"/>
          <w:szCs w:val="24"/>
          <w:highlight w:val="none"/>
          <w:u w:val="single"/>
        </w:rPr>
        <w:t>电脑、软件、投影、打印机、复印机、照相机等。</w:t>
      </w:r>
    </w:p>
    <w:p w14:paraId="76BE4C5A">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3.监理人自备的交通工具：</w:t>
      </w:r>
      <w:r>
        <w:rPr>
          <w:rFonts w:hint="eastAsia" w:ascii="宋体" w:hAnsi="宋体" w:cs="宋体"/>
          <w:color w:val="auto"/>
          <w:spacing w:val="-3"/>
          <w:sz w:val="24"/>
          <w:szCs w:val="24"/>
          <w:highlight w:val="none"/>
          <w:u w:val="single"/>
        </w:rPr>
        <w:t>出行车辆等。</w:t>
      </w:r>
    </w:p>
    <w:p w14:paraId="15E591C1">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4.监理人自备的现场办公设施：</w:t>
      </w:r>
      <w:r>
        <w:rPr>
          <w:rFonts w:hint="eastAsia" w:ascii="宋体" w:hAnsi="宋体" w:cs="宋体"/>
          <w:color w:val="auto"/>
          <w:spacing w:val="-3"/>
          <w:sz w:val="24"/>
          <w:szCs w:val="24"/>
          <w:highlight w:val="none"/>
          <w:u w:val="single"/>
        </w:rPr>
        <w:t>办公桌椅、文件柜等。</w:t>
      </w:r>
    </w:p>
    <w:p w14:paraId="7842271C">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5.监理人自备的安全设施：</w:t>
      </w:r>
      <w:r>
        <w:rPr>
          <w:rFonts w:hint="eastAsia" w:ascii="宋体" w:hAnsi="宋体" w:cs="宋体"/>
          <w:color w:val="auto"/>
          <w:spacing w:val="-3"/>
          <w:sz w:val="24"/>
          <w:szCs w:val="24"/>
          <w:highlight w:val="none"/>
          <w:u w:val="single"/>
        </w:rPr>
        <w:t>安全帽、安全鞋、手电筒等。</w:t>
      </w:r>
    </w:p>
    <w:p w14:paraId="0235C25E">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6.监理人自备的试验检测仪器、设备、工具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满足本项目监理服务要求。</w:t>
      </w:r>
    </w:p>
    <w:p w14:paraId="4D5FC273">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7.监理人自备的试验用房、样品用房：</w:t>
      </w:r>
      <w:r>
        <w:rPr>
          <w:rFonts w:hint="eastAsia" w:ascii="宋体" w:hAnsi="宋体" w:cs="宋体"/>
          <w:color w:val="auto"/>
          <w:sz w:val="24"/>
          <w:szCs w:val="24"/>
          <w:highlight w:val="none"/>
          <w:u w:val="single"/>
        </w:rPr>
        <w:t>满足本项目监理服务要求。</w:t>
      </w:r>
    </w:p>
    <w:p w14:paraId="7E1EBC7A">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七、委托人的其他要求</w:t>
      </w:r>
    </w:p>
    <w:p w14:paraId="20661353">
      <w:pPr>
        <w:spacing w:line="440" w:lineRule="exact"/>
        <w:ind w:firstLine="468" w:firstLineChars="200"/>
        <w:rPr>
          <w:rFonts w:hint="eastAsia" w:ascii="宋体" w:hAnsi="宋体" w:cs="宋体"/>
          <w:color w:val="auto"/>
          <w:spacing w:val="-3"/>
          <w:sz w:val="24"/>
          <w:szCs w:val="24"/>
          <w:highlight w:val="none"/>
          <w:u w:val="single"/>
        </w:rPr>
      </w:pPr>
      <w:r>
        <w:rPr>
          <w:rFonts w:hint="eastAsia" w:ascii="宋体" w:hAnsi="宋体" w:cs="宋体"/>
          <w:color w:val="auto"/>
          <w:spacing w:val="-3"/>
          <w:sz w:val="24"/>
          <w:szCs w:val="24"/>
          <w:highlight w:val="none"/>
          <w:u w:val="single"/>
        </w:rPr>
        <w:t>其他要求详见按监理合同。</w:t>
      </w:r>
    </w:p>
    <w:p w14:paraId="025F437E">
      <w:pPr>
        <w:tabs>
          <w:tab w:val="left" w:pos="540"/>
        </w:tabs>
        <w:snapToGrid w:val="0"/>
        <w:spacing w:line="360" w:lineRule="auto"/>
        <w:ind w:firstLine="2640" w:firstLineChars="1100"/>
        <w:rPr>
          <w:rFonts w:hint="eastAsia" w:ascii="宋体" w:hAnsi="宋体" w:cs="宋体"/>
          <w:color w:val="auto"/>
          <w:sz w:val="24"/>
          <w:szCs w:val="24"/>
          <w:highlight w:val="none"/>
        </w:rPr>
      </w:pPr>
    </w:p>
    <w:p w14:paraId="5A0CAF29">
      <w:pPr>
        <w:pStyle w:val="25"/>
        <w:ind w:left="420" w:firstLine="480"/>
        <w:rPr>
          <w:rFonts w:hint="eastAsia" w:ascii="宋体" w:hAnsi="宋体" w:eastAsia="宋体" w:cs="宋体"/>
          <w:color w:val="auto"/>
          <w:sz w:val="24"/>
          <w:highlight w:val="none"/>
        </w:rPr>
        <w:sectPr>
          <w:footerReference r:id="rId10" w:type="default"/>
          <w:footerReference r:id="rId11" w:type="even"/>
          <w:pgSz w:w="11907" w:h="16840"/>
          <w:pgMar w:top="1417" w:right="1417" w:bottom="1417" w:left="1417" w:header="851" w:footer="850" w:gutter="0"/>
          <w:cols w:space="720" w:num="1"/>
          <w:docGrid w:linePitch="326" w:charSpace="0"/>
        </w:sectPr>
      </w:pPr>
    </w:p>
    <w:bookmarkEnd w:id="116"/>
    <w:p w14:paraId="0C0B3119">
      <w:pPr>
        <w:pStyle w:val="12"/>
        <w:kinsoku w:val="0"/>
        <w:overflowPunct w:val="0"/>
        <w:ind w:left="0"/>
        <w:rPr>
          <w:rFonts w:hint="eastAsia" w:ascii="宋体" w:hAnsi="宋体" w:eastAsia="宋体" w:cs="宋体"/>
          <w:color w:val="auto"/>
          <w:sz w:val="20"/>
          <w:szCs w:val="24"/>
          <w:highlight w:val="none"/>
        </w:rPr>
      </w:pPr>
    </w:p>
    <w:p w14:paraId="314477D5">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7" w:name="bookmark173"/>
      <w:bookmarkEnd w:id="117"/>
      <w:bookmarkStart w:id="118" w:name="_Toc12210"/>
      <w:r>
        <w:rPr>
          <w:rFonts w:hint="eastAsia" w:ascii="宋体" w:hAnsi="宋体" w:eastAsia="宋体" w:cs="宋体"/>
          <w:color w:val="auto"/>
          <w:sz w:val="52"/>
          <w:szCs w:val="52"/>
          <w:highlight w:val="none"/>
        </w:rPr>
        <w:t>第三卷</w:t>
      </w:r>
      <w:bookmarkEnd w:id="118"/>
    </w:p>
    <w:p w14:paraId="43E66085">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D3E5C3">
      <w:pPr>
        <w:pStyle w:val="3"/>
        <w:outlineLvl w:val="0"/>
        <w:rPr>
          <w:rFonts w:hint="eastAsia" w:cs="宋体"/>
          <w:color w:val="auto"/>
          <w:sz w:val="44"/>
          <w:szCs w:val="24"/>
          <w:highlight w:val="none"/>
        </w:rPr>
      </w:pPr>
      <w:bookmarkStart w:id="119" w:name="bookmark174"/>
      <w:bookmarkEnd w:id="119"/>
      <w:bookmarkStart w:id="120" w:name="_Toc26661"/>
      <w:r>
        <w:rPr>
          <w:rFonts w:hint="eastAsia" w:cs="宋体"/>
          <w:color w:val="auto"/>
          <w:sz w:val="44"/>
          <w:szCs w:val="24"/>
          <w:highlight w:val="none"/>
        </w:rPr>
        <w:t>第六章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投标文件格式</w:t>
      </w:r>
      <w:bookmarkEnd w:id="120"/>
    </w:p>
    <w:p w14:paraId="082E9A35">
      <w:pPr>
        <w:pStyle w:val="3"/>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14:paraId="2ED81E8B">
      <w:pPr>
        <w:pStyle w:val="12"/>
        <w:kinsoku w:val="0"/>
        <w:overflowPunct w:val="0"/>
        <w:ind w:left="0"/>
        <w:rPr>
          <w:rFonts w:hint="eastAsia" w:ascii="宋体" w:hAnsi="宋体" w:eastAsia="宋体" w:cs="宋体"/>
          <w:b/>
          <w:color w:val="auto"/>
          <w:sz w:val="20"/>
          <w:szCs w:val="24"/>
          <w:highlight w:val="none"/>
        </w:rPr>
      </w:pPr>
    </w:p>
    <w:p w14:paraId="2E192075">
      <w:pPr>
        <w:pStyle w:val="12"/>
        <w:kinsoku w:val="0"/>
        <w:overflowPunct w:val="0"/>
        <w:ind w:left="0"/>
        <w:rPr>
          <w:rFonts w:hint="eastAsia" w:ascii="宋体" w:hAnsi="宋体" w:eastAsia="宋体" w:cs="宋体"/>
          <w:b/>
          <w:color w:val="auto"/>
          <w:sz w:val="20"/>
          <w:szCs w:val="24"/>
          <w:highlight w:val="none"/>
        </w:rPr>
      </w:pPr>
    </w:p>
    <w:p w14:paraId="4D4CD839">
      <w:pPr>
        <w:pStyle w:val="12"/>
        <w:kinsoku w:val="0"/>
        <w:overflowPunct w:val="0"/>
        <w:spacing w:before="1"/>
        <w:ind w:left="0"/>
        <w:rPr>
          <w:rFonts w:hint="eastAsia" w:ascii="宋体" w:hAnsi="宋体" w:eastAsia="宋体" w:cs="宋体"/>
          <w:b/>
          <w:color w:val="auto"/>
          <w:sz w:val="22"/>
          <w:szCs w:val="24"/>
          <w:highlight w:val="none"/>
        </w:rPr>
      </w:pPr>
    </w:p>
    <w:p w14:paraId="018B4D19">
      <w:pPr>
        <w:jc w:val="center"/>
        <w:rPr>
          <w:rFonts w:hint="eastAsia" w:ascii="宋体" w:hAnsi="宋体" w:eastAsia="宋体" w:cs="宋体"/>
          <w:color w:val="auto"/>
          <w:sz w:val="36"/>
          <w:szCs w:val="24"/>
          <w:highlight w:val="none"/>
          <w:lang w:eastAsia="zh-CN"/>
        </w:rPr>
      </w:pPr>
      <w:r>
        <w:rPr>
          <w:rFonts w:hint="eastAsia" w:ascii="宋体" w:hAnsi="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w:t>
      </w:r>
      <w:r>
        <w:rPr>
          <w:rFonts w:hint="eastAsia" w:ascii="宋体" w:hAnsi="宋体" w:cs="宋体"/>
          <w:color w:val="auto"/>
          <w:sz w:val="36"/>
          <w:szCs w:val="24"/>
          <w:highlight w:val="none"/>
          <w:u w:val="single"/>
          <w:lang w:eastAsia="zh-CN"/>
        </w:rPr>
        <w:t>标段</w:t>
      </w:r>
      <w:r>
        <w:rPr>
          <w:rFonts w:hint="eastAsia" w:ascii="宋体" w:hAnsi="宋体" w:eastAsia="宋体" w:cs="宋体"/>
          <w:color w:val="auto"/>
          <w:sz w:val="36"/>
          <w:szCs w:val="24"/>
          <w:highlight w:val="none"/>
          <w:u w:val="single"/>
        </w:rPr>
        <w:t>名称）</w:t>
      </w:r>
      <w:r>
        <w:rPr>
          <w:rFonts w:hint="eastAsia" w:ascii="宋体" w:hAnsi="宋体" w:eastAsia="宋体" w:cs="宋体"/>
          <w:color w:val="auto"/>
          <w:sz w:val="36"/>
          <w:szCs w:val="24"/>
          <w:highlight w:val="none"/>
          <w:lang w:val="en-US" w:eastAsia="zh-CN"/>
        </w:rPr>
        <w:t xml:space="preserve"> </w:t>
      </w:r>
    </w:p>
    <w:p w14:paraId="40F166A0">
      <w:pPr>
        <w:pStyle w:val="12"/>
        <w:kinsoku w:val="0"/>
        <w:overflowPunct w:val="0"/>
        <w:ind w:left="0"/>
        <w:rPr>
          <w:rFonts w:hint="eastAsia" w:cs="宋体"/>
          <w:color w:val="auto"/>
          <w:sz w:val="20"/>
          <w:szCs w:val="24"/>
          <w:highlight w:val="none"/>
        </w:rPr>
      </w:pPr>
    </w:p>
    <w:p w14:paraId="6AA83AEC">
      <w:pPr>
        <w:pStyle w:val="12"/>
        <w:kinsoku w:val="0"/>
        <w:overflowPunct w:val="0"/>
        <w:spacing w:before="9"/>
        <w:ind w:left="0"/>
        <w:rPr>
          <w:rFonts w:hint="eastAsia" w:cs="宋体"/>
          <w:color w:val="auto"/>
          <w:sz w:val="15"/>
          <w:szCs w:val="24"/>
          <w:highlight w:val="none"/>
        </w:rPr>
      </w:pPr>
    </w:p>
    <w:p w14:paraId="28F76EFE">
      <w:pPr>
        <w:pStyle w:val="12"/>
        <w:kinsoku w:val="0"/>
        <w:overflowPunct w:val="0"/>
        <w:spacing w:line="539" w:lineRule="exact"/>
        <w:ind w:left="3" w:right="1"/>
        <w:jc w:val="center"/>
        <w:rPr>
          <w:rFonts w:hint="eastAsia" w:cs="宋体"/>
          <w:color w:val="auto"/>
          <w:sz w:val="44"/>
          <w:szCs w:val="24"/>
          <w:highlight w:val="none"/>
        </w:rPr>
      </w:pPr>
    </w:p>
    <w:p w14:paraId="3F52EC20">
      <w:pPr>
        <w:pStyle w:val="12"/>
        <w:kinsoku w:val="0"/>
        <w:overflowPunct w:val="0"/>
        <w:spacing w:line="539" w:lineRule="exact"/>
        <w:ind w:left="3" w:right="1"/>
        <w:jc w:val="center"/>
        <w:rPr>
          <w:rFonts w:hint="eastAsia" w:cs="宋体"/>
          <w:color w:val="auto"/>
          <w:sz w:val="44"/>
          <w:szCs w:val="24"/>
          <w:highlight w:val="none"/>
        </w:rPr>
      </w:pPr>
    </w:p>
    <w:p w14:paraId="31943C0C">
      <w:pPr>
        <w:pStyle w:val="12"/>
        <w:kinsoku w:val="0"/>
        <w:overflowPunct w:val="0"/>
        <w:ind w:left="0"/>
        <w:jc w:val="center"/>
        <w:rPr>
          <w:rFonts w:hint="eastAsia" w:cs="宋体"/>
          <w:color w:val="auto"/>
          <w:sz w:val="44"/>
          <w:szCs w:val="24"/>
          <w:highlight w:val="none"/>
        </w:rPr>
      </w:pPr>
      <w:r>
        <w:rPr>
          <w:rFonts w:hint="eastAsia" w:cs="宋体"/>
          <w:color w:val="auto"/>
          <w:sz w:val="84"/>
          <w:szCs w:val="84"/>
          <w:highlight w:val="none"/>
        </w:rPr>
        <w:t>投标文件</w:t>
      </w:r>
    </w:p>
    <w:p w14:paraId="6A1D2F22">
      <w:pPr>
        <w:pStyle w:val="12"/>
        <w:kinsoku w:val="0"/>
        <w:overflowPunct w:val="0"/>
        <w:ind w:left="0"/>
        <w:rPr>
          <w:rFonts w:hint="eastAsia" w:cs="宋体"/>
          <w:color w:val="auto"/>
          <w:sz w:val="44"/>
          <w:szCs w:val="24"/>
          <w:highlight w:val="none"/>
        </w:rPr>
      </w:pPr>
    </w:p>
    <w:p w14:paraId="1253F007">
      <w:pPr>
        <w:pStyle w:val="12"/>
        <w:kinsoku w:val="0"/>
        <w:overflowPunct w:val="0"/>
        <w:ind w:left="0"/>
        <w:rPr>
          <w:rFonts w:hint="eastAsia" w:cs="宋体"/>
          <w:color w:val="auto"/>
          <w:sz w:val="44"/>
          <w:szCs w:val="24"/>
          <w:highlight w:val="none"/>
        </w:rPr>
      </w:pPr>
    </w:p>
    <w:p w14:paraId="17D1B766">
      <w:pPr>
        <w:pStyle w:val="12"/>
        <w:kinsoku w:val="0"/>
        <w:overflowPunct w:val="0"/>
        <w:ind w:left="0"/>
        <w:rPr>
          <w:rFonts w:hint="eastAsia" w:cs="宋体"/>
          <w:color w:val="auto"/>
          <w:sz w:val="44"/>
          <w:szCs w:val="24"/>
          <w:highlight w:val="none"/>
        </w:rPr>
      </w:pPr>
    </w:p>
    <w:p w14:paraId="005953B0">
      <w:pPr>
        <w:pStyle w:val="12"/>
        <w:kinsoku w:val="0"/>
        <w:overflowPunct w:val="0"/>
        <w:ind w:left="0"/>
        <w:rPr>
          <w:rFonts w:hint="eastAsia" w:cs="宋体"/>
          <w:color w:val="auto"/>
          <w:sz w:val="44"/>
          <w:szCs w:val="24"/>
          <w:highlight w:val="none"/>
        </w:rPr>
      </w:pPr>
    </w:p>
    <w:p w14:paraId="021413AD">
      <w:pPr>
        <w:pStyle w:val="12"/>
        <w:kinsoku w:val="0"/>
        <w:overflowPunct w:val="0"/>
        <w:ind w:left="0"/>
        <w:rPr>
          <w:rFonts w:hint="eastAsia" w:cs="宋体"/>
          <w:color w:val="auto"/>
          <w:sz w:val="44"/>
          <w:szCs w:val="24"/>
          <w:highlight w:val="none"/>
        </w:rPr>
      </w:pPr>
    </w:p>
    <w:p w14:paraId="28D9ED75">
      <w:pPr>
        <w:pStyle w:val="12"/>
        <w:kinsoku w:val="0"/>
        <w:overflowPunct w:val="0"/>
        <w:ind w:left="0"/>
        <w:rPr>
          <w:rFonts w:hint="eastAsia" w:cs="宋体"/>
          <w:color w:val="auto"/>
          <w:sz w:val="44"/>
          <w:szCs w:val="24"/>
          <w:highlight w:val="none"/>
        </w:rPr>
      </w:pPr>
    </w:p>
    <w:p w14:paraId="60CE23ED">
      <w:pPr>
        <w:pStyle w:val="12"/>
        <w:kinsoku w:val="0"/>
        <w:overflowPunct w:val="0"/>
        <w:ind w:left="0"/>
        <w:rPr>
          <w:rFonts w:hint="eastAsia" w:cs="宋体"/>
          <w:color w:val="auto"/>
          <w:sz w:val="44"/>
          <w:szCs w:val="24"/>
          <w:highlight w:val="none"/>
        </w:rPr>
      </w:pPr>
    </w:p>
    <w:p w14:paraId="41F0DFD8">
      <w:pPr>
        <w:pStyle w:val="12"/>
        <w:kinsoku w:val="0"/>
        <w:overflowPunct w:val="0"/>
        <w:ind w:left="0"/>
        <w:rPr>
          <w:rFonts w:hint="eastAsia" w:cs="宋体"/>
          <w:color w:val="auto"/>
          <w:sz w:val="44"/>
          <w:szCs w:val="24"/>
          <w:highlight w:val="none"/>
        </w:rPr>
      </w:pPr>
    </w:p>
    <w:p w14:paraId="71F6B30B">
      <w:pPr>
        <w:pStyle w:val="12"/>
        <w:kinsoku w:val="0"/>
        <w:overflowPunct w:val="0"/>
        <w:ind w:left="0"/>
        <w:rPr>
          <w:rFonts w:hint="eastAsia" w:cs="宋体"/>
          <w:color w:val="auto"/>
          <w:sz w:val="44"/>
          <w:szCs w:val="24"/>
          <w:highlight w:val="none"/>
        </w:rPr>
      </w:pPr>
    </w:p>
    <w:p w14:paraId="50CA3193">
      <w:pPr>
        <w:pStyle w:val="12"/>
        <w:kinsoku w:val="0"/>
        <w:overflowPunct w:val="0"/>
        <w:spacing w:before="3"/>
        <w:ind w:left="0"/>
        <w:rPr>
          <w:rFonts w:hint="eastAsia" w:cs="宋体"/>
          <w:color w:val="auto"/>
          <w:sz w:val="41"/>
          <w:szCs w:val="24"/>
          <w:highlight w:val="none"/>
        </w:rPr>
      </w:pPr>
    </w:p>
    <w:p w14:paraId="6DB12BBF">
      <w:pPr>
        <w:pStyle w:val="12"/>
        <w:tabs>
          <w:tab w:val="left" w:pos="5577"/>
          <w:tab w:val="left" w:pos="6942"/>
        </w:tabs>
        <w:kinsoku w:val="0"/>
        <w:overflowPunct w:val="0"/>
        <w:spacing w:line="357" w:lineRule="auto"/>
        <w:ind w:left="1201" w:right="175"/>
        <w:rPr>
          <w:rFonts w:hint="eastAsia" w:cs="宋体"/>
          <w:color w:val="auto"/>
          <w:spacing w:val="-1"/>
          <w:sz w:val="28"/>
          <w:szCs w:val="24"/>
          <w:highlight w:val="none"/>
        </w:rPr>
      </w:pPr>
      <w:r>
        <w:rPr>
          <w:rFonts w:hint="eastAsia"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cs="宋体"/>
          <w:color w:val="auto"/>
          <w:spacing w:val="-1"/>
          <w:sz w:val="28"/>
          <w:szCs w:val="24"/>
          <w:highlight w:val="none"/>
        </w:rPr>
        <w:t>（盖单位章）</w:t>
      </w:r>
      <w:r>
        <w:rPr>
          <w:rFonts w:hint="eastAsia" w:cs="宋体"/>
          <w:color w:val="auto"/>
          <w:spacing w:val="-136"/>
          <w:sz w:val="28"/>
          <w:szCs w:val="24"/>
          <w:highlight w:val="none"/>
        </w:rPr>
        <w:t xml:space="preserve"> </w:t>
      </w:r>
      <w:r>
        <w:rPr>
          <w:rFonts w:hint="eastAsia"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cs="宋体"/>
          <w:color w:val="auto"/>
          <w:spacing w:val="-1"/>
          <w:sz w:val="28"/>
          <w:szCs w:val="24"/>
          <w:highlight w:val="none"/>
        </w:rPr>
        <w:t>（签字）</w:t>
      </w:r>
    </w:p>
    <w:p w14:paraId="5AD6CE1D">
      <w:pPr>
        <w:pStyle w:val="12"/>
        <w:kinsoku w:val="0"/>
        <w:overflowPunct w:val="0"/>
        <w:spacing w:before="10"/>
        <w:ind w:left="0"/>
        <w:rPr>
          <w:rFonts w:hint="eastAsia" w:cs="宋体"/>
          <w:color w:val="auto"/>
          <w:sz w:val="29"/>
          <w:szCs w:val="24"/>
          <w:highlight w:val="none"/>
        </w:rPr>
      </w:pPr>
    </w:p>
    <w:p w14:paraId="4745A89C">
      <w:pPr>
        <w:pStyle w:val="12"/>
        <w:tabs>
          <w:tab w:val="left" w:pos="3611"/>
          <w:tab w:val="left" w:pos="4626"/>
          <w:tab w:val="left" w:pos="5642"/>
        </w:tabs>
        <w:kinsoku w:val="0"/>
        <w:overflowPunct w:val="0"/>
        <w:spacing w:before="14"/>
        <w:ind w:left="2877" w:right="175"/>
        <w:rPr>
          <w:rFonts w:hint="eastAsia"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日</w:t>
      </w:r>
    </w:p>
    <w:p w14:paraId="6F8C39B5">
      <w:pPr>
        <w:pStyle w:val="12"/>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14:paraId="6EFB67FC">
      <w:pPr>
        <w:pStyle w:val="12"/>
        <w:kinsoku w:val="0"/>
        <w:overflowPunct w:val="0"/>
        <w:spacing w:line="443" w:lineRule="exact"/>
        <w:ind w:left="1244" w:right="1222"/>
        <w:jc w:val="center"/>
        <w:rPr>
          <w:rFonts w:hint="eastAsia" w:ascii="宋体" w:hAnsi="宋体" w:eastAsia="宋体" w:cs="宋体"/>
          <w:color w:val="auto"/>
          <w:sz w:val="32"/>
          <w:szCs w:val="24"/>
          <w:highlight w:val="none"/>
        </w:rPr>
      </w:pPr>
      <w:bookmarkStart w:id="121" w:name="bookmark175"/>
      <w:bookmarkEnd w:id="121"/>
      <w:r>
        <w:rPr>
          <w:rFonts w:hint="eastAsia" w:ascii="宋体" w:hAnsi="宋体" w:eastAsia="宋体" w:cs="宋体"/>
          <w:b/>
          <w:color w:val="auto"/>
          <w:sz w:val="32"/>
          <w:szCs w:val="24"/>
          <w:highlight w:val="none"/>
        </w:rPr>
        <w:t>目录</w:t>
      </w:r>
    </w:p>
    <w:p w14:paraId="42E07873">
      <w:pPr>
        <w:pStyle w:val="12"/>
        <w:kinsoku w:val="0"/>
        <w:overflowPunct w:val="0"/>
        <w:ind w:left="0"/>
        <w:rPr>
          <w:rFonts w:hint="eastAsia" w:ascii="宋体" w:hAnsi="宋体" w:eastAsia="宋体" w:cs="宋体"/>
          <w:b/>
          <w:color w:val="auto"/>
          <w:sz w:val="20"/>
          <w:szCs w:val="24"/>
          <w:highlight w:val="none"/>
        </w:rPr>
      </w:pPr>
    </w:p>
    <w:p w14:paraId="0C7796FE">
      <w:pPr>
        <w:pStyle w:val="12"/>
        <w:kinsoku w:val="0"/>
        <w:overflowPunct w:val="0"/>
        <w:ind w:left="0"/>
        <w:rPr>
          <w:rFonts w:hint="eastAsia" w:ascii="宋体" w:hAnsi="宋体" w:eastAsia="宋体" w:cs="宋体"/>
          <w:b/>
          <w:color w:val="auto"/>
          <w:sz w:val="20"/>
          <w:szCs w:val="24"/>
          <w:highlight w:val="none"/>
        </w:rPr>
      </w:pPr>
    </w:p>
    <w:p w14:paraId="3935E5DD">
      <w:pPr>
        <w:pStyle w:val="12"/>
        <w:kinsoku w:val="0"/>
        <w:overflowPunct w:val="0"/>
        <w:ind w:left="0"/>
        <w:rPr>
          <w:rFonts w:hint="eastAsia" w:ascii="宋体" w:hAnsi="宋体" w:eastAsia="宋体" w:cs="宋体"/>
          <w:b/>
          <w:color w:val="auto"/>
          <w:sz w:val="20"/>
          <w:szCs w:val="24"/>
          <w:highlight w:val="none"/>
        </w:rPr>
      </w:pPr>
    </w:p>
    <w:p w14:paraId="1D678873">
      <w:pPr>
        <w:pStyle w:val="12"/>
        <w:kinsoku w:val="0"/>
        <w:overflowPunct w:val="0"/>
        <w:spacing w:before="6"/>
        <w:ind w:left="0"/>
        <w:rPr>
          <w:rFonts w:hint="eastAsia" w:ascii="宋体" w:hAnsi="宋体" w:eastAsia="宋体" w:cs="宋体"/>
          <w:b/>
          <w:color w:val="auto"/>
          <w:sz w:val="24"/>
          <w:szCs w:val="24"/>
          <w:highlight w:val="none"/>
        </w:rPr>
      </w:pPr>
    </w:p>
    <w:p w14:paraId="60377EF7">
      <w:pPr>
        <w:pStyle w:val="12"/>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投标函及投标函附录</w:t>
      </w:r>
    </w:p>
    <w:p w14:paraId="08F7DF70">
      <w:pPr>
        <w:pStyle w:val="12"/>
        <w:numPr>
          <w:ilvl w:val="0"/>
          <w:numId w:val="0"/>
        </w:numPr>
        <w:kinsoku w:val="0"/>
        <w:overflowPunct w:val="0"/>
        <w:spacing w:before="36" w:line="360" w:lineRule="auto"/>
        <w:ind w:left="0" w:right="2650"/>
        <w:rPr>
          <w:rFonts w:hint="eastAsia" w:cs="宋体"/>
          <w:color w:val="auto"/>
          <w:spacing w:val="-2"/>
          <w:sz w:val="24"/>
          <w:szCs w:val="24"/>
          <w:highlight w:val="none"/>
        </w:rPr>
      </w:pPr>
      <w:r>
        <w:rPr>
          <w:rFonts w:hint="eastAsia" w:cs="宋体"/>
          <w:color w:val="auto"/>
          <w:spacing w:val="-2"/>
          <w:sz w:val="24"/>
          <w:szCs w:val="24"/>
          <w:highlight w:val="none"/>
        </w:rPr>
        <w:t>二、法定代表人身份证明</w:t>
      </w:r>
    </w:p>
    <w:p w14:paraId="08B58469">
      <w:pPr>
        <w:pStyle w:val="12"/>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rPr>
        <w:t>二、授权委托书（适用于有委托代理人的情况）</w:t>
      </w:r>
    </w:p>
    <w:p w14:paraId="04226CDF">
      <w:pPr>
        <w:pStyle w:val="3"/>
        <w:spacing w:line="360" w:lineRule="auto"/>
        <w:jc w:val="both"/>
        <w:rPr>
          <w:rFonts w:hint="eastAsia" w:cs="宋体"/>
          <w:color w:val="auto"/>
          <w:spacing w:val="-2"/>
          <w:sz w:val="24"/>
          <w:highlight w:val="none"/>
        </w:rPr>
      </w:pPr>
      <w:r>
        <w:rPr>
          <w:rFonts w:hint="eastAsia" w:cs="宋体"/>
          <w:strike w:val="0"/>
          <w:color w:val="auto"/>
          <w:sz w:val="24"/>
          <w:szCs w:val="24"/>
          <w:highlight w:val="none"/>
        </w:rPr>
        <w:t>三</w:t>
      </w:r>
      <w:r>
        <w:rPr>
          <w:rFonts w:hint="eastAsia" w:cs="宋体"/>
          <w:color w:val="auto"/>
          <w:spacing w:val="-2"/>
          <w:sz w:val="24"/>
          <w:highlight w:val="none"/>
        </w:rPr>
        <w:t>、</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关于投标保证金的承诺</w:t>
      </w:r>
      <w:r>
        <w:rPr>
          <w:rFonts w:hint="eastAsia" w:ascii="宋体" w:hAnsi="宋体" w:eastAsia="宋体" w:cs="宋体"/>
          <w:color w:val="auto"/>
          <w:spacing w:val="-2"/>
          <w:sz w:val="24"/>
          <w:highlight w:val="none"/>
          <w:lang w:eastAsia="zh-CN"/>
        </w:rPr>
        <w:t>》</w:t>
      </w:r>
    </w:p>
    <w:p w14:paraId="71934A19">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eastAsia="宋体" w:cs="宋体"/>
          <w:color w:val="auto"/>
          <w:spacing w:val="-2"/>
          <w:sz w:val="24"/>
          <w:highlight w:val="none"/>
        </w:rPr>
        <w:t>四</w:t>
      </w:r>
      <w:r>
        <w:rPr>
          <w:rFonts w:hint="eastAsia" w:cs="宋体"/>
          <w:color w:val="auto"/>
          <w:spacing w:val="-2"/>
          <w:sz w:val="24"/>
          <w:szCs w:val="24"/>
          <w:highlight w:val="none"/>
        </w:rPr>
        <w:t>、监理报酬清单</w:t>
      </w:r>
    </w:p>
    <w:p w14:paraId="1EE796A5">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五</w:t>
      </w:r>
      <w:r>
        <w:rPr>
          <w:rFonts w:hint="eastAsia" w:cs="宋体"/>
          <w:color w:val="auto"/>
          <w:spacing w:val="-90"/>
          <w:sz w:val="24"/>
          <w:szCs w:val="24"/>
          <w:highlight w:val="none"/>
        </w:rPr>
        <w:t xml:space="preserve"> </w:t>
      </w:r>
      <w:r>
        <w:rPr>
          <w:rFonts w:hint="eastAsia" w:cs="宋体"/>
          <w:color w:val="auto"/>
          <w:spacing w:val="-2"/>
          <w:sz w:val="24"/>
          <w:szCs w:val="24"/>
          <w:highlight w:val="none"/>
        </w:rPr>
        <w:t>、资格审查资料</w:t>
      </w:r>
    </w:p>
    <w:p w14:paraId="3276D310">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六</w:t>
      </w:r>
      <w:r>
        <w:rPr>
          <w:rFonts w:hint="eastAsia" w:cs="宋体"/>
          <w:color w:val="auto"/>
          <w:sz w:val="24"/>
          <w:szCs w:val="24"/>
          <w:highlight w:val="none"/>
        </w:rPr>
        <w:t xml:space="preserve">、监理大纲 </w:t>
      </w:r>
    </w:p>
    <w:p w14:paraId="2657F2B3">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90"/>
          <w:sz w:val="24"/>
          <w:szCs w:val="24"/>
          <w:highlight w:val="none"/>
        </w:rPr>
        <w:t xml:space="preserve"> </w:t>
      </w:r>
      <w:r>
        <w:rPr>
          <w:rFonts w:hint="eastAsia" w:cs="宋体"/>
          <w:color w:val="auto"/>
          <w:sz w:val="24"/>
          <w:szCs w:val="24"/>
          <w:highlight w:val="none"/>
        </w:rPr>
        <w:t>七、其他资料</w:t>
      </w:r>
    </w:p>
    <w:p w14:paraId="7EFA6E5C">
      <w:pPr>
        <w:rPr>
          <w:rFonts w:hint="eastAsia"/>
          <w:color w:val="auto"/>
          <w:highlight w:val="none"/>
        </w:rPr>
        <w:sectPr>
          <w:pgSz w:w="11905" w:h="16838"/>
          <w:pgMar w:top="1417" w:right="1417" w:bottom="1417" w:left="1417" w:header="992" w:footer="992" w:gutter="0"/>
          <w:lnNumType w:countBy="0" w:distance="360"/>
          <w:cols w:space="720" w:num="1"/>
        </w:sectPr>
      </w:pPr>
      <w:r>
        <w:rPr>
          <w:rFonts w:hint="eastAsia" w:ascii="宋体" w:hAnsi="宋体" w:cs="宋体"/>
          <w:color w:val="auto"/>
          <w:sz w:val="24"/>
          <w:szCs w:val="24"/>
          <w:highlight w:val="none"/>
          <w:lang w:eastAsia="zh-CN"/>
        </w:rPr>
        <w:t>八、投标文件（定标部分）</w:t>
      </w:r>
    </w:p>
    <w:p w14:paraId="65914356">
      <w:pPr>
        <w:pStyle w:val="4"/>
        <w:jc w:val="center"/>
        <w:outlineLvl w:val="1"/>
        <w:rPr>
          <w:rFonts w:hint="eastAsia" w:cs="宋体"/>
          <w:color w:val="auto"/>
          <w:sz w:val="28"/>
          <w:szCs w:val="24"/>
          <w:highlight w:val="none"/>
        </w:rPr>
      </w:pPr>
      <w:bookmarkStart w:id="122" w:name="bookmark176"/>
      <w:bookmarkEnd w:id="122"/>
      <w:bookmarkStart w:id="123" w:name="_Toc5383"/>
      <w:r>
        <w:rPr>
          <w:rFonts w:hint="eastAsia" w:cs="宋体"/>
          <w:color w:val="auto"/>
          <w:sz w:val="28"/>
          <w:szCs w:val="24"/>
          <w:highlight w:val="none"/>
        </w:rPr>
        <w:t>一、投标函及投标函附录</w:t>
      </w:r>
      <w:bookmarkEnd w:id="123"/>
    </w:p>
    <w:p w14:paraId="61ECB855">
      <w:pPr>
        <w:pStyle w:val="5"/>
        <w:outlineLvl w:val="2"/>
        <w:rPr>
          <w:rFonts w:hint="eastAsia" w:cs="宋体"/>
          <w:b/>
          <w:color w:val="auto"/>
          <w:sz w:val="28"/>
          <w:szCs w:val="24"/>
          <w:highlight w:val="none"/>
        </w:rPr>
      </w:pPr>
      <w:bookmarkStart w:id="124" w:name="bookmark177"/>
      <w:bookmarkEnd w:id="124"/>
      <w:bookmarkStart w:id="125" w:name="_Toc9570"/>
      <w:r>
        <w:rPr>
          <w:rFonts w:hint="eastAsia" w:cs="宋体"/>
          <w:b/>
          <w:color w:val="auto"/>
          <w:sz w:val="28"/>
          <w:szCs w:val="24"/>
          <w:highlight w:val="none"/>
        </w:rPr>
        <w:t>（一）投标函</w:t>
      </w:r>
      <w:bookmarkEnd w:id="125"/>
    </w:p>
    <w:p w14:paraId="200FEE8A">
      <w:pPr>
        <w:pStyle w:val="12"/>
        <w:kinsoku w:val="0"/>
        <w:overflowPunct w:val="0"/>
        <w:spacing w:before="1"/>
        <w:ind w:left="0"/>
        <w:rPr>
          <w:rFonts w:hint="eastAsia" w:cs="宋体"/>
          <w:color w:val="auto"/>
          <w:sz w:val="23"/>
          <w:szCs w:val="24"/>
          <w:highlight w:val="none"/>
        </w:rPr>
      </w:pPr>
    </w:p>
    <w:p w14:paraId="435E9CCF">
      <w:pPr>
        <w:pStyle w:val="12"/>
        <w:tabs>
          <w:tab w:val="left" w:pos="1991"/>
        </w:tabs>
        <w:kinsoku w:val="0"/>
        <w:overflowPunct w:val="0"/>
        <w:ind w:left="100" w:right="113"/>
        <w:rPr>
          <w:rFonts w:hint="eastAsia" w:cs="宋体"/>
          <w:color w:val="auto"/>
          <w:spacing w:val="-15"/>
          <w:sz w:val="21"/>
          <w:szCs w:val="24"/>
          <w:highlight w:val="none"/>
        </w:rPr>
      </w:pPr>
      <w:r>
        <w:rPr>
          <w:rFonts w:hint="eastAsia" w:cs="宋体"/>
          <w:color w:val="auto"/>
          <w:spacing w:val="-15"/>
          <w:sz w:val="21"/>
          <w:szCs w:val="24"/>
          <w:highlight w:val="none"/>
        </w:rPr>
        <w:t>广州市番禺区水务工程建管中心（广州市番禺区水旱灾害防御中心）：</w:t>
      </w:r>
    </w:p>
    <w:p w14:paraId="74D03CFF">
      <w:pPr>
        <w:pStyle w:val="12"/>
        <w:kinsoku w:val="0"/>
        <w:overflowPunct w:val="0"/>
        <w:spacing w:before="13"/>
        <w:ind w:left="0"/>
        <w:rPr>
          <w:rFonts w:hint="eastAsia" w:cs="宋体"/>
          <w:color w:val="auto"/>
          <w:sz w:val="21"/>
          <w:szCs w:val="24"/>
          <w:highlight w:val="none"/>
        </w:rPr>
      </w:pPr>
    </w:p>
    <w:p w14:paraId="3F7478FF">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标段</w:t>
      </w:r>
      <w:r>
        <w:rPr>
          <w:rFonts w:hint="eastAsia" w:ascii="宋体" w:hAnsi="宋体" w:eastAsia="宋体" w:cs="宋体"/>
          <w:color w:val="auto"/>
          <w:kern w:val="2"/>
          <w:sz w:val="21"/>
          <w:szCs w:val="21"/>
          <w:highlight w:val="none"/>
          <w:u w:val="single"/>
          <w:lang w:val="en-US" w:eastAsia="zh-CN" w:bidi="ar-SA"/>
        </w:rPr>
        <w:t xml:space="preserve">名称）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）的投标总报价，监理服务期限：按招标文件要求，按合同约定完成监理工作。</w:t>
      </w:r>
    </w:p>
    <w:p w14:paraId="651CFD48">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5A31C69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3268BA0E">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6D103B5B">
      <w:pPr>
        <w:autoSpaceDE/>
        <w:autoSpaceDN/>
        <w:adjustRightInd/>
        <w:spacing w:line="360" w:lineRule="auto"/>
        <w:ind w:left="585" w:leftChars="200" w:hanging="105" w:hangingChars="50"/>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（3）</w:t>
      </w:r>
      <w:r>
        <w:rPr>
          <w:rFonts w:hint="eastAsia" w:ascii="宋体" w:hAnsi="宋体" w:cs="宋体"/>
          <w:color w:val="auto"/>
          <w:spacing w:val="8"/>
          <w:sz w:val="21"/>
          <w:szCs w:val="21"/>
          <w:highlight w:val="none"/>
        </w:rPr>
        <w:t>《关于投标保证金的承诺》</w:t>
      </w:r>
      <w:r>
        <w:rPr>
          <w:rFonts w:hint="eastAsia" w:ascii="宋体" w:hAnsi="宋体" w:eastAsia="宋体" w:cs="宋体"/>
          <w:color w:val="auto"/>
          <w:spacing w:val="8"/>
          <w:kern w:val="0"/>
          <w:sz w:val="21"/>
          <w:szCs w:val="21"/>
          <w:highlight w:val="none"/>
          <w:lang w:val="en-US" w:eastAsia="zh-CN" w:bidi="ar-SA"/>
        </w:rPr>
        <w:t>；</w:t>
      </w:r>
    </w:p>
    <w:p w14:paraId="3EBB0CE2">
      <w:pPr>
        <w:autoSpaceDE/>
        <w:autoSpaceDN/>
        <w:adjustRightInd/>
        <w:spacing w:line="360" w:lineRule="auto"/>
        <w:ind w:left="593" w:leftChars="200" w:hanging="113"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监理报酬清单；</w:t>
      </w:r>
    </w:p>
    <w:p w14:paraId="096D4D5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14:paraId="2B8B6482">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（6）监理大纲；</w:t>
      </w:r>
    </w:p>
    <w:p w14:paraId="5007BD09">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r>
        <w:rPr>
          <w:rFonts w:hint="eastAsia" w:ascii="宋体" w:hAnsi="宋体" w:cs="宋体"/>
          <w:color w:val="auto"/>
          <w:kern w:val="2"/>
          <w:sz w:val="21"/>
          <w:szCs w:val="21"/>
          <w:highlight w:val="none"/>
          <w:lang w:val="en-US" w:eastAsia="zh-CN" w:bidi="ar-SA"/>
        </w:rPr>
        <w:t>；</w:t>
      </w:r>
    </w:p>
    <w:p w14:paraId="083CC88B">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）投标文件（定标部分）</w:t>
      </w:r>
      <w:r>
        <w:rPr>
          <w:rFonts w:hint="eastAsia" w:ascii="宋体" w:hAnsi="宋体" w:cs="宋体"/>
          <w:color w:val="auto"/>
          <w:kern w:val="2"/>
          <w:sz w:val="21"/>
          <w:szCs w:val="21"/>
          <w:highlight w:val="none"/>
          <w:lang w:val="en-US" w:eastAsia="zh-CN" w:bidi="ar-SA"/>
        </w:rPr>
        <w:t>。</w:t>
      </w:r>
    </w:p>
    <w:p w14:paraId="11C37AA4">
      <w:pPr>
        <w:pStyle w:val="12"/>
        <w:kinsoku w:val="0"/>
        <w:overflowPunct w:val="0"/>
        <w:spacing w:line="360" w:lineRule="auto"/>
        <w:ind w:left="522" w:right="2132" w:hanging="17"/>
        <w:rPr>
          <w:rFonts w:hint="eastAsia" w:cs="宋体"/>
          <w:color w:val="auto"/>
          <w:spacing w:val="-2"/>
          <w:sz w:val="21"/>
          <w:szCs w:val="24"/>
          <w:highlight w:val="none"/>
        </w:rPr>
      </w:pPr>
      <w:r>
        <w:rPr>
          <w:rFonts w:hint="eastAsia" w:cs="宋体"/>
          <w:color w:val="auto"/>
          <w:spacing w:val="-2"/>
          <w:sz w:val="21"/>
          <w:szCs w:val="24"/>
          <w:highlight w:val="none"/>
        </w:rPr>
        <w:t>投标文件的上述组成部分如存在内容不一致的，以投标函为准。</w:t>
      </w:r>
    </w:p>
    <w:p w14:paraId="4EC8D5A5">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1679531C">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16A15B0C">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0A0AAE3A">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2E3C60A6">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）在合同约定的期限内完成合同规定的全部义务。</w:t>
      </w:r>
    </w:p>
    <w:p w14:paraId="54DEA348">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4F60E696">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5631B58B">
      <w:pPr>
        <w:pStyle w:val="12"/>
        <w:tabs>
          <w:tab w:val="left" w:pos="7241"/>
        </w:tabs>
        <w:kinsoku w:val="0"/>
        <w:overflowPunct w:val="0"/>
        <w:spacing w:before="36" w:line="360" w:lineRule="auto"/>
        <w:ind w:left="2621" w:right="113" w:firstLine="1260" w:firstLineChars="600"/>
        <w:rPr>
          <w:rFonts w:hint="eastAsia" w:cs="宋体"/>
          <w:color w:val="auto"/>
          <w:sz w:val="21"/>
          <w:szCs w:val="24"/>
          <w:highlight w:val="none"/>
        </w:rPr>
      </w:pPr>
    </w:p>
    <w:p w14:paraId="7BAE09DC">
      <w:pPr>
        <w:pStyle w:val="12"/>
        <w:tabs>
          <w:tab w:val="left" w:pos="7241"/>
        </w:tabs>
        <w:kinsoku w:val="0"/>
        <w:overflowPunct w:val="0"/>
        <w:spacing w:before="36" w:line="240" w:lineRule="auto"/>
        <w:ind w:left="2621" w:right="113" w:firstLine="1260" w:firstLineChars="600"/>
        <w:rPr>
          <w:rFonts w:hint="eastAsia" w:cs="宋体"/>
          <w:color w:val="auto"/>
          <w:sz w:val="21"/>
          <w:szCs w:val="24"/>
          <w:highlight w:val="none"/>
        </w:rPr>
      </w:pPr>
      <w:r>
        <w:rPr>
          <w:rFonts w:hint="eastAsia" w:cs="宋体"/>
          <w:color w:val="auto"/>
          <w:sz w:val="21"/>
          <w:szCs w:val="24"/>
          <w:highlight w:val="none"/>
        </w:rPr>
        <w:t>投 标</w:t>
      </w:r>
      <w:r>
        <w:rPr>
          <w:rFonts w:hint="eastAsia" w:cs="宋体"/>
          <w:color w:val="auto"/>
          <w:spacing w:val="-1"/>
          <w:sz w:val="21"/>
          <w:szCs w:val="24"/>
          <w:highlight w:val="none"/>
        </w:rPr>
        <w:t xml:space="preserve"> </w:t>
      </w:r>
      <w:r>
        <w:rPr>
          <w:rFonts w:hint="eastAsia" w:cs="宋体"/>
          <w:color w:val="auto"/>
          <w:sz w:val="21"/>
          <w:szCs w:val="24"/>
          <w:highlight w:val="none"/>
        </w:rPr>
        <w:t>人：</w:t>
      </w:r>
      <w:r>
        <w:rPr>
          <w:rFonts w:hint="eastAsia" w:cs="宋体"/>
          <w:color w:val="auto"/>
          <w:sz w:val="21"/>
          <w:szCs w:val="24"/>
          <w:highlight w:val="none"/>
          <w:u w:val="singl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cs="宋体"/>
          <w:color w:val="auto"/>
          <w:sz w:val="21"/>
          <w:szCs w:val="24"/>
          <w:highlight w:val="none"/>
        </w:rPr>
        <w:t>（盖单位章）</w:t>
      </w:r>
    </w:p>
    <w:p w14:paraId="07F4DF05">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7DF7EA57">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6623E3F3">
      <w:pPr>
        <w:pStyle w:val="39"/>
        <w:widowControl/>
        <w:kinsoku w:val="0"/>
        <w:snapToGrid w:val="0"/>
        <w:spacing w:line="240" w:lineRule="auto"/>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eastAsia" w:ascii="宋体" w:hAnsi="宋体" w:eastAsia="宋体" w:cs="宋体"/>
          <w:b w:val="0"/>
          <w:snapToGrid w:val="0"/>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14:paraId="051F2BB7">
      <w:pPr>
        <w:pStyle w:val="12"/>
        <w:tabs>
          <w:tab w:val="left" w:pos="3232"/>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地</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575EDB67">
      <w:pPr>
        <w:pStyle w:val="12"/>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网</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7B60891A">
      <w:pPr>
        <w:pStyle w:val="12"/>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电</w:t>
      </w:r>
      <w:r>
        <w:rPr>
          <w:rFonts w:hint="eastAsia" w:cs="宋体"/>
          <w:color w:val="auto"/>
          <w:sz w:val="21"/>
          <w:szCs w:val="24"/>
          <w:highlight w:val="none"/>
          <w:lang w:val="en-US" w:eastAsia="zh-CN"/>
        </w:rPr>
        <w:t xml:space="preserve">    </w:t>
      </w:r>
      <w:r>
        <w:rPr>
          <w:rFonts w:hint="eastAsia" w:cs="宋体"/>
          <w:color w:val="auto"/>
          <w:sz w:val="21"/>
          <w:szCs w:val="24"/>
          <w:highlight w:val="none"/>
        </w:rPr>
        <w:t>话：</w:t>
      </w:r>
      <w:r>
        <w:rPr>
          <w:rFonts w:hint="eastAsia" w:cs="宋体"/>
          <w:color w:val="auto"/>
          <w:sz w:val="21"/>
          <w:szCs w:val="24"/>
          <w:highlight w:val="none"/>
          <w:u w:val="single"/>
          <w:lang w:val="en-US" w:eastAsia="zh-CN"/>
        </w:rPr>
        <w:t xml:space="preserve">                          </w:t>
      </w:r>
    </w:p>
    <w:p w14:paraId="6F420A80">
      <w:pPr>
        <w:pStyle w:val="12"/>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传</w:t>
      </w:r>
      <w:r>
        <w:rPr>
          <w:rFonts w:hint="eastAsia" w:cs="宋体"/>
          <w:color w:val="auto"/>
          <w:sz w:val="21"/>
          <w:szCs w:val="24"/>
          <w:highlight w:val="none"/>
          <w:lang w:val="en-US" w:eastAsia="zh-CN"/>
        </w:rPr>
        <w:t xml:space="preserve">    </w:t>
      </w:r>
      <w:r>
        <w:rPr>
          <w:rFonts w:hint="eastAsia" w:cs="宋体"/>
          <w:color w:val="auto"/>
          <w:sz w:val="21"/>
          <w:szCs w:val="24"/>
          <w:highlight w:val="none"/>
        </w:rPr>
        <w:t>真：</w:t>
      </w:r>
      <w:r>
        <w:rPr>
          <w:rFonts w:hint="eastAsia" w:cs="宋体"/>
          <w:color w:val="auto"/>
          <w:sz w:val="21"/>
          <w:szCs w:val="24"/>
          <w:highlight w:val="none"/>
          <w:u w:val="single"/>
          <w:lang w:val="en-US" w:eastAsia="zh-CN"/>
        </w:rPr>
        <w:t xml:space="preserve">                          </w:t>
      </w:r>
    </w:p>
    <w:p w14:paraId="1A2AD555">
      <w:pPr>
        <w:pStyle w:val="12"/>
        <w:tabs>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08B8FE9F">
      <w:pPr>
        <w:pStyle w:val="12"/>
        <w:tabs>
          <w:tab w:val="left" w:pos="8529"/>
        </w:tabs>
        <w:kinsoku w:val="0"/>
        <w:overflowPunct w:val="0"/>
        <w:spacing w:before="36" w:line="240" w:lineRule="auto"/>
        <w:ind w:left="2601"/>
        <w:rPr>
          <w:rFonts w:hint="eastAsia" w:ascii="宋体" w:hAnsi="宋体" w:eastAsia="宋体" w:cs="宋体"/>
          <w:color w:val="auto"/>
          <w:sz w:val="21"/>
          <w:szCs w:val="24"/>
          <w:highlight w:val="none"/>
          <w:u w:val="single"/>
          <w:lang w:val="en-US" w:eastAsia="zh-CN"/>
        </w:rPr>
      </w:pPr>
      <w:r>
        <w:rPr>
          <w:rFonts w:hint="eastAsia" w:hAnsi="宋体" w:cs="宋体"/>
          <w:color w:val="auto"/>
          <w:sz w:val="21"/>
          <w:szCs w:val="24"/>
          <w:highlight w:val="non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年</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月</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日</w:t>
      </w:r>
    </w:p>
    <w:p w14:paraId="0BBC2B26">
      <w:pPr>
        <w:pStyle w:val="12"/>
        <w:tabs>
          <w:tab w:val="left" w:pos="631"/>
          <w:tab w:val="left" w:pos="1471"/>
          <w:tab w:val="left" w:pos="2311"/>
        </w:tabs>
        <w:kinsoku w:val="0"/>
        <w:overflowPunct w:val="0"/>
        <w:spacing w:before="36" w:line="240" w:lineRule="auto"/>
        <w:ind w:left="0" w:right="117"/>
        <w:jc w:val="right"/>
        <w:rPr>
          <w:rFonts w:hint="eastAsia" w:ascii="宋体" w:hAnsi="宋体" w:eastAsia="宋体" w:cs="宋体"/>
          <w:color w:val="auto"/>
          <w:sz w:val="21"/>
          <w:szCs w:val="24"/>
          <w:highlight w:val="none"/>
        </w:rPr>
        <w:sectPr>
          <w:footerReference r:id="rId12" w:type="default"/>
          <w:pgSz w:w="11905" w:h="16838"/>
          <w:pgMar w:top="1417" w:right="1417" w:bottom="1417" w:left="1417" w:header="992" w:footer="992" w:gutter="0"/>
          <w:lnNumType w:countBy="0" w:distance="360"/>
          <w:cols w:space="720" w:num="1"/>
        </w:sectPr>
      </w:pPr>
    </w:p>
    <w:p w14:paraId="27A146EE">
      <w:pPr>
        <w:pStyle w:val="5"/>
        <w:outlineLvl w:val="2"/>
        <w:rPr>
          <w:rFonts w:hint="eastAsia" w:cs="宋体"/>
          <w:b/>
          <w:color w:val="auto"/>
          <w:sz w:val="28"/>
          <w:szCs w:val="24"/>
          <w:highlight w:val="none"/>
        </w:rPr>
      </w:pPr>
      <w:bookmarkStart w:id="126" w:name="bookmark178"/>
      <w:bookmarkEnd w:id="126"/>
      <w:bookmarkStart w:id="127" w:name="_Toc8767"/>
      <w:r>
        <w:rPr>
          <w:rFonts w:hint="eastAsia" w:cs="宋体"/>
          <w:b/>
          <w:color w:val="auto"/>
          <w:sz w:val="28"/>
          <w:szCs w:val="24"/>
          <w:highlight w:val="none"/>
        </w:rPr>
        <w:t>（二）投标函附录</w:t>
      </w:r>
      <w:bookmarkEnd w:id="127"/>
    </w:p>
    <w:p w14:paraId="450C9519">
      <w:pPr>
        <w:pStyle w:val="12"/>
        <w:kinsoku w:val="0"/>
        <w:overflowPunct w:val="0"/>
        <w:ind w:left="0"/>
        <w:rPr>
          <w:rFonts w:hint="eastAsia" w:cs="宋体"/>
          <w:color w:val="auto"/>
          <w:sz w:val="20"/>
          <w:szCs w:val="24"/>
          <w:highlight w:val="none"/>
        </w:rPr>
      </w:pPr>
    </w:p>
    <w:p w14:paraId="5AC0CAC2">
      <w:pPr>
        <w:pStyle w:val="12"/>
        <w:kinsoku w:val="0"/>
        <w:overflowPunct w:val="0"/>
        <w:spacing w:before="11"/>
        <w:ind w:left="0"/>
        <w:rPr>
          <w:rFonts w:hint="eastAsia" w:cs="宋体"/>
          <w:color w:val="auto"/>
          <w:sz w:val="22"/>
          <w:szCs w:val="24"/>
          <w:highlight w:val="none"/>
        </w:rPr>
      </w:pPr>
    </w:p>
    <w:tbl>
      <w:tblPr>
        <w:tblStyle w:val="2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20"/>
        <w:gridCol w:w="5160"/>
        <w:gridCol w:w="1262"/>
      </w:tblGrid>
      <w:tr w14:paraId="231F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67742B7A">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643C927">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E6B2A34">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约定内容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5A6237">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1385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CBDD7">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BB9A3BA">
            <w:pPr>
              <w:pStyle w:val="34"/>
              <w:kinsoku w:val="0"/>
              <w:overflowPunct w:val="0"/>
              <w:spacing w:before="26"/>
              <w:jc w:val="center"/>
              <w:rPr>
                <w:rFonts w:hint="eastAsia" w:ascii="宋体" w:hAnsi="宋体" w:cs="宋体"/>
                <w:b/>
                <w:color w:val="auto"/>
                <w:sz w:val="24"/>
                <w:szCs w:val="24"/>
                <w:highlight w:val="none"/>
              </w:rPr>
            </w:pPr>
            <w:r>
              <w:rPr>
                <w:rFonts w:hint="eastAsia" w:ascii="宋体" w:hAnsi="宋体" w:cs="宋体"/>
                <w:bCs/>
                <w:color w:val="auto"/>
                <w:sz w:val="24"/>
                <w:szCs w:val="24"/>
                <w:highlight w:val="none"/>
                <w:lang w:eastAsia="zh-CN"/>
              </w:rPr>
              <w:t>标段</w:t>
            </w:r>
            <w:r>
              <w:rPr>
                <w:rFonts w:hint="eastAsia" w:ascii="宋体" w:hAnsi="宋体" w:eastAsia="宋体" w:cs="宋体"/>
                <w:bCs/>
                <w:color w:val="auto"/>
                <w:sz w:val="24"/>
                <w:szCs w:val="24"/>
                <w:highlight w:val="none"/>
                <w:lang w:eastAsia="zh-CN"/>
              </w:rPr>
              <w:t>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2780B251">
            <w:pPr>
              <w:pStyle w:val="34"/>
              <w:kinsoku w:val="0"/>
              <w:overflowPunct w:val="0"/>
              <w:spacing w:before="26"/>
              <w:jc w:val="center"/>
              <w:rPr>
                <w:rFonts w:hint="eastAsia" w:ascii="宋体" w:hAnsi="宋体" w:cs="宋体"/>
                <w:b/>
                <w:color w:val="auto"/>
                <w:sz w:val="24"/>
                <w:szCs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0FCB881">
            <w:pPr>
              <w:jc w:val="center"/>
              <w:rPr>
                <w:rFonts w:hint="eastAsia" w:ascii="宋体" w:hAnsi="宋体" w:cs="宋体"/>
                <w:b/>
                <w:color w:val="auto"/>
                <w:sz w:val="24"/>
                <w:szCs w:val="24"/>
                <w:highlight w:val="none"/>
              </w:rPr>
            </w:pPr>
          </w:p>
        </w:tc>
      </w:tr>
      <w:tr w14:paraId="047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261BA">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2</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9B01480">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总监理工程师</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30289F2C">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姓名：</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63FD8B09">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0A6D5BF6">
            <w:pPr>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注册证号：</w:t>
            </w:r>
            <w:r>
              <w:rPr>
                <w:rFonts w:hint="eastAsia" w:ascii="宋体" w:hAnsi="宋体" w:cs="宋体"/>
                <w:bCs/>
                <w:color w:val="auto"/>
                <w:sz w:val="24"/>
                <w:szCs w:val="24"/>
                <w:highlight w:val="none"/>
                <w:u w:val="single"/>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8672EB5">
            <w:pPr>
              <w:jc w:val="center"/>
              <w:rPr>
                <w:rFonts w:hint="eastAsia" w:ascii="宋体" w:hAnsi="宋体" w:cs="宋体"/>
                <w:b/>
                <w:color w:val="auto"/>
                <w:sz w:val="24"/>
                <w:szCs w:val="24"/>
                <w:highlight w:val="none"/>
              </w:rPr>
            </w:pPr>
          </w:p>
        </w:tc>
      </w:tr>
      <w:tr w14:paraId="2E7D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F33F9A">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3</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52FBB2">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监理服务期限</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1326574">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6478FAF">
            <w:pPr>
              <w:jc w:val="center"/>
              <w:rPr>
                <w:rFonts w:hint="eastAsia" w:ascii="宋体" w:hAnsi="宋体" w:cs="宋体"/>
                <w:b/>
                <w:color w:val="auto"/>
                <w:sz w:val="24"/>
                <w:szCs w:val="24"/>
                <w:highlight w:val="none"/>
              </w:rPr>
            </w:pPr>
          </w:p>
        </w:tc>
      </w:tr>
      <w:tr w14:paraId="0267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A3187">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4</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4B58B3">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合同价款确定方式</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2A94B93D">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暂定价格合同</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69CFEB">
            <w:pPr>
              <w:jc w:val="center"/>
              <w:rPr>
                <w:rFonts w:hint="eastAsia" w:ascii="宋体" w:hAnsi="宋体" w:cs="宋体"/>
                <w:b/>
                <w:color w:val="auto"/>
                <w:sz w:val="24"/>
                <w:szCs w:val="24"/>
                <w:highlight w:val="none"/>
              </w:rPr>
            </w:pPr>
          </w:p>
        </w:tc>
      </w:tr>
      <w:tr w14:paraId="73E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A919F8">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5</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8724BD">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质量标准</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0D4828A">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合格</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1011AE7">
            <w:pPr>
              <w:jc w:val="center"/>
              <w:rPr>
                <w:rFonts w:hint="eastAsia" w:ascii="宋体" w:hAnsi="宋体" w:cs="宋体"/>
                <w:b/>
                <w:color w:val="auto"/>
                <w:sz w:val="24"/>
                <w:szCs w:val="24"/>
                <w:highlight w:val="none"/>
              </w:rPr>
            </w:pPr>
          </w:p>
        </w:tc>
      </w:tr>
      <w:tr w14:paraId="05A2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A7970">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6</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3B3405">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监理人员</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20C8B08">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驻场监理人数：</w:t>
            </w:r>
          </w:p>
          <w:p w14:paraId="6FD50344">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监理工程师人数:</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A109553">
            <w:pPr>
              <w:jc w:val="center"/>
              <w:rPr>
                <w:rFonts w:hint="eastAsia" w:ascii="宋体" w:hAnsi="宋体" w:cs="宋体"/>
                <w:b/>
                <w:color w:val="auto"/>
                <w:sz w:val="24"/>
                <w:szCs w:val="24"/>
                <w:highlight w:val="none"/>
              </w:rPr>
            </w:pPr>
          </w:p>
        </w:tc>
      </w:tr>
      <w:tr w14:paraId="264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CF5B07">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7</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1FF811">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暂定工程费 </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A77D07E">
            <w:pPr>
              <w:rPr>
                <w:rFonts w:hint="eastAsia" w:ascii="宋体" w:hAnsi="宋体" w:cs="宋体"/>
                <w:bCs/>
                <w:color w:val="auto"/>
                <w:sz w:val="24"/>
                <w:szCs w:val="24"/>
                <w:highlight w:val="none"/>
              </w:rPr>
            </w:pPr>
            <w:r>
              <w:rPr>
                <w:rFonts w:hint="eastAsia" w:ascii="宋体" w:hAnsi="宋体" w:cs="宋体"/>
                <w:color w:val="auto"/>
                <w:sz w:val="24"/>
                <w:szCs w:val="24"/>
                <w:highlight w:val="none"/>
              </w:rPr>
              <w:t>总暂定工程费：</w:t>
            </w:r>
            <w:r>
              <w:rPr>
                <w:rFonts w:hint="eastAsia" w:ascii="宋体" w:hAnsi="宋体" w:cs="宋体"/>
                <w:color w:val="auto"/>
                <w:sz w:val="24"/>
                <w:szCs w:val="24"/>
                <w:highlight w:val="none"/>
                <w:u w:val="single"/>
                <w:lang w:val="en-US" w:eastAsia="zh-CN"/>
              </w:rPr>
              <w:t>201537394.02</w:t>
            </w:r>
            <w:r>
              <w:rPr>
                <w:rFonts w:hint="eastAsia" w:ascii="宋体" w:hAnsi="宋体" w:cs="宋体"/>
                <w:color w:val="auto"/>
                <w:sz w:val="24"/>
                <w:szCs w:val="24"/>
                <w:highlight w:val="none"/>
                <w:u w:val="singl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100EC9F">
            <w:pPr>
              <w:jc w:val="center"/>
              <w:rPr>
                <w:rFonts w:hint="eastAsia" w:ascii="宋体" w:hAnsi="宋体" w:cs="宋体"/>
                <w:b/>
                <w:color w:val="auto"/>
                <w:sz w:val="24"/>
                <w:szCs w:val="24"/>
                <w:highlight w:val="none"/>
              </w:rPr>
            </w:pPr>
          </w:p>
        </w:tc>
      </w:tr>
      <w:tr w14:paraId="6619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74F1E">
            <w:pPr>
              <w:jc w:val="center"/>
              <w:rPr>
                <w:rFonts w:hint="eastAsia" w:ascii="宋体" w:hAnsi="宋体" w:cs="宋体"/>
                <w:bCs/>
                <w:color w:val="auto"/>
                <w:sz w:val="24"/>
                <w:szCs w:val="24"/>
                <w:highlight w:val="none"/>
              </w:rPr>
            </w:pPr>
          </w:p>
          <w:p w14:paraId="4CC31D15">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8</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DA1F1A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投标总报价</w:t>
            </w:r>
          </w:p>
          <w:p w14:paraId="7FED717C">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（监理报价）</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A44FBEC">
            <w:pPr>
              <w:rPr>
                <w:rFonts w:hint="eastAsia" w:ascii="宋体" w:hAnsi="宋体" w:cs="宋体"/>
                <w:bCs/>
                <w:color w:val="auto"/>
                <w:sz w:val="24"/>
                <w:szCs w:val="24"/>
                <w:highlight w:val="none"/>
              </w:rPr>
            </w:pPr>
            <w:r>
              <w:rPr>
                <w:rFonts w:hint="eastAsia" w:ascii="宋体" w:hAnsi="宋体" w:cs="宋体"/>
                <w:color w:val="auto"/>
                <w:sz w:val="24"/>
                <w:szCs w:val="24"/>
                <w:highlight w:val="none"/>
              </w:rPr>
              <w:t>投标总报价（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2EA857A">
            <w:pPr>
              <w:jc w:val="center"/>
              <w:rPr>
                <w:rFonts w:hint="eastAsia" w:ascii="宋体" w:hAnsi="宋体" w:cs="宋体"/>
                <w:b/>
                <w:color w:val="auto"/>
                <w:sz w:val="24"/>
                <w:szCs w:val="24"/>
                <w:highlight w:val="none"/>
              </w:rPr>
            </w:pPr>
          </w:p>
        </w:tc>
      </w:tr>
      <w:tr w14:paraId="527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8B00C">
            <w:pPr>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6C7399">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投标报价下浮率</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3195AD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59B829E">
            <w:pPr>
              <w:jc w:val="center"/>
              <w:rPr>
                <w:rFonts w:hint="eastAsia" w:ascii="宋体" w:hAnsi="宋体" w:cs="宋体"/>
                <w:b/>
                <w:color w:val="auto"/>
                <w:sz w:val="24"/>
                <w:szCs w:val="24"/>
                <w:highlight w:val="none"/>
              </w:rPr>
            </w:pPr>
          </w:p>
        </w:tc>
      </w:tr>
      <w:tr w14:paraId="46A5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3F4BAC">
            <w:pPr>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0"/>
                <w:sz w:val="24"/>
                <w:szCs w:val="24"/>
                <w:highlight w:val="none"/>
                <w:lang w:val="en-US" w:eastAsia="zh-CN"/>
              </w:rPr>
              <w:t>10</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A53C6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投标有效期</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3EDDB398">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D056D7C">
            <w:pPr>
              <w:jc w:val="center"/>
              <w:rPr>
                <w:rFonts w:hint="eastAsia" w:ascii="宋体" w:hAnsi="宋体" w:cs="宋体"/>
                <w:b/>
                <w:color w:val="auto"/>
                <w:sz w:val="24"/>
                <w:szCs w:val="24"/>
                <w:highlight w:val="none"/>
              </w:rPr>
            </w:pPr>
          </w:p>
        </w:tc>
      </w:tr>
    </w:tbl>
    <w:p w14:paraId="76E63520">
      <w:pPr>
        <w:pStyle w:val="12"/>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49D94EF2">
      <w:pPr>
        <w:pStyle w:val="4"/>
        <w:jc w:val="center"/>
        <w:outlineLvl w:val="1"/>
        <w:rPr>
          <w:rFonts w:hint="eastAsia" w:cs="宋体"/>
          <w:color w:val="auto"/>
          <w:sz w:val="28"/>
          <w:szCs w:val="24"/>
          <w:highlight w:val="none"/>
        </w:rPr>
      </w:pPr>
      <w:bookmarkStart w:id="128" w:name="bookmark179"/>
      <w:bookmarkEnd w:id="128"/>
      <w:bookmarkStart w:id="129" w:name="_Toc2313"/>
      <w:r>
        <w:rPr>
          <w:rFonts w:hint="eastAsia" w:cs="宋体"/>
          <w:color w:val="auto"/>
          <w:sz w:val="28"/>
          <w:szCs w:val="24"/>
          <w:highlight w:val="none"/>
        </w:rPr>
        <w:t>二、法定代表人身份证明</w:t>
      </w:r>
      <w:bookmarkEnd w:id="129"/>
    </w:p>
    <w:p w14:paraId="2BEEC027">
      <w:pPr>
        <w:pStyle w:val="12"/>
        <w:kinsoku w:val="0"/>
        <w:overflowPunct w:val="0"/>
        <w:ind w:left="0"/>
        <w:rPr>
          <w:rFonts w:hint="eastAsia" w:ascii="宋体" w:hAnsi="宋体" w:eastAsia="宋体" w:cs="宋体"/>
          <w:b/>
          <w:color w:val="auto"/>
          <w:sz w:val="32"/>
          <w:szCs w:val="24"/>
          <w:highlight w:val="none"/>
        </w:rPr>
      </w:pPr>
    </w:p>
    <w:p w14:paraId="7D823604">
      <w:pPr>
        <w:pStyle w:val="12"/>
        <w:kinsoku w:val="0"/>
        <w:overflowPunct w:val="0"/>
        <w:ind w:left="0"/>
        <w:rPr>
          <w:rFonts w:hint="eastAsia" w:ascii="宋体" w:hAnsi="宋体" w:eastAsia="宋体" w:cs="宋体"/>
          <w:b/>
          <w:color w:val="auto"/>
          <w:sz w:val="32"/>
          <w:szCs w:val="24"/>
          <w:highlight w:val="none"/>
        </w:rPr>
      </w:pPr>
    </w:p>
    <w:p w14:paraId="1EF05329">
      <w:pPr>
        <w:pStyle w:val="12"/>
        <w:kinsoku w:val="0"/>
        <w:overflowPunct w:val="0"/>
        <w:spacing w:before="8"/>
        <w:ind w:left="0"/>
        <w:rPr>
          <w:rFonts w:hint="eastAsia" w:ascii="宋体" w:hAnsi="宋体" w:eastAsia="宋体" w:cs="宋体"/>
          <w:b/>
          <w:color w:val="auto"/>
          <w:sz w:val="25"/>
          <w:szCs w:val="24"/>
          <w:highlight w:val="none"/>
        </w:rPr>
      </w:pPr>
    </w:p>
    <w:p w14:paraId="347AC3F9">
      <w:pPr>
        <w:pStyle w:val="12"/>
        <w:tabs>
          <w:tab w:val="left" w:pos="3928"/>
        </w:tabs>
        <w:kinsoku w:val="0"/>
        <w:overflowPunct w:val="0"/>
        <w:ind w:left="100"/>
        <w:rPr>
          <w:rFonts w:hint="eastAsia" w:ascii="宋体" w:hAnsi="宋体" w:eastAsia="宋体" w:cs="宋体"/>
          <w:color w:val="auto"/>
          <w:sz w:val="24"/>
          <w:szCs w:val="24"/>
          <w:highlight w:val="none"/>
        </w:rPr>
      </w:pPr>
      <w:r>
        <w:rPr>
          <w:rFonts w:hint="eastAsia"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5ABD708C">
      <w:pPr>
        <w:pStyle w:val="12"/>
        <w:kinsoku w:val="0"/>
        <w:overflowPunct w:val="0"/>
        <w:spacing w:before="2"/>
        <w:ind w:left="0"/>
        <w:rPr>
          <w:rFonts w:hint="eastAsia" w:ascii="宋体" w:hAnsi="宋体" w:eastAsia="宋体" w:cs="宋体"/>
          <w:color w:val="auto"/>
          <w:sz w:val="24"/>
          <w:szCs w:val="24"/>
          <w:highlight w:val="none"/>
        </w:rPr>
      </w:pPr>
    </w:p>
    <w:p w14:paraId="137390B2">
      <w:pPr>
        <w:pStyle w:val="12"/>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09AD7D92">
      <w:pPr>
        <w:pStyle w:val="12"/>
        <w:kinsoku w:val="0"/>
        <w:overflowPunct w:val="0"/>
        <w:spacing w:before="5"/>
        <w:ind w:left="0"/>
        <w:rPr>
          <w:rFonts w:hint="eastAsia" w:ascii="宋体" w:hAnsi="宋体" w:eastAsia="宋体" w:cs="宋体"/>
          <w:color w:val="auto"/>
          <w:sz w:val="24"/>
          <w:szCs w:val="24"/>
          <w:highlight w:val="none"/>
        </w:rPr>
      </w:pPr>
    </w:p>
    <w:p w14:paraId="79A5EDE5">
      <w:pPr>
        <w:pStyle w:val="12"/>
        <w:tabs>
          <w:tab w:val="left" w:pos="2832"/>
        </w:tabs>
        <w:kinsoku w:val="0"/>
        <w:overflowPunct w:val="0"/>
        <w:spacing w:before="36"/>
        <w:ind w:left="100"/>
        <w:rPr>
          <w:rFonts w:hint="eastAsia" w:cs="宋体"/>
          <w:color w:val="auto"/>
          <w:spacing w:val="-2"/>
          <w:sz w:val="24"/>
          <w:szCs w:val="24"/>
          <w:highlight w:val="none"/>
        </w:rPr>
      </w:pPr>
      <w:r>
        <w:rPr>
          <w:rFonts w:hint="eastAsia"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（投标人名称）的法定代表人。</w:t>
      </w:r>
    </w:p>
    <w:p w14:paraId="5E30A262">
      <w:pPr>
        <w:pStyle w:val="12"/>
        <w:kinsoku w:val="0"/>
        <w:overflowPunct w:val="0"/>
        <w:spacing w:before="10"/>
        <w:ind w:left="0"/>
        <w:rPr>
          <w:rFonts w:hint="eastAsia" w:cs="宋体"/>
          <w:color w:val="auto"/>
          <w:sz w:val="24"/>
          <w:szCs w:val="24"/>
          <w:highlight w:val="none"/>
        </w:rPr>
      </w:pPr>
    </w:p>
    <w:p w14:paraId="656A63C3">
      <w:pPr>
        <w:pStyle w:val="12"/>
        <w:kinsoku w:val="0"/>
        <w:overflowPunct w:val="0"/>
        <w:spacing w:before="36"/>
        <w:ind w:left="100" w:firstLine="419"/>
        <w:rPr>
          <w:rFonts w:hint="eastAsia" w:cs="宋体"/>
          <w:color w:val="auto"/>
          <w:sz w:val="24"/>
          <w:szCs w:val="24"/>
          <w:highlight w:val="none"/>
        </w:rPr>
      </w:pPr>
      <w:r>
        <w:rPr>
          <w:rFonts w:hint="eastAsia" w:cs="宋体"/>
          <w:color w:val="auto"/>
          <w:sz w:val="24"/>
          <w:szCs w:val="24"/>
          <w:highlight w:val="none"/>
        </w:rPr>
        <w:t>特此证明。</w:t>
      </w:r>
    </w:p>
    <w:p w14:paraId="1C08D5FC">
      <w:pPr>
        <w:pStyle w:val="12"/>
        <w:kinsoku w:val="0"/>
        <w:overflowPunct w:val="0"/>
        <w:ind w:left="0"/>
        <w:rPr>
          <w:rFonts w:hint="eastAsia" w:cs="宋体"/>
          <w:color w:val="auto"/>
          <w:sz w:val="24"/>
          <w:szCs w:val="24"/>
          <w:highlight w:val="none"/>
        </w:rPr>
      </w:pPr>
    </w:p>
    <w:p w14:paraId="2B21F80B">
      <w:pPr>
        <w:pStyle w:val="12"/>
        <w:kinsoku w:val="0"/>
        <w:overflowPunct w:val="0"/>
        <w:spacing w:before="4"/>
        <w:ind w:left="0"/>
        <w:rPr>
          <w:rFonts w:hint="eastAsia" w:cs="宋体"/>
          <w:color w:val="auto"/>
          <w:sz w:val="24"/>
          <w:szCs w:val="24"/>
          <w:highlight w:val="none"/>
        </w:rPr>
      </w:pPr>
    </w:p>
    <w:p w14:paraId="1E0EA4FF">
      <w:pPr>
        <w:pStyle w:val="12"/>
        <w:kinsoku w:val="0"/>
        <w:overflowPunct w:val="0"/>
        <w:ind w:left="100"/>
        <w:rPr>
          <w:rFonts w:hint="eastAsia" w:cs="宋体"/>
          <w:color w:val="auto"/>
          <w:sz w:val="24"/>
          <w:szCs w:val="24"/>
          <w:highlight w:val="none"/>
        </w:rPr>
      </w:pPr>
      <w:r>
        <w:rPr>
          <w:rFonts w:hint="eastAsia" w:cs="宋体"/>
          <w:color w:val="auto"/>
          <w:sz w:val="24"/>
          <w:szCs w:val="24"/>
          <w:highlight w:val="none"/>
        </w:rPr>
        <w:t>附：法定代表人身份证</w:t>
      </w:r>
      <w:r>
        <w:rPr>
          <w:rFonts w:hint="eastAsia" w:cs="宋体"/>
          <w:color w:val="auto"/>
          <w:sz w:val="24"/>
          <w:szCs w:val="24"/>
          <w:highlight w:val="none"/>
          <w:lang w:eastAsia="zh-CN"/>
        </w:rPr>
        <w:t>正反面扫描</w:t>
      </w:r>
      <w:r>
        <w:rPr>
          <w:rFonts w:hint="eastAsia" w:cs="宋体"/>
          <w:color w:val="auto"/>
          <w:sz w:val="24"/>
          <w:szCs w:val="24"/>
          <w:highlight w:val="none"/>
        </w:rPr>
        <w:t>件。</w:t>
      </w:r>
    </w:p>
    <w:p w14:paraId="75D36F44">
      <w:pPr>
        <w:pStyle w:val="12"/>
        <w:kinsoku w:val="0"/>
        <w:overflowPunct w:val="0"/>
        <w:ind w:left="0"/>
        <w:rPr>
          <w:rFonts w:hint="eastAsia" w:cs="宋体"/>
          <w:color w:val="auto"/>
          <w:sz w:val="24"/>
          <w:szCs w:val="24"/>
          <w:highlight w:val="none"/>
        </w:rPr>
      </w:pPr>
    </w:p>
    <w:p w14:paraId="0B41C344">
      <w:pPr>
        <w:pStyle w:val="12"/>
        <w:kinsoku w:val="0"/>
        <w:overflowPunct w:val="0"/>
        <w:spacing w:before="2"/>
        <w:ind w:left="0"/>
        <w:rPr>
          <w:rFonts w:hint="eastAsia" w:cs="宋体"/>
          <w:color w:val="auto"/>
          <w:sz w:val="24"/>
          <w:szCs w:val="24"/>
          <w:highlight w:val="none"/>
        </w:rPr>
      </w:pPr>
    </w:p>
    <w:p w14:paraId="70CC1E34">
      <w:pPr>
        <w:pStyle w:val="12"/>
        <w:kinsoku w:val="0"/>
        <w:overflowPunct w:val="0"/>
        <w:ind w:left="0"/>
        <w:rPr>
          <w:rFonts w:hint="eastAsia" w:cs="宋体"/>
          <w:color w:val="auto"/>
          <w:sz w:val="24"/>
          <w:szCs w:val="24"/>
          <w:highlight w:val="none"/>
        </w:rPr>
      </w:pPr>
    </w:p>
    <w:p w14:paraId="111AFEE6">
      <w:pPr>
        <w:pStyle w:val="12"/>
        <w:kinsoku w:val="0"/>
        <w:overflowPunct w:val="0"/>
        <w:ind w:left="0"/>
        <w:rPr>
          <w:rFonts w:hint="eastAsia" w:cs="宋体"/>
          <w:color w:val="auto"/>
          <w:sz w:val="24"/>
          <w:szCs w:val="24"/>
          <w:highlight w:val="none"/>
        </w:rPr>
      </w:pPr>
    </w:p>
    <w:p w14:paraId="745A274A">
      <w:pPr>
        <w:pStyle w:val="12"/>
        <w:kinsoku w:val="0"/>
        <w:overflowPunct w:val="0"/>
        <w:ind w:left="0"/>
        <w:rPr>
          <w:rFonts w:hint="eastAsia" w:cs="宋体"/>
          <w:color w:val="auto"/>
          <w:sz w:val="24"/>
          <w:szCs w:val="24"/>
          <w:highlight w:val="none"/>
        </w:rPr>
      </w:pPr>
    </w:p>
    <w:p w14:paraId="1DC14110">
      <w:pPr>
        <w:pStyle w:val="12"/>
        <w:kinsoku w:val="0"/>
        <w:overflowPunct w:val="0"/>
        <w:spacing w:before="2"/>
        <w:ind w:left="0"/>
        <w:rPr>
          <w:rFonts w:hint="eastAsia" w:cs="宋体"/>
          <w:color w:val="auto"/>
          <w:sz w:val="24"/>
          <w:szCs w:val="24"/>
          <w:highlight w:val="none"/>
        </w:rPr>
      </w:pPr>
    </w:p>
    <w:p w14:paraId="097A7605">
      <w:pPr>
        <w:pStyle w:val="12"/>
        <w:tabs>
          <w:tab w:val="left" w:pos="6521"/>
        </w:tabs>
        <w:kinsoku w:val="0"/>
        <w:overflowPunct w:val="0"/>
        <w:spacing w:before="36"/>
        <w:ind w:left="4212"/>
        <w:rPr>
          <w:rFonts w:hint="eastAsia" w:cs="宋体"/>
          <w:color w:val="auto"/>
          <w:spacing w:val="-1"/>
          <w:sz w:val="24"/>
          <w:szCs w:val="24"/>
          <w:highlight w:val="none"/>
        </w:rPr>
      </w:pPr>
      <w:r>
        <w:rPr>
          <w:rFonts w:hint="eastAsia"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cs="宋体"/>
          <w:color w:val="auto"/>
          <w:spacing w:val="-1"/>
          <w:sz w:val="24"/>
          <w:szCs w:val="24"/>
          <w:highlight w:val="none"/>
        </w:rPr>
        <w:t>（盖单位章）</w:t>
      </w:r>
    </w:p>
    <w:p w14:paraId="3E564E9A">
      <w:pPr>
        <w:pStyle w:val="12"/>
        <w:kinsoku w:val="0"/>
        <w:overflowPunct w:val="0"/>
        <w:ind w:left="0"/>
        <w:rPr>
          <w:rFonts w:hint="eastAsia" w:cs="宋体"/>
          <w:color w:val="auto"/>
          <w:sz w:val="24"/>
          <w:szCs w:val="24"/>
          <w:highlight w:val="none"/>
        </w:rPr>
      </w:pPr>
    </w:p>
    <w:p w14:paraId="3F5E2CD7">
      <w:pPr>
        <w:pStyle w:val="12"/>
        <w:kinsoku w:val="0"/>
        <w:overflowPunct w:val="0"/>
        <w:spacing w:before="7"/>
        <w:ind w:left="0"/>
        <w:rPr>
          <w:rFonts w:hint="eastAsia" w:cs="宋体"/>
          <w:color w:val="auto"/>
          <w:sz w:val="24"/>
          <w:szCs w:val="24"/>
          <w:highlight w:val="none"/>
        </w:rPr>
      </w:pPr>
    </w:p>
    <w:p w14:paraId="1F66B691">
      <w:pPr>
        <w:pStyle w:val="12"/>
        <w:tabs>
          <w:tab w:val="left" w:pos="5352"/>
          <w:tab w:val="left" w:pos="6192"/>
          <w:tab w:val="left" w:pos="7032"/>
        </w:tabs>
        <w:kinsoku w:val="0"/>
        <w:overflowPunct w:val="0"/>
        <w:spacing w:before="36"/>
        <w:ind w:left="4721"/>
        <w:rPr>
          <w:rFonts w:hint="eastAsia"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日</w:t>
      </w:r>
    </w:p>
    <w:p w14:paraId="586C7022">
      <w:pPr>
        <w:pStyle w:val="12"/>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77E8BB21">
      <w:pPr>
        <w:pStyle w:val="4"/>
        <w:jc w:val="center"/>
        <w:outlineLvl w:val="1"/>
        <w:rPr>
          <w:rFonts w:hint="eastAsia" w:cs="宋体"/>
          <w:color w:val="auto"/>
          <w:sz w:val="28"/>
          <w:szCs w:val="24"/>
          <w:highlight w:val="none"/>
        </w:rPr>
      </w:pPr>
      <w:bookmarkStart w:id="130" w:name="bookmark180"/>
      <w:bookmarkEnd w:id="130"/>
      <w:bookmarkStart w:id="131" w:name="_Toc18172"/>
      <w:r>
        <w:rPr>
          <w:rFonts w:hint="eastAsia" w:cs="宋体"/>
          <w:color w:val="auto"/>
          <w:sz w:val="28"/>
          <w:szCs w:val="24"/>
          <w:highlight w:val="none"/>
        </w:rPr>
        <w:t>二、授权委托书</w:t>
      </w:r>
      <w:bookmarkEnd w:id="131"/>
    </w:p>
    <w:p w14:paraId="4A5FAFEB">
      <w:pPr>
        <w:pStyle w:val="12"/>
        <w:kinsoku w:val="0"/>
        <w:overflowPunct w:val="0"/>
        <w:ind w:left="0"/>
        <w:rPr>
          <w:rFonts w:hint="eastAsia" w:ascii="宋体" w:hAnsi="宋体" w:eastAsia="宋体" w:cs="宋体"/>
          <w:b/>
          <w:color w:val="auto"/>
          <w:sz w:val="32"/>
          <w:szCs w:val="24"/>
          <w:highlight w:val="none"/>
        </w:rPr>
      </w:pPr>
    </w:p>
    <w:p w14:paraId="51E1C676">
      <w:pPr>
        <w:pStyle w:val="12"/>
        <w:kinsoku w:val="0"/>
        <w:overflowPunct w:val="0"/>
        <w:spacing w:before="4"/>
        <w:ind w:left="0"/>
        <w:rPr>
          <w:rFonts w:hint="eastAsia" w:ascii="宋体" w:hAnsi="宋体" w:eastAsia="宋体" w:cs="宋体"/>
          <w:b/>
          <w:color w:val="auto"/>
          <w:sz w:val="32"/>
          <w:szCs w:val="24"/>
          <w:highlight w:val="none"/>
        </w:rPr>
      </w:pPr>
    </w:p>
    <w:p w14:paraId="56CEACDF">
      <w:pPr>
        <w:pStyle w:val="12"/>
        <w:tabs>
          <w:tab w:val="left" w:pos="3928"/>
        </w:tabs>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（姓名）系</w:t>
      </w: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ab/>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52B16139">
      <w:pPr>
        <w:pStyle w:val="12"/>
        <w:tabs>
          <w:tab w:val="left" w:pos="3928"/>
        </w:tabs>
        <w:kinsoku w:val="0"/>
        <w:overflowPunct w:val="0"/>
        <w:spacing w:line="360" w:lineRule="auto"/>
        <w:ind w:left="0"/>
        <w:rPr>
          <w:rFonts w:hint="eastAsia" w:cs="宋体"/>
          <w:color w:val="auto"/>
          <w:sz w:val="24"/>
          <w:szCs w:val="24"/>
          <w:highlight w:val="none"/>
        </w:rPr>
      </w:pPr>
      <w:r>
        <w:rPr>
          <w:rFonts w:hint="eastAsia" w:cs="宋体"/>
          <w:color w:val="auto"/>
          <w:sz w:val="24"/>
          <w:szCs w:val="24"/>
          <w:highlight w:val="none"/>
        </w:rPr>
        <w:t>委托期限：</w:t>
      </w:r>
      <w:r>
        <w:rPr>
          <w:rFonts w:hint="eastAsia" w:cs="宋体"/>
          <w:color w:val="auto"/>
          <w:sz w:val="24"/>
          <w:szCs w:val="24"/>
          <w:highlight w:val="none"/>
          <w:u w:val="single"/>
        </w:rPr>
        <w:tab/>
      </w:r>
      <w:r>
        <w:rPr>
          <w:rFonts w:hint="eastAsia" w:cs="宋体"/>
          <w:color w:val="auto"/>
          <w:sz w:val="24"/>
          <w:szCs w:val="24"/>
          <w:highlight w:val="none"/>
        </w:rPr>
        <w:t>。</w:t>
      </w:r>
    </w:p>
    <w:p w14:paraId="4E3DBD03">
      <w:pPr>
        <w:pStyle w:val="12"/>
        <w:tabs>
          <w:tab w:val="left" w:pos="3928"/>
        </w:tabs>
        <w:kinsoku w:val="0"/>
        <w:overflowPunct w:val="0"/>
        <w:spacing w:line="360" w:lineRule="auto"/>
        <w:ind w:left="0"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代理人无转委托权。代理人为投标人正式职工</w:t>
      </w:r>
      <w:r>
        <w:rPr>
          <w:rFonts w:hint="eastAsia" w:cs="宋体"/>
          <w:color w:val="auto"/>
          <w:sz w:val="24"/>
          <w:szCs w:val="24"/>
          <w:highlight w:val="none"/>
          <w:lang w:eastAsia="zh-CN"/>
        </w:rPr>
        <w:t>，</w:t>
      </w:r>
      <w:r>
        <w:rPr>
          <w:rFonts w:hint="eastAsia" w:cs="宋体"/>
          <w:color w:val="auto"/>
          <w:sz w:val="24"/>
          <w:highlight w:val="none"/>
          <w:lang w:eastAsia="zh-CN"/>
        </w:rPr>
        <w:t>必须具有离投标截止时间最近的至少1个月在本单位缴纳的社保证明文件。</w:t>
      </w:r>
    </w:p>
    <w:p w14:paraId="2D359E82">
      <w:pPr>
        <w:pStyle w:val="12"/>
        <w:tabs>
          <w:tab w:val="left" w:pos="3928"/>
        </w:tabs>
        <w:kinsoku w:val="0"/>
        <w:overflowPunct w:val="0"/>
        <w:spacing w:line="360" w:lineRule="auto"/>
        <w:ind w:left="100"/>
        <w:rPr>
          <w:rFonts w:hint="eastAsia" w:cs="宋体"/>
          <w:color w:val="auto"/>
          <w:sz w:val="24"/>
          <w:szCs w:val="24"/>
          <w:highlight w:val="none"/>
        </w:rPr>
      </w:pPr>
    </w:p>
    <w:p w14:paraId="3F3DBD75">
      <w:pPr>
        <w:pStyle w:val="12"/>
        <w:kinsoku w:val="0"/>
        <w:overflowPunct w:val="0"/>
        <w:spacing w:before="4"/>
        <w:ind w:left="0"/>
        <w:rPr>
          <w:rFonts w:hint="eastAsia" w:cs="宋体"/>
          <w:color w:val="auto"/>
          <w:sz w:val="24"/>
          <w:szCs w:val="24"/>
          <w:highlight w:val="none"/>
        </w:rPr>
      </w:pPr>
    </w:p>
    <w:p w14:paraId="2870620E">
      <w:pPr>
        <w:pStyle w:val="12"/>
        <w:kinsoku w:val="0"/>
        <w:overflowPunct w:val="0"/>
        <w:ind w:left="100" w:right="113"/>
        <w:rPr>
          <w:rFonts w:hint="eastAsia" w:cs="宋体"/>
          <w:color w:val="auto"/>
          <w:sz w:val="24"/>
          <w:szCs w:val="24"/>
          <w:highlight w:val="none"/>
        </w:rPr>
      </w:pPr>
      <w:r>
        <w:rPr>
          <w:rFonts w:hint="eastAsia" w:cs="宋体"/>
          <w:color w:val="auto"/>
          <w:sz w:val="24"/>
          <w:szCs w:val="24"/>
          <w:highlight w:val="none"/>
        </w:rPr>
        <w:t>附：</w:t>
      </w:r>
      <w:r>
        <w:rPr>
          <w:rFonts w:hint="eastAsia" w:cs="宋体"/>
          <w:color w:val="auto"/>
          <w:sz w:val="24"/>
          <w:szCs w:val="24"/>
          <w:highlight w:val="none"/>
          <w:lang w:eastAsia="zh-CN"/>
        </w:rPr>
        <w:t>委托代理人身份证正反面和社保证明扫描件（</w:t>
      </w:r>
      <w:r>
        <w:rPr>
          <w:rFonts w:hint="eastAsia" w:cs="宋体"/>
          <w:color w:val="auto"/>
          <w:sz w:val="24"/>
          <w:szCs w:val="24"/>
          <w:highlight w:val="none"/>
          <w:lang w:val="en-US" w:eastAsia="zh-CN"/>
        </w:rPr>
        <w:t>社保要求详见投标人须知前附表10.4</w:t>
      </w:r>
      <w:r>
        <w:rPr>
          <w:rFonts w:hint="eastAsia" w:cs="宋体"/>
          <w:color w:val="auto"/>
          <w:sz w:val="24"/>
          <w:szCs w:val="24"/>
          <w:highlight w:val="none"/>
          <w:lang w:eastAsia="zh-CN"/>
        </w:rPr>
        <w:t>）。</w:t>
      </w:r>
    </w:p>
    <w:p w14:paraId="419A26A0">
      <w:pPr>
        <w:pStyle w:val="12"/>
        <w:kinsoku w:val="0"/>
        <w:overflowPunct w:val="0"/>
        <w:ind w:left="0"/>
        <w:rPr>
          <w:rFonts w:hint="eastAsia" w:cs="宋体"/>
          <w:color w:val="auto"/>
          <w:sz w:val="24"/>
          <w:szCs w:val="24"/>
          <w:highlight w:val="none"/>
        </w:rPr>
      </w:pPr>
    </w:p>
    <w:p w14:paraId="0D97F3E8">
      <w:pPr>
        <w:pStyle w:val="12"/>
        <w:kinsoku w:val="0"/>
        <w:overflowPunct w:val="0"/>
        <w:spacing w:before="2"/>
        <w:ind w:left="0"/>
        <w:rPr>
          <w:rFonts w:hint="eastAsia" w:cs="宋体"/>
          <w:color w:val="auto"/>
          <w:sz w:val="24"/>
          <w:szCs w:val="24"/>
          <w:highlight w:val="none"/>
        </w:rPr>
      </w:pPr>
    </w:p>
    <w:p w14:paraId="3A4C9C1C">
      <w:pPr>
        <w:pStyle w:val="12"/>
        <w:kinsoku w:val="0"/>
        <w:overflowPunct w:val="0"/>
        <w:ind w:left="0"/>
        <w:rPr>
          <w:rFonts w:hint="eastAsia" w:cs="宋体"/>
          <w:color w:val="auto"/>
          <w:sz w:val="24"/>
          <w:szCs w:val="24"/>
          <w:highlight w:val="none"/>
        </w:rPr>
      </w:pPr>
    </w:p>
    <w:p w14:paraId="5C8CA46E">
      <w:pPr>
        <w:pStyle w:val="12"/>
        <w:kinsoku w:val="0"/>
        <w:overflowPunct w:val="0"/>
        <w:spacing w:before="4"/>
        <w:ind w:left="0"/>
        <w:rPr>
          <w:rFonts w:hint="eastAsia" w:cs="宋体"/>
          <w:color w:val="auto"/>
          <w:sz w:val="24"/>
          <w:szCs w:val="24"/>
          <w:highlight w:val="none"/>
        </w:rPr>
      </w:pPr>
    </w:p>
    <w:p w14:paraId="6FD3D3C3">
      <w:pPr>
        <w:pStyle w:val="12"/>
        <w:tabs>
          <w:tab w:val="left" w:pos="3216"/>
          <w:tab w:val="left" w:pos="3636"/>
          <w:tab w:val="left" w:pos="7241"/>
        </w:tabs>
        <w:kinsoku w:val="0"/>
        <w:overflowPunct w:val="0"/>
        <w:ind w:left="2793" w:right="113"/>
        <w:rPr>
          <w:rFonts w:hint="eastAsia" w:cs="宋体"/>
          <w:color w:val="auto"/>
          <w:sz w:val="24"/>
          <w:szCs w:val="24"/>
          <w:highlight w:val="none"/>
        </w:rPr>
      </w:pPr>
      <w:r>
        <w:rPr>
          <w:rFonts w:hint="eastAsia" w:cs="宋体"/>
          <w:color w:val="auto"/>
          <w:sz w:val="24"/>
          <w:szCs w:val="24"/>
          <w:highlight w:val="none"/>
        </w:rPr>
        <w:t>投</w:t>
      </w:r>
      <w:r>
        <w:rPr>
          <w:rFonts w:hint="eastAsia" w:cs="宋体"/>
          <w:color w:val="auto"/>
          <w:sz w:val="24"/>
          <w:szCs w:val="24"/>
          <w:highlight w:val="none"/>
        </w:rPr>
        <w:tab/>
      </w:r>
      <w:r>
        <w:rPr>
          <w:rFonts w:hint="eastAsia" w:cs="宋体"/>
          <w:color w:val="auto"/>
          <w:sz w:val="24"/>
          <w:szCs w:val="24"/>
          <w:highlight w:val="none"/>
        </w:rPr>
        <w:t>标</w:t>
      </w:r>
      <w:r>
        <w:rPr>
          <w:rFonts w:hint="eastAsia" w:cs="宋体"/>
          <w:color w:val="auto"/>
          <w:sz w:val="24"/>
          <w:szCs w:val="24"/>
          <w:highlight w:val="none"/>
        </w:rPr>
        <w:tab/>
      </w:r>
      <w:r>
        <w:rPr>
          <w:rFonts w:hint="eastAsia" w:cs="宋体"/>
          <w:color w:val="auto"/>
          <w:spacing w:val="-3"/>
          <w:sz w:val="24"/>
          <w:szCs w:val="24"/>
          <w:highlight w:val="none"/>
        </w:rPr>
        <w:t>人：</w:t>
      </w:r>
      <w:r>
        <w:rPr>
          <w:rFonts w:hint="eastAsia" w:hAnsi="宋体" w:cs="宋体"/>
          <w:color w:val="auto"/>
          <w:spacing w:val="-3"/>
          <w:sz w:val="24"/>
          <w:szCs w:val="24"/>
          <w:highlight w:val="none"/>
          <w:u w:val="single"/>
          <w:lang w:val="en-US" w:eastAsia="zh-CN"/>
        </w:rPr>
        <w:t xml:space="preserve">                       </w:t>
      </w:r>
      <w:r>
        <w:rPr>
          <w:rFonts w:hint="eastAsia" w:cs="宋体"/>
          <w:color w:val="auto"/>
          <w:sz w:val="24"/>
          <w:szCs w:val="24"/>
          <w:highlight w:val="none"/>
        </w:rPr>
        <w:t>（盖单位章）</w:t>
      </w:r>
    </w:p>
    <w:p w14:paraId="47D5A3CE">
      <w:pPr>
        <w:pStyle w:val="12"/>
        <w:kinsoku w:val="0"/>
        <w:overflowPunct w:val="0"/>
        <w:ind w:left="0"/>
        <w:rPr>
          <w:rFonts w:hint="eastAsia" w:cs="宋体"/>
          <w:color w:val="auto"/>
          <w:sz w:val="24"/>
          <w:szCs w:val="24"/>
          <w:highlight w:val="none"/>
        </w:rPr>
      </w:pPr>
    </w:p>
    <w:p w14:paraId="3A2AD8B1">
      <w:pPr>
        <w:pStyle w:val="12"/>
        <w:tabs>
          <w:tab w:val="left" w:pos="6401"/>
        </w:tabs>
        <w:kinsoku w:val="0"/>
        <w:overflowPunct w:val="0"/>
        <w:spacing w:before="36"/>
        <w:ind w:left="2791" w:right="113"/>
        <w:rPr>
          <w:rFonts w:hint="eastAsia" w:cs="宋体"/>
          <w:color w:val="auto"/>
          <w:spacing w:val="-1"/>
          <w:sz w:val="24"/>
          <w:szCs w:val="24"/>
          <w:highlight w:val="none"/>
        </w:rPr>
      </w:pPr>
      <w:r>
        <w:rPr>
          <w:rFonts w:hint="eastAsia"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hAnsi="宋体"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29BD970A">
      <w:pPr>
        <w:pStyle w:val="12"/>
        <w:kinsoku w:val="0"/>
        <w:overflowPunct w:val="0"/>
        <w:ind w:left="0"/>
        <w:rPr>
          <w:rFonts w:hint="eastAsia" w:cs="宋体"/>
          <w:color w:val="auto"/>
          <w:sz w:val="24"/>
          <w:szCs w:val="24"/>
          <w:highlight w:val="none"/>
        </w:rPr>
      </w:pPr>
    </w:p>
    <w:p w14:paraId="635CE038">
      <w:pPr>
        <w:pStyle w:val="12"/>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1EE6B074">
      <w:pPr>
        <w:pStyle w:val="12"/>
        <w:kinsoku w:val="0"/>
        <w:overflowPunct w:val="0"/>
        <w:ind w:left="0"/>
        <w:rPr>
          <w:rFonts w:hint="eastAsia" w:ascii="宋体" w:hAnsi="宋体" w:eastAsia="宋体" w:cs="宋体"/>
          <w:color w:val="auto"/>
          <w:sz w:val="24"/>
          <w:szCs w:val="24"/>
          <w:highlight w:val="none"/>
        </w:rPr>
      </w:pPr>
    </w:p>
    <w:p w14:paraId="40F94D39">
      <w:pPr>
        <w:pStyle w:val="12"/>
        <w:tabs>
          <w:tab w:val="left" w:pos="7661"/>
        </w:tabs>
        <w:kinsoku w:val="0"/>
        <w:overflowPunct w:val="0"/>
        <w:spacing w:before="36"/>
        <w:ind w:left="2793" w:right="113"/>
        <w:rPr>
          <w:rFonts w:hint="eastAsia" w:cs="宋体"/>
          <w:color w:val="auto"/>
          <w:spacing w:val="-1"/>
          <w:sz w:val="24"/>
          <w:szCs w:val="24"/>
          <w:highlight w:val="none"/>
        </w:rPr>
      </w:pPr>
      <w:r>
        <w:rPr>
          <w:rFonts w:hint="eastAsia" w:cs="宋体"/>
          <w:color w:val="auto"/>
          <w:spacing w:val="-2"/>
          <w:sz w:val="24"/>
          <w:szCs w:val="24"/>
          <w:highlight w:val="none"/>
        </w:rPr>
        <w:t>委托代理人：</w:t>
      </w:r>
      <w:r>
        <w:rPr>
          <w:rFonts w:hint="eastAsia"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712B91D9">
      <w:pPr>
        <w:pStyle w:val="12"/>
        <w:kinsoku w:val="0"/>
        <w:overflowPunct w:val="0"/>
        <w:ind w:left="0"/>
        <w:rPr>
          <w:rFonts w:hint="eastAsia" w:cs="宋体"/>
          <w:color w:val="auto"/>
          <w:sz w:val="24"/>
          <w:szCs w:val="24"/>
          <w:highlight w:val="none"/>
        </w:rPr>
      </w:pPr>
    </w:p>
    <w:p w14:paraId="490019D0">
      <w:pPr>
        <w:pStyle w:val="12"/>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41B5EC98">
      <w:pPr>
        <w:pStyle w:val="12"/>
        <w:kinsoku w:val="0"/>
        <w:overflowPunct w:val="0"/>
        <w:spacing w:before="9"/>
        <w:ind w:left="0"/>
        <w:rPr>
          <w:rFonts w:hint="eastAsia" w:ascii="宋体" w:hAnsi="宋体" w:eastAsia="宋体" w:cs="宋体"/>
          <w:color w:val="auto"/>
          <w:sz w:val="24"/>
          <w:szCs w:val="24"/>
          <w:highlight w:val="none"/>
        </w:rPr>
      </w:pPr>
    </w:p>
    <w:p w14:paraId="0B30E64E">
      <w:pPr>
        <w:pStyle w:val="12"/>
        <w:tabs>
          <w:tab w:val="left" w:pos="736"/>
          <w:tab w:val="left" w:pos="1682"/>
          <w:tab w:val="left" w:pos="2626"/>
        </w:tabs>
        <w:kinsoku w:val="0"/>
        <w:overflowPunct w:val="0"/>
        <w:spacing w:before="36"/>
        <w:ind w:left="0" w:right="113"/>
        <w:jc w:val="both"/>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日</w:t>
      </w:r>
    </w:p>
    <w:p w14:paraId="2A96712A">
      <w:pPr>
        <w:pStyle w:val="12"/>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pPr>
    </w:p>
    <w:p w14:paraId="37931D98">
      <w:pPr>
        <w:pStyle w:val="12"/>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pPr>
    </w:p>
    <w:p w14:paraId="18F6348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30B0B4">
      <w:pPr>
        <w:pStyle w:val="12"/>
        <w:kinsoku w:val="0"/>
        <w:overflowPunct w:val="0"/>
        <w:spacing w:before="15" w:line="360" w:lineRule="auto"/>
        <w:ind w:left="0"/>
        <w:rPr>
          <w:rFonts w:hint="eastAsia" w:cs="宋体"/>
          <w:b/>
          <w:color w:val="auto"/>
          <w:sz w:val="21"/>
          <w:szCs w:val="21"/>
          <w:highlight w:val="none"/>
        </w:rPr>
      </w:pPr>
    </w:p>
    <w:p w14:paraId="1C89F318">
      <w:pPr>
        <w:pStyle w:val="3"/>
        <w:jc w:val="center"/>
        <w:rPr>
          <w:rFonts w:hint="eastAsia" w:cs="宋体"/>
          <w:color w:val="auto"/>
          <w:highlight w:val="none"/>
        </w:rPr>
      </w:pPr>
      <w:r>
        <w:rPr>
          <w:rFonts w:hint="eastAsia" w:cs="宋体"/>
          <w:color w:val="auto"/>
          <w:highlight w:val="none"/>
          <w:lang w:eastAsia="zh-CN"/>
        </w:rPr>
        <w:t>三</w:t>
      </w:r>
      <w:r>
        <w:rPr>
          <w:rFonts w:hint="eastAsia" w:cs="宋体"/>
          <w:color w:val="auto"/>
          <w:highlight w:val="none"/>
        </w:rPr>
        <w:t>、关于投标保证金的承诺</w:t>
      </w:r>
    </w:p>
    <w:p w14:paraId="1620A976">
      <w:pPr>
        <w:pStyle w:val="16"/>
        <w:spacing w:line="560" w:lineRule="exact"/>
        <w:ind w:firstLine="560" w:firstLineChars="200"/>
        <w:rPr>
          <w:rFonts w:hint="eastAsia" w:hAnsi="宋体" w:cs="宋体"/>
          <w:color w:val="auto"/>
          <w:sz w:val="28"/>
          <w:szCs w:val="28"/>
          <w:highlight w:val="none"/>
        </w:rPr>
      </w:pPr>
    </w:p>
    <w:p w14:paraId="21DDE746">
      <w:pPr>
        <w:spacing w:line="360" w:lineRule="auto"/>
        <w:jc w:val="left"/>
        <w:rPr>
          <w:rFonts w:hint="eastAsia" w:ascii="宋体" w:hAnsi="宋体" w:cs="宋体"/>
          <w:strike w:val="0"/>
          <w:color w:val="auto"/>
          <w:sz w:val="28"/>
          <w:szCs w:val="28"/>
          <w:highlight w:val="none"/>
        </w:rPr>
      </w:pPr>
      <w:r>
        <w:rPr>
          <w:rFonts w:hint="eastAsia" w:ascii="宋体" w:hAnsi="宋体" w:cs="宋体"/>
          <w:strike w:val="0"/>
          <w:color w:val="auto"/>
          <w:sz w:val="28"/>
          <w:szCs w:val="28"/>
          <w:highlight w:val="none"/>
        </w:rPr>
        <w:t>本招标项目招标人及招标监管机构：</w:t>
      </w:r>
    </w:p>
    <w:p w14:paraId="6788FC1F">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本公司就参加</w:t>
      </w:r>
      <w:r>
        <w:rPr>
          <w:rFonts w:hint="eastAsia" w:ascii="宋体" w:hAnsi="宋体" w:cs="宋体"/>
          <w:strike w:val="0"/>
          <w:color w:val="auto"/>
          <w:sz w:val="28"/>
          <w:szCs w:val="28"/>
          <w:highlight w:val="none"/>
          <w:u w:val="single"/>
          <w:lang w:val="en-US" w:eastAsia="zh-CN"/>
        </w:rPr>
        <w:t xml:space="preserve">           （标段名称）</w:t>
      </w:r>
      <w:r>
        <w:rPr>
          <w:rFonts w:hint="eastAsia" w:ascii="宋体" w:hAnsi="宋体" w:cs="宋体"/>
          <w:strike w:val="0"/>
          <w:color w:val="auto"/>
          <w:sz w:val="28"/>
          <w:szCs w:val="28"/>
          <w:highlight w:val="none"/>
          <w:lang w:val="en-US" w:eastAsia="zh-CN"/>
        </w:rPr>
        <w:t>的投标工作，作出郑重声明：</w:t>
      </w:r>
    </w:p>
    <w:p w14:paraId="5AC8E619">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61E7F36A">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本公司违反上述保证的，将被视为虚假承诺，按相关规定进行信用记录。本公司对失信行为产生的一切后果已知悉，并承担由此产生的相应责任。</w:t>
      </w:r>
    </w:p>
    <w:p w14:paraId="31C18920">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特此承诺。</w:t>
      </w:r>
    </w:p>
    <w:p w14:paraId="261FB152">
      <w:pPr>
        <w:jc w:val="left"/>
        <w:rPr>
          <w:rFonts w:hint="eastAsia" w:ascii="宋体" w:hAnsi="宋体" w:cs="宋体"/>
          <w:color w:val="auto"/>
          <w:spacing w:val="4"/>
          <w:kern w:val="0"/>
          <w:szCs w:val="21"/>
          <w:highlight w:val="none"/>
        </w:rPr>
      </w:pPr>
    </w:p>
    <w:p w14:paraId="2EDF4C61">
      <w:pPr>
        <w:jc w:val="left"/>
        <w:rPr>
          <w:rFonts w:hint="eastAsia" w:ascii="宋体" w:hAnsi="宋体" w:cs="宋体"/>
          <w:color w:val="auto"/>
          <w:spacing w:val="4"/>
          <w:kern w:val="0"/>
          <w:szCs w:val="21"/>
          <w:highlight w:val="none"/>
        </w:rPr>
      </w:pPr>
    </w:p>
    <w:p w14:paraId="5172B06D">
      <w:pPr>
        <w:pStyle w:val="12"/>
        <w:rPr>
          <w:rFonts w:hint="eastAsia" w:ascii="宋体" w:hAnsi="宋体" w:cs="宋体"/>
          <w:color w:val="auto"/>
          <w:spacing w:val="4"/>
          <w:szCs w:val="21"/>
          <w:highlight w:val="none"/>
        </w:rPr>
      </w:pPr>
    </w:p>
    <w:p w14:paraId="512C86D4">
      <w:pPr>
        <w:rPr>
          <w:rFonts w:hint="eastAsia" w:ascii="宋体" w:hAnsi="宋体" w:cs="宋体"/>
          <w:color w:val="auto"/>
          <w:szCs w:val="24"/>
          <w:highlight w:val="none"/>
        </w:rPr>
      </w:pPr>
    </w:p>
    <w:p w14:paraId="1A827BBE">
      <w:pPr>
        <w:spacing w:line="360" w:lineRule="auto"/>
        <w:ind w:firstLine="3120" w:firstLineChars="1300"/>
        <w:jc w:val="left"/>
        <w:rPr>
          <w:rFonts w:hint="eastAsia" w:ascii="宋体" w:hAnsi="宋体" w:cs="宋体"/>
          <w:strike w:val="0"/>
          <w:color w:val="auto"/>
          <w:sz w:val="24"/>
          <w:highlight w:val="none"/>
        </w:rPr>
      </w:pPr>
      <w:r>
        <w:rPr>
          <w:rFonts w:hint="eastAsia" w:ascii="宋体" w:hAnsi="宋体" w:cs="宋体"/>
          <w:strike w:val="0"/>
          <w:color w:val="auto"/>
          <w:sz w:val="24"/>
          <w:highlight w:val="none"/>
          <w:lang w:val="en-US" w:eastAsia="zh-CN"/>
        </w:rPr>
        <w:t>单位名称</w:t>
      </w:r>
      <w:r>
        <w:rPr>
          <w:rFonts w:hint="eastAsia" w:ascii="宋体" w:hAnsi="宋体" w:cs="宋体"/>
          <w:strike w:val="0"/>
          <w:color w:val="auto"/>
          <w:sz w:val="24"/>
          <w:highlight w:val="none"/>
        </w:rPr>
        <w:t>：　　（盖章）</w:t>
      </w:r>
    </w:p>
    <w:p w14:paraId="536FCA76">
      <w:pPr>
        <w:ind w:firstLine="3120" w:firstLineChars="1300"/>
        <w:rPr>
          <w:rFonts w:hint="default"/>
          <w:color w:val="auto"/>
          <w:sz w:val="24"/>
          <w:szCs w:val="24"/>
          <w:highlight w:val="none"/>
          <w:lang w:val="en-US" w:eastAsia="zh-CN"/>
        </w:rPr>
      </w:pPr>
      <w:r>
        <w:rPr>
          <w:rFonts w:hint="eastAsia"/>
          <w:color w:val="auto"/>
          <w:sz w:val="24"/>
          <w:szCs w:val="24"/>
          <w:highlight w:val="none"/>
          <w:u w:val="none"/>
          <w:lang w:val="en-US" w:eastAsia="zh-CN"/>
        </w:rPr>
        <w:t xml:space="preserve">日  期：   </w:t>
      </w:r>
      <w:r>
        <w:rPr>
          <w:rFonts w:hint="default"/>
          <w:color w:val="auto"/>
          <w:sz w:val="24"/>
          <w:szCs w:val="24"/>
          <w:highlight w:val="none"/>
          <w:lang w:val="en-US" w:eastAsia="zh-CN"/>
        </w:rPr>
        <w:t>年</w:t>
      </w:r>
      <w:r>
        <w:rPr>
          <w:rFonts w:hint="eastAsia"/>
          <w:color w:val="auto"/>
          <w:sz w:val="24"/>
          <w:szCs w:val="24"/>
          <w:highlight w:val="none"/>
          <w:u w:val="none"/>
          <w:lang w:val="en-US" w:eastAsia="zh-CN"/>
        </w:rPr>
        <w:t xml:space="preserve">   </w:t>
      </w:r>
      <w:r>
        <w:rPr>
          <w:rFonts w:hint="default"/>
          <w:color w:val="auto"/>
          <w:sz w:val="24"/>
          <w:szCs w:val="24"/>
          <w:highlight w:val="none"/>
          <w:lang w:val="en-US" w:eastAsia="zh-CN"/>
        </w:rPr>
        <w:t>月</w:t>
      </w:r>
      <w:r>
        <w:rPr>
          <w:rFonts w:hint="eastAsia"/>
          <w:color w:val="auto"/>
          <w:sz w:val="24"/>
          <w:szCs w:val="24"/>
          <w:highlight w:val="none"/>
          <w:u w:val="none"/>
          <w:lang w:val="en-US" w:eastAsia="zh-CN"/>
        </w:rPr>
        <w:t xml:space="preserve">   </w:t>
      </w:r>
      <w:r>
        <w:rPr>
          <w:rFonts w:hint="default"/>
          <w:color w:val="auto"/>
          <w:sz w:val="24"/>
          <w:szCs w:val="24"/>
          <w:highlight w:val="none"/>
          <w:lang w:val="en-US" w:eastAsia="zh-CN"/>
        </w:rPr>
        <w:t>日</w:t>
      </w:r>
    </w:p>
    <w:p w14:paraId="120DBE4C">
      <w:pPr>
        <w:ind w:firstLine="3120" w:firstLineChars="1300"/>
        <w:rPr>
          <w:rFonts w:hint="default"/>
          <w:color w:val="auto"/>
          <w:sz w:val="24"/>
          <w:szCs w:val="24"/>
          <w:highlight w:val="none"/>
          <w:lang w:val="en-US" w:eastAsia="zh-CN"/>
        </w:rPr>
      </w:pPr>
    </w:p>
    <w:p w14:paraId="098C7ABD">
      <w:pPr>
        <w:ind w:firstLine="3120" w:firstLineChars="1300"/>
        <w:rPr>
          <w:rFonts w:hint="default"/>
          <w:color w:val="auto"/>
          <w:sz w:val="24"/>
          <w:szCs w:val="24"/>
          <w:highlight w:val="none"/>
          <w:lang w:val="en-US" w:eastAsia="zh-CN"/>
        </w:rPr>
      </w:pPr>
    </w:p>
    <w:p w14:paraId="669141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B4D7129">
      <w:pPr>
        <w:bidi w:val="0"/>
        <w:jc w:val="left"/>
        <w:rPr>
          <w:rFonts w:hint="default" w:ascii="Times New Roman" w:hAnsi="Times New Roman" w:eastAsia="宋体" w:cs="Times New Roman"/>
          <w:color w:val="auto"/>
          <w:sz w:val="24"/>
          <w:szCs w:val="24"/>
          <w:highlight w:val="none"/>
          <w:lang w:val="en-US" w:eastAsia="zh-CN"/>
        </w:rPr>
      </w:pPr>
    </w:p>
    <w:p w14:paraId="44B1BBDE">
      <w:pPr>
        <w:pStyle w:val="12"/>
        <w:tabs>
          <w:tab w:val="left" w:pos="736"/>
          <w:tab w:val="left" w:pos="1682"/>
          <w:tab w:val="left" w:pos="2626"/>
        </w:tabs>
        <w:kinsoku w:val="0"/>
        <w:overflowPunct w:val="0"/>
        <w:spacing w:before="36"/>
        <w:ind w:left="0" w:right="113" w:firstLine="3120" w:firstLineChars="1300"/>
        <w:jc w:val="both"/>
        <w:rPr>
          <w:rFonts w:hint="default"/>
          <w:color w:val="auto"/>
          <w:sz w:val="24"/>
          <w:szCs w:val="24"/>
          <w:highlight w:val="none"/>
          <w:lang w:val="en-US" w:eastAsia="zh-CN"/>
        </w:rPr>
      </w:pPr>
    </w:p>
    <w:p w14:paraId="52227BB3">
      <w:pPr>
        <w:pStyle w:val="4"/>
        <w:jc w:val="center"/>
        <w:outlineLvl w:val="1"/>
        <w:rPr>
          <w:rFonts w:hint="eastAsia" w:eastAsia="宋体" w:cs="宋体"/>
          <w:color w:val="auto"/>
          <w:sz w:val="28"/>
          <w:szCs w:val="24"/>
          <w:highlight w:val="none"/>
          <w:lang w:eastAsia="zh-CN"/>
        </w:rPr>
      </w:pPr>
      <w:r>
        <w:rPr>
          <w:rFonts w:hint="eastAsia" w:cs="宋体"/>
          <w:color w:val="auto"/>
          <w:sz w:val="28"/>
          <w:szCs w:val="24"/>
          <w:highlight w:val="none"/>
          <w:lang w:eastAsia="zh-CN"/>
        </w:rPr>
        <w:t>四</w:t>
      </w:r>
      <w:r>
        <w:rPr>
          <w:rFonts w:hint="eastAsia" w:cs="宋体"/>
          <w:color w:val="auto"/>
          <w:sz w:val="28"/>
          <w:szCs w:val="24"/>
          <w:highlight w:val="none"/>
        </w:rPr>
        <w:t>、监理报酬清单</w:t>
      </w:r>
    </w:p>
    <w:p w14:paraId="38129A66">
      <w:pPr>
        <w:pStyle w:val="12"/>
        <w:kinsoku w:val="0"/>
        <w:overflowPunct w:val="0"/>
        <w:ind w:left="0"/>
        <w:rPr>
          <w:rFonts w:hint="eastAsia" w:cs="宋体"/>
          <w:color w:val="auto"/>
          <w:sz w:val="20"/>
          <w:szCs w:val="24"/>
          <w:highlight w:val="none"/>
        </w:rPr>
      </w:pPr>
    </w:p>
    <w:p w14:paraId="7C8E122C">
      <w:pPr>
        <w:spacing w:line="440" w:lineRule="exact"/>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eastAsia="zh-CN"/>
        </w:rPr>
        <w:t>标段</w:t>
      </w:r>
      <w:r>
        <w:rPr>
          <w:rFonts w:hint="eastAsia" w:ascii="宋体" w:hAnsi="宋体" w:eastAsia="宋体" w:cs="宋体"/>
          <w:strike w:val="0"/>
          <w:color w:val="auto"/>
          <w:sz w:val="21"/>
          <w:szCs w:val="21"/>
          <w:highlight w:val="none"/>
          <w:lang w:eastAsia="zh-CN"/>
        </w:rPr>
        <w:t>名称</w:t>
      </w: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z w:val="21"/>
          <w:szCs w:val="21"/>
          <w:highlight w:val="none"/>
          <w:u w:val="single"/>
          <w:lang w:val="en-US" w:eastAsia="zh-CN"/>
        </w:rPr>
        <w:t xml:space="preserve">                 </w:t>
      </w:r>
      <w:r>
        <w:rPr>
          <w:rFonts w:hint="eastAsia" w:ascii="宋体" w:hAnsi="宋体" w:eastAsia="宋体" w:cs="宋体"/>
          <w:strike w:val="0"/>
          <w:color w:val="auto"/>
          <w:sz w:val="21"/>
          <w:szCs w:val="21"/>
          <w:highlight w:val="none"/>
          <w:lang w:val="en-US" w:eastAsia="zh-CN"/>
        </w:rPr>
        <w:t xml:space="preserve"> </w:t>
      </w:r>
    </w:p>
    <w:tbl>
      <w:tblPr>
        <w:tblStyle w:val="2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40FB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72CB0">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C9DBD">
            <w:pPr>
              <w:jc w:val="center"/>
              <w:rPr>
                <w:rFonts w:hint="eastAsia" w:ascii="宋体" w:hAnsi="宋体" w:eastAsia="宋体" w:cs="宋体"/>
                <w:strike w:val="0"/>
                <w:color w:val="auto"/>
                <w:sz w:val="21"/>
                <w:szCs w:val="21"/>
                <w:highlight w:val="none"/>
              </w:rPr>
            </w:pPr>
            <w:r>
              <w:rPr>
                <w:rFonts w:hint="eastAsia" w:ascii="宋体" w:hAnsi="宋体" w:eastAsia="宋体" w:cs="宋体"/>
                <w:b/>
                <w:strike w:val="0"/>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38598">
            <w:pPr>
              <w:jc w:val="center"/>
              <w:rPr>
                <w:rFonts w:hint="eastAsia" w:ascii="宋体" w:hAnsi="宋体" w:eastAsia="宋体" w:cs="宋体"/>
                <w:b/>
                <w:strike w:val="0"/>
                <w:color w:val="auto"/>
                <w:sz w:val="21"/>
                <w:szCs w:val="21"/>
                <w:highlight w:val="none"/>
                <w:lang w:eastAsia="zh-CN"/>
              </w:rPr>
            </w:pPr>
            <w:r>
              <w:rPr>
                <w:rFonts w:hint="eastAsia" w:ascii="宋体" w:hAnsi="宋体" w:eastAsia="宋体" w:cs="宋体"/>
                <w:b/>
                <w:strike w:val="0"/>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E4524">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lang w:eastAsia="zh-CN"/>
              </w:rPr>
              <w:t>投标报价</w:t>
            </w:r>
            <w:r>
              <w:rPr>
                <w:rFonts w:hint="eastAsia" w:ascii="宋体" w:hAnsi="宋体" w:eastAsia="宋体" w:cs="宋体"/>
                <w:b/>
                <w:strike w:val="0"/>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E1BC1">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备注</w:t>
            </w:r>
          </w:p>
        </w:tc>
      </w:tr>
      <w:tr w14:paraId="54DB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593D0">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D8B4A">
            <w:pPr>
              <w:rPr>
                <w:rFonts w:hint="eastAsia" w:ascii="宋体" w:hAnsi="宋体" w:eastAsia="宋体" w:cs="宋体"/>
                <w:strike/>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53F31B">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2DFE7">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F0ACE">
            <w:pPr>
              <w:spacing w:line="360" w:lineRule="auto"/>
              <w:jc w:val="center"/>
              <w:rPr>
                <w:rFonts w:hint="eastAsia" w:ascii="宋体" w:hAnsi="宋体" w:eastAsia="宋体" w:cs="宋体"/>
                <w:strike/>
                <w:color w:val="auto"/>
                <w:sz w:val="21"/>
                <w:szCs w:val="21"/>
                <w:highlight w:val="none"/>
              </w:rPr>
            </w:pPr>
          </w:p>
        </w:tc>
      </w:tr>
      <w:tr w14:paraId="38A2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B614F">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01ADF">
            <w:pPr>
              <w:rPr>
                <w:rFonts w:hint="eastAsia" w:ascii="宋体" w:hAnsi="宋体" w:eastAsia="宋体" w:cs="宋体"/>
                <w:strike/>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495F3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A3988">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ED1DC">
            <w:pPr>
              <w:spacing w:line="360" w:lineRule="auto"/>
              <w:jc w:val="center"/>
              <w:rPr>
                <w:rFonts w:hint="eastAsia" w:ascii="宋体" w:hAnsi="宋体" w:eastAsia="宋体" w:cs="宋体"/>
                <w:strike/>
                <w:color w:val="auto"/>
                <w:sz w:val="21"/>
                <w:szCs w:val="21"/>
                <w:highlight w:val="none"/>
              </w:rPr>
            </w:pPr>
          </w:p>
        </w:tc>
      </w:tr>
      <w:tr w14:paraId="4701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67DC20">
            <w:pPr>
              <w:jc w:val="center"/>
              <w:rPr>
                <w:rFonts w:hint="eastAsia" w:ascii="宋体" w:hAnsi="宋体" w:eastAsia="宋体" w:cs="宋体"/>
                <w:b/>
                <w:strike/>
                <w:color w:val="auto"/>
                <w:sz w:val="21"/>
                <w:szCs w:val="21"/>
                <w:highlight w:val="none"/>
              </w:rPr>
            </w:pPr>
            <w:r>
              <w:rPr>
                <w:rFonts w:hint="eastAsia" w:ascii="宋体" w:hAnsi="宋体" w:eastAsia="宋体" w:cs="宋体"/>
                <w:b/>
                <w:strike w:val="0"/>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D4016">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EB9A9">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E19CB">
            <w:pPr>
              <w:spacing w:line="360" w:lineRule="auto"/>
              <w:jc w:val="center"/>
              <w:rPr>
                <w:rFonts w:hint="eastAsia" w:ascii="宋体" w:hAnsi="宋体" w:eastAsia="宋体" w:cs="宋体"/>
                <w:strike/>
                <w:color w:val="auto"/>
                <w:sz w:val="21"/>
                <w:szCs w:val="21"/>
                <w:highlight w:val="none"/>
              </w:rPr>
            </w:pPr>
          </w:p>
        </w:tc>
      </w:tr>
    </w:tbl>
    <w:p w14:paraId="66461642">
      <w:pPr>
        <w:pStyle w:val="38"/>
        <w:spacing w:line="240" w:lineRule="auto"/>
        <w:ind w:firstLine="0" w:firstLineChars="0"/>
        <w:rPr>
          <w:rFonts w:hint="eastAsia" w:ascii="宋体" w:hAnsi="宋体" w:cs="宋体"/>
          <w:strike/>
          <w:color w:val="auto"/>
          <w:sz w:val="21"/>
          <w:szCs w:val="21"/>
          <w:highlight w:val="none"/>
        </w:rPr>
      </w:pPr>
    </w:p>
    <w:p w14:paraId="75BB0867">
      <w:pPr>
        <w:pStyle w:val="38"/>
        <w:spacing w:line="240" w:lineRule="auto"/>
        <w:ind w:firstLine="0" w:firstLineChars="0"/>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t>注：</w:t>
      </w:r>
    </w:p>
    <w:p w14:paraId="44C3D5BE">
      <w:pPr>
        <w:pStyle w:val="38"/>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1、</w:t>
      </w:r>
      <w:r>
        <w:rPr>
          <w:rFonts w:hint="eastAsia" w:ascii="宋体" w:hAnsi="宋体" w:cs="宋体"/>
          <w:strike w:val="0"/>
          <w:color w:val="auto"/>
          <w:sz w:val="21"/>
          <w:szCs w:val="21"/>
          <w:highlight w:val="none"/>
          <w:lang w:val="zh-CN"/>
        </w:rPr>
        <w:t>投标下浮率以百分比为单位，保留到小数点后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lang w:val="zh-CN"/>
        </w:rPr>
        <w:t>位</w:t>
      </w:r>
      <w:r>
        <w:rPr>
          <w:rFonts w:hint="eastAsia" w:ascii="宋体" w:hAnsi="宋体" w:cs="宋体"/>
          <w:strike w:val="0"/>
          <w:color w:val="auto"/>
          <w:sz w:val="21"/>
          <w:szCs w:val="21"/>
          <w:highlight w:val="none"/>
        </w:rPr>
        <w:t>，投标报价填报保留小数点后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rPr>
        <w:t>位。</w:t>
      </w:r>
    </w:p>
    <w:p w14:paraId="34FF06E3">
      <w:pPr>
        <w:pStyle w:val="38"/>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2</w:t>
      </w:r>
      <w:r>
        <w:rPr>
          <w:rFonts w:hint="eastAsia" w:ascii="宋体" w:hAnsi="宋体" w:cs="宋体"/>
          <w:strike w:val="0"/>
          <w:color w:val="auto"/>
          <w:sz w:val="21"/>
          <w:szCs w:val="21"/>
          <w:highlight w:val="none"/>
        </w:rPr>
        <w:t>、监理费投标下浮率=（监理费最高投标限价-监理费投标报价）/监理费最高投标限价*100%。</w:t>
      </w:r>
    </w:p>
    <w:p w14:paraId="3354B379">
      <w:pPr>
        <w:pStyle w:val="38"/>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3、</w:t>
      </w:r>
      <w:r>
        <w:rPr>
          <w:rFonts w:hint="eastAsia" w:ascii="宋体" w:hAnsi="宋体" w:cs="宋体"/>
          <w:strike w:val="0"/>
          <w:color w:val="auto"/>
          <w:sz w:val="21"/>
          <w:szCs w:val="21"/>
          <w:highlight w:val="none"/>
        </w:rPr>
        <w:t>投标报价与投标下浮率不符时，以投标下浮率为准</w:t>
      </w:r>
      <w:r>
        <w:rPr>
          <w:rFonts w:hint="eastAsia" w:ascii="宋体" w:hAnsi="宋体" w:cs="宋体"/>
          <w:strike w:val="0"/>
          <w:color w:val="auto"/>
          <w:sz w:val="21"/>
          <w:szCs w:val="21"/>
          <w:highlight w:val="none"/>
          <w:lang w:eastAsia="zh-CN"/>
        </w:rPr>
        <w:t>修正总价</w:t>
      </w:r>
      <w:r>
        <w:rPr>
          <w:rFonts w:hint="eastAsia" w:ascii="宋体" w:hAnsi="宋体" w:cs="宋体"/>
          <w:strike w:val="0"/>
          <w:color w:val="auto"/>
          <w:sz w:val="21"/>
          <w:szCs w:val="21"/>
          <w:highlight w:val="none"/>
        </w:rPr>
        <w:t>。</w:t>
      </w:r>
    </w:p>
    <w:p w14:paraId="597ACCB0">
      <w:pPr>
        <w:pStyle w:val="38"/>
        <w:ind w:firstLine="436"/>
        <w:rPr>
          <w:rFonts w:hint="eastAsia" w:ascii="宋体" w:hAnsi="宋体" w:cs="宋体"/>
          <w:strike w:val="0"/>
          <w:color w:val="auto"/>
          <w:sz w:val="21"/>
          <w:szCs w:val="21"/>
          <w:highlight w:val="none"/>
        </w:rPr>
      </w:pPr>
    </w:p>
    <w:p w14:paraId="013563AA">
      <w:pPr>
        <w:pStyle w:val="38"/>
        <w:ind w:firstLine="436"/>
        <w:rPr>
          <w:rFonts w:hint="eastAsia" w:ascii="宋体" w:hAnsi="宋体" w:cs="宋体"/>
          <w:strike w:val="0"/>
          <w:color w:val="auto"/>
          <w:sz w:val="21"/>
          <w:szCs w:val="21"/>
          <w:highlight w:val="none"/>
        </w:rPr>
      </w:pPr>
    </w:p>
    <w:p w14:paraId="362703BB">
      <w:pPr>
        <w:pStyle w:val="38"/>
        <w:ind w:firstLine="436"/>
        <w:rPr>
          <w:rFonts w:hint="eastAsia" w:ascii="宋体" w:hAnsi="宋体" w:cs="宋体"/>
          <w:strike w:val="0"/>
          <w:color w:val="auto"/>
          <w:sz w:val="21"/>
          <w:szCs w:val="21"/>
          <w:highlight w:val="none"/>
        </w:rPr>
      </w:pPr>
    </w:p>
    <w:p w14:paraId="36E368DC">
      <w:pPr>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br w:type="page"/>
      </w:r>
    </w:p>
    <w:p w14:paraId="28F3CF52">
      <w:pPr>
        <w:pStyle w:val="12"/>
        <w:tabs>
          <w:tab w:val="left" w:pos="736"/>
          <w:tab w:val="left" w:pos="1682"/>
          <w:tab w:val="left" w:pos="2626"/>
        </w:tabs>
        <w:kinsoku w:val="0"/>
        <w:overflowPunct w:val="0"/>
        <w:spacing w:before="36"/>
        <w:ind w:left="0" w:right="113" w:firstLine="3120" w:firstLineChars="1300"/>
        <w:jc w:val="both"/>
        <w:rPr>
          <w:rFonts w:hint="default"/>
          <w:color w:val="auto"/>
          <w:sz w:val="24"/>
          <w:szCs w:val="24"/>
          <w:highlight w:val="none"/>
          <w:lang w:val="en-US" w:eastAsia="zh-CN"/>
        </w:rPr>
      </w:pPr>
    </w:p>
    <w:p w14:paraId="7FE65B3B">
      <w:pPr>
        <w:pStyle w:val="4"/>
        <w:kinsoku w:val="0"/>
        <w:overflowPunct w:val="0"/>
        <w:spacing w:line="456" w:lineRule="exact"/>
        <w:ind w:right="1"/>
        <w:jc w:val="center"/>
        <w:outlineLvl w:val="1"/>
        <w:rPr>
          <w:rFonts w:hint="eastAsia" w:cs="宋体"/>
          <w:b w:val="0"/>
          <w:color w:val="auto"/>
          <w:sz w:val="28"/>
          <w:szCs w:val="24"/>
          <w:highlight w:val="none"/>
        </w:rPr>
      </w:pPr>
      <w:r>
        <w:rPr>
          <w:rFonts w:hint="eastAsia" w:cs="宋体"/>
          <w:color w:val="auto"/>
          <w:sz w:val="28"/>
          <w:szCs w:val="24"/>
          <w:highlight w:val="none"/>
          <w:lang w:eastAsia="zh-CN"/>
        </w:rPr>
        <w:t>五</w:t>
      </w:r>
      <w:r>
        <w:rPr>
          <w:rFonts w:hint="eastAsia" w:cs="宋体"/>
          <w:color w:val="auto"/>
          <w:sz w:val="28"/>
          <w:szCs w:val="24"/>
          <w:highlight w:val="none"/>
        </w:rPr>
        <w:t>、资格审查资料</w:t>
      </w:r>
    </w:p>
    <w:p w14:paraId="2E96CADA">
      <w:pPr>
        <w:pStyle w:val="12"/>
        <w:kinsoku w:val="0"/>
        <w:overflowPunct w:val="0"/>
        <w:spacing w:before="10"/>
        <w:ind w:left="0"/>
        <w:rPr>
          <w:rFonts w:hint="eastAsia" w:ascii="宋体" w:hAnsi="宋体" w:eastAsia="宋体" w:cs="宋体"/>
          <w:b/>
          <w:color w:val="auto"/>
          <w:sz w:val="15"/>
          <w:szCs w:val="24"/>
          <w:highlight w:val="none"/>
        </w:rPr>
      </w:pPr>
    </w:p>
    <w:p w14:paraId="6E5DDC6D">
      <w:pPr>
        <w:pStyle w:val="5"/>
        <w:outlineLvl w:val="2"/>
        <w:rPr>
          <w:rFonts w:hint="eastAsia" w:cs="宋体"/>
          <w:b/>
          <w:color w:val="auto"/>
          <w:sz w:val="24"/>
          <w:szCs w:val="24"/>
          <w:highlight w:val="none"/>
        </w:rPr>
      </w:pPr>
      <w:r>
        <w:rPr>
          <w:rFonts w:hint="eastAsia" w:cs="宋体"/>
          <w:b/>
          <w:color w:val="auto"/>
          <w:sz w:val="24"/>
          <w:szCs w:val="24"/>
          <w:highlight w:val="none"/>
        </w:rPr>
        <w:t>（一）</w:t>
      </w:r>
      <w:r>
        <w:rPr>
          <w:rFonts w:hint="eastAsia" w:cs="宋体"/>
          <w:b/>
          <w:color w:val="auto"/>
          <w:sz w:val="24"/>
          <w:szCs w:val="24"/>
          <w:highlight w:val="none"/>
          <w:lang w:val="en-US" w:eastAsia="zh-CN"/>
        </w:rPr>
        <w:t>投标人</w:t>
      </w:r>
      <w:r>
        <w:rPr>
          <w:rFonts w:hint="eastAsia" w:cs="宋体"/>
          <w:b/>
          <w:color w:val="auto"/>
          <w:sz w:val="24"/>
          <w:szCs w:val="24"/>
          <w:highlight w:val="none"/>
        </w:rPr>
        <w:t>基本情况表</w:t>
      </w:r>
    </w:p>
    <w:p w14:paraId="5A727549">
      <w:pPr>
        <w:pStyle w:val="12"/>
        <w:kinsoku w:val="0"/>
        <w:overflowPunct w:val="0"/>
        <w:ind w:left="0"/>
        <w:rPr>
          <w:rFonts w:hint="eastAsia" w:cs="宋体"/>
          <w:color w:val="auto"/>
          <w:sz w:val="23"/>
          <w:szCs w:val="24"/>
          <w:highlight w:val="none"/>
        </w:rPr>
      </w:pPr>
    </w:p>
    <w:tbl>
      <w:tblPr>
        <w:tblStyle w:val="27"/>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090D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C0B14">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47AF861">
            <w:pPr>
              <w:rPr>
                <w:rFonts w:hint="eastAsia" w:ascii="宋体" w:hAnsi="宋体" w:eastAsia="宋体" w:cs="宋体"/>
                <w:color w:val="auto"/>
                <w:sz w:val="21"/>
                <w:szCs w:val="21"/>
                <w:highlight w:val="none"/>
              </w:rPr>
            </w:pPr>
          </w:p>
        </w:tc>
      </w:tr>
      <w:tr w14:paraId="1260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6B12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4BBAB04">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EE53D84">
            <w:pPr>
              <w:pStyle w:val="34"/>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F21A57C">
            <w:pPr>
              <w:rPr>
                <w:rFonts w:hint="eastAsia" w:ascii="宋体" w:hAnsi="宋体" w:eastAsia="宋体" w:cs="宋体"/>
                <w:color w:val="auto"/>
                <w:sz w:val="21"/>
                <w:szCs w:val="21"/>
                <w:highlight w:val="none"/>
              </w:rPr>
            </w:pPr>
          </w:p>
        </w:tc>
      </w:tr>
      <w:tr w14:paraId="7458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61F7B">
            <w:pPr>
              <w:pStyle w:val="34"/>
              <w:kinsoku w:val="0"/>
              <w:overflowPunct w:val="0"/>
              <w:jc w:val="center"/>
              <w:rPr>
                <w:rFonts w:hint="eastAsia" w:ascii="宋体" w:hAnsi="宋体" w:eastAsia="宋体" w:cs="宋体"/>
                <w:color w:val="auto"/>
                <w:sz w:val="21"/>
                <w:szCs w:val="21"/>
                <w:highlight w:val="none"/>
              </w:rPr>
            </w:pPr>
          </w:p>
          <w:p w14:paraId="4D1FA1B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D77ECA">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825ED5A">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3BCE391">
            <w:pPr>
              <w:pStyle w:val="34"/>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75F2502">
            <w:pPr>
              <w:rPr>
                <w:rFonts w:hint="eastAsia" w:ascii="宋体" w:hAnsi="宋体" w:eastAsia="宋体" w:cs="宋体"/>
                <w:color w:val="auto"/>
                <w:sz w:val="21"/>
                <w:szCs w:val="21"/>
                <w:highlight w:val="none"/>
              </w:rPr>
            </w:pPr>
          </w:p>
        </w:tc>
      </w:tr>
      <w:tr w14:paraId="36BF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74D8F">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10570E">
            <w:pPr>
              <w:pStyle w:val="34"/>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0BB4C0">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F97F851">
            <w:pPr>
              <w:pStyle w:val="34"/>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54A361D">
            <w:pPr>
              <w:rPr>
                <w:rFonts w:hint="eastAsia" w:ascii="宋体" w:hAnsi="宋体" w:eastAsia="宋体" w:cs="宋体"/>
                <w:color w:val="auto"/>
                <w:sz w:val="21"/>
                <w:szCs w:val="21"/>
                <w:highlight w:val="none"/>
              </w:rPr>
            </w:pPr>
          </w:p>
        </w:tc>
      </w:tr>
      <w:tr w14:paraId="3BF6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58BE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C6863F">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ACA85E">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38AAA7">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B517D6D">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5AE4FF1">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B5AA8">
            <w:pPr>
              <w:rPr>
                <w:rFonts w:hint="eastAsia" w:ascii="宋体" w:hAnsi="宋体" w:eastAsia="宋体" w:cs="宋体"/>
                <w:color w:val="auto"/>
                <w:sz w:val="21"/>
                <w:szCs w:val="21"/>
                <w:highlight w:val="none"/>
              </w:rPr>
            </w:pPr>
          </w:p>
        </w:tc>
      </w:tr>
      <w:tr w14:paraId="4CE5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50B1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60DE34">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5FDA84">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AB5FFB">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4638CA9">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56EE547">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D79ED6">
            <w:pPr>
              <w:rPr>
                <w:rFonts w:hint="eastAsia" w:ascii="宋体" w:hAnsi="宋体" w:eastAsia="宋体" w:cs="宋体"/>
                <w:color w:val="auto"/>
                <w:sz w:val="21"/>
                <w:szCs w:val="21"/>
                <w:highlight w:val="none"/>
              </w:rPr>
            </w:pPr>
          </w:p>
        </w:tc>
      </w:tr>
      <w:tr w14:paraId="0C26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18D5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A9D4C33">
            <w:pPr>
              <w:pStyle w:val="34"/>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1767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D4E0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7208EEB5">
            <w:pPr>
              <w:pStyle w:val="34"/>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F007F39">
            <w:pPr>
              <w:pStyle w:val="34"/>
              <w:kinsoku w:val="0"/>
              <w:overflowPunct w:val="0"/>
              <w:spacing w:before="1"/>
              <w:rPr>
                <w:rFonts w:hint="eastAsia" w:ascii="宋体" w:hAnsi="宋体" w:eastAsia="宋体" w:cs="宋体"/>
                <w:color w:val="auto"/>
                <w:sz w:val="21"/>
                <w:szCs w:val="21"/>
                <w:highlight w:val="none"/>
              </w:rPr>
            </w:pPr>
          </w:p>
          <w:p w14:paraId="2B3C0166">
            <w:pPr>
              <w:pStyle w:val="34"/>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0EBF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97C9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381EE11">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657E9237">
            <w:pPr>
              <w:pStyle w:val="34"/>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162E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A265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0FB29C6">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7A2AA">
            <w:pPr>
              <w:pStyle w:val="34"/>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EBEC4">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83CCD5C">
            <w:pPr>
              <w:rPr>
                <w:rFonts w:hint="eastAsia" w:ascii="宋体" w:hAnsi="宋体" w:eastAsia="宋体" w:cs="宋体"/>
                <w:color w:val="auto"/>
                <w:sz w:val="21"/>
                <w:szCs w:val="21"/>
                <w:highlight w:val="none"/>
              </w:rPr>
            </w:pPr>
          </w:p>
        </w:tc>
      </w:tr>
      <w:tr w14:paraId="126E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FA60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04B14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E554DAE">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A567B">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FFD31AE">
            <w:pPr>
              <w:rPr>
                <w:rFonts w:hint="eastAsia" w:ascii="宋体" w:hAnsi="宋体" w:eastAsia="宋体" w:cs="宋体"/>
                <w:color w:val="auto"/>
                <w:sz w:val="21"/>
                <w:szCs w:val="21"/>
                <w:highlight w:val="none"/>
              </w:rPr>
            </w:pPr>
          </w:p>
        </w:tc>
      </w:tr>
      <w:tr w14:paraId="204B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BFD41">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BA3B0A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0EEE3C2">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E5CA0">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7ABE25">
            <w:pPr>
              <w:rPr>
                <w:rFonts w:hint="eastAsia" w:ascii="宋体" w:hAnsi="宋体" w:eastAsia="宋体" w:cs="宋体"/>
                <w:color w:val="auto"/>
                <w:sz w:val="21"/>
                <w:szCs w:val="21"/>
                <w:highlight w:val="none"/>
              </w:rPr>
            </w:pPr>
          </w:p>
        </w:tc>
      </w:tr>
      <w:tr w14:paraId="61B0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5C9B5">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BE638E8">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5E8EE1E">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D2480">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FE6705C">
            <w:pPr>
              <w:rPr>
                <w:rFonts w:hint="eastAsia" w:ascii="宋体" w:hAnsi="宋体" w:eastAsia="宋体" w:cs="宋体"/>
                <w:color w:val="auto"/>
                <w:sz w:val="21"/>
                <w:szCs w:val="21"/>
                <w:highlight w:val="none"/>
              </w:rPr>
            </w:pPr>
          </w:p>
        </w:tc>
      </w:tr>
      <w:tr w14:paraId="0A2E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ED01B">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07F6C30E">
            <w:pPr>
              <w:rPr>
                <w:rFonts w:hint="eastAsia" w:ascii="宋体" w:hAnsi="宋体" w:eastAsia="宋体" w:cs="宋体"/>
                <w:color w:val="auto"/>
                <w:sz w:val="21"/>
                <w:szCs w:val="21"/>
                <w:highlight w:val="none"/>
              </w:rPr>
            </w:pPr>
          </w:p>
        </w:tc>
      </w:tr>
      <w:tr w14:paraId="5252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C7CB6">
            <w:pPr>
              <w:pStyle w:val="34"/>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0243C5CE">
            <w:pPr>
              <w:rPr>
                <w:rFonts w:hint="eastAsia" w:ascii="宋体" w:hAnsi="宋体" w:eastAsia="宋体" w:cs="宋体"/>
                <w:color w:val="auto"/>
                <w:sz w:val="21"/>
                <w:szCs w:val="21"/>
                <w:highlight w:val="none"/>
              </w:rPr>
            </w:pPr>
          </w:p>
        </w:tc>
      </w:tr>
      <w:tr w14:paraId="523D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008F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0AE86F6B">
            <w:pPr>
              <w:rPr>
                <w:rFonts w:hint="eastAsia" w:ascii="宋体" w:hAnsi="宋体" w:eastAsia="宋体" w:cs="宋体"/>
                <w:color w:val="auto"/>
                <w:sz w:val="21"/>
                <w:szCs w:val="21"/>
                <w:highlight w:val="none"/>
              </w:rPr>
            </w:pPr>
          </w:p>
        </w:tc>
      </w:tr>
    </w:tbl>
    <w:p w14:paraId="05CAED7C">
      <w:pPr>
        <w:pStyle w:val="12"/>
        <w:kinsoku w:val="0"/>
        <w:overflowPunct w:val="0"/>
        <w:spacing w:before="6"/>
        <w:ind w:left="0"/>
        <w:rPr>
          <w:rFonts w:hint="eastAsia" w:cs="宋体"/>
          <w:color w:val="auto"/>
          <w:sz w:val="24"/>
          <w:szCs w:val="24"/>
          <w:highlight w:val="none"/>
        </w:rPr>
      </w:pPr>
      <w:r>
        <w:rPr>
          <w:rFonts w:hint="eastAsia" w:cs="宋体"/>
          <w:color w:val="auto"/>
          <w:spacing w:val="-5"/>
          <w:sz w:val="21"/>
          <w:szCs w:val="21"/>
          <w:highlight w:val="none"/>
        </w:rPr>
        <w:t>注：</w:t>
      </w:r>
      <w:r>
        <w:rPr>
          <w:rFonts w:hint="eastAsia" w:cs="宋体"/>
          <w:color w:val="auto"/>
          <w:sz w:val="21"/>
          <w:szCs w:val="24"/>
          <w:highlight w:val="none"/>
        </w:rPr>
        <w:t>投标人应附营业执照、资质证书等相关证明材料。</w:t>
      </w:r>
    </w:p>
    <w:p w14:paraId="7C5B5F6F">
      <w:pPr>
        <w:pStyle w:val="38"/>
        <w:ind w:firstLine="436"/>
        <w:rPr>
          <w:rFonts w:hint="eastAsia" w:ascii="宋体" w:hAnsi="宋体" w:cs="宋体"/>
          <w:strike w:val="0"/>
          <w:color w:val="auto"/>
          <w:sz w:val="21"/>
          <w:szCs w:val="21"/>
          <w:highlight w:val="none"/>
        </w:rPr>
      </w:pPr>
    </w:p>
    <w:p w14:paraId="2D285C67">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F64A6B7">
      <w:pPr>
        <w:pStyle w:val="12"/>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16835003">
      <w:pPr>
        <w:bidi w:val="0"/>
        <w:jc w:val="left"/>
        <w:rPr>
          <w:rFonts w:hint="default" w:ascii="Times New Roman" w:hAnsi="Times New Roman" w:eastAsia="宋体" w:cs="Times New Roman"/>
          <w:color w:val="auto"/>
          <w:sz w:val="24"/>
          <w:szCs w:val="24"/>
          <w:highlight w:val="none"/>
          <w:lang w:val="en-US" w:eastAsia="zh-CN"/>
        </w:rPr>
      </w:pPr>
      <w:bookmarkStart w:id="132" w:name="bookmark181"/>
      <w:bookmarkEnd w:id="132"/>
      <w:bookmarkStart w:id="133" w:name="_Toc22758"/>
    </w:p>
    <w:bookmarkEnd w:id="133"/>
    <w:p w14:paraId="4073F6DE">
      <w:pPr>
        <w:pStyle w:val="5"/>
        <w:outlineLvl w:val="2"/>
        <w:rPr>
          <w:rFonts w:hint="eastAsia" w:cs="宋体"/>
          <w:b/>
          <w:color w:val="auto"/>
          <w:sz w:val="24"/>
          <w:szCs w:val="24"/>
          <w:highlight w:val="none"/>
        </w:rPr>
      </w:pPr>
      <w:bookmarkStart w:id="134" w:name="bookmark190"/>
      <w:bookmarkEnd w:id="134"/>
      <w:bookmarkStart w:id="135" w:name="bookmark184"/>
      <w:bookmarkEnd w:id="135"/>
      <w:bookmarkStart w:id="136" w:name="bookmark188"/>
      <w:bookmarkEnd w:id="136"/>
      <w:bookmarkStart w:id="137" w:name="bookmark189"/>
      <w:bookmarkEnd w:id="137"/>
      <w:bookmarkStart w:id="138" w:name="_Toc12109"/>
      <w:r>
        <w:rPr>
          <w:rFonts w:hint="eastAsia" w:cs="宋体"/>
          <w:b/>
          <w:color w:val="auto"/>
          <w:sz w:val="24"/>
          <w:szCs w:val="24"/>
          <w:highlight w:val="none"/>
        </w:rPr>
        <w:t>（</w:t>
      </w:r>
      <w:r>
        <w:rPr>
          <w:rFonts w:hint="eastAsia" w:cs="宋体"/>
          <w:b/>
          <w:color w:val="auto"/>
          <w:sz w:val="24"/>
          <w:szCs w:val="24"/>
          <w:highlight w:val="none"/>
          <w:lang w:eastAsia="zh-CN"/>
        </w:rPr>
        <w:t>二</w:t>
      </w:r>
      <w:r>
        <w:rPr>
          <w:rFonts w:hint="eastAsia" w:cs="宋体"/>
          <w:b/>
          <w:color w:val="auto"/>
          <w:sz w:val="24"/>
          <w:szCs w:val="24"/>
          <w:highlight w:val="none"/>
        </w:rPr>
        <w:t>）</w:t>
      </w:r>
      <w:bookmarkStart w:id="139" w:name="_Toc64883719"/>
      <w:r>
        <w:rPr>
          <w:rFonts w:hint="eastAsia" w:cs="宋体"/>
          <w:b/>
          <w:bCs/>
          <w:color w:val="auto"/>
          <w:highlight w:val="none"/>
        </w:rPr>
        <w:t>监理项目管理团队实名信息采集表</w:t>
      </w:r>
      <w:bookmarkEnd w:id="138"/>
      <w:bookmarkEnd w:id="139"/>
    </w:p>
    <w:p w14:paraId="2518E21C">
      <w:pPr>
        <w:pStyle w:val="12"/>
        <w:kinsoku w:val="0"/>
        <w:overflowPunct w:val="0"/>
        <w:spacing w:before="11"/>
        <w:ind w:left="0"/>
        <w:rPr>
          <w:rFonts w:hint="eastAsia" w:cs="宋体"/>
          <w:color w:val="auto"/>
          <w:sz w:val="22"/>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76"/>
        <w:gridCol w:w="1205"/>
        <w:gridCol w:w="1654"/>
        <w:gridCol w:w="3189"/>
      </w:tblGrid>
      <w:tr w14:paraId="02B3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18" w:type="dxa"/>
            <w:noWrap w:val="0"/>
            <w:vAlign w:val="center"/>
          </w:tcPr>
          <w:p w14:paraId="1AFB0E83">
            <w:pPr>
              <w:spacing w:line="44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276" w:type="dxa"/>
            <w:noWrap w:val="0"/>
            <w:vAlign w:val="center"/>
          </w:tcPr>
          <w:p w14:paraId="48F2EC91">
            <w:pPr>
              <w:spacing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205" w:type="dxa"/>
            <w:noWrap w:val="0"/>
            <w:vAlign w:val="center"/>
          </w:tcPr>
          <w:p w14:paraId="50CDE6C1">
            <w:pPr>
              <w:spacing w:line="440" w:lineRule="exact"/>
              <w:jc w:val="center"/>
              <w:rPr>
                <w:rFonts w:hint="eastAsia" w:ascii="宋体" w:hAnsi="宋体" w:cs="宋体"/>
                <w:color w:val="auto"/>
                <w:highlight w:val="none"/>
              </w:rPr>
            </w:pPr>
            <w:r>
              <w:rPr>
                <w:rFonts w:hint="eastAsia" w:ascii="宋体" w:hAnsi="宋体" w:cs="宋体"/>
                <w:color w:val="auto"/>
                <w:highlight w:val="none"/>
              </w:rPr>
              <w:t>岗位</w:t>
            </w:r>
          </w:p>
        </w:tc>
        <w:tc>
          <w:tcPr>
            <w:tcW w:w="1654" w:type="dxa"/>
            <w:noWrap w:val="0"/>
            <w:vAlign w:val="center"/>
          </w:tcPr>
          <w:p w14:paraId="21D51438">
            <w:pPr>
              <w:spacing w:line="440" w:lineRule="exact"/>
              <w:jc w:val="center"/>
              <w:rPr>
                <w:rFonts w:hint="eastAsia" w:ascii="宋体" w:hAnsi="宋体" w:cs="宋体"/>
                <w:color w:val="auto"/>
                <w:highlight w:val="none"/>
              </w:rPr>
            </w:pPr>
            <w:r>
              <w:rPr>
                <w:rFonts w:hint="eastAsia" w:ascii="宋体" w:hAnsi="宋体" w:cs="宋体"/>
                <w:color w:val="auto"/>
                <w:highlight w:val="none"/>
              </w:rPr>
              <w:t>职称</w:t>
            </w:r>
          </w:p>
        </w:tc>
        <w:tc>
          <w:tcPr>
            <w:tcW w:w="3189" w:type="dxa"/>
            <w:noWrap w:val="0"/>
            <w:vAlign w:val="center"/>
          </w:tcPr>
          <w:p w14:paraId="3CD633BA">
            <w:pPr>
              <w:spacing w:line="440" w:lineRule="exact"/>
              <w:jc w:val="center"/>
              <w:rPr>
                <w:rFonts w:hint="eastAsia" w:ascii="宋体" w:hAnsi="宋体" w:cs="宋体"/>
                <w:color w:val="auto"/>
                <w:highlight w:val="none"/>
              </w:rPr>
            </w:pPr>
            <w:r>
              <w:rPr>
                <w:rFonts w:hint="eastAsia" w:ascii="宋体" w:hAnsi="宋体" w:cs="宋体"/>
                <w:color w:val="auto"/>
                <w:highlight w:val="none"/>
              </w:rPr>
              <w:t>职称证书或资格证书编号</w:t>
            </w:r>
          </w:p>
        </w:tc>
      </w:tr>
      <w:tr w14:paraId="7B0A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14:paraId="37B9508B">
            <w:pPr>
              <w:spacing w:line="44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noWrap w:val="0"/>
            <w:vAlign w:val="center"/>
          </w:tcPr>
          <w:p w14:paraId="06C2AC2B">
            <w:pPr>
              <w:spacing w:line="440" w:lineRule="exact"/>
              <w:jc w:val="center"/>
              <w:rPr>
                <w:rFonts w:hint="eastAsia" w:ascii="宋体" w:hAnsi="宋体" w:cs="宋体"/>
                <w:color w:val="auto"/>
                <w:highlight w:val="none"/>
              </w:rPr>
            </w:pPr>
          </w:p>
        </w:tc>
        <w:tc>
          <w:tcPr>
            <w:tcW w:w="1205" w:type="dxa"/>
            <w:noWrap w:val="0"/>
            <w:vAlign w:val="center"/>
          </w:tcPr>
          <w:p w14:paraId="660FF35A">
            <w:pPr>
              <w:spacing w:line="440" w:lineRule="exact"/>
              <w:jc w:val="center"/>
              <w:rPr>
                <w:rFonts w:hint="eastAsia" w:ascii="宋体" w:hAnsi="宋体" w:cs="宋体"/>
                <w:color w:val="auto"/>
                <w:highlight w:val="none"/>
              </w:rPr>
            </w:pPr>
          </w:p>
        </w:tc>
        <w:tc>
          <w:tcPr>
            <w:tcW w:w="1654" w:type="dxa"/>
            <w:noWrap w:val="0"/>
            <w:vAlign w:val="center"/>
          </w:tcPr>
          <w:p w14:paraId="54BC5E0A">
            <w:pPr>
              <w:spacing w:line="440" w:lineRule="exact"/>
              <w:jc w:val="center"/>
              <w:rPr>
                <w:rFonts w:hint="eastAsia" w:ascii="宋体" w:hAnsi="宋体" w:cs="宋体"/>
                <w:color w:val="auto"/>
                <w:highlight w:val="none"/>
              </w:rPr>
            </w:pPr>
          </w:p>
        </w:tc>
        <w:tc>
          <w:tcPr>
            <w:tcW w:w="3189" w:type="dxa"/>
            <w:noWrap w:val="0"/>
            <w:vAlign w:val="center"/>
          </w:tcPr>
          <w:p w14:paraId="458C822B">
            <w:pPr>
              <w:spacing w:line="440" w:lineRule="exact"/>
              <w:jc w:val="center"/>
              <w:rPr>
                <w:rFonts w:hint="eastAsia" w:ascii="宋体" w:hAnsi="宋体" w:cs="宋体"/>
                <w:color w:val="auto"/>
                <w:highlight w:val="none"/>
              </w:rPr>
            </w:pPr>
          </w:p>
        </w:tc>
      </w:tr>
      <w:tr w14:paraId="6906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8" w:type="dxa"/>
            <w:noWrap w:val="0"/>
            <w:vAlign w:val="top"/>
          </w:tcPr>
          <w:p w14:paraId="7BD0E257">
            <w:pPr>
              <w:spacing w:line="44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1276" w:type="dxa"/>
            <w:noWrap w:val="0"/>
            <w:vAlign w:val="top"/>
          </w:tcPr>
          <w:p w14:paraId="21AC3B74">
            <w:pPr>
              <w:spacing w:line="440" w:lineRule="exact"/>
              <w:jc w:val="center"/>
              <w:rPr>
                <w:rFonts w:hint="eastAsia" w:ascii="宋体" w:hAnsi="宋体" w:cs="宋体"/>
                <w:color w:val="auto"/>
                <w:highlight w:val="none"/>
              </w:rPr>
            </w:pPr>
          </w:p>
        </w:tc>
        <w:tc>
          <w:tcPr>
            <w:tcW w:w="1205" w:type="dxa"/>
            <w:noWrap w:val="0"/>
            <w:vAlign w:val="top"/>
          </w:tcPr>
          <w:p w14:paraId="2694C68C">
            <w:pPr>
              <w:spacing w:line="440" w:lineRule="exact"/>
              <w:jc w:val="center"/>
              <w:rPr>
                <w:rFonts w:hint="eastAsia" w:ascii="宋体" w:hAnsi="宋体" w:cs="宋体"/>
                <w:color w:val="auto"/>
                <w:highlight w:val="none"/>
              </w:rPr>
            </w:pPr>
          </w:p>
        </w:tc>
        <w:tc>
          <w:tcPr>
            <w:tcW w:w="1654" w:type="dxa"/>
            <w:noWrap w:val="0"/>
            <w:vAlign w:val="top"/>
          </w:tcPr>
          <w:p w14:paraId="4C2EC6EE">
            <w:pPr>
              <w:spacing w:line="440" w:lineRule="exact"/>
              <w:jc w:val="center"/>
              <w:rPr>
                <w:rFonts w:hint="eastAsia" w:ascii="宋体" w:hAnsi="宋体" w:cs="宋体"/>
                <w:color w:val="auto"/>
                <w:highlight w:val="none"/>
              </w:rPr>
            </w:pPr>
          </w:p>
        </w:tc>
        <w:tc>
          <w:tcPr>
            <w:tcW w:w="3189" w:type="dxa"/>
            <w:noWrap w:val="0"/>
            <w:vAlign w:val="top"/>
          </w:tcPr>
          <w:p w14:paraId="64652CD5">
            <w:pPr>
              <w:spacing w:line="440" w:lineRule="exact"/>
              <w:jc w:val="center"/>
              <w:rPr>
                <w:rFonts w:hint="eastAsia" w:ascii="宋体" w:hAnsi="宋体" w:cs="宋体"/>
                <w:color w:val="auto"/>
                <w:highlight w:val="none"/>
              </w:rPr>
            </w:pPr>
          </w:p>
        </w:tc>
      </w:tr>
      <w:tr w14:paraId="11B5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4AE2EB4">
            <w:pPr>
              <w:spacing w:line="44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1276" w:type="dxa"/>
            <w:noWrap w:val="0"/>
            <w:vAlign w:val="top"/>
          </w:tcPr>
          <w:p w14:paraId="6E11DD98">
            <w:pPr>
              <w:spacing w:line="440" w:lineRule="exact"/>
              <w:jc w:val="center"/>
              <w:rPr>
                <w:rFonts w:hint="eastAsia" w:ascii="宋体" w:hAnsi="宋体" w:cs="宋体"/>
                <w:color w:val="auto"/>
                <w:highlight w:val="none"/>
              </w:rPr>
            </w:pPr>
          </w:p>
        </w:tc>
        <w:tc>
          <w:tcPr>
            <w:tcW w:w="1205" w:type="dxa"/>
            <w:noWrap w:val="0"/>
            <w:vAlign w:val="top"/>
          </w:tcPr>
          <w:p w14:paraId="49666106">
            <w:pPr>
              <w:spacing w:line="440" w:lineRule="exact"/>
              <w:jc w:val="center"/>
              <w:rPr>
                <w:rFonts w:hint="eastAsia" w:ascii="宋体" w:hAnsi="宋体" w:cs="宋体"/>
                <w:color w:val="auto"/>
                <w:highlight w:val="none"/>
              </w:rPr>
            </w:pPr>
          </w:p>
        </w:tc>
        <w:tc>
          <w:tcPr>
            <w:tcW w:w="1654" w:type="dxa"/>
            <w:noWrap w:val="0"/>
            <w:vAlign w:val="top"/>
          </w:tcPr>
          <w:p w14:paraId="2345FE74">
            <w:pPr>
              <w:spacing w:line="440" w:lineRule="exact"/>
              <w:jc w:val="center"/>
              <w:rPr>
                <w:rFonts w:hint="eastAsia" w:ascii="宋体" w:hAnsi="宋体" w:cs="宋体"/>
                <w:color w:val="auto"/>
                <w:highlight w:val="none"/>
              </w:rPr>
            </w:pPr>
          </w:p>
        </w:tc>
        <w:tc>
          <w:tcPr>
            <w:tcW w:w="3189" w:type="dxa"/>
            <w:noWrap w:val="0"/>
            <w:vAlign w:val="top"/>
          </w:tcPr>
          <w:p w14:paraId="43679499">
            <w:pPr>
              <w:spacing w:line="440" w:lineRule="exact"/>
              <w:jc w:val="center"/>
              <w:rPr>
                <w:rFonts w:hint="eastAsia" w:ascii="宋体" w:hAnsi="宋体" w:cs="宋体"/>
                <w:color w:val="auto"/>
                <w:highlight w:val="none"/>
              </w:rPr>
            </w:pPr>
          </w:p>
        </w:tc>
      </w:tr>
      <w:tr w14:paraId="0701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A5FCEA6">
            <w:pPr>
              <w:spacing w:line="44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1276" w:type="dxa"/>
            <w:noWrap w:val="0"/>
            <w:vAlign w:val="top"/>
          </w:tcPr>
          <w:p w14:paraId="7F05157C">
            <w:pPr>
              <w:spacing w:line="440" w:lineRule="exact"/>
              <w:jc w:val="center"/>
              <w:rPr>
                <w:rFonts w:hint="eastAsia" w:ascii="宋体" w:hAnsi="宋体" w:cs="宋体"/>
                <w:color w:val="auto"/>
                <w:highlight w:val="none"/>
              </w:rPr>
            </w:pPr>
          </w:p>
        </w:tc>
        <w:tc>
          <w:tcPr>
            <w:tcW w:w="1205" w:type="dxa"/>
            <w:noWrap w:val="0"/>
            <w:vAlign w:val="top"/>
          </w:tcPr>
          <w:p w14:paraId="143CB3E5">
            <w:pPr>
              <w:spacing w:line="440" w:lineRule="exact"/>
              <w:jc w:val="center"/>
              <w:rPr>
                <w:rFonts w:hint="eastAsia" w:ascii="宋体" w:hAnsi="宋体" w:cs="宋体"/>
                <w:color w:val="auto"/>
                <w:highlight w:val="none"/>
              </w:rPr>
            </w:pPr>
          </w:p>
        </w:tc>
        <w:tc>
          <w:tcPr>
            <w:tcW w:w="1654" w:type="dxa"/>
            <w:noWrap w:val="0"/>
            <w:vAlign w:val="top"/>
          </w:tcPr>
          <w:p w14:paraId="4EF190DA">
            <w:pPr>
              <w:spacing w:line="440" w:lineRule="exact"/>
              <w:jc w:val="center"/>
              <w:rPr>
                <w:rFonts w:hint="eastAsia" w:ascii="宋体" w:hAnsi="宋体" w:cs="宋体"/>
                <w:color w:val="auto"/>
                <w:highlight w:val="none"/>
              </w:rPr>
            </w:pPr>
          </w:p>
        </w:tc>
        <w:tc>
          <w:tcPr>
            <w:tcW w:w="3189" w:type="dxa"/>
            <w:noWrap w:val="0"/>
            <w:vAlign w:val="top"/>
          </w:tcPr>
          <w:p w14:paraId="60F45741">
            <w:pPr>
              <w:spacing w:line="440" w:lineRule="exact"/>
              <w:jc w:val="center"/>
              <w:rPr>
                <w:rFonts w:hint="eastAsia" w:ascii="宋体" w:hAnsi="宋体" w:cs="宋体"/>
                <w:color w:val="auto"/>
                <w:highlight w:val="none"/>
              </w:rPr>
            </w:pPr>
          </w:p>
        </w:tc>
      </w:tr>
      <w:tr w14:paraId="0286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1B839880">
            <w:pPr>
              <w:spacing w:line="44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1276" w:type="dxa"/>
            <w:noWrap w:val="0"/>
            <w:vAlign w:val="top"/>
          </w:tcPr>
          <w:p w14:paraId="4B2B6D82">
            <w:pPr>
              <w:spacing w:line="440" w:lineRule="exact"/>
              <w:jc w:val="center"/>
              <w:rPr>
                <w:rFonts w:hint="eastAsia" w:ascii="宋体" w:hAnsi="宋体" w:cs="宋体"/>
                <w:color w:val="auto"/>
                <w:highlight w:val="none"/>
              </w:rPr>
            </w:pPr>
          </w:p>
        </w:tc>
        <w:tc>
          <w:tcPr>
            <w:tcW w:w="1205" w:type="dxa"/>
            <w:noWrap w:val="0"/>
            <w:vAlign w:val="top"/>
          </w:tcPr>
          <w:p w14:paraId="7D63A11C">
            <w:pPr>
              <w:spacing w:line="440" w:lineRule="exact"/>
              <w:jc w:val="center"/>
              <w:rPr>
                <w:rFonts w:hint="eastAsia" w:ascii="宋体" w:hAnsi="宋体" w:cs="宋体"/>
                <w:color w:val="auto"/>
                <w:highlight w:val="none"/>
              </w:rPr>
            </w:pPr>
          </w:p>
        </w:tc>
        <w:tc>
          <w:tcPr>
            <w:tcW w:w="1654" w:type="dxa"/>
            <w:noWrap w:val="0"/>
            <w:vAlign w:val="top"/>
          </w:tcPr>
          <w:p w14:paraId="4DA7EAE2">
            <w:pPr>
              <w:spacing w:line="440" w:lineRule="exact"/>
              <w:jc w:val="center"/>
              <w:rPr>
                <w:rFonts w:hint="eastAsia" w:ascii="宋体" w:hAnsi="宋体" w:cs="宋体"/>
                <w:color w:val="auto"/>
                <w:highlight w:val="none"/>
              </w:rPr>
            </w:pPr>
          </w:p>
        </w:tc>
        <w:tc>
          <w:tcPr>
            <w:tcW w:w="3189" w:type="dxa"/>
            <w:noWrap w:val="0"/>
            <w:vAlign w:val="top"/>
          </w:tcPr>
          <w:p w14:paraId="5853D199">
            <w:pPr>
              <w:spacing w:line="440" w:lineRule="exact"/>
              <w:jc w:val="center"/>
              <w:rPr>
                <w:rFonts w:hint="eastAsia" w:ascii="宋体" w:hAnsi="宋体" w:cs="宋体"/>
                <w:color w:val="auto"/>
                <w:highlight w:val="none"/>
              </w:rPr>
            </w:pPr>
          </w:p>
        </w:tc>
      </w:tr>
      <w:tr w14:paraId="162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4671C61C">
            <w:pPr>
              <w:spacing w:line="440" w:lineRule="exact"/>
              <w:jc w:val="center"/>
              <w:rPr>
                <w:rFonts w:hint="eastAsia" w:ascii="宋体" w:hAnsi="宋体" w:cs="宋体"/>
                <w:color w:val="auto"/>
                <w:highlight w:val="none"/>
              </w:rPr>
            </w:pPr>
          </w:p>
        </w:tc>
        <w:tc>
          <w:tcPr>
            <w:tcW w:w="1276" w:type="dxa"/>
            <w:noWrap w:val="0"/>
            <w:vAlign w:val="top"/>
          </w:tcPr>
          <w:p w14:paraId="6F42CF17">
            <w:pPr>
              <w:spacing w:line="440" w:lineRule="exact"/>
              <w:jc w:val="center"/>
              <w:rPr>
                <w:rFonts w:hint="eastAsia" w:ascii="宋体" w:hAnsi="宋体" w:cs="宋体"/>
                <w:color w:val="auto"/>
                <w:highlight w:val="none"/>
              </w:rPr>
            </w:pPr>
          </w:p>
        </w:tc>
        <w:tc>
          <w:tcPr>
            <w:tcW w:w="1205" w:type="dxa"/>
            <w:noWrap w:val="0"/>
            <w:vAlign w:val="top"/>
          </w:tcPr>
          <w:p w14:paraId="74EF6027">
            <w:pPr>
              <w:spacing w:line="440" w:lineRule="exact"/>
              <w:jc w:val="center"/>
              <w:rPr>
                <w:rFonts w:hint="eastAsia" w:ascii="宋体" w:hAnsi="宋体" w:cs="宋体"/>
                <w:color w:val="auto"/>
                <w:highlight w:val="none"/>
              </w:rPr>
            </w:pPr>
          </w:p>
        </w:tc>
        <w:tc>
          <w:tcPr>
            <w:tcW w:w="1654" w:type="dxa"/>
            <w:noWrap w:val="0"/>
            <w:vAlign w:val="top"/>
          </w:tcPr>
          <w:p w14:paraId="34E71209">
            <w:pPr>
              <w:spacing w:line="440" w:lineRule="exact"/>
              <w:jc w:val="center"/>
              <w:rPr>
                <w:rFonts w:hint="eastAsia" w:ascii="宋体" w:hAnsi="宋体" w:cs="宋体"/>
                <w:color w:val="auto"/>
                <w:highlight w:val="none"/>
              </w:rPr>
            </w:pPr>
          </w:p>
        </w:tc>
        <w:tc>
          <w:tcPr>
            <w:tcW w:w="3189" w:type="dxa"/>
            <w:noWrap w:val="0"/>
            <w:vAlign w:val="top"/>
          </w:tcPr>
          <w:p w14:paraId="63D30639">
            <w:pPr>
              <w:spacing w:line="440" w:lineRule="exact"/>
              <w:jc w:val="center"/>
              <w:rPr>
                <w:rFonts w:hint="eastAsia" w:ascii="宋体" w:hAnsi="宋体" w:cs="宋体"/>
                <w:color w:val="auto"/>
                <w:highlight w:val="none"/>
              </w:rPr>
            </w:pPr>
          </w:p>
        </w:tc>
      </w:tr>
      <w:tr w14:paraId="48B8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60A6C4E">
            <w:pPr>
              <w:spacing w:line="440" w:lineRule="exact"/>
              <w:jc w:val="center"/>
              <w:rPr>
                <w:rFonts w:hint="eastAsia" w:ascii="宋体" w:hAnsi="宋体" w:cs="宋体"/>
                <w:color w:val="auto"/>
                <w:highlight w:val="none"/>
              </w:rPr>
            </w:pPr>
          </w:p>
        </w:tc>
        <w:tc>
          <w:tcPr>
            <w:tcW w:w="1276" w:type="dxa"/>
            <w:noWrap w:val="0"/>
            <w:vAlign w:val="top"/>
          </w:tcPr>
          <w:p w14:paraId="63270E2D">
            <w:pPr>
              <w:spacing w:line="440" w:lineRule="exact"/>
              <w:jc w:val="center"/>
              <w:rPr>
                <w:rFonts w:hint="eastAsia" w:ascii="宋体" w:hAnsi="宋体" w:cs="宋体"/>
                <w:color w:val="auto"/>
                <w:highlight w:val="none"/>
              </w:rPr>
            </w:pPr>
          </w:p>
        </w:tc>
        <w:tc>
          <w:tcPr>
            <w:tcW w:w="1205" w:type="dxa"/>
            <w:noWrap w:val="0"/>
            <w:vAlign w:val="top"/>
          </w:tcPr>
          <w:p w14:paraId="115D93BF">
            <w:pPr>
              <w:spacing w:line="440" w:lineRule="exact"/>
              <w:jc w:val="center"/>
              <w:rPr>
                <w:rFonts w:hint="eastAsia" w:ascii="宋体" w:hAnsi="宋体" w:cs="宋体"/>
                <w:color w:val="auto"/>
                <w:highlight w:val="none"/>
              </w:rPr>
            </w:pPr>
          </w:p>
        </w:tc>
        <w:tc>
          <w:tcPr>
            <w:tcW w:w="1654" w:type="dxa"/>
            <w:noWrap w:val="0"/>
            <w:vAlign w:val="top"/>
          </w:tcPr>
          <w:p w14:paraId="392AB8CA">
            <w:pPr>
              <w:spacing w:line="440" w:lineRule="exact"/>
              <w:jc w:val="center"/>
              <w:rPr>
                <w:rFonts w:hint="eastAsia" w:ascii="宋体" w:hAnsi="宋体" w:cs="宋体"/>
                <w:color w:val="auto"/>
                <w:highlight w:val="none"/>
              </w:rPr>
            </w:pPr>
          </w:p>
        </w:tc>
        <w:tc>
          <w:tcPr>
            <w:tcW w:w="3189" w:type="dxa"/>
            <w:noWrap w:val="0"/>
            <w:vAlign w:val="top"/>
          </w:tcPr>
          <w:p w14:paraId="3B106BD8">
            <w:pPr>
              <w:spacing w:line="440" w:lineRule="exact"/>
              <w:jc w:val="center"/>
              <w:rPr>
                <w:rFonts w:hint="eastAsia" w:ascii="宋体" w:hAnsi="宋体" w:cs="宋体"/>
                <w:color w:val="auto"/>
                <w:highlight w:val="none"/>
              </w:rPr>
            </w:pPr>
          </w:p>
        </w:tc>
      </w:tr>
      <w:tr w14:paraId="4037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0C41E8F">
            <w:pPr>
              <w:spacing w:line="440" w:lineRule="exact"/>
              <w:jc w:val="center"/>
              <w:rPr>
                <w:rFonts w:hint="eastAsia" w:ascii="宋体" w:hAnsi="宋体" w:cs="宋体"/>
                <w:color w:val="auto"/>
                <w:highlight w:val="none"/>
              </w:rPr>
            </w:pPr>
          </w:p>
        </w:tc>
        <w:tc>
          <w:tcPr>
            <w:tcW w:w="1276" w:type="dxa"/>
            <w:noWrap w:val="0"/>
            <w:vAlign w:val="top"/>
          </w:tcPr>
          <w:p w14:paraId="6DA105D3">
            <w:pPr>
              <w:spacing w:line="440" w:lineRule="exact"/>
              <w:jc w:val="center"/>
              <w:rPr>
                <w:rFonts w:hint="eastAsia" w:ascii="宋体" w:hAnsi="宋体" w:cs="宋体"/>
                <w:color w:val="auto"/>
                <w:highlight w:val="none"/>
              </w:rPr>
            </w:pPr>
          </w:p>
        </w:tc>
        <w:tc>
          <w:tcPr>
            <w:tcW w:w="1205" w:type="dxa"/>
            <w:noWrap w:val="0"/>
            <w:vAlign w:val="top"/>
          </w:tcPr>
          <w:p w14:paraId="5094A41B">
            <w:pPr>
              <w:spacing w:line="440" w:lineRule="exact"/>
              <w:jc w:val="center"/>
              <w:rPr>
                <w:rFonts w:hint="eastAsia" w:ascii="宋体" w:hAnsi="宋体" w:cs="宋体"/>
                <w:color w:val="auto"/>
                <w:highlight w:val="none"/>
              </w:rPr>
            </w:pPr>
          </w:p>
        </w:tc>
        <w:tc>
          <w:tcPr>
            <w:tcW w:w="1654" w:type="dxa"/>
            <w:noWrap w:val="0"/>
            <w:vAlign w:val="top"/>
          </w:tcPr>
          <w:p w14:paraId="627B6DBF">
            <w:pPr>
              <w:spacing w:line="440" w:lineRule="exact"/>
              <w:jc w:val="center"/>
              <w:rPr>
                <w:rFonts w:hint="eastAsia" w:ascii="宋体" w:hAnsi="宋体" w:cs="宋体"/>
                <w:color w:val="auto"/>
                <w:highlight w:val="none"/>
              </w:rPr>
            </w:pPr>
          </w:p>
        </w:tc>
        <w:tc>
          <w:tcPr>
            <w:tcW w:w="3189" w:type="dxa"/>
            <w:noWrap w:val="0"/>
            <w:vAlign w:val="top"/>
          </w:tcPr>
          <w:p w14:paraId="2064D55D">
            <w:pPr>
              <w:spacing w:line="440" w:lineRule="exact"/>
              <w:jc w:val="center"/>
              <w:rPr>
                <w:rFonts w:hint="eastAsia" w:ascii="宋体" w:hAnsi="宋体" w:cs="宋体"/>
                <w:color w:val="auto"/>
                <w:highlight w:val="none"/>
              </w:rPr>
            </w:pPr>
          </w:p>
        </w:tc>
      </w:tr>
      <w:tr w14:paraId="7D39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54501FF1">
            <w:pPr>
              <w:spacing w:line="440" w:lineRule="exact"/>
              <w:jc w:val="center"/>
              <w:rPr>
                <w:rFonts w:hint="eastAsia" w:ascii="宋体" w:hAnsi="宋体" w:cs="宋体"/>
                <w:color w:val="auto"/>
                <w:highlight w:val="none"/>
              </w:rPr>
            </w:pPr>
          </w:p>
        </w:tc>
        <w:tc>
          <w:tcPr>
            <w:tcW w:w="1276" w:type="dxa"/>
            <w:noWrap w:val="0"/>
            <w:vAlign w:val="top"/>
          </w:tcPr>
          <w:p w14:paraId="26BA7808">
            <w:pPr>
              <w:spacing w:line="440" w:lineRule="exact"/>
              <w:jc w:val="center"/>
              <w:rPr>
                <w:rFonts w:hint="eastAsia" w:ascii="宋体" w:hAnsi="宋体" w:cs="宋体"/>
                <w:color w:val="auto"/>
                <w:highlight w:val="none"/>
              </w:rPr>
            </w:pPr>
          </w:p>
        </w:tc>
        <w:tc>
          <w:tcPr>
            <w:tcW w:w="1205" w:type="dxa"/>
            <w:noWrap w:val="0"/>
            <w:vAlign w:val="top"/>
          </w:tcPr>
          <w:p w14:paraId="2A5863EC">
            <w:pPr>
              <w:spacing w:line="440" w:lineRule="exact"/>
              <w:jc w:val="center"/>
              <w:rPr>
                <w:rFonts w:hint="eastAsia" w:ascii="宋体" w:hAnsi="宋体" w:cs="宋体"/>
                <w:color w:val="auto"/>
                <w:highlight w:val="none"/>
              </w:rPr>
            </w:pPr>
          </w:p>
        </w:tc>
        <w:tc>
          <w:tcPr>
            <w:tcW w:w="1654" w:type="dxa"/>
            <w:noWrap w:val="0"/>
            <w:vAlign w:val="top"/>
          </w:tcPr>
          <w:p w14:paraId="5D7C9DAA">
            <w:pPr>
              <w:spacing w:line="440" w:lineRule="exact"/>
              <w:jc w:val="center"/>
              <w:rPr>
                <w:rFonts w:hint="eastAsia" w:ascii="宋体" w:hAnsi="宋体" w:cs="宋体"/>
                <w:color w:val="auto"/>
                <w:highlight w:val="none"/>
              </w:rPr>
            </w:pPr>
          </w:p>
        </w:tc>
        <w:tc>
          <w:tcPr>
            <w:tcW w:w="3189" w:type="dxa"/>
            <w:noWrap w:val="0"/>
            <w:vAlign w:val="top"/>
          </w:tcPr>
          <w:p w14:paraId="358EC197">
            <w:pPr>
              <w:spacing w:line="440" w:lineRule="exact"/>
              <w:jc w:val="center"/>
              <w:rPr>
                <w:rFonts w:hint="eastAsia" w:ascii="宋体" w:hAnsi="宋体" w:cs="宋体"/>
                <w:color w:val="auto"/>
                <w:highlight w:val="none"/>
              </w:rPr>
            </w:pPr>
          </w:p>
        </w:tc>
      </w:tr>
      <w:tr w14:paraId="7021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780A0AE">
            <w:pPr>
              <w:spacing w:line="440" w:lineRule="exact"/>
              <w:jc w:val="center"/>
              <w:rPr>
                <w:rFonts w:hint="eastAsia" w:ascii="宋体" w:hAnsi="宋体" w:cs="宋体"/>
                <w:color w:val="auto"/>
                <w:highlight w:val="none"/>
              </w:rPr>
            </w:pPr>
          </w:p>
        </w:tc>
        <w:tc>
          <w:tcPr>
            <w:tcW w:w="1276" w:type="dxa"/>
            <w:noWrap w:val="0"/>
            <w:vAlign w:val="top"/>
          </w:tcPr>
          <w:p w14:paraId="24AAA278">
            <w:pPr>
              <w:spacing w:line="440" w:lineRule="exact"/>
              <w:jc w:val="center"/>
              <w:rPr>
                <w:rFonts w:hint="eastAsia" w:ascii="宋体" w:hAnsi="宋体" w:cs="宋体"/>
                <w:color w:val="auto"/>
                <w:highlight w:val="none"/>
              </w:rPr>
            </w:pPr>
          </w:p>
        </w:tc>
        <w:tc>
          <w:tcPr>
            <w:tcW w:w="1205" w:type="dxa"/>
            <w:noWrap w:val="0"/>
            <w:vAlign w:val="top"/>
          </w:tcPr>
          <w:p w14:paraId="618CDBFB">
            <w:pPr>
              <w:spacing w:line="440" w:lineRule="exact"/>
              <w:jc w:val="center"/>
              <w:rPr>
                <w:rFonts w:hint="eastAsia" w:ascii="宋体" w:hAnsi="宋体" w:cs="宋体"/>
                <w:color w:val="auto"/>
                <w:highlight w:val="none"/>
              </w:rPr>
            </w:pPr>
          </w:p>
        </w:tc>
        <w:tc>
          <w:tcPr>
            <w:tcW w:w="1654" w:type="dxa"/>
            <w:noWrap w:val="0"/>
            <w:vAlign w:val="top"/>
          </w:tcPr>
          <w:p w14:paraId="7E3B1898">
            <w:pPr>
              <w:spacing w:line="440" w:lineRule="exact"/>
              <w:jc w:val="center"/>
              <w:rPr>
                <w:rFonts w:hint="eastAsia" w:ascii="宋体" w:hAnsi="宋体" w:cs="宋体"/>
                <w:color w:val="auto"/>
                <w:highlight w:val="none"/>
              </w:rPr>
            </w:pPr>
          </w:p>
        </w:tc>
        <w:tc>
          <w:tcPr>
            <w:tcW w:w="3189" w:type="dxa"/>
            <w:noWrap w:val="0"/>
            <w:vAlign w:val="top"/>
          </w:tcPr>
          <w:p w14:paraId="5DFF2106">
            <w:pPr>
              <w:spacing w:line="440" w:lineRule="exact"/>
              <w:jc w:val="center"/>
              <w:rPr>
                <w:rFonts w:hint="eastAsia" w:ascii="宋体" w:hAnsi="宋体" w:cs="宋体"/>
                <w:color w:val="auto"/>
                <w:highlight w:val="none"/>
              </w:rPr>
            </w:pPr>
          </w:p>
        </w:tc>
      </w:tr>
      <w:tr w14:paraId="6453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8A824CA">
            <w:pPr>
              <w:spacing w:line="440" w:lineRule="exact"/>
              <w:jc w:val="center"/>
              <w:rPr>
                <w:rFonts w:hint="eastAsia" w:ascii="宋体" w:hAnsi="宋体" w:cs="宋体"/>
                <w:color w:val="auto"/>
                <w:highlight w:val="none"/>
              </w:rPr>
            </w:pPr>
          </w:p>
        </w:tc>
        <w:tc>
          <w:tcPr>
            <w:tcW w:w="1276" w:type="dxa"/>
            <w:noWrap w:val="0"/>
            <w:vAlign w:val="top"/>
          </w:tcPr>
          <w:p w14:paraId="4901732C">
            <w:pPr>
              <w:spacing w:line="440" w:lineRule="exact"/>
              <w:jc w:val="center"/>
              <w:rPr>
                <w:rFonts w:hint="eastAsia" w:ascii="宋体" w:hAnsi="宋体" w:cs="宋体"/>
                <w:color w:val="auto"/>
                <w:highlight w:val="none"/>
              </w:rPr>
            </w:pPr>
          </w:p>
        </w:tc>
        <w:tc>
          <w:tcPr>
            <w:tcW w:w="1205" w:type="dxa"/>
            <w:noWrap w:val="0"/>
            <w:vAlign w:val="top"/>
          </w:tcPr>
          <w:p w14:paraId="457BE0EE">
            <w:pPr>
              <w:spacing w:line="440" w:lineRule="exact"/>
              <w:jc w:val="center"/>
              <w:rPr>
                <w:rFonts w:hint="eastAsia" w:ascii="宋体" w:hAnsi="宋体" w:cs="宋体"/>
                <w:color w:val="auto"/>
                <w:highlight w:val="none"/>
              </w:rPr>
            </w:pPr>
          </w:p>
        </w:tc>
        <w:tc>
          <w:tcPr>
            <w:tcW w:w="1654" w:type="dxa"/>
            <w:noWrap w:val="0"/>
            <w:vAlign w:val="top"/>
          </w:tcPr>
          <w:p w14:paraId="7F47BA90">
            <w:pPr>
              <w:spacing w:line="440" w:lineRule="exact"/>
              <w:jc w:val="center"/>
              <w:rPr>
                <w:rFonts w:hint="eastAsia" w:ascii="宋体" w:hAnsi="宋体" w:cs="宋体"/>
                <w:color w:val="auto"/>
                <w:highlight w:val="none"/>
              </w:rPr>
            </w:pPr>
          </w:p>
        </w:tc>
        <w:tc>
          <w:tcPr>
            <w:tcW w:w="3189" w:type="dxa"/>
            <w:noWrap w:val="0"/>
            <w:vAlign w:val="top"/>
          </w:tcPr>
          <w:p w14:paraId="59967CD1">
            <w:pPr>
              <w:spacing w:line="440" w:lineRule="exact"/>
              <w:jc w:val="center"/>
              <w:rPr>
                <w:rFonts w:hint="eastAsia" w:ascii="宋体" w:hAnsi="宋体" w:cs="宋体"/>
                <w:color w:val="auto"/>
                <w:highlight w:val="none"/>
              </w:rPr>
            </w:pPr>
          </w:p>
        </w:tc>
      </w:tr>
      <w:tr w14:paraId="1D1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FDD68F9">
            <w:pPr>
              <w:spacing w:line="440" w:lineRule="exact"/>
              <w:jc w:val="center"/>
              <w:rPr>
                <w:rFonts w:hint="eastAsia" w:ascii="宋体" w:hAnsi="宋体" w:cs="宋体"/>
                <w:color w:val="auto"/>
                <w:highlight w:val="none"/>
              </w:rPr>
            </w:pPr>
          </w:p>
        </w:tc>
        <w:tc>
          <w:tcPr>
            <w:tcW w:w="1276" w:type="dxa"/>
            <w:noWrap w:val="0"/>
            <w:vAlign w:val="top"/>
          </w:tcPr>
          <w:p w14:paraId="504DA2C5">
            <w:pPr>
              <w:spacing w:line="440" w:lineRule="exact"/>
              <w:jc w:val="center"/>
              <w:rPr>
                <w:rFonts w:hint="eastAsia" w:ascii="宋体" w:hAnsi="宋体" w:cs="宋体"/>
                <w:color w:val="auto"/>
                <w:highlight w:val="none"/>
              </w:rPr>
            </w:pPr>
          </w:p>
        </w:tc>
        <w:tc>
          <w:tcPr>
            <w:tcW w:w="1205" w:type="dxa"/>
            <w:noWrap w:val="0"/>
            <w:vAlign w:val="top"/>
          </w:tcPr>
          <w:p w14:paraId="64603A55">
            <w:pPr>
              <w:spacing w:line="440" w:lineRule="exact"/>
              <w:jc w:val="center"/>
              <w:rPr>
                <w:rFonts w:hint="eastAsia" w:ascii="宋体" w:hAnsi="宋体" w:cs="宋体"/>
                <w:color w:val="auto"/>
                <w:highlight w:val="none"/>
              </w:rPr>
            </w:pPr>
          </w:p>
        </w:tc>
        <w:tc>
          <w:tcPr>
            <w:tcW w:w="1654" w:type="dxa"/>
            <w:noWrap w:val="0"/>
            <w:vAlign w:val="top"/>
          </w:tcPr>
          <w:p w14:paraId="5953BCB0">
            <w:pPr>
              <w:spacing w:line="440" w:lineRule="exact"/>
              <w:jc w:val="center"/>
              <w:rPr>
                <w:rFonts w:hint="eastAsia" w:ascii="宋体" w:hAnsi="宋体" w:cs="宋体"/>
                <w:color w:val="auto"/>
                <w:highlight w:val="none"/>
              </w:rPr>
            </w:pPr>
          </w:p>
        </w:tc>
        <w:tc>
          <w:tcPr>
            <w:tcW w:w="3189" w:type="dxa"/>
            <w:noWrap w:val="0"/>
            <w:vAlign w:val="top"/>
          </w:tcPr>
          <w:p w14:paraId="27D43DC4">
            <w:pPr>
              <w:spacing w:line="440" w:lineRule="exact"/>
              <w:jc w:val="center"/>
              <w:rPr>
                <w:rFonts w:hint="eastAsia" w:ascii="宋体" w:hAnsi="宋体" w:cs="宋体"/>
                <w:color w:val="auto"/>
                <w:highlight w:val="none"/>
              </w:rPr>
            </w:pPr>
          </w:p>
        </w:tc>
      </w:tr>
      <w:tr w14:paraId="53D6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6926126">
            <w:pPr>
              <w:spacing w:line="440" w:lineRule="exact"/>
              <w:jc w:val="center"/>
              <w:rPr>
                <w:rFonts w:hint="eastAsia" w:ascii="宋体" w:hAnsi="宋体" w:cs="宋体"/>
                <w:color w:val="auto"/>
                <w:highlight w:val="none"/>
              </w:rPr>
            </w:pPr>
          </w:p>
        </w:tc>
        <w:tc>
          <w:tcPr>
            <w:tcW w:w="1276" w:type="dxa"/>
            <w:noWrap w:val="0"/>
            <w:vAlign w:val="top"/>
          </w:tcPr>
          <w:p w14:paraId="315EC3D8">
            <w:pPr>
              <w:spacing w:line="440" w:lineRule="exact"/>
              <w:jc w:val="center"/>
              <w:rPr>
                <w:rFonts w:hint="eastAsia" w:ascii="宋体" w:hAnsi="宋体" w:cs="宋体"/>
                <w:color w:val="auto"/>
                <w:highlight w:val="none"/>
              </w:rPr>
            </w:pPr>
          </w:p>
        </w:tc>
        <w:tc>
          <w:tcPr>
            <w:tcW w:w="1205" w:type="dxa"/>
            <w:noWrap w:val="0"/>
            <w:vAlign w:val="top"/>
          </w:tcPr>
          <w:p w14:paraId="238AEBB9">
            <w:pPr>
              <w:spacing w:line="440" w:lineRule="exact"/>
              <w:jc w:val="center"/>
              <w:rPr>
                <w:rFonts w:hint="eastAsia" w:ascii="宋体" w:hAnsi="宋体" w:cs="宋体"/>
                <w:color w:val="auto"/>
                <w:highlight w:val="none"/>
              </w:rPr>
            </w:pPr>
          </w:p>
        </w:tc>
        <w:tc>
          <w:tcPr>
            <w:tcW w:w="1654" w:type="dxa"/>
            <w:noWrap w:val="0"/>
            <w:vAlign w:val="top"/>
          </w:tcPr>
          <w:p w14:paraId="4105B3F9">
            <w:pPr>
              <w:spacing w:line="440" w:lineRule="exact"/>
              <w:jc w:val="center"/>
              <w:rPr>
                <w:rFonts w:hint="eastAsia" w:ascii="宋体" w:hAnsi="宋体" w:cs="宋体"/>
                <w:color w:val="auto"/>
                <w:highlight w:val="none"/>
              </w:rPr>
            </w:pPr>
          </w:p>
        </w:tc>
        <w:tc>
          <w:tcPr>
            <w:tcW w:w="3189" w:type="dxa"/>
            <w:noWrap w:val="0"/>
            <w:vAlign w:val="top"/>
          </w:tcPr>
          <w:p w14:paraId="1A6F375B">
            <w:pPr>
              <w:spacing w:line="440" w:lineRule="exact"/>
              <w:jc w:val="center"/>
              <w:rPr>
                <w:rFonts w:hint="eastAsia" w:ascii="宋体" w:hAnsi="宋体" w:cs="宋体"/>
                <w:color w:val="auto"/>
                <w:highlight w:val="none"/>
              </w:rPr>
            </w:pPr>
          </w:p>
        </w:tc>
      </w:tr>
      <w:tr w14:paraId="0C64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6F4E7988">
            <w:pPr>
              <w:spacing w:line="440" w:lineRule="exact"/>
              <w:jc w:val="center"/>
              <w:rPr>
                <w:rFonts w:hint="eastAsia" w:ascii="宋体" w:hAnsi="宋体" w:cs="宋体"/>
                <w:color w:val="auto"/>
                <w:highlight w:val="none"/>
              </w:rPr>
            </w:pPr>
          </w:p>
        </w:tc>
        <w:tc>
          <w:tcPr>
            <w:tcW w:w="1276" w:type="dxa"/>
            <w:noWrap w:val="0"/>
            <w:vAlign w:val="top"/>
          </w:tcPr>
          <w:p w14:paraId="5F0B614B">
            <w:pPr>
              <w:spacing w:line="440" w:lineRule="exact"/>
              <w:jc w:val="center"/>
              <w:rPr>
                <w:rFonts w:hint="eastAsia" w:ascii="宋体" w:hAnsi="宋体" w:cs="宋体"/>
                <w:color w:val="auto"/>
                <w:highlight w:val="none"/>
              </w:rPr>
            </w:pPr>
          </w:p>
        </w:tc>
        <w:tc>
          <w:tcPr>
            <w:tcW w:w="1205" w:type="dxa"/>
            <w:noWrap w:val="0"/>
            <w:vAlign w:val="top"/>
          </w:tcPr>
          <w:p w14:paraId="0D2F5273">
            <w:pPr>
              <w:spacing w:line="440" w:lineRule="exact"/>
              <w:jc w:val="center"/>
              <w:rPr>
                <w:rFonts w:hint="eastAsia" w:ascii="宋体" w:hAnsi="宋体" w:cs="宋体"/>
                <w:color w:val="auto"/>
                <w:highlight w:val="none"/>
              </w:rPr>
            </w:pPr>
          </w:p>
        </w:tc>
        <w:tc>
          <w:tcPr>
            <w:tcW w:w="1654" w:type="dxa"/>
            <w:noWrap w:val="0"/>
            <w:vAlign w:val="top"/>
          </w:tcPr>
          <w:p w14:paraId="23063C53">
            <w:pPr>
              <w:spacing w:line="440" w:lineRule="exact"/>
              <w:jc w:val="center"/>
              <w:rPr>
                <w:rFonts w:hint="eastAsia" w:ascii="宋体" w:hAnsi="宋体" w:cs="宋体"/>
                <w:color w:val="auto"/>
                <w:highlight w:val="none"/>
              </w:rPr>
            </w:pPr>
          </w:p>
        </w:tc>
        <w:tc>
          <w:tcPr>
            <w:tcW w:w="3189" w:type="dxa"/>
            <w:noWrap w:val="0"/>
            <w:vAlign w:val="top"/>
          </w:tcPr>
          <w:p w14:paraId="32BC1D1D">
            <w:pPr>
              <w:spacing w:line="440" w:lineRule="exact"/>
              <w:jc w:val="center"/>
              <w:rPr>
                <w:rFonts w:hint="eastAsia" w:ascii="宋体" w:hAnsi="宋体" w:cs="宋体"/>
                <w:color w:val="auto"/>
                <w:highlight w:val="none"/>
              </w:rPr>
            </w:pPr>
          </w:p>
        </w:tc>
      </w:tr>
      <w:tr w14:paraId="2875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5"/>
            <w:noWrap w:val="0"/>
            <w:vAlign w:val="top"/>
          </w:tcPr>
          <w:p w14:paraId="616CE80F">
            <w:pPr>
              <w:spacing w:line="440" w:lineRule="exact"/>
              <w:rPr>
                <w:rFonts w:hint="eastAsia" w:ascii="宋体" w:hAnsi="宋体" w:cs="宋体"/>
                <w:color w:val="auto"/>
                <w:highlight w:val="none"/>
              </w:rPr>
            </w:pPr>
            <w:r>
              <w:rPr>
                <w:rFonts w:hint="eastAsia" w:ascii="宋体" w:hAnsi="宋体" w:cs="宋体"/>
                <w:color w:val="auto"/>
                <w:highlight w:val="none"/>
              </w:rPr>
              <w:t>备注：</w:t>
            </w:r>
          </w:p>
          <w:p w14:paraId="71FCEC56">
            <w:pPr>
              <w:spacing w:line="440" w:lineRule="exact"/>
              <w:rPr>
                <w:rFonts w:hint="eastAsia" w:ascii="宋体" w:hAnsi="宋体" w:cs="宋体"/>
                <w:color w:val="auto"/>
                <w:highlight w:val="none"/>
              </w:rPr>
            </w:pPr>
            <w:r>
              <w:rPr>
                <w:rFonts w:hint="eastAsia" w:ascii="宋体" w:hAnsi="宋体" w:cs="宋体"/>
                <w:color w:val="auto"/>
                <w:highlight w:val="none"/>
              </w:rPr>
              <w:t>1、“岗位”要求（总监理工程师除外）由招标人根据项目管理需要在本表备注中明确提出，如：拟派驻施工现场的总监理工程师代表、专业监理工程师、监理员等。以上项目管理团队实名信息将由交易系统提取后供各相关单位在履约时比对、查核。</w:t>
            </w:r>
          </w:p>
          <w:p w14:paraId="4B175E5D">
            <w:pPr>
              <w:spacing w:line="440" w:lineRule="exact"/>
              <w:rPr>
                <w:rFonts w:hint="eastAsia" w:ascii="宋体" w:hAnsi="宋体" w:cs="宋体"/>
                <w:color w:val="auto"/>
                <w:highlight w:val="none"/>
              </w:rPr>
            </w:pPr>
            <w:r>
              <w:rPr>
                <w:rFonts w:hint="eastAsia" w:ascii="宋体" w:hAnsi="宋体" w:cs="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83B9D1C">
            <w:pPr>
              <w:spacing w:line="440" w:lineRule="exact"/>
              <w:rPr>
                <w:rFonts w:hint="eastAsia" w:ascii="宋体" w:hAnsi="宋体" w:cs="宋体"/>
                <w:color w:val="auto"/>
                <w:highlight w:val="none"/>
              </w:rPr>
            </w:pPr>
            <w:r>
              <w:rPr>
                <w:rFonts w:hint="eastAsia" w:ascii="宋体" w:hAnsi="宋体" w:cs="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40C77DD3">
      <w:pPr>
        <w:rPr>
          <w:rFonts w:hint="eastAsia" w:ascii="宋体" w:hAnsi="宋体" w:eastAsia="宋体" w:cs="宋体"/>
          <w:color w:val="auto"/>
          <w:sz w:val="24"/>
          <w:szCs w:val="24"/>
          <w:highlight w:val="none"/>
        </w:rPr>
        <w:sectPr>
          <w:headerReference r:id="rId13" w:type="default"/>
          <w:footerReference r:id="rId14" w:type="default"/>
          <w:pgSz w:w="11905" w:h="16838"/>
          <w:pgMar w:top="1417" w:right="1417" w:bottom="1417" w:left="1417" w:header="992" w:footer="992" w:gutter="0"/>
          <w:lnNumType w:countBy="0" w:distance="360"/>
          <w:cols w:space="720" w:num="1"/>
        </w:sectPr>
      </w:pPr>
    </w:p>
    <w:p w14:paraId="64AA4E63">
      <w:pPr>
        <w:spacing w:after="120" w:afterLines="50"/>
        <w:jc w:val="center"/>
        <w:outlineLvl w:val="0"/>
        <w:rPr>
          <w:rFonts w:hint="eastAsia" w:ascii="宋体" w:hAnsi="宋体" w:cs="宋体"/>
          <w:b/>
          <w:color w:val="auto"/>
          <w:sz w:val="28"/>
          <w:szCs w:val="28"/>
          <w:highlight w:val="none"/>
        </w:rPr>
      </w:pPr>
      <w:bookmarkStart w:id="140" w:name="bookmark191"/>
      <w:bookmarkEnd w:id="140"/>
      <w:bookmarkStart w:id="141" w:name="_Toc30346"/>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w:t>
      </w:r>
      <w:r>
        <w:rPr>
          <w:rFonts w:hint="eastAsia" w:ascii="宋体" w:hAnsi="宋体" w:cs="宋体"/>
          <w:b/>
          <w:color w:val="auto"/>
          <w:sz w:val="24"/>
          <w:szCs w:val="24"/>
          <w:highlight w:val="none"/>
        </w:rPr>
        <w:t>项目监理机构人员进场计划表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23"/>
        <w:gridCol w:w="3110"/>
        <w:gridCol w:w="1645"/>
        <w:gridCol w:w="1260"/>
        <w:gridCol w:w="2160"/>
      </w:tblGrid>
      <w:tr w14:paraId="03CF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159857E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工程名称</w:t>
            </w:r>
          </w:p>
        </w:tc>
        <w:tc>
          <w:tcPr>
            <w:tcW w:w="3433" w:type="dxa"/>
            <w:gridSpan w:val="2"/>
            <w:noWrap w:val="0"/>
            <w:vAlign w:val="center"/>
          </w:tcPr>
          <w:p w14:paraId="73ADBA7A">
            <w:pPr>
              <w:widowControl/>
              <w:spacing w:line="360" w:lineRule="exact"/>
              <w:jc w:val="center"/>
              <w:rPr>
                <w:rFonts w:hint="eastAsia" w:ascii="宋体" w:hAnsi="宋体" w:cs="宋体"/>
                <w:color w:val="auto"/>
                <w:kern w:val="0"/>
                <w:sz w:val="24"/>
                <w:highlight w:val="none"/>
              </w:rPr>
            </w:pPr>
          </w:p>
        </w:tc>
        <w:tc>
          <w:tcPr>
            <w:tcW w:w="2905" w:type="dxa"/>
            <w:gridSpan w:val="2"/>
            <w:noWrap w:val="0"/>
            <w:vAlign w:val="center"/>
          </w:tcPr>
          <w:p w14:paraId="3BFA03F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工程类别</w:t>
            </w:r>
          </w:p>
        </w:tc>
        <w:tc>
          <w:tcPr>
            <w:tcW w:w="2160" w:type="dxa"/>
            <w:noWrap w:val="0"/>
            <w:vAlign w:val="center"/>
          </w:tcPr>
          <w:p w14:paraId="229A38D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市政</w:t>
            </w:r>
          </w:p>
        </w:tc>
      </w:tr>
      <w:tr w14:paraId="6AAD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5E79C5CB">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项目总监</w:t>
            </w:r>
          </w:p>
        </w:tc>
        <w:tc>
          <w:tcPr>
            <w:tcW w:w="3433" w:type="dxa"/>
            <w:gridSpan w:val="2"/>
            <w:noWrap w:val="0"/>
            <w:vAlign w:val="center"/>
          </w:tcPr>
          <w:p w14:paraId="2ED8997E">
            <w:pPr>
              <w:widowControl/>
              <w:spacing w:line="360" w:lineRule="exact"/>
              <w:jc w:val="center"/>
              <w:rPr>
                <w:rFonts w:hint="eastAsia" w:ascii="宋体" w:hAnsi="宋体" w:cs="宋体"/>
                <w:color w:val="auto"/>
                <w:kern w:val="0"/>
                <w:sz w:val="24"/>
                <w:highlight w:val="none"/>
              </w:rPr>
            </w:pPr>
          </w:p>
        </w:tc>
        <w:tc>
          <w:tcPr>
            <w:tcW w:w="2905" w:type="dxa"/>
            <w:gridSpan w:val="2"/>
            <w:noWrap w:val="0"/>
            <w:vAlign w:val="center"/>
          </w:tcPr>
          <w:p w14:paraId="0776A48B">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现场安全负责人</w:t>
            </w:r>
          </w:p>
        </w:tc>
        <w:tc>
          <w:tcPr>
            <w:tcW w:w="2160" w:type="dxa"/>
            <w:noWrap w:val="0"/>
            <w:vAlign w:val="center"/>
          </w:tcPr>
          <w:p w14:paraId="633CB7EE">
            <w:pPr>
              <w:widowControl/>
              <w:spacing w:line="360" w:lineRule="exact"/>
              <w:jc w:val="center"/>
              <w:rPr>
                <w:rFonts w:hint="eastAsia" w:ascii="宋体" w:hAnsi="宋体" w:cs="宋体"/>
                <w:color w:val="auto"/>
                <w:kern w:val="0"/>
                <w:sz w:val="24"/>
                <w:highlight w:val="none"/>
              </w:rPr>
            </w:pPr>
          </w:p>
        </w:tc>
      </w:tr>
      <w:tr w14:paraId="13D1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299C9D6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现场监理</w:t>
            </w:r>
          </w:p>
        </w:tc>
        <w:tc>
          <w:tcPr>
            <w:tcW w:w="3433" w:type="dxa"/>
            <w:gridSpan w:val="2"/>
            <w:noWrap w:val="0"/>
            <w:vAlign w:val="center"/>
          </w:tcPr>
          <w:p w14:paraId="2643CF0D">
            <w:pPr>
              <w:widowControl/>
              <w:spacing w:line="360" w:lineRule="exact"/>
              <w:jc w:val="center"/>
              <w:rPr>
                <w:rFonts w:hint="eastAsia" w:ascii="宋体" w:hAnsi="宋体" w:cs="宋体"/>
                <w:color w:val="auto"/>
                <w:kern w:val="0"/>
                <w:sz w:val="24"/>
                <w:highlight w:val="none"/>
              </w:rPr>
            </w:pPr>
          </w:p>
        </w:tc>
        <w:tc>
          <w:tcPr>
            <w:tcW w:w="2905" w:type="dxa"/>
            <w:gridSpan w:val="2"/>
            <w:noWrap w:val="0"/>
            <w:vAlign w:val="center"/>
          </w:tcPr>
          <w:p w14:paraId="463B45F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796A5E9F">
            <w:pPr>
              <w:widowControl/>
              <w:spacing w:line="360" w:lineRule="exact"/>
              <w:jc w:val="center"/>
              <w:rPr>
                <w:rFonts w:hint="eastAsia" w:ascii="宋体" w:hAnsi="宋体" w:cs="宋体"/>
                <w:color w:val="auto"/>
                <w:kern w:val="0"/>
                <w:sz w:val="24"/>
                <w:highlight w:val="none"/>
              </w:rPr>
            </w:pPr>
          </w:p>
        </w:tc>
      </w:tr>
      <w:tr w14:paraId="1C3F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382CC81C">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基 础 阶 段 监 理 人 员 （共  人）</w:t>
            </w:r>
          </w:p>
        </w:tc>
      </w:tr>
      <w:tr w14:paraId="7C2E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9F7B23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5D194CC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7D1553A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7C9AD36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0D7C844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695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178C092D">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3EC41A82">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42C1963A">
            <w:pPr>
              <w:spacing w:line="360" w:lineRule="exact"/>
              <w:jc w:val="center"/>
              <w:rPr>
                <w:rFonts w:hint="eastAsia" w:ascii="宋体" w:hAnsi="宋体" w:cs="宋体"/>
                <w:color w:val="auto"/>
                <w:sz w:val="24"/>
                <w:highlight w:val="none"/>
              </w:rPr>
            </w:pPr>
          </w:p>
        </w:tc>
        <w:tc>
          <w:tcPr>
            <w:tcW w:w="1260" w:type="dxa"/>
            <w:noWrap w:val="0"/>
            <w:vAlign w:val="center"/>
          </w:tcPr>
          <w:p w14:paraId="36C3D04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4A632906">
            <w:pPr>
              <w:widowControl/>
              <w:spacing w:line="360" w:lineRule="exact"/>
              <w:jc w:val="center"/>
              <w:rPr>
                <w:rFonts w:hint="eastAsia" w:ascii="宋体" w:hAnsi="宋体" w:cs="宋体"/>
                <w:color w:val="auto"/>
                <w:kern w:val="0"/>
                <w:sz w:val="24"/>
                <w:highlight w:val="none"/>
              </w:rPr>
            </w:pPr>
          </w:p>
        </w:tc>
      </w:tr>
      <w:tr w14:paraId="3864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4E530D61">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411F6CDA">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623AE74A">
            <w:pPr>
              <w:spacing w:line="360" w:lineRule="exact"/>
              <w:jc w:val="center"/>
              <w:rPr>
                <w:rFonts w:hint="eastAsia" w:ascii="宋体" w:hAnsi="宋体" w:cs="宋体"/>
                <w:color w:val="auto"/>
                <w:sz w:val="24"/>
                <w:highlight w:val="none"/>
              </w:rPr>
            </w:pPr>
          </w:p>
        </w:tc>
        <w:tc>
          <w:tcPr>
            <w:tcW w:w="1260" w:type="dxa"/>
            <w:noWrap w:val="0"/>
            <w:vAlign w:val="center"/>
          </w:tcPr>
          <w:p w14:paraId="6AA78DE7">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720BE17E">
            <w:pPr>
              <w:widowControl/>
              <w:spacing w:line="360" w:lineRule="exact"/>
              <w:jc w:val="center"/>
              <w:rPr>
                <w:rFonts w:hint="eastAsia" w:ascii="宋体" w:hAnsi="宋体" w:cs="宋体"/>
                <w:color w:val="auto"/>
                <w:kern w:val="0"/>
                <w:sz w:val="24"/>
                <w:highlight w:val="none"/>
              </w:rPr>
            </w:pPr>
          </w:p>
        </w:tc>
      </w:tr>
      <w:tr w14:paraId="71C4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D8BB395">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6D7F48C">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4EB6080F">
            <w:pPr>
              <w:spacing w:line="360" w:lineRule="exact"/>
              <w:jc w:val="center"/>
              <w:rPr>
                <w:rFonts w:hint="eastAsia" w:ascii="宋体" w:hAnsi="宋体" w:cs="宋体"/>
                <w:color w:val="auto"/>
                <w:sz w:val="24"/>
                <w:highlight w:val="none"/>
              </w:rPr>
            </w:pPr>
          </w:p>
        </w:tc>
        <w:tc>
          <w:tcPr>
            <w:tcW w:w="1260" w:type="dxa"/>
            <w:noWrap w:val="0"/>
            <w:vAlign w:val="center"/>
          </w:tcPr>
          <w:p w14:paraId="6DEE7F32">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6383135D">
            <w:pPr>
              <w:widowControl/>
              <w:spacing w:line="360" w:lineRule="exact"/>
              <w:jc w:val="center"/>
              <w:rPr>
                <w:rFonts w:hint="eastAsia" w:ascii="宋体" w:hAnsi="宋体" w:cs="宋体"/>
                <w:color w:val="auto"/>
                <w:kern w:val="0"/>
                <w:sz w:val="24"/>
                <w:highlight w:val="none"/>
              </w:rPr>
            </w:pPr>
          </w:p>
        </w:tc>
      </w:tr>
      <w:tr w14:paraId="0073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111069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 体 阶 段 监 理 人 员 （共  人）</w:t>
            </w:r>
          </w:p>
        </w:tc>
      </w:tr>
      <w:tr w14:paraId="5357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52F641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1348B4E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779AA19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1717C0F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08EFA2F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0A48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DAA55C4">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5125E8A">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08513F0F">
            <w:pPr>
              <w:spacing w:line="360" w:lineRule="exact"/>
              <w:jc w:val="center"/>
              <w:rPr>
                <w:rFonts w:hint="eastAsia" w:ascii="宋体" w:hAnsi="宋体" w:cs="宋体"/>
                <w:color w:val="auto"/>
                <w:sz w:val="24"/>
                <w:highlight w:val="none"/>
              </w:rPr>
            </w:pPr>
          </w:p>
        </w:tc>
        <w:tc>
          <w:tcPr>
            <w:tcW w:w="1260" w:type="dxa"/>
            <w:noWrap w:val="0"/>
            <w:vAlign w:val="center"/>
          </w:tcPr>
          <w:p w14:paraId="1ABB61CE">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5A7F1100">
            <w:pPr>
              <w:widowControl/>
              <w:spacing w:line="360" w:lineRule="exact"/>
              <w:jc w:val="center"/>
              <w:rPr>
                <w:rFonts w:hint="eastAsia" w:ascii="宋体" w:hAnsi="宋体" w:cs="宋体"/>
                <w:color w:val="auto"/>
                <w:kern w:val="0"/>
                <w:sz w:val="24"/>
                <w:highlight w:val="none"/>
              </w:rPr>
            </w:pPr>
          </w:p>
        </w:tc>
      </w:tr>
      <w:tr w14:paraId="0DF4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ED4EEB2">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0E59FA03">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2B157746">
            <w:pPr>
              <w:spacing w:line="360" w:lineRule="exact"/>
              <w:jc w:val="center"/>
              <w:rPr>
                <w:rFonts w:hint="eastAsia" w:ascii="宋体" w:hAnsi="宋体" w:cs="宋体"/>
                <w:color w:val="auto"/>
                <w:sz w:val="24"/>
                <w:highlight w:val="none"/>
              </w:rPr>
            </w:pPr>
          </w:p>
        </w:tc>
        <w:tc>
          <w:tcPr>
            <w:tcW w:w="1260" w:type="dxa"/>
            <w:noWrap w:val="0"/>
            <w:vAlign w:val="center"/>
          </w:tcPr>
          <w:p w14:paraId="46A848CF">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0D0A6B3B">
            <w:pPr>
              <w:widowControl/>
              <w:spacing w:line="360" w:lineRule="exact"/>
              <w:jc w:val="center"/>
              <w:rPr>
                <w:rFonts w:hint="eastAsia" w:ascii="宋体" w:hAnsi="宋体" w:cs="宋体"/>
                <w:color w:val="auto"/>
                <w:kern w:val="0"/>
                <w:sz w:val="24"/>
                <w:highlight w:val="none"/>
              </w:rPr>
            </w:pPr>
          </w:p>
        </w:tc>
      </w:tr>
      <w:tr w14:paraId="0D0F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68D1719">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0EA6221B">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3EFAC104">
            <w:pPr>
              <w:spacing w:line="360" w:lineRule="exact"/>
              <w:jc w:val="center"/>
              <w:rPr>
                <w:rFonts w:hint="eastAsia" w:ascii="宋体" w:hAnsi="宋体" w:cs="宋体"/>
                <w:color w:val="auto"/>
                <w:sz w:val="24"/>
                <w:highlight w:val="none"/>
              </w:rPr>
            </w:pPr>
          </w:p>
        </w:tc>
        <w:tc>
          <w:tcPr>
            <w:tcW w:w="1260" w:type="dxa"/>
            <w:noWrap w:val="0"/>
            <w:vAlign w:val="center"/>
          </w:tcPr>
          <w:p w14:paraId="065048B5">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472FFD71">
            <w:pPr>
              <w:widowControl/>
              <w:spacing w:line="360" w:lineRule="exact"/>
              <w:jc w:val="center"/>
              <w:rPr>
                <w:rFonts w:hint="eastAsia" w:ascii="宋体" w:hAnsi="宋体" w:cs="宋体"/>
                <w:color w:val="auto"/>
                <w:kern w:val="0"/>
                <w:sz w:val="24"/>
                <w:highlight w:val="none"/>
              </w:rPr>
            </w:pPr>
          </w:p>
        </w:tc>
      </w:tr>
      <w:tr w14:paraId="5B71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2B4491F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高 峰 阶 段 监 理 人 员 （共  人）</w:t>
            </w:r>
          </w:p>
        </w:tc>
      </w:tr>
      <w:tr w14:paraId="1A58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425C8B2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126A3BF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76BB68A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1F8012F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7AFBD74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05C0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1CC317C">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DE7AD63">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36971982">
            <w:pPr>
              <w:spacing w:line="360" w:lineRule="exact"/>
              <w:jc w:val="center"/>
              <w:rPr>
                <w:rFonts w:hint="eastAsia" w:ascii="宋体" w:hAnsi="宋体" w:cs="宋体"/>
                <w:color w:val="auto"/>
                <w:sz w:val="24"/>
                <w:highlight w:val="none"/>
              </w:rPr>
            </w:pPr>
          </w:p>
        </w:tc>
        <w:tc>
          <w:tcPr>
            <w:tcW w:w="1260" w:type="dxa"/>
            <w:noWrap w:val="0"/>
            <w:vAlign w:val="center"/>
          </w:tcPr>
          <w:p w14:paraId="1F8DF328">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1964F291">
            <w:pPr>
              <w:widowControl/>
              <w:spacing w:line="360" w:lineRule="exact"/>
              <w:jc w:val="center"/>
              <w:rPr>
                <w:rFonts w:hint="eastAsia" w:ascii="宋体" w:hAnsi="宋体" w:cs="宋体"/>
                <w:color w:val="auto"/>
                <w:kern w:val="0"/>
                <w:sz w:val="24"/>
                <w:highlight w:val="none"/>
              </w:rPr>
            </w:pPr>
          </w:p>
        </w:tc>
      </w:tr>
      <w:tr w14:paraId="1609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103BB61C">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F290E20">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670C38D1">
            <w:pPr>
              <w:spacing w:line="360" w:lineRule="exact"/>
              <w:jc w:val="center"/>
              <w:rPr>
                <w:rFonts w:hint="eastAsia" w:ascii="宋体" w:hAnsi="宋体" w:cs="宋体"/>
                <w:color w:val="auto"/>
                <w:sz w:val="24"/>
                <w:highlight w:val="none"/>
              </w:rPr>
            </w:pPr>
          </w:p>
        </w:tc>
        <w:tc>
          <w:tcPr>
            <w:tcW w:w="1260" w:type="dxa"/>
            <w:noWrap w:val="0"/>
            <w:vAlign w:val="center"/>
          </w:tcPr>
          <w:p w14:paraId="42EFD7F1">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34FCD4E8">
            <w:pPr>
              <w:widowControl/>
              <w:spacing w:line="360" w:lineRule="exact"/>
              <w:jc w:val="center"/>
              <w:rPr>
                <w:rFonts w:hint="eastAsia" w:ascii="宋体" w:hAnsi="宋体" w:cs="宋体"/>
                <w:color w:val="auto"/>
                <w:kern w:val="0"/>
                <w:sz w:val="24"/>
                <w:highlight w:val="none"/>
              </w:rPr>
            </w:pPr>
          </w:p>
        </w:tc>
      </w:tr>
      <w:tr w14:paraId="490C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9BE8D55">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32A4ACD4">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5389359B">
            <w:pPr>
              <w:spacing w:line="360" w:lineRule="exact"/>
              <w:jc w:val="center"/>
              <w:rPr>
                <w:rFonts w:hint="eastAsia" w:ascii="宋体" w:hAnsi="宋体" w:cs="宋体"/>
                <w:color w:val="auto"/>
                <w:sz w:val="24"/>
                <w:highlight w:val="none"/>
              </w:rPr>
            </w:pPr>
          </w:p>
        </w:tc>
        <w:tc>
          <w:tcPr>
            <w:tcW w:w="1260" w:type="dxa"/>
            <w:noWrap w:val="0"/>
            <w:vAlign w:val="center"/>
          </w:tcPr>
          <w:p w14:paraId="46DDDCD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70782A95">
            <w:pPr>
              <w:widowControl/>
              <w:spacing w:line="360" w:lineRule="exact"/>
              <w:jc w:val="center"/>
              <w:rPr>
                <w:rFonts w:hint="eastAsia" w:ascii="宋体" w:hAnsi="宋体" w:cs="宋体"/>
                <w:color w:val="auto"/>
                <w:kern w:val="0"/>
                <w:sz w:val="24"/>
                <w:highlight w:val="none"/>
              </w:rPr>
            </w:pPr>
          </w:p>
        </w:tc>
      </w:tr>
      <w:tr w14:paraId="7986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5898F32">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3A7295D8">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15EBD41E">
            <w:pPr>
              <w:spacing w:line="360" w:lineRule="exact"/>
              <w:jc w:val="center"/>
              <w:rPr>
                <w:rFonts w:hint="eastAsia" w:ascii="宋体" w:hAnsi="宋体" w:cs="宋体"/>
                <w:color w:val="auto"/>
                <w:sz w:val="24"/>
                <w:highlight w:val="none"/>
              </w:rPr>
            </w:pPr>
          </w:p>
        </w:tc>
        <w:tc>
          <w:tcPr>
            <w:tcW w:w="1260" w:type="dxa"/>
            <w:noWrap w:val="0"/>
            <w:vAlign w:val="center"/>
          </w:tcPr>
          <w:p w14:paraId="5921FAF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080F0759">
            <w:pPr>
              <w:widowControl/>
              <w:spacing w:line="360" w:lineRule="exact"/>
              <w:jc w:val="center"/>
              <w:rPr>
                <w:rFonts w:hint="eastAsia" w:ascii="宋体" w:hAnsi="宋体" w:cs="宋体"/>
                <w:color w:val="auto"/>
                <w:kern w:val="0"/>
                <w:sz w:val="24"/>
                <w:highlight w:val="none"/>
              </w:rPr>
            </w:pPr>
          </w:p>
        </w:tc>
      </w:tr>
      <w:tr w14:paraId="12CE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C4090E3">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收 尾 阶 段 监 理 人 员 （共  人）</w:t>
            </w:r>
          </w:p>
        </w:tc>
      </w:tr>
      <w:tr w14:paraId="6CA5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FFF747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1D1C607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01D46C2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3A146419">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24C66D5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7A3C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178AE708">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45C9ACE5">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6EAADC52">
            <w:pPr>
              <w:spacing w:line="360" w:lineRule="exact"/>
              <w:jc w:val="center"/>
              <w:rPr>
                <w:rFonts w:hint="eastAsia" w:ascii="宋体" w:hAnsi="宋体" w:cs="宋体"/>
                <w:color w:val="auto"/>
                <w:sz w:val="24"/>
                <w:highlight w:val="none"/>
              </w:rPr>
            </w:pPr>
          </w:p>
        </w:tc>
        <w:tc>
          <w:tcPr>
            <w:tcW w:w="1260" w:type="dxa"/>
            <w:noWrap w:val="0"/>
            <w:vAlign w:val="center"/>
          </w:tcPr>
          <w:p w14:paraId="74C67B8D">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28A17CBC">
            <w:pPr>
              <w:widowControl/>
              <w:spacing w:line="360" w:lineRule="exact"/>
              <w:jc w:val="center"/>
              <w:rPr>
                <w:rFonts w:hint="eastAsia" w:ascii="宋体" w:hAnsi="宋体" w:cs="宋体"/>
                <w:color w:val="auto"/>
                <w:kern w:val="0"/>
                <w:sz w:val="24"/>
                <w:highlight w:val="none"/>
              </w:rPr>
            </w:pPr>
          </w:p>
        </w:tc>
      </w:tr>
      <w:tr w14:paraId="44F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B9EB60D">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3080159">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3F4D6F48">
            <w:pPr>
              <w:spacing w:line="360" w:lineRule="exact"/>
              <w:jc w:val="center"/>
              <w:rPr>
                <w:rFonts w:hint="eastAsia" w:ascii="宋体" w:hAnsi="宋体" w:cs="宋体"/>
                <w:color w:val="auto"/>
                <w:sz w:val="24"/>
                <w:highlight w:val="none"/>
              </w:rPr>
            </w:pPr>
          </w:p>
        </w:tc>
        <w:tc>
          <w:tcPr>
            <w:tcW w:w="1260" w:type="dxa"/>
            <w:noWrap w:val="0"/>
            <w:vAlign w:val="center"/>
          </w:tcPr>
          <w:p w14:paraId="06391629">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5FD833A6">
            <w:pPr>
              <w:widowControl/>
              <w:spacing w:line="360" w:lineRule="exact"/>
              <w:jc w:val="center"/>
              <w:rPr>
                <w:rFonts w:hint="eastAsia" w:ascii="宋体" w:hAnsi="宋体" w:cs="宋体"/>
                <w:color w:val="auto"/>
                <w:kern w:val="0"/>
                <w:sz w:val="24"/>
                <w:highlight w:val="none"/>
              </w:rPr>
            </w:pPr>
          </w:p>
        </w:tc>
      </w:tr>
      <w:tr w14:paraId="4E50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C25736C">
            <w:pPr>
              <w:spacing w:line="360" w:lineRule="exact"/>
              <w:jc w:val="center"/>
              <w:rPr>
                <w:rFonts w:hint="eastAsia" w:ascii="宋体" w:hAnsi="宋体" w:cs="宋体"/>
                <w:color w:val="auto"/>
                <w:sz w:val="24"/>
                <w:highlight w:val="none"/>
              </w:rPr>
            </w:pPr>
          </w:p>
        </w:tc>
        <w:tc>
          <w:tcPr>
            <w:tcW w:w="3110" w:type="dxa"/>
            <w:noWrap w:val="0"/>
            <w:vAlign w:val="center"/>
          </w:tcPr>
          <w:p w14:paraId="69839D80">
            <w:pPr>
              <w:spacing w:line="360" w:lineRule="exact"/>
              <w:jc w:val="center"/>
              <w:rPr>
                <w:rFonts w:hint="eastAsia" w:ascii="宋体" w:hAnsi="宋体" w:cs="宋体"/>
                <w:color w:val="auto"/>
                <w:sz w:val="24"/>
                <w:highlight w:val="none"/>
              </w:rPr>
            </w:pPr>
          </w:p>
        </w:tc>
        <w:tc>
          <w:tcPr>
            <w:tcW w:w="1645" w:type="dxa"/>
            <w:noWrap w:val="0"/>
            <w:vAlign w:val="center"/>
          </w:tcPr>
          <w:p w14:paraId="5D1BFBAD">
            <w:pPr>
              <w:spacing w:line="360" w:lineRule="exact"/>
              <w:jc w:val="center"/>
              <w:rPr>
                <w:rFonts w:hint="eastAsia" w:ascii="宋体" w:hAnsi="宋体" w:cs="宋体"/>
                <w:color w:val="auto"/>
                <w:sz w:val="24"/>
                <w:highlight w:val="none"/>
              </w:rPr>
            </w:pPr>
          </w:p>
        </w:tc>
        <w:tc>
          <w:tcPr>
            <w:tcW w:w="1260" w:type="dxa"/>
            <w:noWrap w:val="0"/>
            <w:vAlign w:val="center"/>
          </w:tcPr>
          <w:p w14:paraId="5E116649">
            <w:pPr>
              <w:spacing w:line="360" w:lineRule="exact"/>
              <w:jc w:val="center"/>
              <w:rPr>
                <w:rFonts w:hint="eastAsia" w:ascii="宋体" w:hAnsi="宋体" w:cs="宋体"/>
                <w:color w:val="auto"/>
                <w:sz w:val="24"/>
                <w:highlight w:val="none"/>
              </w:rPr>
            </w:pPr>
          </w:p>
        </w:tc>
        <w:tc>
          <w:tcPr>
            <w:tcW w:w="2160" w:type="dxa"/>
            <w:noWrap w:val="0"/>
            <w:vAlign w:val="center"/>
          </w:tcPr>
          <w:p w14:paraId="15CB213D">
            <w:pPr>
              <w:spacing w:line="360" w:lineRule="exact"/>
              <w:jc w:val="center"/>
              <w:rPr>
                <w:rFonts w:hint="eastAsia" w:ascii="宋体" w:hAnsi="宋体" w:cs="宋体"/>
                <w:color w:val="auto"/>
                <w:sz w:val="24"/>
                <w:highlight w:val="none"/>
              </w:rPr>
            </w:pPr>
          </w:p>
        </w:tc>
      </w:tr>
      <w:tr w14:paraId="3667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4D3E3FA">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7E59D24E">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29BCE673">
            <w:pPr>
              <w:spacing w:line="360" w:lineRule="exact"/>
              <w:jc w:val="center"/>
              <w:rPr>
                <w:rFonts w:hint="eastAsia" w:ascii="宋体" w:hAnsi="宋体" w:cs="宋体"/>
                <w:color w:val="auto"/>
                <w:sz w:val="24"/>
                <w:highlight w:val="none"/>
              </w:rPr>
            </w:pPr>
          </w:p>
        </w:tc>
        <w:tc>
          <w:tcPr>
            <w:tcW w:w="1260" w:type="dxa"/>
            <w:noWrap w:val="0"/>
            <w:vAlign w:val="center"/>
          </w:tcPr>
          <w:p w14:paraId="33E2E7D2">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6DE0A554">
            <w:pPr>
              <w:widowControl/>
              <w:spacing w:line="360" w:lineRule="exact"/>
              <w:jc w:val="center"/>
              <w:rPr>
                <w:rFonts w:hint="eastAsia" w:ascii="宋体" w:hAnsi="宋体" w:cs="宋体"/>
                <w:color w:val="auto"/>
                <w:kern w:val="0"/>
                <w:sz w:val="24"/>
                <w:highlight w:val="none"/>
              </w:rPr>
            </w:pPr>
          </w:p>
        </w:tc>
      </w:tr>
    </w:tbl>
    <w:p w14:paraId="2C449370">
      <w:pPr>
        <w:pStyle w:val="22"/>
        <w:spacing w:before="0" w:after="0" w:line="360" w:lineRule="exact"/>
        <w:rPr>
          <w:rFonts w:hint="eastAsia" w:ascii="宋体" w:hAnsi="宋体" w:eastAsia="宋体" w:cs="宋体"/>
          <w:color w:val="auto"/>
          <w:highlight w:val="none"/>
        </w:rPr>
      </w:pPr>
      <w:r>
        <w:rPr>
          <w:rFonts w:hint="eastAsia" w:ascii="宋体" w:hAnsi="宋体" w:eastAsia="宋体" w:cs="宋体"/>
          <w:color w:val="auto"/>
          <w:highlight w:val="none"/>
        </w:rPr>
        <w:t>注：按中建监协〔2021〕17号文规定人数及委托人要求配备监理人员。驻地办的文秘、驾驶、后勤等辅助人员，由监理单位按需要自行配备，其费用列入综合费用报价表中。</w:t>
      </w:r>
    </w:p>
    <w:p w14:paraId="376624AC">
      <w:pPr>
        <w:numPr>
          <w:ilvl w:val="-1"/>
          <w:numId w:val="0"/>
        </w:numPr>
        <w:ind w:firstLine="0" w:firstLineChars="0"/>
        <w:jc w:val="center"/>
        <w:rPr>
          <w:color w:val="auto"/>
          <w:sz w:val="28"/>
          <w:szCs w:val="28"/>
          <w:highlight w:val="none"/>
        </w:rPr>
      </w:pPr>
      <w:r>
        <w:rPr>
          <w:rFonts w:hint="eastAsia" w:ascii="宋体" w:hAnsi="宋体" w:cs="宋体"/>
          <w:color w:val="auto"/>
          <w:highlight w:val="none"/>
        </w:rPr>
        <w:br w:type="page"/>
      </w:r>
      <w:r>
        <w:rPr>
          <w:rFonts w:hint="eastAsia" w:ascii="宋体" w:hAnsi="宋体" w:cs="宋体"/>
          <w:color w:val="auto"/>
          <w:highlight w:val="none"/>
          <w:lang w:eastAsia="zh-CN"/>
        </w:rPr>
        <w:t>（</w:t>
      </w:r>
      <w:r>
        <w:rPr>
          <w:rFonts w:hint="eastAsia" w:ascii="宋体" w:hAnsi="宋体" w:cs="宋体"/>
          <w:color w:val="auto"/>
          <w:highlight w:val="none"/>
          <w:lang w:val="en-US" w:eastAsia="zh-CN"/>
        </w:rPr>
        <w:t>四</w:t>
      </w:r>
      <w:r>
        <w:rPr>
          <w:rFonts w:hint="eastAsia" w:ascii="宋体" w:hAnsi="宋体" w:cs="宋体"/>
          <w:color w:val="auto"/>
          <w:highlight w:val="none"/>
          <w:lang w:eastAsia="zh-CN"/>
        </w:rPr>
        <w:t>）、</w:t>
      </w:r>
      <w:r>
        <w:rPr>
          <w:rFonts w:hint="eastAsia" w:ascii="宋体" w:hAnsi="宋体" w:cs="宋体"/>
          <w:b w:val="0"/>
          <w:bCs w:val="0"/>
          <w:color w:val="auto"/>
          <w:sz w:val="24"/>
          <w:szCs w:val="24"/>
          <w:highlight w:val="none"/>
        </w:rPr>
        <w:t>主要人员</w:t>
      </w:r>
      <w:r>
        <w:rPr>
          <w:rFonts w:hint="eastAsia" w:ascii="宋体" w:hAnsi="宋体" w:cs="宋体"/>
          <w:color w:val="auto"/>
          <w:highlight w:val="none"/>
          <w:lang w:val="en-US" w:eastAsia="zh-CN"/>
        </w:rPr>
        <w:t>汇总表</w:t>
      </w:r>
      <w:r>
        <w:rPr>
          <w:color w:val="auto"/>
          <w:sz w:val="24"/>
          <w:szCs w:val="24"/>
          <w:highlight w:val="none"/>
        </w:rPr>
        <w:t>拟委任的主要人员汇总表</w:t>
      </w:r>
    </w:p>
    <w:p w14:paraId="247B78EA">
      <w:pPr>
        <w:ind w:left="720" w:leftChars="300"/>
        <w:rPr>
          <w:color w:val="auto"/>
          <w:sz w:val="28"/>
          <w:szCs w:val="28"/>
          <w:highlight w:val="none"/>
        </w:rPr>
      </w:pPr>
    </w:p>
    <w:tbl>
      <w:tblPr>
        <w:tblStyle w:val="27"/>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63"/>
        <w:gridCol w:w="956"/>
        <w:gridCol w:w="956"/>
        <w:gridCol w:w="957"/>
        <w:gridCol w:w="1369"/>
        <w:gridCol w:w="1092"/>
        <w:gridCol w:w="1152"/>
        <w:gridCol w:w="1044"/>
      </w:tblGrid>
      <w:tr w14:paraId="320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0" w:type="dxa"/>
            <w:vMerge w:val="restart"/>
            <w:noWrap w:val="0"/>
            <w:vAlign w:val="center"/>
          </w:tcPr>
          <w:p w14:paraId="7001B655">
            <w:pPr>
              <w:pStyle w:val="25"/>
              <w:ind w:left="0" w:leftChars="0" w:firstLine="0" w:firstLineChars="0"/>
              <w:jc w:val="center"/>
              <w:rPr>
                <w:rFonts w:hint="eastAsia"/>
                <w:color w:val="auto"/>
                <w:highlight w:val="none"/>
              </w:rPr>
            </w:pPr>
            <w:r>
              <w:rPr>
                <w:rFonts w:hint="eastAsia"/>
                <w:color w:val="auto"/>
                <w:highlight w:val="none"/>
              </w:rPr>
              <w:t>序号</w:t>
            </w:r>
          </w:p>
        </w:tc>
        <w:tc>
          <w:tcPr>
            <w:tcW w:w="1363" w:type="dxa"/>
            <w:vMerge w:val="restart"/>
            <w:noWrap w:val="0"/>
            <w:vAlign w:val="center"/>
          </w:tcPr>
          <w:p w14:paraId="4AC0BA3E">
            <w:pPr>
              <w:pStyle w:val="25"/>
              <w:ind w:left="0" w:leftChars="0" w:firstLine="0" w:firstLineChars="0"/>
              <w:jc w:val="center"/>
              <w:rPr>
                <w:rFonts w:hint="eastAsia"/>
                <w:color w:val="auto"/>
                <w:highlight w:val="none"/>
              </w:rPr>
            </w:pPr>
            <w:r>
              <w:rPr>
                <w:rFonts w:hint="eastAsia"/>
                <w:color w:val="auto"/>
                <w:highlight w:val="none"/>
              </w:rPr>
              <w:t>本项目任职</w:t>
            </w:r>
          </w:p>
        </w:tc>
        <w:tc>
          <w:tcPr>
            <w:tcW w:w="956" w:type="dxa"/>
            <w:vMerge w:val="restart"/>
            <w:noWrap w:val="0"/>
            <w:vAlign w:val="center"/>
          </w:tcPr>
          <w:p w14:paraId="65B69D63">
            <w:pPr>
              <w:pStyle w:val="25"/>
              <w:ind w:left="0" w:leftChars="0" w:firstLine="0" w:firstLineChars="0"/>
              <w:jc w:val="center"/>
              <w:rPr>
                <w:rFonts w:hint="eastAsia"/>
                <w:color w:val="auto"/>
                <w:highlight w:val="none"/>
              </w:rPr>
            </w:pPr>
            <w:r>
              <w:rPr>
                <w:rFonts w:hint="eastAsia"/>
                <w:color w:val="auto"/>
                <w:highlight w:val="none"/>
              </w:rPr>
              <w:t>姓名</w:t>
            </w:r>
          </w:p>
        </w:tc>
        <w:tc>
          <w:tcPr>
            <w:tcW w:w="956" w:type="dxa"/>
            <w:vMerge w:val="restart"/>
            <w:noWrap w:val="0"/>
            <w:vAlign w:val="center"/>
          </w:tcPr>
          <w:p w14:paraId="300B9EFC">
            <w:pPr>
              <w:pStyle w:val="25"/>
              <w:ind w:left="0" w:leftChars="0" w:firstLine="0" w:firstLineChars="0"/>
              <w:jc w:val="center"/>
              <w:rPr>
                <w:rFonts w:hint="eastAsia"/>
                <w:color w:val="auto"/>
                <w:highlight w:val="none"/>
              </w:rPr>
            </w:pPr>
            <w:r>
              <w:rPr>
                <w:rFonts w:hint="eastAsia"/>
                <w:color w:val="auto"/>
                <w:highlight w:val="none"/>
              </w:rPr>
              <w:t>职称</w:t>
            </w:r>
          </w:p>
        </w:tc>
        <w:tc>
          <w:tcPr>
            <w:tcW w:w="957" w:type="dxa"/>
            <w:vMerge w:val="restart"/>
            <w:noWrap w:val="0"/>
            <w:vAlign w:val="center"/>
          </w:tcPr>
          <w:p w14:paraId="4C4667A7">
            <w:pPr>
              <w:pStyle w:val="25"/>
              <w:ind w:left="0" w:leftChars="0" w:firstLine="0" w:firstLineChars="0"/>
              <w:jc w:val="center"/>
              <w:rPr>
                <w:rFonts w:hint="eastAsia"/>
                <w:color w:val="auto"/>
                <w:highlight w:val="none"/>
              </w:rPr>
            </w:pPr>
            <w:r>
              <w:rPr>
                <w:rFonts w:hint="eastAsia"/>
                <w:color w:val="auto"/>
                <w:highlight w:val="none"/>
              </w:rPr>
              <w:t>专业</w:t>
            </w:r>
          </w:p>
        </w:tc>
        <w:tc>
          <w:tcPr>
            <w:tcW w:w="3613" w:type="dxa"/>
            <w:gridSpan w:val="3"/>
            <w:noWrap w:val="0"/>
            <w:vAlign w:val="center"/>
          </w:tcPr>
          <w:p w14:paraId="532266B5">
            <w:pPr>
              <w:pStyle w:val="25"/>
              <w:ind w:left="0" w:leftChars="0" w:firstLine="0" w:firstLineChars="0"/>
              <w:jc w:val="center"/>
              <w:rPr>
                <w:rFonts w:hint="eastAsia"/>
                <w:color w:val="auto"/>
                <w:highlight w:val="none"/>
              </w:rPr>
            </w:pPr>
            <w:r>
              <w:rPr>
                <w:rFonts w:hint="eastAsia"/>
                <w:color w:val="auto"/>
                <w:highlight w:val="none"/>
              </w:rPr>
              <w:t>执业或职业资格证明</w:t>
            </w:r>
          </w:p>
        </w:tc>
        <w:tc>
          <w:tcPr>
            <w:tcW w:w="1044" w:type="dxa"/>
            <w:noWrap w:val="0"/>
            <w:vAlign w:val="center"/>
          </w:tcPr>
          <w:p w14:paraId="6FE99597">
            <w:pPr>
              <w:pStyle w:val="25"/>
              <w:ind w:left="0" w:leftChars="0" w:firstLine="0" w:firstLineChars="0"/>
              <w:jc w:val="center"/>
              <w:rPr>
                <w:rFonts w:hint="eastAsia"/>
                <w:color w:val="auto"/>
                <w:highlight w:val="none"/>
              </w:rPr>
            </w:pPr>
            <w:r>
              <w:rPr>
                <w:rFonts w:hint="eastAsia"/>
                <w:color w:val="auto"/>
                <w:highlight w:val="none"/>
              </w:rPr>
              <w:t>备注</w:t>
            </w:r>
          </w:p>
        </w:tc>
      </w:tr>
      <w:tr w14:paraId="382D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Merge w:val="continue"/>
            <w:noWrap w:val="0"/>
            <w:vAlign w:val="center"/>
          </w:tcPr>
          <w:p w14:paraId="06087A3E">
            <w:pPr>
              <w:pStyle w:val="25"/>
              <w:ind w:left="0" w:leftChars="0" w:firstLine="0" w:firstLineChars="0"/>
              <w:jc w:val="center"/>
              <w:rPr>
                <w:color w:val="auto"/>
                <w:highlight w:val="none"/>
              </w:rPr>
            </w:pPr>
          </w:p>
        </w:tc>
        <w:tc>
          <w:tcPr>
            <w:tcW w:w="1363" w:type="dxa"/>
            <w:vMerge w:val="continue"/>
            <w:noWrap w:val="0"/>
            <w:vAlign w:val="center"/>
          </w:tcPr>
          <w:p w14:paraId="0DB420BD">
            <w:pPr>
              <w:pStyle w:val="25"/>
              <w:ind w:left="0" w:leftChars="0" w:firstLine="0" w:firstLineChars="0"/>
              <w:jc w:val="center"/>
              <w:rPr>
                <w:color w:val="auto"/>
                <w:highlight w:val="none"/>
              </w:rPr>
            </w:pPr>
          </w:p>
        </w:tc>
        <w:tc>
          <w:tcPr>
            <w:tcW w:w="956" w:type="dxa"/>
            <w:vMerge w:val="continue"/>
            <w:noWrap w:val="0"/>
            <w:vAlign w:val="center"/>
          </w:tcPr>
          <w:p w14:paraId="0FB8A75A">
            <w:pPr>
              <w:pStyle w:val="25"/>
              <w:ind w:left="0" w:leftChars="0" w:firstLine="0" w:firstLineChars="0"/>
              <w:jc w:val="center"/>
              <w:rPr>
                <w:color w:val="auto"/>
                <w:highlight w:val="none"/>
              </w:rPr>
            </w:pPr>
          </w:p>
        </w:tc>
        <w:tc>
          <w:tcPr>
            <w:tcW w:w="956" w:type="dxa"/>
            <w:vMerge w:val="continue"/>
            <w:noWrap w:val="0"/>
            <w:vAlign w:val="center"/>
          </w:tcPr>
          <w:p w14:paraId="395B2AD4">
            <w:pPr>
              <w:pStyle w:val="25"/>
              <w:ind w:left="0" w:leftChars="0" w:firstLine="0" w:firstLineChars="0"/>
              <w:jc w:val="center"/>
              <w:rPr>
                <w:color w:val="auto"/>
                <w:highlight w:val="none"/>
              </w:rPr>
            </w:pPr>
          </w:p>
        </w:tc>
        <w:tc>
          <w:tcPr>
            <w:tcW w:w="957" w:type="dxa"/>
            <w:vMerge w:val="continue"/>
            <w:noWrap w:val="0"/>
            <w:vAlign w:val="center"/>
          </w:tcPr>
          <w:p w14:paraId="7C37254F">
            <w:pPr>
              <w:pStyle w:val="25"/>
              <w:ind w:left="0" w:leftChars="0" w:firstLine="0" w:firstLineChars="0"/>
              <w:jc w:val="center"/>
              <w:rPr>
                <w:color w:val="auto"/>
                <w:highlight w:val="none"/>
              </w:rPr>
            </w:pPr>
          </w:p>
        </w:tc>
        <w:tc>
          <w:tcPr>
            <w:tcW w:w="1369" w:type="dxa"/>
            <w:noWrap w:val="0"/>
            <w:vAlign w:val="center"/>
          </w:tcPr>
          <w:p w14:paraId="42B8001C">
            <w:pPr>
              <w:pStyle w:val="25"/>
              <w:ind w:left="0" w:leftChars="0" w:firstLine="0" w:firstLineChars="0"/>
              <w:jc w:val="center"/>
              <w:rPr>
                <w:rFonts w:hint="eastAsia"/>
                <w:color w:val="auto"/>
                <w:highlight w:val="none"/>
              </w:rPr>
            </w:pPr>
            <w:r>
              <w:rPr>
                <w:rFonts w:hint="eastAsia"/>
                <w:color w:val="auto"/>
                <w:highlight w:val="none"/>
              </w:rPr>
              <w:t>证书名称</w:t>
            </w:r>
          </w:p>
        </w:tc>
        <w:tc>
          <w:tcPr>
            <w:tcW w:w="1092" w:type="dxa"/>
            <w:noWrap w:val="0"/>
            <w:vAlign w:val="center"/>
          </w:tcPr>
          <w:p w14:paraId="57AD2803">
            <w:pPr>
              <w:pStyle w:val="25"/>
              <w:ind w:left="0" w:leftChars="0" w:firstLine="0" w:firstLineChars="0"/>
              <w:jc w:val="center"/>
              <w:rPr>
                <w:rFonts w:hint="eastAsia"/>
                <w:color w:val="auto"/>
                <w:highlight w:val="none"/>
              </w:rPr>
            </w:pPr>
            <w:r>
              <w:rPr>
                <w:rFonts w:hint="eastAsia"/>
                <w:color w:val="auto"/>
                <w:highlight w:val="none"/>
              </w:rPr>
              <w:t>级别</w:t>
            </w:r>
          </w:p>
        </w:tc>
        <w:tc>
          <w:tcPr>
            <w:tcW w:w="1152" w:type="dxa"/>
            <w:noWrap w:val="0"/>
            <w:vAlign w:val="center"/>
          </w:tcPr>
          <w:p w14:paraId="68032CCE">
            <w:pPr>
              <w:pStyle w:val="25"/>
              <w:ind w:left="0" w:leftChars="0" w:firstLine="0" w:firstLineChars="0"/>
              <w:jc w:val="center"/>
              <w:rPr>
                <w:rFonts w:hint="eastAsia"/>
                <w:color w:val="auto"/>
                <w:highlight w:val="none"/>
              </w:rPr>
            </w:pPr>
            <w:r>
              <w:rPr>
                <w:rFonts w:hint="eastAsia"/>
                <w:color w:val="auto"/>
                <w:highlight w:val="none"/>
              </w:rPr>
              <w:t>证号</w:t>
            </w:r>
          </w:p>
        </w:tc>
        <w:tc>
          <w:tcPr>
            <w:tcW w:w="1044" w:type="dxa"/>
            <w:noWrap w:val="0"/>
            <w:vAlign w:val="center"/>
          </w:tcPr>
          <w:p w14:paraId="4C8B1BAA">
            <w:pPr>
              <w:pStyle w:val="25"/>
              <w:ind w:left="0" w:leftChars="0" w:firstLine="0" w:firstLineChars="0"/>
              <w:jc w:val="center"/>
              <w:rPr>
                <w:color w:val="auto"/>
                <w:highlight w:val="none"/>
              </w:rPr>
            </w:pPr>
          </w:p>
        </w:tc>
      </w:tr>
      <w:tr w14:paraId="2A5D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D48E28">
            <w:pPr>
              <w:pStyle w:val="25"/>
              <w:ind w:left="0" w:leftChars="0" w:firstLine="0" w:firstLineChars="0"/>
              <w:jc w:val="center"/>
              <w:rPr>
                <w:color w:val="auto"/>
                <w:highlight w:val="none"/>
              </w:rPr>
            </w:pPr>
          </w:p>
        </w:tc>
        <w:tc>
          <w:tcPr>
            <w:tcW w:w="1363" w:type="dxa"/>
            <w:noWrap w:val="0"/>
            <w:vAlign w:val="center"/>
          </w:tcPr>
          <w:p w14:paraId="7B03BEA1">
            <w:pPr>
              <w:pStyle w:val="25"/>
              <w:ind w:left="0" w:leftChars="0" w:firstLine="0" w:firstLineChars="0"/>
              <w:jc w:val="center"/>
              <w:rPr>
                <w:rFonts w:hint="eastAsia"/>
                <w:color w:val="auto"/>
                <w:highlight w:val="none"/>
              </w:rPr>
            </w:pPr>
          </w:p>
        </w:tc>
        <w:tc>
          <w:tcPr>
            <w:tcW w:w="956" w:type="dxa"/>
            <w:noWrap w:val="0"/>
            <w:vAlign w:val="center"/>
          </w:tcPr>
          <w:p w14:paraId="4612384D">
            <w:pPr>
              <w:pStyle w:val="25"/>
              <w:ind w:left="0" w:leftChars="0" w:firstLine="0" w:firstLineChars="0"/>
              <w:jc w:val="center"/>
              <w:rPr>
                <w:color w:val="auto"/>
                <w:highlight w:val="none"/>
              </w:rPr>
            </w:pPr>
          </w:p>
        </w:tc>
        <w:tc>
          <w:tcPr>
            <w:tcW w:w="956" w:type="dxa"/>
            <w:noWrap w:val="0"/>
            <w:vAlign w:val="center"/>
          </w:tcPr>
          <w:p w14:paraId="6F2E2519">
            <w:pPr>
              <w:pStyle w:val="25"/>
              <w:ind w:left="0" w:leftChars="0" w:firstLine="0" w:firstLineChars="0"/>
              <w:jc w:val="center"/>
              <w:rPr>
                <w:color w:val="auto"/>
                <w:highlight w:val="none"/>
              </w:rPr>
            </w:pPr>
          </w:p>
        </w:tc>
        <w:tc>
          <w:tcPr>
            <w:tcW w:w="957" w:type="dxa"/>
            <w:noWrap w:val="0"/>
            <w:vAlign w:val="center"/>
          </w:tcPr>
          <w:p w14:paraId="527608D3">
            <w:pPr>
              <w:pStyle w:val="25"/>
              <w:ind w:left="0" w:leftChars="0" w:firstLine="0" w:firstLineChars="0"/>
              <w:jc w:val="center"/>
              <w:rPr>
                <w:color w:val="auto"/>
                <w:highlight w:val="none"/>
              </w:rPr>
            </w:pPr>
          </w:p>
        </w:tc>
        <w:tc>
          <w:tcPr>
            <w:tcW w:w="1369" w:type="dxa"/>
            <w:noWrap w:val="0"/>
            <w:vAlign w:val="center"/>
          </w:tcPr>
          <w:p w14:paraId="05372994">
            <w:pPr>
              <w:pStyle w:val="25"/>
              <w:ind w:left="0" w:leftChars="0" w:firstLine="0" w:firstLineChars="0"/>
              <w:jc w:val="center"/>
              <w:rPr>
                <w:color w:val="auto"/>
                <w:highlight w:val="none"/>
              </w:rPr>
            </w:pPr>
          </w:p>
        </w:tc>
        <w:tc>
          <w:tcPr>
            <w:tcW w:w="1092" w:type="dxa"/>
            <w:noWrap w:val="0"/>
            <w:vAlign w:val="center"/>
          </w:tcPr>
          <w:p w14:paraId="158F9C5A">
            <w:pPr>
              <w:pStyle w:val="25"/>
              <w:ind w:left="0" w:leftChars="0" w:firstLine="0" w:firstLineChars="0"/>
              <w:jc w:val="center"/>
              <w:rPr>
                <w:color w:val="auto"/>
                <w:highlight w:val="none"/>
              </w:rPr>
            </w:pPr>
          </w:p>
        </w:tc>
        <w:tc>
          <w:tcPr>
            <w:tcW w:w="1152" w:type="dxa"/>
            <w:noWrap w:val="0"/>
            <w:vAlign w:val="center"/>
          </w:tcPr>
          <w:p w14:paraId="377D997B">
            <w:pPr>
              <w:pStyle w:val="25"/>
              <w:ind w:left="0" w:leftChars="0" w:firstLine="0" w:firstLineChars="0"/>
              <w:jc w:val="center"/>
              <w:rPr>
                <w:color w:val="auto"/>
                <w:highlight w:val="none"/>
              </w:rPr>
            </w:pPr>
          </w:p>
        </w:tc>
        <w:tc>
          <w:tcPr>
            <w:tcW w:w="1044" w:type="dxa"/>
            <w:noWrap w:val="0"/>
            <w:vAlign w:val="center"/>
          </w:tcPr>
          <w:p w14:paraId="07C40FF6">
            <w:pPr>
              <w:pStyle w:val="25"/>
              <w:ind w:left="0" w:leftChars="0" w:firstLine="0" w:firstLineChars="0"/>
              <w:jc w:val="center"/>
              <w:rPr>
                <w:color w:val="auto"/>
                <w:highlight w:val="none"/>
              </w:rPr>
            </w:pPr>
          </w:p>
        </w:tc>
      </w:tr>
      <w:tr w14:paraId="6376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90788E5">
            <w:pPr>
              <w:pStyle w:val="25"/>
              <w:ind w:left="0" w:leftChars="0" w:firstLine="0" w:firstLineChars="0"/>
              <w:jc w:val="center"/>
              <w:rPr>
                <w:color w:val="auto"/>
                <w:highlight w:val="none"/>
              </w:rPr>
            </w:pPr>
          </w:p>
        </w:tc>
        <w:tc>
          <w:tcPr>
            <w:tcW w:w="1363" w:type="dxa"/>
            <w:noWrap w:val="0"/>
            <w:vAlign w:val="center"/>
          </w:tcPr>
          <w:p w14:paraId="543D045C">
            <w:pPr>
              <w:pStyle w:val="25"/>
              <w:ind w:left="0" w:leftChars="0" w:firstLine="0" w:firstLineChars="0"/>
              <w:jc w:val="center"/>
              <w:rPr>
                <w:rFonts w:hint="eastAsia"/>
                <w:color w:val="auto"/>
                <w:highlight w:val="none"/>
              </w:rPr>
            </w:pPr>
          </w:p>
        </w:tc>
        <w:tc>
          <w:tcPr>
            <w:tcW w:w="956" w:type="dxa"/>
            <w:noWrap w:val="0"/>
            <w:vAlign w:val="center"/>
          </w:tcPr>
          <w:p w14:paraId="1DFBBDC8">
            <w:pPr>
              <w:pStyle w:val="25"/>
              <w:ind w:left="0" w:leftChars="0" w:firstLine="0" w:firstLineChars="0"/>
              <w:jc w:val="center"/>
              <w:rPr>
                <w:color w:val="auto"/>
                <w:highlight w:val="none"/>
              </w:rPr>
            </w:pPr>
          </w:p>
        </w:tc>
        <w:tc>
          <w:tcPr>
            <w:tcW w:w="956" w:type="dxa"/>
            <w:noWrap w:val="0"/>
            <w:vAlign w:val="center"/>
          </w:tcPr>
          <w:p w14:paraId="735EFBAB">
            <w:pPr>
              <w:pStyle w:val="25"/>
              <w:ind w:left="0" w:leftChars="0" w:firstLine="0" w:firstLineChars="0"/>
              <w:jc w:val="center"/>
              <w:rPr>
                <w:color w:val="auto"/>
                <w:highlight w:val="none"/>
              </w:rPr>
            </w:pPr>
          </w:p>
        </w:tc>
        <w:tc>
          <w:tcPr>
            <w:tcW w:w="957" w:type="dxa"/>
            <w:noWrap w:val="0"/>
            <w:vAlign w:val="center"/>
          </w:tcPr>
          <w:p w14:paraId="55B27FCC">
            <w:pPr>
              <w:pStyle w:val="25"/>
              <w:ind w:left="0" w:leftChars="0" w:firstLine="0" w:firstLineChars="0"/>
              <w:jc w:val="center"/>
              <w:rPr>
                <w:color w:val="auto"/>
                <w:highlight w:val="none"/>
              </w:rPr>
            </w:pPr>
          </w:p>
        </w:tc>
        <w:tc>
          <w:tcPr>
            <w:tcW w:w="1369" w:type="dxa"/>
            <w:noWrap w:val="0"/>
            <w:vAlign w:val="center"/>
          </w:tcPr>
          <w:p w14:paraId="45501561">
            <w:pPr>
              <w:pStyle w:val="25"/>
              <w:ind w:left="0" w:leftChars="0" w:firstLine="0" w:firstLineChars="0"/>
              <w:jc w:val="center"/>
              <w:rPr>
                <w:color w:val="auto"/>
                <w:highlight w:val="none"/>
              </w:rPr>
            </w:pPr>
          </w:p>
        </w:tc>
        <w:tc>
          <w:tcPr>
            <w:tcW w:w="1092" w:type="dxa"/>
            <w:noWrap w:val="0"/>
            <w:vAlign w:val="center"/>
          </w:tcPr>
          <w:p w14:paraId="4A8628AA">
            <w:pPr>
              <w:pStyle w:val="25"/>
              <w:ind w:left="0" w:leftChars="0" w:firstLine="0" w:firstLineChars="0"/>
              <w:jc w:val="center"/>
              <w:rPr>
                <w:color w:val="auto"/>
                <w:highlight w:val="none"/>
              </w:rPr>
            </w:pPr>
          </w:p>
        </w:tc>
        <w:tc>
          <w:tcPr>
            <w:tcW w:w="1152" w:type="dxa"/>
            <w:noWrap w:val="0"/>
            <w:vAlign w:val="center"/>
          </w:tcPr>
          <w:p w14:paraId="6232C883">
            <w:pPr>
              <w:pStyle w:val="25"/>
              <w:ind w:left="0" w:leftChars="0" w:firstLine="0" w:firstLineChars="0"/>
              <w:jc w:val="center"/>
              <w:rPr>
                <w:color w:val="auto"/>
                <w:highlight w:val="none"/>
              </w:rPr>
            </w:pPr>
          </w:p>
        </w:tc>
        <w:tc>
          <w:tcPr>
            <w:tcW w:w="1044" w:type="dxa"/>
            <w:noWrap w:val="0"/>
            <w:vAlign w:val="center"/>
          </w:tcPr>
          <w:p w14:paraId="03B2C992">
            <w:pPr>
              <w:pStyle w:val="25"/>
              <w:ind w:left="0" w:leftChars="0" w:firstLine="0" w:firstLineChars="0"/>
              <w:jc w:val="center"/>
              <w:rPr>
                <w:color w:val="auto"/>
                <w:highlight w:val="none"/>
              </w:rPr>
            </w:pPr>
          </w:p>
        </w:tc>
      </w:tr>
      <w:tr w14:paraId="1E7B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8D6E9D">
            <w:pPr>
              <w:pStyle w:val="25"/>
              <w:ind w:left="0" w:leftChars="0" w:firstLine="0" w:firstLineChars="0"/>
              <w:jc w:val="center"/>
              <w:rPr>
                <w:color w:val="auto"/>
                <w:highlight w:val="none"/>
              </w:rPr>
            </w:pPr>
          </w:p>
        </w:tc>
        <w:tc>
          <w:tcPr>
            <w:tcW w:w="1363" w:type="dxa"/>
            <w:noWrap w:val="0"/>
            <w:vAlign w:val="center"/>
          </w:tcPr>
          <w:p w14:paraId="4E6D2196">
            <w:pPr>
              <w:pStyle w:val="25"/>
              <w:ind w:left="0" w:leftChars="0" w:firstLine="0" w:firstLineChars="0"/>
              <w:jc w:val="center"/>
              <w:rPr>
                <w:rFonts w:hint="eastAsia"/>
                <w:color w:val="auto"/>
                <w:highlight w:val="none"/>
              </w:rPr>
            </w:pPr>
          </w:p>
        </w:tc>
        <w:tc>
          <w:tcPr>
            <w:tcW w:w="956" w:type="dxa"/>
            <w:noWrap w:val="0"/>
            <w:vAlign w:val="center"/>
          </w:tcPr>
          <w:p w14:paraId="2B787C06">
            <w:pPr>
              <w:pStyle w:val="25"/>
              <w:ind w:left="0" w:leftChars="0" w:firstLine="0" w:firstLineChars="0"/>
              <w:jc w:val="center"/>
              <w:rPr>
                <w:color w:val="auto"/>
                <w:highlight w:val="none"/>
              </w:rPr>
            </w:pPr>
          </w:p>
        </w:tc>
        <w:tc>
          <w:tcPr>
            <w:tcW w:w="956" w:type="dxa"/>
            <w:noWrap w:val="0"/>
            <w:vAlign w:val="center"/>
          </w:tcPr>
          <w:p w14:paraId="261E79FB">
            <w:pPr>
              <w:pStyle w:val="25"/>
              <w:ind w:left="0" w:leftChars="0" w:firstLine="0" w:firstLineChars="0"/>
              <w:jc w:val="center"/>
              <w:rPr>
                <w:color w:val="auto"/>
                <w:highlight w:val="none"/>
              </w:rPr>
            </w:pPr>
          </w:p>
        </w:tc>
        <w:tc>
          <w:tcPr>
            <w:tcW w:w="957" w:type="dxa"/>
            <w:noWrap w:val="0"/>
            <w:vAlign w:val="center"/>
          </w:tcPr>
          <w:p w14:paraId="42545791">
            <w:pPr>
              <w:pStyle w:val="25"/>
              <w:ind w:left="0" w:leftChars="0" w:firstLine="0" w:firstLineChars="0"/>
              <w:jc w:val="center"/>
              <w:rPr>
                <w:color w:val="auto"/>
                <w:highlight w:val="none"/>
              </w:rPr>
            </w:pPr>
          </w:p>
        </w:tc>
        <w:tc>
          <w:tcPr>
            <w:tcW w:w="1369" w:type="dxa"/>
            <w:noWrap w:val="0"/>
            <w:vAlign w:val="center"/>
          </w:tcPr>
          <w:p w14:paraId="1F216E9C">
            <w:pPr>
              <w:pStyle w:val="25"/>
              <w:ind w:left="0" w:leftChars="0" w:firstLine="0" w:firstLineChars="0"/>
              <w:jc w:val="center"/>
              <w:rPr>
                <w:color w:val="auto"/>
                <w:highlight w:val="none"/>
              </w:rPr>
            </w:pPr>
          </w:p>
        </w:tc>
        <w:tc>
          <w:tcPr>
            <w:tcW w:w="1092" w:type="dxa"/>
            <w:noWrap w:val="0"/>
            <w:vAlign w:val="center"/>
          </w:tcPr>
          <w:p w14:paraId="7968568F">
            <w:pPr>
              <w:pStyle w:val="25"/>
              <w:ind w:left="0" w:leftChars="0" w:firstLine="0" w:firstLineChars="0"/>
              <w:jc w:val="center"/>
              <w:rPr>
                <w:color w:val="auto"/>
                <w:highlight w:val="none"/>
              </w:rPr>
            </w:pPr>
          </w:p>
        </w:tc>
        <w:tc>
          <w:tcPr>
            <w:tcW w:w="1152" w:type="dxa"/>
            <w:noWrap w:val="0"/>
            <w:vAlign w:val="center"/>
          </w:tcPr>
          <w:p w14:paraId="7E64EE8C">
            <w:pPr>
              <w:pStyle w:val="25"/>
              <w:ind w:left="0" w:leftChars="0" w:firstLine="0" w:firstLineChars="0"/>
              <w:jc w:val="center"/>
              <w:rPr>
                <w:color w:val="auto"/>
                <w:highlight w:val="none"/>
              </w:rPr>
            </w:pPr>
          </w:p>
        </w:tc>
        <w:tc>
          <w:tcPr>
            <w:tcW w:w="1044" w:type="dxa"/>
            <w:noWrap w:val="0"/>
            <w:vAlign w:val="center"/>
          </w:tcPr>
          <w:p w14:paraId="297BF345">
            <w:pPr>
              <w:pStyle w:val="25"/>
              <w:ind w:left="0" w:leftChars="0" w:firstLine="0" w:firstLineChars="0"/>
              <w:jc w:val="center"/>
              <w:rPr>
                <w:color w:val="auto"/>
                <w:highlight w:val="none"/>
              </w:rPr>
            </w:pPr>
          </w:p>
        </w:tc>
      </w:tr>
      <w:tr w14:paraId="3A91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6E6CDA">
            <w:pPr>
              <w:pStyle w:val="25"/>
              <w:ind w:left="0" w:leftChars="0" w:firstLine="0" w:firstLineChars="0"/>
              <w:jc w:val="center"/>
              <w:rPr>
                <w:color w:val="auto"/>
                <w:highlight w:val="none"/>
              </w:rPr>
            </w:pPr>
          </w:p>
        </w:tc>
        <w:tc>
          <w:tcPr>
            <w:tcW w:w="1363" w:type="dxa"/>
            <w:noWrap w:val="0"/>
            <w:vAlign w:val="center"/>
          </w:tcPr>
          <w:p w14:paraId="71839BA8">
            <w:pPr>
              <w:pStyle w:val="25"/>
              <w:ind w:left="0" w:leftChars="0" w:firstLine="0" w:firstLineChars="0"/>
              <w:jc w:val="center"/>
              <w:rPr>
                <w:color w:val="auto"/>
                <w:highlight w:val="none"/>
              </w:rPr>
            </w:pPr>
          </w:p>
        </w:tc>
        <w:tc>
          <w:tcPr>
            <w:tcW w:w="956" w:type="dxa"/>
            <w:noWrap w:val="0"/>
            <w:vAlign w:val="center"/>
          </w:tcPr>
          <w:p w14:paraId="7CFA9617">
            <w:pPr>
              <w:pStyle w:val="25"/>
              <w:ind w:left="0" w:leftChars="0" w:firstLine="0" w:firstLineChars="0"/>
              <w:jc w:val="center"/>
              <w:rPr>
                <w:color w:val="auto"/>
                <w:highlight w:val="none"/>
              </w:rPr>
            </w:pPr>
          </w:p>
        </w:tc>
        <w:tc>
          <w:tcPr>
            <w:tcW w:w="956" w:type="dxa"/>
            <w:noWrap w:val="0"/>
            <w:vAlign w:val="center"/>
          </w:tcPr>
          <w:p w14:paraId="4F7E3B3A">
            <w:pPr>
              <w:pStyle w:val="25"/>
              <w:ind w:left="0" w:leftChars="0" w:firstLine="0" w:firstLineChars="0"/>
              <w:jc w:val="center"/>
              <w:rPr>
                <w:color w:val="auto"/>
                <w:highlight w:val="none"/>
              </w:rPr>
            </w:pPr>
          </w:p>
        </w:tc>
        <w:tc>
          <w:tcPr>
            <w:tcW w:w="957" w:type="dxa"/>
            <w:noWrap w:val="0"/>
            <w:vAlign w:val="center"/>
          </w:tcPr>
          <w:p w14:paraId="233B9EB7">
            <w:pPr>
              <w:pStyle w:val="25"/>
              <w:ind w:left="0" w:leftChars="0" w:firstLine="0" w:firstLineChars="0"/>
              <w:jc w:val="center"/>
              <w:rPr>
                <w:color w:val="auto"/>
                <w:highlight w:val="none"/>
              </w:rPr>
            </w:pPr>
          </w:p>
        </w:tc>
        <w:tc>
          <w:tcPr>
            <w:tcW w:w="1369" w:type="dxa"/>
            <w:noWrap w:val="0"/>
            <w:vAlign w:val="center"/>
          </w:tcPr>
          <w:p w14:paraId="7CEF20B7">
            <w:pPr>
              <w:pStyle w:val="25"/>
              <w:ind w:left="0" w:leftChars="0" w:firstLine="0" w:firstLineChars="0"/>
              <w:jc w:val="center"/>
              <w:rPr>
                <w:color w:val="auto"/>
                <w:highlight w:val="none"/>
              </w:rPr>
            </w:pPr>
          </w:p>
        </w:tc>
        <w:tc>
          <w:tcPr>
            <w:tcW w:w="1092" w:type="dxa"/>
            <w:noWrap w:val="0"/>
            <w:vAlign w:val="center"/>
          </w:tcPr>
          <w:p w14:paraId="03157C5E">
            <w:pPr>
              <w:pStyle w:val="25"/>
              <w:ind w:left="0" w:leftChars="0" w:firstLine="0" w:firstLineChars="0"/>
              <w:jc w:val="center"/>
              <w:rPr>
                <w:color w:val="auto"/>
                <w:highlight w:val="none"/>
              </w:rPr>
            </w:pPr>
          </w:p>
        </w:tc>
        <w:tc>
          <w:tcPr>
            <w:tcW w:w="1152" w:type="dxa"/>
            <w:noWrap w:val="0"/>
            <w:vAlign w:val="center"/>
          </w:tcPr>
          <w:p w14:paraId="63AB36AB">
            <w:pPr>
              <w:pStyle w:val="25"/>
              <w:ind w:left="0" w:leftChars="0" w:firstLine="0" w:firstLineChars="0"/>
              <w:jc w:val="center"/>
              <w:rPr>
                <w:color w:val="auto"/>
                <w:highlight w:val="none"/>
              </w:rPr>
            </w:pPr>
          </w:p>
        </w:tc>
        <w:tc>
          <w:tcPr>
            <w:tcW w:w="1044" w:type="dxa"/>
            <w:noWrap w:val="0"/>
            <w:vAlign w:val="center"/>
          </w:tcPr>
          <w:p w14:paraId="7FF2F935">
            <w:pPr>
              <w:pStyle w:val="25"/>
              <w:ind w:left="0" w:leftChars="0" w:firstLine="0" w:firstLineChars="0"/>
              <w:jc w:val="center"/>
              <w:rPr>
                <w:color w:val="auto"/>
                <w:highlight w:val="none"/>
              </w:rPr>
            </w:pPr>
          </w:p>
        </w:tc>
      </w:tr>
      <w:tr w14:paraId="6BB8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4D330F">
            <w:pPr>
              <w:pStyle w:val="25"/>
              <w:ind w:left="0" w:leftChars="0" w:firstLine="0" w:firstLineChars="0"/>
              <w:jc w:val="center"/>
              <w:rPr>
                <w:color w:val="auto"/>
                <w:highlight w:val="none"/>
              </w:rPr>
            </w:pPr>
          </w:p>
        </w:tc>
        <w:tc>
          <w:tcPr>
            <w:tcW w:w="1363" w:type="dxa"/>
            <w:noWrap w:val="0"/>
            <w:vAlign w:val="center"/>
          </w:tcPr>
          <w:p w14:paraId="7F1B0282">
            <w:pPr>
              <w:pStyle w:val="25"/>
              <w:ind w:left="0" w:leftChars="0" w:firstLine="0" w:firstLineChars="0"/>
              <w:jc w:val="center"/>
              <w:rPr>
                <w:color w:val="auto"/>
                <w:highlight w:val="none"/>
              </w:rPr>
            </w:pPr>
          </w:p>
        </w:tc>
        <w:tc>
          <w:tcPr>
            <w:tcW w:w="956" w:type="dxa"/>
            <w:noWrap w:val="0"/>
            <w:vAlign w:val="center"/>
          </w:tcPr>
          <w:p w14:paraId="33F18BC2">
            <w:pPr>
              <w:pStyle w:val="25"/>
              <w:ind w:left="0" w:leftChars="0" w:firstLine="0" w:firstLineChars="0"/>
              <w:jc w:val="center"/>
              <w:rPr>
                <w:color w:val="auto"/>
                <w:highlight w:val="none"/>
              </w:rPr>
            </w:pPr>
          </w:p>
        </w:tc>
        <w:tc>
          <w:tcPr>
            <w:tcW w:w="956" w:type="dxa"/>
            <w:noWrap w:val="0"/>
            <w:vAlign w:val="center"/>
          </w:tcPr>
          <w:p w14:paraId="077D13CC">
            <w:pPr>
              <w:pStyle w:val="25"/>
              <w:ind w:left="0" w:leftChars="0" w:firstLine="0" w:firstLineChars="0"/>
              <w:jc w:val="center"/>
              <w:rPr>
                <w:color w:val="auto"/>
                <w:highlight w:val="none"/>
              </w:rPr>
            </w:pPr>
          </w:p>
        </w:tc>
        <w:tc>
          <w:tcPr>
            <w:tcW w:w="957" w:type="dxa"/>
            <w:noWrap w:val="0"/>
            <w:vAlign w:val="center"/>
          </w:tcPr>
          <w:p w14:paraId="53838047">
            <w:pPr>
              <w:pStyle w:val="25"/>
              <w:ind w:left="0" w:leftChars="0" w:firstLine="0" w:firstLineChars="0"/>
              <w:jc w:val="center"/>
              <w:rPr>
                <w:color w:val="auto"/>
                <w:highlight w:val="none"/>
              </w:rPr>
            </w:pPr>
          </w:p>
        </w:tc>
        <w:tc>
          <w:tcPr>
            <w:tcW w:w="1369" w:type="dxa"/>
            <w:noWrap w:val="0"/>
            <w:vAlign w:val="center"/>
          </w:tcPr>
          <w:p w14:paraId="09C1BC69">
            <w:pPr>
              <w:pStyle w:val="25"/>
              <w:ind w:left="0" w:leftChars="0" w:firstLine="0" w:firstLineChars="0"/>
              <w:jc w:val="center"/>
              <w:rPr>
                <w:color w:val="auto"/>
                <w:highlight w:val="none"/>
              </w:rPr>
            </w:pPr>
          </w:p>
        </w:tc>
        <w:tc>
          <w:tcPr>
            <w:tcW w:w="1092" w:type="dxa"/>
            <w:noWrap w:val="0"/>
            <w:vAlign w:val="center"/>
          </w:tcPr>
          <w:p w14:paraId="78F8578C">
            <w:pPr>
              <w:pStyle w:val="25"/>
              <w:ind w:left="0" w:leftChars="0" w:firstLine="0" w:firstLineChars="0"/>
              <w:jc w:val="center"/>
              <w:rPr>
                <w:color w:val="auto"/>
                <w:highlight w:val="none"/>
              </w:rPr>
            </w:pPr>
          </w:p>
        </w:tc>
        <w:tc>
          <w:tcPr>
            <w:tcW w:w="1152" w:type="dxa"/>
            <w:noWrap w:val="0"/>
            <w:vAlign w:val="center"/>
          </w:tcPr>
          <w:p w14:paraId="7637A4CD">
            <w:pPr>
              <w:pStyle w:val="25"/>
              <w:ind w:left="0" w:leftChars="0" w:firstLine="0" w:firstLineChars="0"/>
              <w:jc w:val="center"/>
              <w:rPr>
                <w:color w:val="auto"/>
                <w:highlight w:val="none"/>
              </w:rPr>
            </w:pPr>
          </w:p>
        </w:tc>
        <w:tc>
          <w:tcPr>
            <w:tcW w:w="1044" w:type="dxa"/>
            <w:noWrap w:val="0"/>
            <w:vAlign w:val="center"/>
          </w:tcPr>
          <w:p w14:paraId="11EB5B65">
            <w:pPr>
              <w:pStyle w:val="25"/>
              <w:ind w:left="0" w:leftChars="0" w:firstLine="0" w:firstLineChars="0"/>
              <w:jc w:val="center"/>
              <w:rPr>
                <w:color w:val="auto"/>
                <w:highlight w:val="none"/>
              </w:rPr>
            </w:pPr>
          </w:p>
        </w:tc>
      </w:tr>
      <w:tr w14:paraId="3577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A8BD36">
            <w:pPr>
              <w:pStyle w:val="25"/>
              <w:ind w:left="0" w:leftChars="0" w:firstLine="0" w:firstLineChars="0"/>
              <w:jc w:val="center"/>
              <w:rPr>
                <w:color w:val="auto"/>
                <w:highlight w:val="none"/>
              </w:rPr>
            </w:pPr>
          </w:p>
        </w:tc>
        <w:tc>
          <w:tcPr>
            <w:tcW w:w="1363" w:type="dxa"/>
            <w:noWrap w:val="0"/>
            <w:vAlign w:val="center"/>
          </w:tcPr>
          <w:p w14:paraId="4ADA8E98">
            <w:pPr>
              <w:pStyle w:val="25"/>
              <w:ind w:left="0" w:leftChars="0" w:firstLine="0" w:firstLineChars="0"/>
              <w:jc w:val="center"/>
              <w:rPr>
                <w:color w:val="auto"/>
                <w:highlight w:val="none"/>
              </w:rPr>
            </w:pPr>
          </w:p>
        </w:tc>
        <w:tc>
          <w:tcPr>
            <w:tcW w:w="956" w:type="dxa"/>
            <w:noWrap w:val="0"/>
            <w:vAlign w:val="center"/>
          </w:tcPr>
          <w:p w14:paraId="525D023E">
            <w:pPr>
              <w:pStyle w:val="25"/>
              <w:ind w:left="0" w:leftChars="0" w:firstLine="0" w:firstLineChars="0"/>
              <w:jc w:val="center"/>
              <w:rPr>
                <w:color w:val="auto"/>
                <w:highlight w:val="none"/>
              </w:rPr>
            </w:pPr>
          </w:p>
        </w:tc>
        <w:tc>
          <w:tcPr>
            <w:tcW w:w="956" w:type="dxa"/>
            <w:noWrap w:val="0"/>
            <w:vAlign w:val="center"/>
          </w:tcPr>
          <w:p w14:paraId="212B01AE">
            <w:pPr>
              <w:pStyle w:val="25"/>
              <w:ind w:left="0" w:leftChars="0" w:firstLine="0" w:firstLineChars="0"/>
              <w:jc w:val="center"/>
              <w:rPr>
                <w:color w:val="auto"/>
                <w:highlight w:val="none"/>
              </w:rPr>
            </w:pPr>
          </w:p>
        </w:tc>
        <w:tc>
          <w:tcPr>
            <w:tcW w:w="957" w:type="dxa"/>
            <w:noWrap w:val="0"/>
            <w:vAlign w:val="center"/>
          </w:tcPr>
          <w:p w14:paraId="1CDA8D54">
            <w:pPr>
              <w:pStyle w:val="25"/>
              <w:ind w:left="0" w:leftChars="0" w:firstLine="0" w:firstLineChars="0"/>
              <w:jc w:val="center"/>
              <w:rPr>
                <w:color w:val="auto"/>
                <w:highlight w:val="none"/>
              </w:rPr>
            </w:pPr>
          </w:p>
        </w:tc>
        <w:tc>
          <w:tcPr>
            <w:tcW w:w="1369" w:type="dxa"/>
            <w:noWrap w:val="0"/>
            <w:vAlign w:val="center"/>
          </w:tcPr>
          <w:p w14:paraId="7B8EEA92">
            <w:pPr>
              <w:pStyle w:val="25"/>
              <w:ind w:left="0" w:leftChars="0" w:firstLine="0" w:firstLineChars="0"/>
              <w:jc w:val="center"/>
              <w:rPr>
                <w:color w:val="auto"/>
                <w:highlight w:val="none"/>
              </w:rPr>
            </w:pPr>
          </w:p>
        </w:tc>
        <w:tc>
          <w:tcPr>
            <w:tcW w:w="1092" w:type="dxa"/>
            <w:noWrap w:val="0"/>
            <w:vAlign w:val="center"/>
          </w:tcPr>
          <w:p w14:paraId="46DB5CF5">
            <w:pPr>
              <w:pStyle w:val="25"/>
              <w:ind w:left="0" w:leftChars="0" w:firstLine="0" w:firstLineChars="0"/>
              <w:jc w:val="center"/>
              <w:rPr>
                <w:color w:val="auto"/>
                <w:highlight w:val="none"/>
              </w:rPr>
            </w:pPr>
          </w:p>
        </w:tc>
        <w:tc>
          <w:tcPr>
            <w:tcW w:w="1152" w:type="dxa"/>
            <w:noWrap w:val="0"/>
            <w:vAlign w:val="center"/>
          </w:tcPr>
          <w:p w14:paraId="525263F4">
            <w:pPr>
              <w:pStyle w:val="25"/>
              <w:ind w:left="0" w:leftChars="0" w:firstLine="0" w:firstLineChars="0"/>
              <w:jc w:val="center"/>
              <w:rPr>
                <w:color w:val="auto"/>
                <w:highlight w:val="none"/>
              </w:rPr>
            </w:pPr>
          </w:p>
        </w:tc>
        <w:tc>
          <w:tcPr>
            <w:tcW w:w="1044" w:type="dxa"/>
            <w:noWrap w:val="0"/>
            <w:vAlign w:val="center"/>
          </w:tcPr>
          <w:p w14:paraId="38B290A7">
            <w:pPr>
              <w:pStyle w:val="25"/>
              <w:ind w:left="0" w:leftChars="0" w:firstLine="0" w:firstLineChars="0"/>
              <w:jc w:val="center"/>
              <w:rPr>
                <w:color w:val="auto"/>
                <w:highlight w:val="none"/>
              </w:rPr>
            </w:pPr>
          </w:p>
        </w:tc>
      </w:tr>
      <w:tr w14:paraId="45D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A93593">
            <w:pPr>
              <w:pStyle w:val="25"/>
              <w:ind w:left="0" w:leftChars="0" w:firstLine="0" w:firstLineChars="0"/>
              <w:jc w:val="center"/>
              <w:rPr>
                <w:color w:val="auto"/>
                <w:highlight w:val="none"/>
              </w:rPr>
            </w:pPr>
          </w:p>
        </w:tc>
        <w:tc>
          <w:tcPr>
            <w:tcW w:w="1363" w:type="dxa"/>
            <w:noWrap w:val="0"/>
            <w:vAlign w:val="center"/>
          </w:tcPr>
          <w:p w14:paraId="7FB2B266">
            <w:pPr>
              <w:pStyle w:val="25"/>
              <w:ind w:left="0" w:leftChars="0" w:firstLine="0" w:firstLineChars="0"/>
              <w:jc w:val="center"/>
              <w:rPr>
                <w:color w:val="auto"/>
                <w:highlight w:val="none"/>
              </w:rPr>
            </w:pPr>
          </w:p>
        </w:tc>
        <w:tc>
          <w:tcPr>
            <w:tcW w:w="956" w:type="dxa"/>
            <w:noWrap w:val="0"/>
            <w:vAlign w:val="center"/>
          </w:tcPr>
          <w:p w14:paraId="15321C44">
            <w:pPr>
              <w:pStyle w:val="25"/>
              <w:ind w:left="0" w:leftChars="0" w:firstLine="0" w:firstLineChars="0"/>
              <w:jc w:val="center"/>
              <w:rPr>
                <w:color w:val="auto"/>
                <w:highlight w:val="none"/>
              </w:rPr>
            </w:pPr>
          </w:p>
        </w:tc>
        <w:tc>
          <w:tcPr>
            <w:tcW w:w="956" w:type="dxa"/>
            <w:noWrap w:val="0"/>
            <w:vAlign w:val="center"/>
          </w:tcPr>
          <w:p w14:paraId="48E6B80D">
            <w:pPr>
              <w:pStyle w:val="25"/>
              <w:ind w:left="0" w:leftChars="0" w:firstLine="0" w:firstLineChars="0"/>
              <w:jc w:val="center"/>
              <w:rPr>
                <w:color w:val="auto"/>
                <w:highlight w:val="none"/>
              </w:rPr>
            </w:pPr>
          </w:p>
        </w:tc>
        <w:tc>
          <w:tcPr>
            <w:tcW w:w="957" w:type="dxa"/>
            <w:noWrap w:val="0"/>
            <w:vAlign w:val="center"/>
          </w:tcPr>
          <w:p w14:paraId="3677F1F7">
            <w:pPr>
              <w:pStyle w:val="25"/>
              <w:ind w:left="0" w:leftChars="0" w:firstLine="0" w:firstLineChars="0"/>
              <w:jc w:val="center"/>
              <w:rPr>
                <w:color w:val="auto"/>
                <w:highlight w:val="none"/>
              </w:rPr>
            </w:pPr>
          </w:p>
        </w:tc>
        <w:tc>
          <w:tcPr>
            <w:tcW w:w="1369" w:type="dxa"/>
            <w:noWrap w:val="0"/>
            <w:vAlign w:val="center"/>
          </w:tcPr>
          <w:p w14:paraId="155F90B9">
            <w:pPr>
              <w:pStyle w:val="25"/>
              <w:ind w:left="0" w:leftChars="0" w:firstLine="0" w:firstLineChars="0"/>
              <w:jc w:val="center"/>
              <w:rPr>
                <w:color w:val="auto"/>
                <w:highlight w:val="none"/>
              </w:rPr>
            </w:pPr>
          </w:p>
        </w:tc>
        <w:tc>
          <w:tcPr>
            <w:tcW w:w="1092" w:type="dxa"/>
            <w:noWrap w:val="0"/>
            <w:vAlign w:val="center"/>
          </w:tcPr>
          <w:p w14:paraId="7B9F8A90">
            <w:pPr>
              <w:pStyle w:val="25"/>
              <w:ind w:left="0" w:leftChars="0" w:firstLine="0" w:firstLineChars="0"/>
              <w:jc w:val="center"/>
              <w:rPr>
                <w:color w:val="auto"/>
                <w:highlight w:val="none"/>
              </w:rPr>
            </w:pPr>
          </w:p>
        </w:tc>
        <w:tc>
          <w:tcPr>
            <w:tcW w:w="1152" w:type="dxa"/>
            <w:noWrap w:val="0"/>
            <w:vAlign w:val="center"/>
          </w:tcPr>
          <w:p w14:paraId="4609FF7C">
            <w:pPr>
              <w:pStyle w:val="25"/>
              <w:ind w:left="0" w:leftChars="0" w:firstLine="0" w:firstLineChars="0"/>
              <w:jc w:val="center"/>
              <w:rPr>
                <w:color w:val="auto"/>
                <w:highlight w:val="none"/>
              </w:rPr>
            </w:pPr>
          </w:p>
        </w:tc>
        <w:tc>
          <w:tcPr>
            <w:tcW w:w="1044" w:type="dxa"/>
            <w:noWrap w:val="0"/>
            <w:vAlign w:val="center"/>
          </w:tcPr>
          <w:p w14:paraId="042F73B9">
            <w:pPr>
              <w:pStyle w:val="25"/>
              <w:ind w:left="0" w:leftChars="0" w:firstLine="0" w:firstLineChars="0"/>
              <w:jc w:val="center"/>
              <w:rPr>
                <w:color w:val="auto"/>
                <w:highlight w:val="none"/>
              </w:rPr>
            </w:pPr>
          </w:p>
        </w:tc>
      </w:tr>
      <w:tr w14:paraId="0E52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8A298E">
            <w:pPr>
              <w:pStyle w:val="25"/>
              <w:ind w:left="0" w:leftChars="0" w:firstLine="0" w:firstLineChars="0"/>
              <w:jc w:val="center"/>
              <w:rPr>
                <w:color w:val="auto"/>
                <w:highlight w:val="none"/>
              </w:rPr>
            </w:pPr>
          </w:p>
        </w:tc>
        <w:tc>
          <w:tcPr>
            <w:tcW w:w="1363" w:type="dxa"/>
            <w:noWrap w:val="0"/>
            <w:vAlign w:val="center"/>
          </w:tcPr>
          <w:p w14:paraId="13544450">
            <w:pPr>
              <w:pStyle w:val="25"/>
              <w:ind w:left="0" w:leftChars="0" w:firstLine="0" w:firstLineChars="0"/>
              <w:jc w:val="center"/>
              <w:rPr>
                <w:color w:val="auto"/>
                <w:highlight w:val="none"/>
              </w:rPr>
            </w:pPr>
          </w:p>
        </w:tc>
        <w:tc>
          <w:tcPr>
            <w:tcW w:w="956" w:type="dxa"/>
            <w:noWrap w:val="0"/>
            <w:vAlign w:val="center"/>
          </w:tcPr>
          <w:p w14:paraId="21E049A7">
            <w:pPr>
              <w:pStyle w:val="25"/>
              <w:ind w:left="0" w:leftChars="0" w:firstLine="0" w:firstLineChars="0"/>
              <w:jc w:val="center"/>
              <w:rPr>
                <w:color w:val="auto"/>
                <w:highlight w:val="none"/>
              </w:rPr>
            </w:pPr>
          </w:p>
        </w:tc>
        <w:tc>
          <w:tcPr>
            <w:tcW w:w="956" w:type="dxa"/>
            <w:noWrap w:val="0"/>
            <w:vAlign w:val="center"/>
          </w:tcPr>
          <w:p w14:paraId="32E61CC8">
            <w:pPr>
              <w:pStyle w:val="25"/>
              <w:ind w:left="0" w:leftChars="0" w:firstLine="0" w:firstLineChars="0"/>
              <w:jc w:val="center"/>
              <w:rPr>
                <w:color w:val="auto"/>
                <w:highlight w:val="none"/>
              </w:rPr>
            </w:pPr>
          </w:p>
        </w:tc>
        <w:tc>
          <w:tcPr>
            <w:tcW w:w="957" w:type="dxa"/>
            <w:noWrap w:val="0"/>
            <w:vAlign w:val="center"/>
          </w:tcPr>
          <w:p w14:paraId="2CC7F5FD">
            <w:pPr>
              <w:pStyle w:val="25"/>
              <w:ind w:left="0" w:leftChars="0" w:firstLine="0" w:firstLineChars="0"/>
              <w:jc w:val="center"/>
              <w:rPr>
                <w:color w:val="auto"/>
                <w:highlight w:val="none"/>
              </w:rPr>
            </w:pPr>
          </w:p>
        </w:tc>
        <w:tc>
          <w:tcPr>
            <w:tcW w:w="1369" w:type="dxa"/>
            <w:noWrap w:val="0"/>
            <w:vAlign w:val="center"/>
          </w:tcPr>
          <w:p w14:paraId="7052860C">
            <w:pPr>
              <w:pStyle w:val="25"/>
              <w:ind w:left="0" w:leftChars="0" w:firstLine="0" w:firstLineChars="0"/>
              <w:jc w:val="center"/>
              <w:rPr>
                <w:color w:val="auto"/>
                <w:highlight w:val="none"/>
              </w:rPr>
            </w:pPr>
          </w:p>
        </w:tc>
        <w:tc>
          <w:tcPr>
            <w:tcW w:w="1092" w:type="dxa"/>
            <w:noWrap w:val="0"/>
            <w:vAlign w:val="center"/>
          </w:tcPr>
          <w:p w14:paraId="5CD34498">
            <w:pPr>
              <w:pStyle w:val="25"/>
              <w:ind w:left="0" w:leftChars="0" w:firstLine="0" w:firstLineChars="0"/>
              <w:jc w:val="center"/>
              <w:rPr>
                <w:color w:val="auto"/>
                <w:highlight w:val="none"/>
              </w:rPr>
            </w:pPr>
          </w:p>
        </w:tc>
        <w:tc>
          <w:tcPr>
            <w:tcW w:w="1152" w:type="dxa"/>
            <w:noWrap w:val="0"/>
            <w:vAlign w:val="center"/>
          </w:tcPr>
          <w:p w14:paraId="2528E4D0">
            <w:pPr>
              <w:pStyle w:val="25"/>
              <w:ind w:left="0" w:leftChars="0" w:firstLine="0" w:firstLineChars="0"/>
              <w:jc w:val="center"/>
              <w:rPr>
                <w:color w:val="auto"/>
                <w:highlight w:val="none"/>
              </w:rPr>
            </w:pPr>
          </w:p>
        </w:tc>
        <w:tc>
          <w:tcPr>
            <w:tcW w:w="1044" w:type="dxa"/>
            <w:noWrap w:val="0"/>
            <w:vAlign w:val="center"/>
          </w:tcPr>
          <w:p w14:paraId="396D2D2A">
            <w:pPr>
              <w:pStyle w:val="25"/>
              <w:ind w:left="0" w:leftChars="0" w:firstLine="0" w:firstLineChars="0"/>
              <w:jc w:val="center"/>
              <w:rPr>
                <w:color w:val="auto"/>
                <w:highlight w:val="none"/>
              </w:rPr>
            </w:pPr>
          </w:p>
        </w:tc>
      </w:tr>
      <w:tr w14:paraId="0261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9965F4">
            <w:pPr>
              <w:pStyle w:val="25"/>
              <w:ind w:left="0" w:leftChars="0" w:firstLine="0" w:firstLineChars="0"/>
              <w:jc w:val="center"/>
              <w:rPr>
                <w:color w:val="auto"/>
                <w:highlight w:val="none"/>
              </w:rPr>
            </w:pPr>
          </w:p>
        </w:tc>
        <w:tc>
          <w:tcPr>
            <w:tcW w:w="1363" w:type="dxa"/>
            <w:noWrap w:val="0"/>
            <w:vAlign w:val="center"/>
          </w:tcPr>
          <w:p w14:paraId="5143872F">
            <w:pPr>
              <w:pStyle w:val="25"/>
              <w:ind w:left="0" w:leftChars="0" w:firstLine="0" w:firstLineChars="0"/>
              <w:jc w:val="center"/>
              <w:rPr>
                <w:rFonts w:hint="eastAsia" w:ascii="宋体" w:hAnsi="宋体" w:cs="宋体"/>
                <w:color w:val="auto"/>
                <w:highlight w:val="none"/>
              </w:rPr>
            </w:pPr>
          </w:p>
        </w:tc>
        <w:tc>
          <w:tcPr>
            <w:tcW w:w="956" w:type="dxa"/>
            <w:noWrap w:val="0"/>
            <w:vAlign w:val="center"/>
          </w:tcPr>
          <w:p w14:paraId="2E754147">
            <w:pPr>
              <w:pStyle w:val="25"/>
              <w:ind w:left="0" w:leftChars="0" w:firstLine="0" w:firstLineChars="0"/>
              <w:jc w:val="center"/>
              <w:rPr>
                <w:color w:val="auto"/>
                <w:highlight w:val="none"/>
              </w:rPr>
            </w:pPr>
          </w:p>
        </w:tc>
        <w:tc>
          <w:tcPr>
            <w:tcW w:w="956" w:type="dxa"/>
            <w:noWrap w:val="0"/>
            <w:vAlign w:val="center"/>
          </w:tcPr>
          <w:p w14:paraId="421A60B3">
            <w:pPr>
              <w:pStyle w:val="25"/>
              <w:ind w:left="0" w:leftChars="0" w:firstLine="0" w:firstLineChars="0"/>
              <w:jc w:val="center"/>
              <w:rPr>
                <w:color w:val="auto"/>
                <w:highlight w:val="none"/>
              </w:rPr>
            </w:pPr>
          </w:p>
        </w:tc>
        <w:tc>
          <w:tcPr>
            <w:tcW w:w="957" w:type="dxa"/>
            <w:noWrap w:val="0"/>
            <w:vAlign w:val="center"/>
          </w:tcPr>
          <w:p w14:paraId="0BAA90B7">
            <w:pPr>
              <w:pStyle w:val="25"/>
              <w:ind w:left="0" w:leftChars="0" w:firstLine="0" w:firstLineChars="0"/>
              <w:jc w:val="center"/>
              <w:rPr>
                <w:color w:val="auto"/>
                <w:highlight w:val="none"/>
              </w:rPr>
            </w:pPr>
          </w:p>
        </w:tc>
        <w:tc>
          <w:tcPr>
            <w:tcW w:w="1369" w:type="dxa"/>
            <w:noWrap w:val="0"/>
            <w:vAlign w:val="center"/>
          </w:tcPr>
          <w:p w14:paraId="7FDF0830">
            <w:pPr>
              <w:pStyle w:val="25"/>
              <w:ind w:left="0" w:leftChars="0" w:firstLine="0" w:firstLineChars="0"/>
              <w:jc w:val="center"/>
              <w:rPr>
                <w:color w:val="auto"/>
                <w:highlight w:val="none"/>
              </w:rPr>
            </w:pPr>
          </w:p>
        </w:tc>
        <w:tc>
          <w:tcPr>
            <w:tcW w:w="1092" w:type="dxa"/>
            <w:noWrap w:val="0"/>
            <w:vAlign w:val="center"/>
          </w:tcPr>
          <w:p w14:paraId="1A48C6B3">
            <w:pPr>
              <w:pStyle w:val="25"/>
              <w:ind w:left="0" w:leftChars="0" w:firstLine="0" w:firstLineChars="0"/>
              <w:jc w:val="center"/>
              <w:rPr>
                <w:color w:val="auto"/>
                <w:highlight w:val="none"/>
              </w:rPr>
            </w:pPr>
          </w:p>
        </w:tc>
        <w:tc>
          <w:tcPr>
            <w:tcW w:w="1152" w:type="dxa"/>
            <w:noWrap w:val="0"/>
            <w:vAlign w:val="center"/>
          </w:tcPr>
          <w:p w14:paraId="0CFC9E97">
            <w:pPr>
              <w:pStyle w:val="25"/>
              <w:ind w:left="0" w:leftChars="0" w:firstLine="0" w:firstLineChars="0"/>
              <w:jc w:val="center"/>
              <w:rPr>
                <w:color w:val="auto"/>
                <w:highlight w:val="none"/>
              </w:rPr>
            </w:pPr>
          </w:p>
        </w:tc>
        <w:tc>
          <w:tcPr>
            <w:tcW w:w="1044" w:type="dxa"/>
            <w:noWrap w:val="0"/>
            <w:vAlign w:val="center"/>
          </w:tcPr>
          <w:p w14:paraId="2CA32011">
            <w:pPr>
              <w:pStyle w:val="25"/>
              <w:ind w:left="0" w:leftChars="0" w:firstLine="0" w:firstLineChars="0"/>
              <w:jc w:val="center"/>
              <w:rPr>
                <w:color w:val="auto"/>
                <w:highlight w:val="none"/>
              </w:rPr>
            </w:pPr>
          </w:p>
        </w:tc>
      </w:tr>
      <w:tr w14:paraId="639B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51783A">
            <w:pPr>
              <w:pStyle w:val="25"/>
              <w:ind w:left="0" w:leftChars="0" w:firstLine="0" w:firstLineChars="0"/>
              <w:jc w:val="center"/>
              <w:rPr>
                <w:color w:val="auto"/>
                <w:highlight w:val="none"/>
              </w:rPr>
            </w:pPr>
          </w:p>
        </w:tc>
        <w:tc>
          <w:tcPr>
            <w:tcW w:w="1363" w:type="dxa"/>
            <w:noWrap w:val="0"/>
            <w:vAlign w:val="center"/>
          </w:tcPr>
          <w:p w14:paraId="11F17C20">
            <w:pPr>
              <w:pStyle w:val="25"/>
              <w:ind w:left="0" w:leftChars="0" w:firstLine="0" w:firstLineChars="0"/>
              <w:jc w:val="center"/>
              <w:rPr>
                <w:color w:val="auto"/>
                <w:highlight w:val="none"/>
              </w:rPr>
            </w:pPr>
          </w:p>
        </w:tc>
        <w:tc>
          <w:tcPr>
            <w:tcW w:w="956" w:type="dxa"/>
            <w:noWrap w:val="0"/>
            <w:vAlign w:val="center"/>
          </w:tcPr>
          <w:p w14:paraId="4FA475A0">
            <w:pPr>
              <w:pStyle w:val="25"/>
              <w:ind w:left="0" w:leftChars="0" w:firstLine="0" w:firstLineChars="0"/>
              <w:jc w:val="center"/>
              <w:rPr>
                <w:color w:val="auto"/>
                <w:highlight w:val="none"/>
              </w:rPr>
            </w:pPr>
          </w:p>
        </w:tc>
        <w:tc>
          <w:tcPr>
            <w:tcW w:w="956" w:type="dxa"/>
            <w:noWrap w:val="0"/>
            <w:vAlign w:val="center"/>
          </w:tcPr>
          <w:p w14:paraId="3309DF4E">
            <w:pPr>
              <w:pStyle w:val="25"/>
              <w:ind w:left="0" w:leftChars="0" w:firstLine="0" w:firstLineChars="0"/>
              <w:jc w:val="center"/>
              <w:rPr>
                <w:color w:val="auto"/>
                <w:highlight w:val="none"/>
              </w:rPr>
            </w:pPr>
          </w:p>
        </w:tc>
        <w:tc>
          <w:tcPr>
            <w:tcW w:w="957" w:type="dxa"/>
            <w:noWrap w:val="0"/>
            <w:vAlign w:val="center"/>
          </w:tcPr>
          <w:p w14:paraId="7403CC06">
            <w:pPr>
              <w:pStyle w:val="25"/>
              <w:ind w:left="0" w:leftChars="0" w:firstLine="0" w:firstLineChars="0"/>
              <w:jc w:val="center"/>
              <w:rPr>
                <w:color w:val="auto"/>
                <w:highlight w:val="none"/>
              </w:rPr>
            </w:pPr>
          </w:p>
        </w:tc>
        <w:tc>
          <w:tcPr>
            <w:tcW w:w="1369" w:type="dxa"/>
            <w:noWrap w:val="0"/>
            <w:vAlign w:val="center"/>
          </w:tcPr>
          <w:p w14:paraId="7F0A02B6">
            <w:pPr>
              <w:pStyle w:val="25"/>
              <w:ind w:left="0" w:leftChars="0" w:firstLine="0" w:firstLineChars="0"/>
              <w:jc w:val="center"/>
              <w:rPr>
                <w:color w:val="auto"/>
                <w:highlight w:val="none"/>
              </w:rPr>
            </w:pPr>
          </w:p>
        </w:tc>
        <w:tc>
          <w:tcPr>
            <w:tcW w:w="1092" w:type="dxa"/>
            <w:noWrap w:val="0"/>
            <w:vAlign w:val="center"/>
          </w:tcPr>
          <w:p w14:paraId="26DFBE75">
            <w:pPr>
              <w:pStyle w:val="25"/>
              <w:ind w:left="0" w:leftChars="0" w:firstLine="0" w:firstLineChars="0"/>
              <w:jc w:val="center"/>
              <w:rPr>
                <w:color w:val="auto"/>
                <w:highlight w:val="none"/>
              </w:rPr>
            </w:pPr>
          </w:p>
        </w:tc>
        <w:tc>
          <w:tcPr>
            <w:tcW w:w="1152" w:type="dxa"/>
            <w:noWrap w:val="0"/>
            <w:vAlign w:val="center"/>
          </w:tcPr>
          <w:p w14:paraId="38B83C55">
            <w:pPr>
              <w:pStyle w:val="25"/>
              <w:ind w:left="0" w:leftChars="0" w:firstLine="0" w:firstLineChars="0"/>
              <w:jc w:val="center"/>
              <w:rPr>
                <w:color w:val="auto"/>
                <w:highlight w:val="none"/>
              </w:rPr>
            </w:pPr>
          </w:p>
        </w:tc>
        <w:tc>
          <w:tcPr>
            <w:tcW w:w="1044" w:type="dxa"/>
            <w:noWrap w:val="0"/>
            <w:vAlign w:val="center"/>
          </w:tcPr>
          <w:p w14:paraId="7C09DE47">
            <w:pPr>
              <w:pStyle w:val="25"/>
              <w:ind w:left="0" w:leftChars="0" w:firstLine="0" w:firstLineChars="0"/>
              <w:jc w:val="center"/>
              <w:rPr>
                <w:color w:val="auto"/>
                <w:highlight w:val="none"/>
              </w:rPr>
            </w:pPr>
          </w:p>
        </w:tc>
      </w:tr>
      <w:tr w14:paraId="4537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B0572D">
            <w:pPr>
              <w:pStyle w:val="25"/>
              <w:ind w:left="0" w:leftChars="0" w:firstLine="0" w:firstLineChars="0"/>
              <w:jc w:val="center"/>
              <w:rPr>
                <w:color w:val="auto"/>
                <w:highlight w:val="none"/>
              </w:rPr>
            </w:pPr>
          </w:p>
        </w:tc>
        <w:tc>
          <w:tcPr>
            <w:tcW w:w="1363" w:type="dxa"/>
            <w:noWrap w:val="0"/>
            <w:vAlign w:val="center"/>
          </w:tcPr>
          <w:p w14:paraId="64C5AA18">
            <w:pPr>
              <w:pStyle w:val="25"/>
              <w:ind w:left="0" w:leftChars="0" w:firstLine="0" w:firstLineChars="0"/>
              <w:jc w:val="center"/>
              <w:rPr>
                <w:color w:val="auto"/>
                <w:highlight w:val="none"/>
              </w:rPr>
            </w:pPr>
          </w:p>
        </w:tc>
        <w:tc>
          <w:tcPr>
            <w:tcW w:w="956" w:type="dxa"/>
            <w:noWrap w:val="0"/>
            <w:vAlign w:val="center"/>
          </w:tcPr>
          <w:p w14:paraId="131EFA0A">
            <w:pPr>
              <w:pStyle w:val="25"/>
              <w:ind w:left="0" w:leftChars="0" w:firstLine="0" w:firstLineChars="0"/>
              <w:jc w:val="center"/>
              <w:rPr>
                <w:color w:val="auto"/>
                <w:highlight w:val="none"/>
              </w:rPr>
            </w:pPr>
          </w:p>
        </w:tc>
        <w:tc>
          <w:tcPr>
            <w:tcW w:w="956" w:type="dxa"/>
            <w:noWrap w:val="0"/>
            <w:vAlign w:val="center"/>
          </w:tcPr>
          <w:p w14:paraId="534D39CC">
            <w:pPr>
              <w:pStyle w:val="25"/>
              <w:ind w:left="0" w:leftChars="0" w:firstLine="0" w:firstLineChars="0"/>
              <w:jc w:val="center"/>
              <w:rPr>
                <w:color w:val="auto"/>
                <w:highlight w:val="none"/>
              </w:rPr>
            </w:pPr>
          </w:p>
        </w:tc>
        <w:tc>
          <w:tcPr>
            <w:tcW w:w="957" w:type="dxa"/>
            <w:noWrap w:val="0"/>
            <w:vAlign w:val="center"/>
          </w:tcPr>
          <w:p w14:paraId="775AEEC5">
            <w:pPr>
              <w:pStyle w:val="25"/>
              <w:ind w:left="0" w:leftChars="0" w:firstLine="0" w:firstLineChars="0"/>
              <w:jc w:val="center"/>
              <w:rPr>
                <w:color w:val="auto"/>
                <w:highlight w:val="none"/>
              </w:rPr>
            </w:pPr>
          </w:p>
        </w:tc>
        <w:tc>
          <w:tcPr>
            <w:tcW w:w="1369" w:type="dxa"/>
            <w:noWrap w:val="0"/>
            <w:vAlign w:val="center"/>
          </w:tcPr>
          <w:p w14:paraId="66B7753E">
            <w:pPr>
              <w:pStyle w:val="25"/>
              <w:ind w:left="0" w:leftChars="0" w:firstLine="0" w:firstLineChars="0"/>
              <w:jc w:val="center"/>
              <w:rPr>
                <w:color w:val="auto"/>
                <w:highlight w:val="none"/>
              </w:rPr>
            </w:pPr>
          </w:p>
        </w:tc>
        <w:tc>
          <w:tcPr>
            <w:tcW w:w="1092" w:type="dxa"/>
            <w:noWrap w:val="0"/>
            <w:vAlign w:val="center"/>
          </w:tcPr>
          <w:p w14:paraId="6494B125">
            <w:pPr>
              <w:pStyle w:val="25"/>
              <w:ind w:left="0" w:leftChars="0" w:firstLine="0" w:firstLineChars="0"/>
              <w:jc w:val="center"/>
              <w:rPr>
                <w:color w:val="auto"/>
                <w:highlight w:val="none"/>
              </w:rPr>
            </w:pPr>
          </w:p>
        </w:tc>
        <w:tc>
          <w:tcPr>
            <w:tcW w:w="1152" w:type="dxa"/>
            <w:noWrap w:val="0"/>
            <w:vAlign w:val="center"/>
          </w:tcPr>
          <w:p w14:paraId="75C48CCE">
            <w:pPr>
              <w:pStyle w:val="25"/>
              <w:ind w:left="0" w:leftChars="0" w:firstLine="0" w:firstLineChars="0"/>
              <w:jc w:val="center"/>
              <w:rPr>
                <w:color w:val="auto"/>
                <w:highlight w:val="none"/>
              </w:rPr>
            </w:pPr>
          </w:p>
        </w:tc>
        <w:tc>
          <w:tcPr>
            <w:tcW w:w="1044" w:type="dxa"/>
            <w:noWrap w:val="0"/>
            <w:vAlign w:val="center"/>
          </w:tcPr>
          <w:p w14:paraId="7DFDCBDC">
            <w:pPr>
              <w:pStyle w:val="25"/>
              <w:ind w:left="0" w:leftChars="0" w:firstLine="0" w:firstLineChars="0"/>
              <w:jc w:val="center"/>
              <w:rPr>
                <w:color w:val="auto"/>
                <w:highlight w:val="none"/>
              </w:rPr>
            </w:pPr>
          </w:p>
        </w:tc>
      </w:tr>
      <w:tr w14:paraId="1E63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157DAA">
            <w:pPr>
              <w:pStyle w:val="25"/>
              <w:ind w:left="0" w:leftChars="0" w:firstLine="0" w:firstLineChars="0"/>
              <w:jc w:val="center"/>
              <w:rPr>
                <w:color w:val="auto"/>
                <w:highlight w:val="none"/>
              </w:rPr>
            </w:pPr>
          </w:p>
        </w:tc>
        <w:tc>
          <w:tcPr>
            <w:tcW w:w="1363" w:type="dxa"/>
            <w:noWrap w:val="0"/>
            <w:vAlign w:val="center"/>
          </w:tcPr>
          <w:p w14:paraId="30BEA4B5">
            <w:pPr>
              <w:pStyle w:val="25"/>
              <w:ind w:left="0" w:leftChars="0" w:firstLine="0" w:firstLineChars="0"/>
              <w:jc w:val="center"/>
              <w:rPr>
                <w:color w:val="auto"/>
                <w:highlight w:val="none"/>
              </w:rPr>
            </w:pPr>
          </w:p>
        </w:tc>
        <w:tc>
          <w:tcPr>
            <w:tcW w:w="956" w:type="dxa"/>
            <w:noWrap w:val="0"/>
            <w:vAlign w:val="center"/>
          </w:tcPr>
          <w:p w14:paraId="533A3399">
            <w:pPr>
              <w:pStyle w:val="25"/>
              <w:ind w:left="0" w:leftChars="0" w:firstLine="0" w:firstLineChars="0"/>
              <w:jc w:val="center"/>
              <w:rPr>
                <w:color w:val="auto"/>
                <w:highlight w:val="none"/>
              </w:rPr>
            </w:pPr>
          </w:p>
        </w:tc>
        <w:tc>
          <w:tcPr>
            <w:tcW w:w="956" w:type="dxa"/>
            <w:noWrap w:val="0"/>
            <w:vAlign w:val="center"/>
          </w:tcPr>
          <w:p w14:paraId="575C094B">
            <w:pPr>
              <w:pStyle w:val="25"/>
              <w:ind w:left="0" w:leftChars="0" w:firstLine="0" w:firstLineChars="0"/>
              <w:jc w:val="center"/>
              <w:rPr>
                <w:color w:val="auto"/>
                <w:highlight w:val="none"/>
              </w:rPr>
            </w:pPr>
          </w:p>
        </w:tc>
        <w:tc>
          <w:tcPr>
            <w:tcW w:w="957" w:type="dxa"/>
            <w:noWrap w:val="0"/>
            <w:vAlign w:val="center"/>
          </w:tcPr>
          <w:p w14:paraId="1A72D7AE">
            <w:pPr>
              <w:pStyle w:val="25"/>
              <w:ind w:left="0" w:leftChars="0" w:firstLine="0" w:firstLineChars="0"/>
              <w:jc w:val="center"/>
              <w:rPr>
                <w:color w:val="auto"/>
                <w:highlight w:val="none"/>
              </w:rPr>
            </w:pPr>
          </w:p>
        </w:tc>
        <w:tc>
          <w:tcPr>
            <w:tcW w:w="1369" w:type="dxa"/>
            <w:noWrap w:val="0"/>
            <w:vAlign w:val="center"/>
          </w:tcPr>
          <w:p w14:paraId="2FB57C06">
            <w:pPr>
              <w:pStyle w:val="25"/>
              <w:ind w:left="0" w:leftChars="0" w:firstLine="0" w:firstLineChars="0"/>
              <w:jc w:val="center"/>
              <w:rPr>
                <w:color w:val="auto"/>
                <w:highlight w:val="none"/>
              </w:rPr>
            </w:pPr>
          </w:p>
        </w:tc>
        <w:tc>
          <w:tcPr>
            <w:tcW w:w="1092" w:type="dxa"/>
            <w:noWrap w:val="0"/>
            <w:vAlign w:val="center"/>
          </w:tcPr>
          <w:p w14:paraId="7B8BAE4D">
            <w:pPr>
              <w:pStyle w:val="25"/>
              <w:ind w:left="0" w:leftChars="0" w:firstLine="0" w:firstLineChars="0"/>
              <w:jc w:val="center"/>
              <w:rPr>
                <w:color w:val="auto"/>
                <w:highlight w:val="none"/>
              </w:rPr>
            </w:pPr>
          </w:p>
        </w:tc>
        <w:tc>
          <w:tcPr>
            <w:tcW w:w="1152" w:type="dxa"/>
            <w:noWrap w:val="0"/>
            <w:vAlign w:val="center"/>
          </w:tcPr>
          <w:p w14:paraId="4D27738A">
            <w:pPr>
              <w:pStyle w:val="25"/>
              <w:ind w:left="0" w:leftChars="0" w:firstLine="0" w:firstLineChars="0"/>
              <w:jc w:val="center"/>
              <w:rPr>
                <w:color w:val="auto"/>
                <w:highlight w:val="none"/>
              </w:rPr>
            </w:pPr>
          </w:p>
        </w:tc>
        <w:tc>
          <w:tcPr>
            <w:tcW w:w="1044" w:type="dxa"/>
            <w:noWrap w:val="0"/>
            <w:vAlign w:val="center"/>
          </w:tcPr>
          <w:p w14:paraId="1E7D4DD4">
            <w:pPr>
              <w:pStyle w:val="25"/>
              <w:ind w:left="0" w:leftChars="0" w:firstLine="0" w:firstLineChars="0"/>
              <w:jc w:val="center"/>
              <w:rPr>
                <w:color w:val="auto"/>
                <w:highlight w:val="none"/>
              </w:rPr>
            </w:pPr>
          </w:p>
        </w:tc>
      </w:tr>
      <w:tr w14:paraId="3F52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72A6B6">
            <w:pPr>
              <w:pStyle w:val="25"/>
              <w:ind w:left="0" w:leftChars="0" w:firstLine="0" w:firstLineChars="0"/>
              <w:jc w:val="center"/>
              <w:rPr>
                <w:color w:val="auto"/>
                <w:highlight w:val="none"/>
              </w:rPr>
            </w:pPr>
          </w:p>
        </w:tc>
        <w:tc>
          <w:tcPr>
            <w:tcW w:w="1363" w:type="dxa"/>
            <w:noWrap w:val="0"/>
            <w:vAlign w:val="center"/>
          </w:tcPr>
          <w:p w14:paraId="3AC20591">
            <w:pPr>
              <w:pStyle w:val="25"/>
              <w:ind w:left="0" w:leftChars="0" w:firstLine="0" w:firstLineChars="0"/>
              <w:jc w:val="center"/>
              <w:rPr>
                <w:color w:val="auto"/>
                <w:highlight w:val="none"/>
              </w:rPr>
            </w:pPr>
          </w:p>
        </w:tc>
        <w:tc>
          <w:tcPr>
            <w:tcW w:w="956" w:type="dxa"/>
            <w:noWrap w:val="0"/>
            <w:vAlign w:val="center"/>
          </w:tcPr>
          <w:p w14:paraId="69D60D70">
            <w:pPr>
              <w:pStyle w:val="25"/>
              <w:ind w:left="0" w:leftChars="0" w:firstLine="0" w:firstLineChars="0"/>
              <w:jc w:val="center"/>
              <w:rPr>
                <w:color w:val="auto"/>
                <w:highlight w:val="none"/>
              </w:rPr>
            </w:pPr>
          </w:p>
        </w:tc>
        <w:tc>
          <w:tcPr>
            <w:tcW w:w="956" w:type="dxa"/>
            <w:noWrap w:val="0"/>
            <w:vAlign w:val="center"/>
          </w:tcPr>
          <w:p w14:paraId="0BD97974">
            <w:pPr>
              <w:pStyle w:val="25"/>
              <w:ind w:left="0" w:leftChars="0" w:firstLine="0" w:firstLineChars="0"/>
              <w:jc w:val="center"/>
              <w:rPr>
                <w:color w:val="auto"/>
                <w:highlight w:val="none"/>
              </w:rPr>
            </w:pPr>
          </w:p>
        </w:tc>
        <w:tc>
          <w:tcPr>
            <w:tcW w:w="957" w:type="dxa"/>
            <w:noWrap w:val="0"/>
            <w:vAlign w:val="center"/>
          </w:tcPr>
          <w:p w14:paraId="4363527D">
            <w:pPr>
              <w:pStyle w:val="25"/>
              <w:ind w:left="0" w:leftChars="0" w:firstLine="0" w:firstLineChars="0"/>
              <w:jc w:val="center"/>
              <w:rPr>
                <w:color w:val="auto"/>
                <w:highlight w:val="none"/>
              </w:rPr>
            </w:pPr>
          </w:p>
        </w:tc>
        <w:tc>
          <w:tcPr>
            <w:tcW w:w="1369" w:type="dxa"/>
            <w:noWrap w:val="0"/>
            <w:vAlign w:val="center"/>
          </w:tcPr>
          <w:p w14:paraId="6AF120B3">
            <w:pPr>
              <w:pStyle w:val="25"/>
              <w:ind w:left="0" w:leftChars="0" w:firstLine="0" w:firstLineChars="0"/>
              <w:jc w:val="center"/>
              <w:rPr>
                <w:color w:val="auto"/>
                <w:highlight w:val="none"/>
              </w:rPr>
            </w:pPr>
          </w:p>
        </w:tc>
        <w:tc>
          <w:tcPr>
            <w:tcW w:w="1092" w:type="dxa"/>
            <w:noWrap w:val="0"/>
            <w:vAlign w:val="center"/>
          </w:tcPr>
          <w:p w14:paraId="19249949">
            <w:pPr>
              <w:pStyle w:val="25"/>
              <w:ind w:left="0" w:leftChars="0" w:firstLine="0" w:firstLineChars="0"/>
              <w:jc w:val="center"/>
              <w:rPr>
                <w:color w:val="auto"/>
                <w:highlight w:val="none"/>
              </w:rPr>
            </w:pPr>
          </w:p>
        </w:tc>
        <w:tc>
          <w:tcPr>
            <w:tcW w:w="1152" w:type="dxa"/>
            <w:noWrap w:val="0"/>
            <w:vAlign w:val="center"/>
          </w:tcPr>
          <w:p w14:paraId="27288C60">
            <w:pPr>
              <w:pStyle w:val="25"/>
              <w:ind w:left="0" w:leftChars="0" w:firstLine="0" w:firstLineChars="0"/>
              <w:jc w:val="center"/>
              <w:rPr>
                <w:color w:val="auto"/>
                <w:highlight w:val="none"/>
              </w:rPr>
            </w:pPr>
          </w:p>
        </w:tc>
        <w:tc>
          <w:tcPr>
            <w:tcW w:w="1044" w:type="dxa"/>
            <w:noWrap w:val="0"/>
            <w:vAlign w:val="center"/>
          </w:tcPr>
          <w:p w14:paraId="1DBC90CA">
            <w:pPr>
              <w:pStyle w:val="25"/>
              <w:ind w:left="0" w:leftChars="0" w:firstLine="0" w:firstLineChars="0"/>
              <w:jc w:val="center"/>
              <w:rPr>
                <w:color w:val="auto"/>
                <w:highlight w:val="none"/>
              </w:rPr>
            </w:pPr>
          </w:p>
        </w:tc>
      </w:tr>
      <w:tr w14:paraId="1FF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DF7944">
            <w:pPr>
              <w:pStyle w:val="25"/>
              <w:ind w:left="0" w:leftChars="0" w:firstLine="0" w:firstLineChars="0"/>
              <w:jc w:val="center"/>
              <w:rPr>
                <w:color w:val="auto"/>
                <w:highlight w:val="none"/>
              </w:rPr>
            </w:pPr>
          </w:p>
        </w:tc>
        <w:tc>
          <w:tcPr>
            <w:tcW w:w="1363" w:type="dxa"/>
            <w:noWrap w:val="0"/>
            <w:vAlign w:val="center"/>
          </w:tcPr>
          <w:p w14:paraId="465D702A">
            <w:pPr>
              <w:pStyle w:val="25"/>
              <w:ind w:left="0" w:leftChars="0" w:firstLine="0" w:firstLineChars="0"/>
              <w:jc w:val="center"/>
              <w:rPr>
                <w:color w:val="auto"/>
                <w:highlight w:val="none"/>
              </w:rPr>
            </w:pPr>
          </w:p>
        </w:tc>
        <w:tc>
          <w:tcPr>
            <w:tcW w:w="956" w:type="dxa"/>
            <w:noWrap w:val="0"/>
            <w:vAlign w:val="center"/>
          </w:tcPr>
          <w:p w14:paraId="0C5A80DF">
            <w:pPr>
              <w:pStyle w:val="25"/>
              <w:ind w:left="0" w:leftChars="0" w:firstLine="0" w:firstLineChars="0"/>
              <w:jc w:val="center"/>
              <w:rPr>
                <w:color w:val="auto"/>
                <w:highlight w:val="none"/>
              </w:rPr>
            </w:pPr>
          </w:p>
        </w:tc>
        <w:tc>
          <w:tcPr>
            <w:tcW w:w="956" w:type="dxa"/>
            <w:noWrap w:val="0"/>
            <w:vAlign w:val="center"/>
          </w:tcPr>
          <w:p w14:paraId="1EECCA29">
            <w:pPr>
              <w:pStyle w:val="25"/>
              <w:ind w:left="0" w:leftChars="0" w:firstLine="0" w:firstLineChars="0"/>
              <w:jc w:val="center"/>
              <w:rPr>
                <w:color w:val="auto"/>
                <w:highlight w:val="none"/>
              </w:rPr>
            </w:pPr>
          </w:p>
        </w:tc>
        <w:tc>
          <w:tcPr>
            <w:tcW w:w="957" w:type="dxa"/>
            <w:noWrap w:val="0"/>
            <w:vAlign w:val="center"/>
          </w:tcPr>
          <w:p w14:paraId="685E22A4">
            <w:pPr>
              <w:pStyle w:val="25"/>
              <w:ind w:left="0" w:leftChars="0" w:firstLine="0" w:firstLineChars="0"/>
              <w:jc w:val="center"/>
              <w:rPr>
                <w:color w:val="auto"/>
                <w:highlight w:val="none"/>
              </w:rPr>
            </w:pPr>
          </w:p>
        </w:tc>
        <w:tc>
          <w:tcPr>
            <w:tcW w:w="1369" w:type="dxa"/>
            <w:noWrap w:val="0"/>
            <w:vAlign w:val="center"/>
          </w:tcPr>
          <w:p w14:paraId="0D4A84AD">
            <w:pPr>
              <w:pStyle w:val="25"/>
              <w:ind w:left="0" w:leftChars="0" w:firstLine="0" w:firstLineChars="0"/>
              <w:jc w:val="center"/>
              <w:rPr>
                <w:color w:val="auto"/>
                <w:highlight w:val="none"/>
              </w:rPr>
            </w:pPr>
          </w:p>
        </w:tc>
        <w:tc>
          <w:tcPr>
            <w:tcW w:w="1092" w:type="dxa"/>
            <w:noWrap w:val="0"/>
            <w:vAlign w:val="center"/>
          </w:tcPr>
          <w:p w14:paraId="2339673E">
            <w:pPr>
              <w:pStyle w:val="25"/>
              <w:ind w:left="0" w:leftChars="0" w:firstLine="0" w:firstLineChars="0"/>
              <w:jc w:val="center"/>
              <w:rPr>
                <w:color w:val="auto"/>
                <w:highlight w:val="none"/>
              </w:rPr>
            </w:pPr>
          </w:p>
        </w:tc>
        <w:tc>
          <w:tcPr>
            <w:tcW w:w="1152" w:type="dxa"/>
            <w:noWrap w:val="0"/>
            <w:vAlign w:val="center"/>
          </w:tcPr>
          <w:p w14:paraId="4FB6BAD6">
            <w:pPr>
              <w:pStyle w:val="25"/>
              <w:ind w:left="0" w:leftChars="0" w:firstLine="0" w:firstLineChars="0"/>
              <w:jc w:val="center"/>
              <w:rPr>
                <w:color w:val="auto"/>
                <w:highlight w:val="none"/>
              </w:rPr>
            </w:pPr>
          </w:p>
        </w:tc>
        <w:tc>
          <w:tcPr>
            <w:tcW w:w="1044" w:type="dxa"/>
            <w:noWrap w:val="0"/>
            <w:vAlign w:val="center"/>
          </w:tcPr>
          <w:p w14:paraId="05CEF35B">
            <w:pPr>
              <w:pStyle w:val="25"/>
              <w:ind w:left="0" w:leftChars="0" w:firstLine="0" w:firstLineChars="0"/>
              <w:jc w:val="center"/>
              <w:rPr>
                <w:color w:val="auto"/>
                <w:highlight w:val="none"/>
              </w:rPr>
            </w:pPr>
          </w:p>
        </w:tc>
      </w:tr>
      <w:tr w14:paraId="5BFF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428A79">
            <w:pPr>
              <w:pStyle w:val="25"/>
              <w:ind w:left="0" w:leftChars="0" w:firstLine="0" w:firstLineChars="0"/>
              <w:jc w:val="center"/>
              <w:rPr>
                <w:color w:val="auto"/>
                <w:highlight w:val="none"/>
              </w:rPr>
            </w:pPr>
          </w:p>
        </w:tc>
        <w:tc>
          <w:tcPr>
            <w:tcW w:w="1363" w:type="dxa"/>
            <w:noWrap w:val="0"/>
            <w:vAlign w:val="center"/>
          </w:tcPr>
          <w:p w14:paraId="4642A000">
            <w:pPr>
              <w:pStyle w:val="25"/>
              <w:ind w:left="0" w:leftChars="0" w:firstLine="0" w:firstLineChars="0"/>
              <w:jc w:val="center"/>
              <w:rPr>
                <w:color w:val="auto"/>
                <w:highlight w:val="none"/>
              </w:rPr>
            </w:pPr>
          </w:p>
        </w:tc>
        <w:tc>
          <w:tcPr>
            <w:tcW w:w="956" w:type="dxa"/>
            <w:noWrap w:val="0"/>
            <w:vAlign w:val="center"/>
          </w:tcPr>
          <w:p w14:paraId="15F4F257">
            <w:pPr>
              <w:pStyle w:val="25"/>
              <w:ind w:left="0" w:leftChars="0" w:firstLine="0" w:firstLineChars="0"/>
              <w:jc w:val="center"/>
              <w:rPr>
                <w:color w:val="auto"/>
                <w:highlight w:val="none"/>
              </w:rPr>
            </w:pPr>
          </w:p>
        </w:tc>
        <w:tc>
          <w:tcPr>
            <w:tcW w:w="956" w:type="dxa"/>
            <w:noWrap w:val="0"/>
            <w:vAlign w:val="center"/>
          </w:tcPr>
          <w:p w14:paraId="10688A58">
            <w:pPr>
              <w:pStyle w:val="25"/>
              <w:ind w:left="0" w:leftChars="0" w:firstLine="0" w:firstLineChars="0"/>
              <w:jc w:val="center"/>
              <w:rPr>
                <w:color w:val="auto"/>
                <w:highlight w:val="none"/>
              </w:rPr>
            </w:pPr>
          </w:p>
        </w:tc>
        <w:tc>
          <w:tcPr>
            <w:tcW w:w="957" w:type="dxa"/>
            <w:noWrap w:val="0"/>
            <w:vAlign w:val="center"/>
          </w:tcPr>
          <w:p w14:paraId="296A7247">
            <w:pPr>
              <w:pStyle w:val="25"/>
              <w:ind w:left="0" w:leftChars="0" w:firstLine="0" w:firstLineChars="0"/>
              <w:jc w:val="center"/>
              <w:rPr>
                <w:color w:val="auto"/>
                <w:highlight w:val="none"/>
              </w:rPr>
            </w:pPr>
          </w:p>
        </w:tc>
        <w:tc>
          <w:tcPr>
            <w:tcW w:w="1369" w:type="dxa"/>
            <w:noWrap w:val="0"/>
            <w:vAlign w:val="center"/>
          </w:tcPr>
          <w:p w14:paraId="72F99288">
            <w:pPr>
              <w:pStyle w:val="25"/>
              <w:ind w:left="0" w:leftChars="0" w:firstLine="0" w:firstLineChars="0"/>
              <w:jc w:val="center"/>
              <w:rPr>
                <w:color w:val="auto"/>
                <w:highlight w:val="none"/>
              </w:rPr>
            </w:pPr>
          </w:p>
        </w:tc>
        <w:tc>
          <w:tcPr>
            <w:tcW w:w="1092" w:type="dxa"/>
            <w:noWrap w:val="0"/>
            <w:vAlign w:val="center"/>
          </w:tcPr>
          <w:p w14:paraId="07FE63E5">
            <w:pPr>
              <w:pStyle w:val="25"/>
              <w:ind w:left="0" w:leftChars="0" w:firstLine="0" w:firstLineChars="0"/>
              <w:jc w:val="center"/>
              <w:rPr>
                <w:color w:val="auto"/>
                <w:highlight w:val="none"/>
              </w:rPr>
            </w:pPr>
          </w:p>
        </w:tc>
        <w:tc>
          <w:tcPr>
            <w:tcW w:w="1152" w:type="dxa"/>
            <w:noWrap w:val="0"/>
            <w:vAlign w:val="center"/>
          </w:tcPr>
          <w:p w14:paraId="3EDE3166">
            <w:pPr>
              <w:pStyle w:val="25"/>
              <w:ind w:left="0" w:leftChars="0" w:firstLine="0" w:firstLineChars="0"/>
              <w:jc w:val="center"/>
              <w:rPr>
                <w:color w:val="auto"/>
                <w:highlight w:val="none"/>
              </w:rPr>
            </w:pPr>
          </w:p>
        </w:tc>
        <w:tc>
          <w:tcPr>
            <w:tcW w:w="1044" w:type="dxa"/>
            <w:noWrap w:val="0"/>
            <w:vAlign w:val="center"/>
          </w:tcPr>
          <w:p w14:paraId="0E6B54C7">
            <w:pPr>
              <w:pStyle w:val="25"/>
              <w:ind w:left="0" w:leftChars="0" w:firstLine="0" w:firstLineChars="0"/>
              <w:jc w:val="center"/>
              <w:rPr>
                <w:color w:val="auto"/>
                <w:highlight w:val="none"/>
              </w:rPr>
            </w:pPr>
          </w:p>
        </w:tc>
      </w:tr>
      <w:tr w14:paraId="7DF2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D3D271">
            <w:pPr>
              <w:pStyle w:val="25"/>
              <w:ind w:left="0" w:leftChars="0" w:firstLine="0" w:firstLineChars="0"/>
              <w:jc w:val="center"/>
              <w:rPr>
                <w:color w:val="auto"/>
                <w:highlight w:val="none"/>
              </w:rPr>
            </w:pPr>
          </w:p>
        </w:tc>
        <w:tc>
          <w:tcPr>
            <w:tcW w:w="1363" w:type="dxa"/>
            <w:noWrap w:val="0"/>
            <w:vAlign w:val="center"/>
          </w:tcPr>
          <w:p w14:paraId="17BFB5A7">
            <w:pPr>
              <w:pStyle w:val="25"/>
              <w:ind w:left="0" w:leftChars="0" w:firstLine="0" w:firstLineChars="0"/>
              <w:jc w:val="center"/>
              <w:rPr>
                <w:color w:val="auto"/>
                <w:highlight w:val="none"/>
              </w:rPr>
            </w:pPr>
          </w:p>
        </w:tc>
        <w:tc>
          <w:tcPr>
            <w:tcW w:w="956" w:type="dxa"/>
            <w:noWrap w:val="0"/>
            <w:vAlign w:val="center"/>
          </w:tcPr>
          <w:p w14:paraId="659D7D90">
            <w:pPr>
              <w:pStyle w:val="25"/>
              <w:ind w:left="0" w:leftChars="0" w:firstLine="0" w:firstLineChars="0"/>
              <w:jc w:val="center"/>
              <w:rPr>
                <w:color w:val="auto"/>
                <w:highlight w:val="none"/>
              </w:rPr>
            </w:pPr>
          </w:p>
        </w:tc>
        <w:tc>
          <w:tcPr>
            <w:tcW w:w="956" w:type="dxa"/>
            <w:noWrap w:val="0"/>
            <w:vAlign w:val="center"/>
          </w:tcPr>
          <w:p w14:paraId="611FA023">
            <w:pPr>
              <w:pStyle w:val="25"/>
              <w:ind w:left="0" w:leftChars="0" w:firstLine="0" w:firstLineChars="0"/>
              <w:jc w:val="center"/>
              <w:rPr>
                <w:color w:val="auto"/>
                <w:highlight w:val="none"/>
              </w:rPr>
            </w:pPr>
          </w:p>
        </w:tc>
        <w:tc>
          <w:tcPr>
            <w:tcW w:w="957" w:type="dxa"/>
            <w:noWrap w:val="0"/>
            <w:vAlign w:val="center"/>
          </w:tcPr>
          <w:p w14:paraId="42468FD6">
            <w:pPr>
              <w:pStyle w:val="25"/>
              <w:ind w:left="0" w:leftChars="0" w:firstLine="0" w:firstLineChars="0"/>
              <w:jc w:val="center"/>
              <w:rPr>
                <w:color w:val="auto"/>
                <w:highlight w:val="none"/>
              </w:rPr>
            </w:pPr>
          </w:p>
        </w:tc>
        <w:tc>
          <w:tcPr>
            <w:tcW w:w="1369" w:type="dxa"/>
            <w:noWrap w:val="0"/>
            <w:vAlign w:val="center"/>
          </w:tcPr>
          <w:p w14:paraId="4E07B104">
            <w:pPr>
              <w:pStyle w:val="25"/>
              <w:ind w:left="0" w:leftChars="0" w:firstLine="0" w:firstLineChars="0"/>
              <w:jc w:val="center"/>
              <w:rPr>
                <w:color w:val="auto"/>
                <w:highlight w:val="none"/>
              </w:rPr>
            </w:pPr>
          </w:p>
        </w:tc>
        <w:tc>
          <w:tcPr>
            <w:tcW w:w="1092" w:type="dxa"/>
            <w:noWrap w:val="0"/>
            <w:vAlign w:val="center"/>
          </w:tcPr>
          <w:p w14:paraId="48F9D05E">
            <w:pPr>
              <w:pStyle w:val="25"/>
              <w:ind w:left="0" w:leftChars="0" w:firstLine="0" w:firstLineChars="0"/>
              <w:jc w:val="center"/>
              <w:rPr>
                <w:color w:val="auto"/>
                <w:highlight w:val="none"/>
              </w:rPr>
            </w:pPr>
          </w:p>
        </w:tc>
        <w:tc>
          <w:tcPr>
            <w:tcW w:w="1152" w:type="dxa"/>
            <w:noWrap w:val="0"/>
            <w:vAlign w:val="center"/>
          </w:tcPr>
          <w:p w14:paraId="27502CEE">
            <w:pPr>
              <w:pStyle w:val="25"/>
              <w:ind w:left="0" w:leftChars="0" w:firstLine="0" w:firstLineChars="0"/>
              <w:jc w:val="center"/>
              <w:rPr>
                <w:color w:val="auto"/>
                <w:highlight w:val="none"/>
              </w:rPr>
            </w:pPr>
          </w:p>
        </w:tc>
        <w:tc>
          <w:tcPr>
            <w:tcW w:w="1044" w:type="dxa"/>
            <w:noWrap w:val="0"/>
            <w:vAlign w:val="center"/>
          </w:tcPr>
          <w:p w14:paraId="14405089">
            <w:pPr>
              <w:pStyle w:val="25"/>
              <w:ind w:left="0" w:leftChars="0" w:firstLine="0" w:firstLineChars="0"/>
              <w:jc w:val="center"/>
              <w:rPr>
                <w:color w:val="auto"/>
                <w:highlight w:val="none"/>
              </w:rPr>
            </w:pPr>
          </w:p>
        </w:tc>
      </w:tr>
      <w:tr w14:paraId="3D90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344117">
            <w:pPr>
              <w:pStyle w:val="25"/>
              <w:ind w:left="0" w:leftChars="0" w:firstLine="0" w:firstLineChars="0"/>
              <w:jc w:val="center"/>
              <w:rPr>
                <w:color w:val="auto"/>
                <w:highlight w:val="none"/>
              </w:rPr>
            </w:pPr>
          </w:p>
        </w:tc>
        <w:tc>
          <w:tcPr>
            <w:tcW w:w="1363" w:type="dxa"/>
            <w:noWrap w:val="0"/>
            <w:vAlign w:val="center"/>
          </w:tcPr>
          <w:p w14:paraId="56E08EBA">
            <w:pPr>
              <w:pStyle w:val="25"/>
              <w:ind w:left="0" w:leftChars="0" w:firstLine="0" w:firstLineChars="0"/>
              <w:jc w:val="center"/>
              <w:rPr>
                <w:color w:val="auto"/>
                <w:highlight w:val="none"/>
              </w:rPr>
            </w:pPr>
          </w:p>
        </w:tc>
        <w:tc>
          <w:tcPr>
            <w:tcW w:w="956" w:type="dxa"/>
            <w:noWrap w:val="0"/>
            <w:vAlign w:val="center"/>
          </w:tcPr>
          <w:p w14:paraId="608C4926">
            <w:pPr>
              <w:pStyle w:val="25"/>
              <w:ind w:left="0" w:leftChars="0" w:firstLine="0" w:firstLineChars="0"/>
              <w:jc w:val="center"/>
              <w:rPr>
                <w:color w:val="auto"/>
                <w:highlight w:val="none"/>
              </w:rPr>
            </w:pPr>
          </w:p>
        </w:tc>
        <w:tc>
          <w:tcPr>
            <w:tcW w:w="956" w:type="dxa"/>
            <w:noWrap w:val="0"/>
            <w:vAlign w:val="center"/>
          </w:tcPr>
          <w:p w14:paraId="77772E5A">
            <w:pPr>
              <w:pStyle w:val="25"/>
              <w:ind w:left="0" w:leftChars="0" w:firstLine="0" w:firstLineChars="0"/>
              <w:jc w:val="center"/>
              <w:rPr>
                <w:color w:val="auto"/>
                <w:highlight w:val="none"/>
              </w:rPr>
            </w:pPr>
          </w:p>
        </w:tc>
        <w:tc>
          <w:tcPr>
            <w:tcW w:w="957" w:type="dxa"/>
            <w:noWrap w:val="0"/>
            <w:vAlign w:val="center"/>
          </w:tcPr>
          <w:p w14:paraId="2C70DFA9">
            <w:pPr>
              <w:pStyle w:val="25"/>
              <w:ind w:left="0" w:leftChars="0" w:firstLine="0" w:firstLineChars="0"/>
              <w:jc w:val="center"/>
              <w:rPr>
                <w:color w:val="auto"/>
                <w:highlight w:val="none"/>
              </w:rPr>
            </w:pPr>
          </w:p>
        </w:tc>
        <w:tc>
          <w:tcPr>
            <w:tcW w:w="1369" w:type="dxa"/>
            <w:noWrap w:val="0"/>
            <w:vAlign w:val="center"/>
          </w:tcPr>
          <w:p w14:paraId="73C358BD">
            <w:pPr>
              <w:pStyle w:val="25"/>
              <w:ind w:left="0" w:leftChars="0" w:firstLine="0" w:firstLineChars="0"/>
              <w:jc w:val="center"/>
              <w:rPr>
                <w:color w:val="auto"/>
                <w:highlight w:val="none"/>
              </w:rPr>
            </w:pPr>
          </w:p>
        </w:tc>
        <w:tc>
          <w:tcPr>
            <w:tcW w:w="1092" w:type="dxa"/>
            <w:noWrap w:val="0"/>
            <w:vAlign w:val="center"/>
          </w:tcPr>
          <w:p w14:paraId="6AA22F5F">
            <w:pPr>
              <w:pStyle w:val="25"/>
              <w:ind w:left="0" w:leftChars="0" w:firstLine="0" w:firstLineChars="0"/>
              <w:jc w:val="center"/>
              <w:rPr>
                <w:color w:val="auto"/>
                <w:highlight w:val="none"/>
              </w:rPr>
            </w:pPr>
          </w:p>
        </w:tc>
        <w:tc>
          <w:tcPr>
            <w:tcW w:w="1152" w:type="dxa"/>
            <w:noWrap w:val="0"/>
            <w:vAlign w:val="center"/>
          </w:tcPr>
          <w:p w14:paraId="220B33D1">
            <w:pPr>
              <w:pStyle w:val="25"/>
              <w:ind w:left="0" w:leftChars="0" w:firstLine="0" w:firstLineChars="0"/>
              <w:jc w:val="center"/>
              <w:rPr>
                <w:color w:val="auto"/>
                <w:highlight w:val="none"/>
              </w:rPr>
            </w:pPr>
          </w:p>
        </w:tc>
        <w:tc>
          <w:tcPr>
            <w:tcW w:w="1044" w:type="dxa"/>
            <w:noWrap w:val="0"/>
            <w:vAlign w:val="center"/>
          </w:tcPr>
          <w:p w14:paraId="28F727FF">
            <w:pPr>
              <w:pStyle w:val="25"/>
              <w:ind w:left="0" w:leftChars="0" w:firstLine="0" w:firstLineChars="0"/>
              <w:jc w:val="center"/>
              <w:rPr>
                <w:color w:val="auto"/>
                <w:highlight w:val="none"/>
              </w:rPr>
            </w:pPr>
          </w:p>
        </w:tc>
      </w:tr>
      <w:tr w14:paraId="2C83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8C5134">
            <w:pPr>
              <w:pStyle w:val="25"/>
              <w:ind w:left="0" w:leftChars="0" w:firstLine="0" w:firstLineChars="0"/>
              <w:jc w:val="center"/>
              <w:rPr>
                <w:color w:val="auto"/>
                <w:highlight w:val="none"/>
              </w:rPr>
            </w:pPr>
          </w:p>
        </w:tc>
        <w:tc>
          <w:tcPr>
            <w:tcW w:w="1363" w:type="dxa"/>
            <w:noWrap w:val="0"/>
            <w:vAlign w:val="center"/>
          </w:tcPr>
          <w:p w14:paraId="26C76B51">
            <w:pPr>
              <w:pStyle w:val="25"/>
              <w:ind w:left="0" w:leftChars="0" w:firstLine="0" w:firstLineChars="0"/>
              <w:jc w:val="center"/>
              <w:rPr>
                <w:color w:val="auto"/>
                <w:highlight w:val="none"/>
              </w:rPr>
            </w:pPr>
          </w:p>
        </w:tc>
        <w:tc>
          <w:tcPr>
            <w:tcW w:w="956" w:type="dxa"/>
            <w:noWrap w:val="0"/>
            <w:vAlign w:val="center"/>
          </w:tcPr>
          <w:p w14:paraId="01CDF018">
            <w:pPr>
              <w:pStyle w:val="25"/>
              <w:ind w:left="0" w:leftChars="0" w:firstLine="0" w:firstLineChars="0"/>
              <w:jc w:val="center"/>
              <w:rPr>
                <w:color w:val="auto"/>
                <w:highlight w:val="none"/>
              </w:rPr>
            </w:pPr>
          </w:p>
        </w:tc>
        <w:tc>
          <w:tcPr>
            <w:tcW w:w="956" w:type="dxa"/>
            <w:noWrap w:val="0"/>
            <w:vAlign w:val="center"/>
          </w:tcPr>
          <w:p w14:paraId="360CE2E9">
            <w:pPr>
              <w:pStyle w:val="25"/>
              <w:ind w:left="0" w:leftChars="0" w:firstLine="0" w:firstLineChars="0"/>
              <w:jc w:val="center"/>
              <w:rPr>
                <w:color w:val="auto"/>
                <w:highlight w:val="none"/>
              </w:rPr>
            </w:pPr>
          </w:p>
        </w:tc>
        <w:tc>
          <w:tcPr>
            <w:tcW w:w="957" w:type="dxa"/>
            <w:noWrap w:val="0"/>
            <w:vAlign w:val="center"/>
          </w:tcPr>
          <w:p w14:paraId="14118566">
            <w:pPr>
              <w:pStyle w:val="25"/>
              <w:ind w:left="0" w:leftChars="0" w:firstLine="0" w:firstLineChars="0"/>
              <w:jc w:val="center"/>
              <w:rPr>
                <w:color w:val="auto"/>
                <w:highlight w:val="none"/>
              </w:rPr>
            </w:pPr>
          </w:p>
        </w:tc>
        <w:tc>
          <w:tcPr>
            <w:tcW w:w="1369" w:type="dxa"/>
            <w:noWrap w:val="0"/>
            <w:vAlign w:val="center"/>
          </w:tcPr>
          <w:p w14:paraId="7D37D6E5">
            <w:pPr>
              <w:pStyle w:val="25"/>
              <w:ind w:left="0" w:leftChars="0" w:firstLine="0" w:firstLineChars="0"/>
              <w:jc w:val="center"/>
              <w:rPr>
                <w:color w:val="auto"/>
                <w:highlight w:val="none"/>
              </w:rPr>
            </w:pPr>
          </w:p>
        </w:tc>
        <w:tc>
          <w:tcPr>
            <w:tcW w:w="1092" w:type="dxa"/>
            <w:noWrap w:val="0"/>
            <w:vAlign w:val="center"/>
          </w:tcPr>
          <w:p w14:paraId="7AF3D219">
            <w:pPr>
              <w:pStyle w:val="25"/>
              <w:ind w:left="0" w:leftChars="0" w:firstLine="0" w:firstLineChars="0"/>
              <w:jc w:val="center"/>
              <w:rPr>
                <w:color w:val="auto"/>
                <w:highlight w:val="none"/>
              </w:rPr>
            </w:pPr>
          </w:p>
        </w:tc>
        <w:tc>
          <w:tcPr>
            <w:tcW w:w="1152" w:type="dxa"/>
            <w:noWrap w:val="0"/>
            <w:vAlign w:val="center"/>
          </w:tcPr>
          <w:p w14:paraId="5F52BEAC">
            <w:pPr>
              <w:pStyle w:val="25"/>
              <w:ind w:left="0" w:leftChars="0" w:firstLine="0" w:firstLineChars="0"/>
              <w:jc w:val="center"/>
              <w:rPr>
                <w:color w:val="auto"/>
                <w:highlight w:val="none"/>
              </w:rPr>
            </w:pPr>
          </w:p>
        </w:tc>
        <w:tc>
          <w:tcPr>
            <w:tcW w:w="1044" w:type="dxa"/>
            <w:noWrap w:val="0"/>
            <w:vAlign w:val="center"/>
          </w:tcPr>
          <w:p w14:paraId="0D10C21C">
            <w:pPr>
              <w:pStyle w:val="25"/>
              <w:ind w:left="0" w:leftChars="0" w:firstLine="0" w:firstLineChars="0"/>
              <w:jc w:val="center"/>
              <w:rPr>
                <w:color w:val="auto"/>
                <w:highlight w:val="none"/>
              </w:rPr>
            </w:pPr>
          </w:p>
        </w:tc>
      </w:tr>
      <w:tr w14:paraId="53A8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924F60">
            <w:pPr>
              <w:pStyle w:val="25"/>
              <w:ind w:left="0" w:leftChars="0" w:firstLine="0" w:firstLineChars="0"/>
              <w:jc w:val="center"/>
              <w:rPr>
                <w:color w:val="auto"/>
                <w:highlight w:val="none"/>
              </w:rPr>
            </w:pPr>
          </w:p>
        </w:tc>
        <w:tc>
          <w:tcPr>
            <w:tcW w:w="1363" w:type="dxa"/>
            <w:noWrap w:val="0"/>
            <w:vAlign w:val="center"/>
          </w:tcPr>
          <w:p w14:paraId="11AEEC47">
            <w:pPr>
              <w:pStyle w:val="25"/>
              <w:ind w:left="0" w:leftChars="0" w:firstLine="0" w:firstLineChars="0"/>
              <w:jc w:val="center"/>
              <w:rPr>
                <w:color w:val="auto"/>
                <w:highlight w:val="none"/>
              </w:rPr>
            </w:pPr>
          </w:p>
        </w:tc>
        <w:tc>
          <w:tcPr>
            <w:tcW w:w="956" w:type="dxa"/>
            <w:noWrap w:val="0"/>
            <w:vAlign w:val="center"/>
          </w:tcPr>
          <w:p w14:paraId="75780759">
            <w:pPr>
              <w:pStyle w:val="25"/>
              <w:ind w:left="0" w:leftChars="0" w:firstLine="0" w:firstLineChars="0"/>
              <w:jc w:val="center"/>
              <w:rPr>
                <w:color w:val="auto"/>
                <w:highlight w:val="none"/>
              </w:rPr>
            </w:pPr>
          </w:p>
        </w:tc>
        <w:tc>
          <w:tcPr>
            <w:tcW w:w="956" w:type="dxa"/>
            <w:noWrap w:val="0"/>
            <w:vAlign w:val="center"/>
          </w:tcPr>
          <w:p w14:paraId="207ED3AA">
            <w:pPr>
              <w:pStyle w:val="25"/>
              <w:ind w:left="0" w:leftChars="0" w:firstLine="0" w:firstLineChars="0"/>
              <w:jc w:val="center"/>
              <w:rPr>
                <w:color w:val="auto"/>
                <w:highlight w:val="none"/>
              </w:rPr>
            </w:pPr>
          </w:p>
        </w:tc>
        <w:tc>
          <w:tcPr>
            <w:tcW w:w="957" w:type="dxa"/>
            <w:noWrap w:val="0"/>
            <w:vAlign w:val="center"/>
          </w:tcPr>
          <w:p w14:paraId="220A7B6F">
            <w:pPr>
              <w:pStyle w:val="25"/>
              <w:ind w:left="0" w:leftChars="0" w:firstLine="0" w:firstLineChars="0"/>
              <w:jc w:val="center"/>
              <w:rPr>
                <w:color w:val="auto"/>
                <w:highlight w:val="none"/>
              </w:rPr>
            </w:pPr>
          </w:p>
        </w:tc>
        <w:tc>
          <w:tcPr>
            <w:tcW w:w="1369" w:type="dxa"/>
            <w:noWrap w:val="0"/>
            <w:vAlign w:val="center"/>
          </w:tcPr>
          <w:p w14:paraId="7512B933">
            <w:pPr>
              <w:pStyle w:val="25"/>
              <w:ind w:left="0" w:leftChars="0" w:firstLine="0" w:firstLineChars="0"/>
              <w:jc w:val="center"/>
              <w:rPr>
                <w:color w:val="auto"/>
                <w:highlight w:val="none"/>
              </w:rPr>
            </w:pPr>
          </w:p>
        </w:tc>
        <w:tc>
          <w:tcPr>
            <w:tcW w:w="1092" w:type="dxa"/>
            <w:noWrap w:val="0"/>
            <w:vAlign w:val="center"/>
          </w:tcPr>
          <w:p w14:paraId="3A6C01BD">
            <w:pPr>
              <w:pStyle w:val="25"/>
              <w:ind w:left="0" w:leftChars="0" w:firstLine="0" w:firstLineChars="0"/>
              <w:jc w:val="center"/>
              <w:rPr>
                <w:color w:val="auto"/>
                <w:highlight w:val="none"/>
              </w:rPr>
            </w:pPr>
          </w:p>
        </w:tc>
        <w:tc>
          <w:tcPr>
            <w:tcW w:w="1152" w:type="dxa"/>
            <w:noWrap w:val="0"/>
            <w:vAlign w:val="center"/>
          </w:tcPr>
          <w:p w14:paraId="6747DA2C">
            <w:pPr>
              <w:pStyle w:val="25"/>
              <w:ind w:left="0" w:leftChars="0" w:firstLine="0" w:firstLineChars="0"/>
              <w:jc w:val="center"/>
              <w:rPr>
                <w:color w:val="auto"/>
                <w:highlight w:val="none"/>
              </w:rPr>
            </w:pPr>
          </w:p>
        </w:tc>
        <w:tc>
          <w:tcPr>
            <w:tcW w:w="1044" w:type="dxa"/>
            <w:noWrap w:val="0"/>
            <w:vAlign w:val="center"/>
          </w:tcPr>
          <w:p w14:paraId="4F926991">
            <w:pPr>
              <w:pStyle w:val="25"/>
              <w:ind w:left="0" w:leftChars="0" w:firstLine="0" w:firstLineChars="0"/>
              <w:jc w:val="center"/>
              <w:rPr>
                <w:color w:val="auto"/>
                <w:highlight w:val="none"/>
              </w:rPr>
            </w:pPr>
          </w:p>
        </w:tc>
      </w:tr>
      <w:tr w14:paraId="0F12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058525">
            <w:pPr>
              <w:pStyle w:val="25"/>
              <w:ind w:left="0" w:leftChars="0" w:firstLine="0" w:firstLineChars="0"/>
              <w:jc w:val="center"/>
              <w:rPr>
                <w:color w:val="auto"/>
                <w:highlight w:val="none"/>
              </w:rPr>
            </w:pPr>
          </w:p>
        </w:tc>
        <w:tc>
          <w:tcPr>
            <w:tcW w:w="1363" w:type="dxa"/>
            <w:noWrap w:val="0"/>
            <w:vAlign w:val="center"/>
          </w:tcPr>
          <w:p w14:paraId="6F21F485">
            <w:pPr>
              <w:pStyle w:val="25"/>
              <w:ind w:left="0" w:leftChars="0" w:firstLine="0" w:firstLineChars="0"/>
              <w:jc w:val="center"/>
              <w:rPr>
                <w:color w:val="auto"/>
                <w:highlight w:val="none"/>
              </w:rPr>
            </w:pPr>
          </w:p>
        </w:tc>
        <w:tc>
          <w:tcPr>
            <w:tcW w:w="956" w:type="dxa"/>
            <w:noWrap w:val="0"/>
            <w:vAlign w:val="center"/>
          </w:tcPr>
          <w:p w14:paraId="01799016">
            <w:pPr>
              <w:pStyle w:val="25"/>
              <w:ind w:left="0" w:leftChars="0" w:firstLine="0" w:firstLineChars="0"/>
              <w:jc w:val="center"/>
              <w:rPr>
                <w:color w:val="auto"/>
                <w:highlight w:val="none"/>
              </w:rPr>
            </w:pPr>
          </w:p>
        </w:tc>
        <w:tc>
          <w:tcPr>
            <w:tcW w:w="956" w:type="dxa"/>
            <w:noWrap w:val="0"/>
            <w:vAlign w:val="center"/>
          </w:tcPr>
          <w:p w14:paraId="0CE2A2E8">
            <w:pPr>
              <w:pStyle w:val="25"/>
              <w:ind w:left="0" w:leftChars="0" w:firstLine="0" w:firstLineChars="0"/>
              <w:jc w:val="center"/>
              <w:rPr>
                <w:color w:val="auto"/>
                <w:highlight w:val="none"/>
              </w:rPr>
            </w:pPr>
          </w:p>
        </w:tc>
        <w:tc>
          <w:tcPr>
            <w:tcW w:w="957" w:type="dxa"/>
            <w:noWrap w:val="0"/>
            <w:vAlign w:val="center"/>
          </w:tcPr>
          <w:p w14:paraId="14C4D336">
            <w:pPr>
              <w:pStyle w:val="25"/>
              <w:ind w:left="0" w:leftChars="0" w:firstLine="0" w:firstLineChars="0"/>
              <w:jc w:val="center"/>
              <w:rPr>
                <w:color w:val="auto"/>
                <w:highlight w:val="none"/>
              </w:rPr>
            </w:pPr>
          </w:p>
        </w:tc>
        <w:tc>
          <w:tcPr>
            <w:tcW w:w="1369" w:type="dxa"/>
            <w:noWrap w:val="0"/>
            <w:vAlign w:val="center"/>
          </w:tcPr>
          <w:p w14:paraId="61DF5F14">
            <w:pPr>
              <w:pStyle w:val="25"/>
              <w:ind w:left="0" w:leftChars="0" w:firstLine="0" w:firstLineChars="0"/>
              <w:jc w:val="center"/>
              <w:rPr>
                <w:color w:val="auto"/>
                <w:highlight w:val="none"/>
              </w:rPr>
            </w:pPr>
          </w:p>
        </w:tc>
        <w:tc>
          <w:tcPr>
            <w:tcW w:w="1092" w:type="dxa"/>
            <w:noWrap w:val="0"/>
            <w:vAlign w:val="center"/>
          </w:tcPr>
          <w:p w14:paraId="552B69C1">
            <w:pPr>
              <w:pStyle w:val="25"/>
              <w:ind w:left="0" w:leftChars="0" w:firstLine="0" w:firstLineChars="0"/>
              <w:jc w:val="center"/>
              <w:rPr>
                <w:color w:val="auto"/>
                <w:highlight w:val="none"/>
              </w:rPr>
            </w:pPr>
          </w:p>
        </w:tc>
        <w:tc>
          <w:tcPr>
            <w:tcW w:w="1152" w:type="dxa"/>
            <w:noWrap w:val="0"/>
            <w:vAlign w:val="center"/>
          </w:tcPr>
          <w:p w14:paraId="4D505CF0">
            <w:pPr>
              <w:pStyle w:val="25"/>
              <w:ind w:left="0" w:leftChars="0" w:firstLine="0" w:firstLineChars="0"/>
              <w:jc w:val="center"/>
              <w:rPr>
                <w:color w:val="auto"/>
                <w:highlight w:val="none"/>
              </w:rPr>
            </w:pPr>
          </w:p>
        </w:tc>
        <w:tc>
          <w:tcPr>
            <w:tcW w:w="1044" w:type="dxa"/>
            <w:noWrap w:val="0"/>
            <w:vAlign w:val="center"/>
          </w:tcPr>
          <w:p w14:paraId="685BEDB4">
            <w:pPr>
              <w:pStyle w:val="25"/>
              <w:ind w:left="0" w:leftChars="0" w:firstLine="0" w:firstLineChars="0"/>
              <w:jc w:val="center"/>
              <w:rPr>
                <w:color w:val="auto"/>
                <w:highlight w:val="none"/>
              </w:rPr>
            </w:pPr>
          </w:p>
        </w:tc>
      </w:tr>
      <w:tr w14:paraId="0B0E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72D4CC">
            <w:pPr>
              <w:pStyle w:val="25"/>
              <w:ind w:left="0" w:leftChars="0" w:firstLine="0" w:firstLineChars="0"/>
              <w:jc w:val="center"/>
              <w:rPr>
                <w:color w:val="auto"/>
                <w:highlight w:val="none"/>
              </w:rPr>
            </w:pPr>
          </w:p>
        </w:tc>
        <w:tc>
          <w:tcPr>
            <w:tcW w:w="1363" w:type="dxa"/>
            <w:noWrap w:val="0"/>
            <w:vAlign w:val="center"/>
          </w:tcPr>
          <w:p w14:paraId="55D3FB6C">
            <w:pPr>
              <w:pStyle w:val="25"/>
              <w:ind w:left="0" w:leftChars="0" w:firstLine="0" w:firstLineChars="0"/>
              <w:jc w:val="center"/>
              <w:rPr>
                <w:color w:val="auto"/>
                <w:highlight w:val="none"/>
              </w:rPr>
            </w:pPr>
          </w:p>
        </w:tc>
        <w:tc>
          <w:tcPr>
            <w:tcW w:w="956" w:type="dxa"/>
            <w:noWrap w:val="0"/>
            <w:vAlign w:val="center"/>
          </w:tcPr>
          <w:p w14:paraId="7CE0F2CF">
            <w:pPr>
              <w:pStyle w:val="25"/>
              <w:ind w:left="0" w:leftChars="0" w:firstLine="0" w:firstLineChars="0"/>
              <w:jc w:val="center"/>
              <w:rPr>
                <w:color w:val="auto"/>
                <w:highlight w:val="none"/>
              </w:rPr>
            </w:pPr>
          </w:p>
        </w:tc>
        <w:tc>
          <w:tcPr>
            <w:tcW w:w="956" w:type="dxa"/>
            <w:noWrap w:val="0"/>
            <w:vAlign w:val="center"/>
          </w:tcPr>
          <w:p w14:paraId="24D1C552">
            <w:pPr>
              <w:pStyle w:val="25"/>
              <w:ind w:left="0" w:leftChars="0" w:firstLine="0" w:firstLineChars="0"/>
              <w:jc w:val="center"/>
              <w:rPr>
                <w:color w:val="auto"/>
                <w:highlight w:val="none"/>
              </w:rPr>
            </w:pPr>
          </w:p>
        </w:tc>
        <w:tc>
          <w:tcPr>
            <w:tcW w:w="957" w:type="dxa"/>
            <w:noWrap w:val="0"/>
            <w:vAlign w:val="center"/>
          </w:tcPr>
          <w:p w14:paraId="1F2AC51F">
            <w:pPr>
              <w:pStyle w:val="25"/>
              <w:ind w:left="0" w:leftChars="0" w:firstLine="0" w:firstLineChars="0"/>
              <w:jc w:val="center"/>
              <w:rPr>
                <w:color w:val="auto"/>
                <w:highlight w:val="none"/>
              </w:rPr>
            </w:pPr>
          </w:p>
        </w:tc>
        <w:tc>
          <w:tcPr>
            <w:tcW w:w="1369" w:type="dxa"/>
            <w:noWrap w:val="0"/>
            <w:vAlign w:val="center"/>
          </w:tcPr>
          <w:p w14:paraId="0D23C478">
            <w:pPr>
              <w:pStyle w:val="25"/>
              <w:ind w:left="0" w:leftChars="0" w:firstLine="0" w:firstLineChars="0"/>
              <w:jc w:val="center"/>
              <w:rPr>
                <w:color w:val="auto"/>
                <w:highlight w:val="none"/>
              </w:rPr>
            </w:pPr>
          </w:p>
        </w:tc>
        <w:tc>
          <w:tcPr>
            <w:tcW w:w="1092" w:type="dxa"/>
            <w:noWrap w:val="0"/>
            <w:vAlign w:val="center"/>
          </w:tcPr>
          <w:p w14:paraId="7B02DF0C">
            <w:pPr>
              <w:pStyle w:val="25"/>
              <w:ind w:left="0" w:leftChars="0" w:firstLine="0" w:firstLineChars="0"/>
              <w:jc w:val="center"/>
              <w:rPr>
                <w:color w:val="auto"/>
                <w:highlight w:val="none"/>
              </w:rPr>
            </w:pPr>
          </w:p>
        </w:tc>
        <w:tc>
          <w:tcPr>
            <w:tcW w:w="1152" w:type="dxa"/>
            <w:noWrap w:val="0"/>
            <w:vAlign w:val="center"/>
          </w:tcPr>
          <w:p w14:paraId="0B683CE4">
            <w:pPr>
              <w:pStyle w:val="25"/>
              <w:ind w:left="0" w:leftChars="0" w:firstLine="0" w:firstLineChars="0"/>
              <w:jc w:val="center"/>
              <w:rPr>
                <w:color w:val="auto"/>
                <w:highlight w:val="none"/>
              </w:rPr>
            </w:pPr>
          </w:p>
        </w:tc>
        <w:tc>
          <w:tcPr>
            <w:tcW w:w="1044" w:type="dxa"/>
            <w:noWrap w:val="0"/>
            <w:vAlign w:val="center"/>
          </w:tcPr>
          <w:p w14:paraId="0F8132BB">
            <w:pPr>
              <w:pStyle w:val="25"/>
              <w:ind w:left="0" w:leftChars="0" w:firstLine="0" w:firstLineChars="0"/>
              <w:jc w:val="center"/>
              <w:rPr>
                <w:color w:val="auto"/>
                <w:highlight w:val="none"/>
              </w:rPr>
            </w:pPr>
          </w:p>
        </w:tc>
      </w:tr>
      <w:tr w14:paraId="27B0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F9448B">
            <w:pPr>
              <w:pStyle w:val="25"/>
              <w:ind w:left="0" w:leftChars="0" w:firstLine="0" w:firstLineChars="0"/>
              <w:jc w:val="center"/>
              <w:rPr>
                <w:color w:val="auto"/>
                <w:highlight w:val="none"/>
              </w:rPr>
            </w:pPr>
          </w:p>
        </w:tc>
        <w:tc>
          <w:tcPr>
            <w:tcW w:w="1363" w:type="dxa"/>
            <w:noWrap w:val="0"/>
            <w:vAlign w:val="center"/>
          </w:tcPr>
          <w:p w14:paraId="34295A41">
            <w:pPr>
              <w:pStyle w:val="25"/>
              <w:ind w:left="0" w:leftChars="0" w:firstLine="0" w:firstLineChars="0"/>
              <w:jc w:val="center"/>
              <w:rPr>
                <w:color w:val="auto"/>
                <w:highlight w:val="none"/>
              </w:rPr>
            </w:pPr>
          </w:p>
        </w:tc>
        <w:tc>
          <w:tcPr>
            <w:tcW w:w="956" w:type="dxa"/>
            <w:noWrap w:val="0"/>
            <w:vAlign w:val="center"/>
          </w:tcPr>
          <w:p w14:paraId="08806C80">
            <w:pPr>
              <w:pStyle w:val="25"/>
              <w:ind w:left="0" w:leftChars="0" w:firstLine="0" w:firstLineChars="0"/>
              <w:jc w:val="center"/>
              <w:rPr>
                <w:color w:val="auto"/>
                <w:highlight w:val="none"/>
              </w:rPr>
            </w:pPr>
          </w:p>
        </w:tc>
        <w:tc>
          <w:tcPr>
            <w:tcW w:w="956" w:type="dxa"/>
            <w:noWrap w:val="0"/>
            <w:vAlign w:val="center"/>
          </w:tcPr>
          <w:p w14:paraId="70D822C0">
            <w:pPr>
              <w:pStyle w:val="25"/>
              <w:ind w:left="0" w:leftChars="0" w:firstLine="0" w:firstLineChars="0"/>
              <w:jc w:val="center"/>
              <w:rPr>
                <w:color w:val="auto"/>
                <w:highlight w:val="none"/>
              </w:rPr>
            </w:pPr>
          </w:p>
        </w:tc>
        <w:tc>
          <w:tcPr>
            <w:tcW w:w="957" w:type="dxa"/>
            <w:noWrap w:val="0"/>
            <w:vAlign w:val="center"/>
          </w:tcPr>
          <w:p w14:paraId="73FBA737">
            <w:pPr>
              <w:pStyle w:val="25"/>
              <w:ind w:left="0" w:leftChars="0" w:firstLine="0" w:firstLineChars="0"/>
              <w:jc w:val="center"/>
              <w:rPr>
                <w:color w:val="auto"/>
                <w:highlight w:val="none"/>
              </w:rPr>
            </w:pPr>
          </w:p>
        </w:tc>
        <w:tc>
          <w:tcPr>
            <w:tcW w:w="1369" w:type="dxa"/>
            <w:noWrap w:val="0"/>
            <w:vAlign w:val="center"/>
          </w:tcPr>
          <w:p w14:paraId="3CB840DD">
            <w:pPr>
              <w:pStyle w:val="25"/>
              <w:ind w:left="0" w:leftChars="0" w:firstLine="0" w:firstLineChars="0"/>
              <w:jc w:val="center"/>
              <w:rPr>
                <w:color w:val="auto"/>
                <w:highlight w:val="none"/>
              </w:rPr>
            </w:pPr>
          </w:p>
        </w:tc>
        <w:tc>
          <w:tcPr>
            <w:tcW w:w="1092" w:type="dxa"/>
            <w:noWrap w:val="0"/>
            <w:vAlign w:val="center"/>
          </w:tcPr>
          <w:p w14:paraId="57C24E1D">
            <w:pPr>
              <w:pStyle w:val="25"/>
              <w:ind w:left="0" w:leftChars="0" w:firstLine="0" w:firstLineChars="0"/>
              <w:jc w:val="center"/>
              <w:rPr>
                <w:color w:val="auto"/>
                <w:highlight w:val="none"/>
              </w:rPr>
            </w:pPr>
          </w:p>
        </w:tc>
        <w:tc>
          <w:tcPr>
            <w:tcW w:w="1152" w:type="dxa"/>
            <w:noWrap w:val="0"/>
            <w:vAlign w:val="center"/>
          </w:tcPr>
          <w:p w14:paraId="00FA06A4">
            <w:pPr>
              <w:pStyle w:val="25"/>
              <w:ind w:left="0" w:leftChars="0" w:firstLine="0" w:firstLineChars="0"/>
              <w:jc w:val="center"/>
              <w:rPr>
                <w:color w:val="auto"/>
                <w:highlight w:val="none"/>
              </w:rPr>
            </w:pPr>
          </w:p>
        </w:tc>
        <w:tc>
          <w:tcPr>
            <w:tcW w:w="1044" w:type="dxa"/>
            <w:noWrap w:val="0"/>
            <w:vAlign w:val="center"/>
          </w:tcPr>
          <w:p w14:paraId="2E5803C4">
            <w:pPr>
              <w:pStyle w:val="25"/>
              <w:ind w:left="0" w:leftChars="0" w:firstLine="0" w:firstLineChars="0"/>
              <w:jc w:val="center"/>
              <w:rPr>
                <w:color w:val="auto"/>
                <w:highlight w:val="none"/>
              </w:rPr>
            </w:pPr>
          </w:p>
        </w:tc>
      </w:tr>
      <w:tr w14:paraId="6E8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CD7E39">
            <w:pPr>
              <w:pStyle w:val="25"/>
              <w:ind w:left="0" w:leftChars="0" w:firstLine="0" w:firstLineChars="0"/>
              <w:jc w:val="center"/>
              <w:rPr>
                <w:color w:val="auto"/>
                <w:highlight w:val="none"/>
              </w:rPr>
            </w:pPr>
          </w:p>
        </w:tc>
        <w:tc>
          <w:tcPr>
            <w:tcW w:w="1363" w:type="dxa"/>
            <w:noWrap w:val="0"/>
            <w:vAlign w:val="center"/>
          </w:tcPr>
          <w:p w14:paraId="48932651">
            <w:pPr>
              <w:pStyle w:val="25"/>
              <w:ind w:left="0" w:leftChars="0" w:firstLine="0" w:firstLineChars="0"/>
              <w:jc w:val="center"/>
              <w:rPr>
                <w:color w:val="auto"/>
                <w:highlight w:val="none"/>
              </w:rPr>
            </w:pPr>
          </w:p>
        </w:tc>
        <w:tc>
          <w:tcPr>
            <w:tcW w:w="956" w:type="dxa"/>
            <w:noWrap w:val="0"/>
            <w:vAlign w:val="center"/>
          </w:tcPr>
          <w:p w14:paraId="2E96B602">
            <w:pPr>
              <w:pStyle w:val="25"/>
              <w:ind w:left="0" w:leftChars="0" w:firstLine="0" w:firstLineChars="0"/>
              <w:jc w:val="center"/>
              <w:rPr>
                <w:color w:val="auto"/>
                <w:highlight w:val="none"/>
              </w:rPr>
            </w:pPr>
          </w:p>
        </w:tc>
        <w:tc>
          <w:tcPr>
            <w:tcW w:w="956" w:type="dxa"/>
            <w:noWrap w:val="0"/>
            <w:vAlign w:val="center"/>
          </w:tcPr>
          <w:p w14:paraId="588224B0">
            <w:pPr>
              <w:pStyle w:val="25"/>
              <w:ind w:left="0" w:leftChars="0" w:firstLine="0" w:firstLineChars="0"/>
              <w:jc w:val="center"/>
              <w:rPr>
                <w:color w:val="auto"/>
                <w:highlight w:val="none"/>
              </w:rPr>
            </w:pPr>
          </w:p>
        </w:tc>
        <w:tc>
          <w:tcPr>
            <w:tcW w:w="957" w:type="dxa"/>
            <w:noWrap w:val="0"/>
            <w:vAlign w:val="center"/>
          </w:tcPr>
          <w:p w14:paraId="6352287F">
            <w:pPr>
              <w:pStyle w:val="25"/>
              <w:ind w:left="0" w:leftChars="0" w:firstLine="0" w:firstLineChars="0"/>
              <w:jc w:val="center"/>
              <w:rPr>
                <w:color w:val="auto"/>
                <w:highlight w:val="none"/>
              </w:rPr>
            </w:pPr>
          </w:p>
        </w:tc>
        <w:tc>
          <w:tcPr>
            <w:tcW w:w="1369" w:type="dxa"/>
            <w:noWrap w:val="0"/>
            <w:vAlign w:val="center"/>
          </w:tcPr>
          <w:p w14:paraId="06EB2DF6">
            <w:pPr>
              <w:pStyle w:val="25"/>
              <w:ind w:left="0" w:leftChars="0" w:firstLine="0" w:firstLineChars="0"/>
              <w:jc w:val="center"/>
              <w:rPr>
                <w:color w:val="auto"/>
                <w:highlight w:val="none"/>
              </w:rPr>
            </w:pPr>
          </w:p>
        </w:tc>
        <w:tc>
          <w:tcPr>
            <w:tcW w:w="1092" w:type="dxa"/>
            <w:noWrap w:val="0"/>
            <w:vAlign w:val="center"/>
          </w:tcPr>
          <w:p w14:paraId="71C70803">
            <w:pPr>
              <w:pStyle w:val="25"/>
              <w:ind w:left="0" w:leftChars="0" w:firstLine="0" w:firstLineChars="0"/>
              <w:jc w:val="center"/>
              <w:rPr>
                <w:color w:val="auto"/>
                <w:highlight w:val="none"/>
              </w:rPr>
            </w:pPr>
          </w:p>
        </w:tc>
        <w:tc>
          <w:tcPr>
            <w:tcW w:w="1152" w:type="dxa"/>
            <w:noWrap w:val="0"/>
            <w:vAlign w:val="center"/>
          </w:tcPr>
          <w:p w14:paraId="3591D1B6">
            <w:pPr>
              <w:pStyle w:val="25"/>
              <w:ind w:left="0" w:leftChars="0" w:firstLine="0" w:firstLineChars="0"/>
              <w:jc w:val="center"/>
              <w:rPr>
                <w:color w:val="auto"/>
                <w:highlight w:val="none"/>
              </w:rPr>
            </w:pPr>
          </w:p>
        </w:tc>
        <w:tc>
          <w:tcPr>
            <w:tcW w:w="1044" w:type="dxa"/>
            <w:noWrap w:val="0"/>
            <w:vAlign w:val="center"/>
          </w:tcPr>
          <w:p w14:paraId="05AD40EC">
            <w:pPr>
              <w:pStyle w:val="25"/>
              <w:ind w:left="0" w:leftChars="0" w:firstLine="0" w:firstLineChars="0"/>
              <w:jc w:val="center"/>
              <w:rPr>
                <w:color w:val="auto"/>
                <w:highlight w:val="none"/>
              </w:rPr>
            </w:pPr>
          </w:p>
        </w:tc>
      </w:tr>
      <w:tr w14:paraId="4803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21441B">
            <w:pPr>
              <w:pStyle w:val="25"/>
              <w:ind w:left="0" w:leftChars="0" w:firstLine="0" w:firstLineChars="0"/>
              <w:jc w:val="center"/>
              <w:rPr>
                <w:color w:val="auto"/>
                <w:highlight w:val="none"/>
              </w:rPr>
            </w:pPr>
          </w:p>
        </w:tc>
        <w:tc>
          <w:tcPr>
            <w:tcW w:w="1363" w:type="dxa"/>
            <w:noWrap w:val="0"/>
            <w:vAlign w:val="center"/>
          </w:tcPr>
          <w:p w14:paraId="53FC4987">
            <w:pPr>
              <w:pStyle w:val="25"/>
              <w:ind w:left="0" w:leftChars="0" w:firstLine="0" w:firstLineChars="0"/>
              <w:jc w:val="center"/>
              <w:rPr>
                <w:color w:val="auto"/>
                <w:highlight w:val="none"/>
              </w:rPr>
            </w:pPr>
          </w:p>
        </w:tc>
        <w:tc>
          <w:tcPr>
            <w:tcW w:w="956" w:type="dxa"/>
            <w:noWrap w:val="0"/>
            <w:vAlign w:val="center"/>
          </w:tcPr>
          <w:p w14:paraId="1DD8A0C0">
            <w:pPr>
              <w:pStyle w:val="25"/>
              <w:ind w:left="0" w:leftChars="0" w:firstLine="0" w:firstLineChars="0"/>
              <w:jc w:val="center"/>
              <w:rPr>
                <w:color w:val="auto"/>
                <w:highlight w:val="none"/>
              </w:rPr>
            </w:pPr>
          </w:p>
        </w:tc>
        <w:tc>
          <w:tcPr>
            <w:tcW w:w="956" w:type="dxa"/>
            <w:noWrap w:val="0"/>
            <w:vAlign w:val="center"/>
          </w:tcPr>
          <w:p w14:paraId="120936E8">
            <w:pPr>
              <w:pStyle w:val="25"/>
              <w:ind w:left="0" w:leftChars="0" w:firstLine="0" w:firstLineChars="0"/>
              <w:jc w:val="center"/>
              <w:rPr>
                <w:color w:val="auto"/>
                <w:highlight w:val="none"/>
              </w:rPr>
            </w:pPr>
          </w:p>
        </w:tc>
        <w:tc>
          <w:tcPr>
            <w:tcW w:w="957" w:type="dxa"/>
            <w:noWrap w:val="0"/>
            <w:vAlign w:val="center"/>
          </w:tcPr>
          <w:p w14:paraId="1DF4F7A0">
            <w:pPr>
              <w:pStyle w:val="25"/>
              <w:ind w:left="0" w:leftChars="0" w:firstLine="0" w:firstLineChars="0"/>
              <w:jc w:val="center"/>
              <w:rPr>
                <w:color w:val="auto"/>
                <w:highlight w:val="none"/>
              </w:rPr>
            </w:pPr>
          </w:p>
        </w:tc>
        <w:tc>
          <w:tcPr>
            <w:tcW w:w="1369" w:type="dxa"/>
            <w:noWrap w:val="0"/>
            <w:vAlign w:val="center"/>
          </w:tcPr>
          <w:p w14:paraId="7C2F347E">
            <w:pPr>
              <w:pStyle w:val="25"/>
              <w:ind w:left="0" w:leftChars="0" w:firstLine="0" w:firstLineChars="0"/>
              <w:jc w:val="center"/>
              <w:rPr>
                <w:color w:val="auto"/>
                <w:highlight w:val="none"/>
              </w:rPr>
            </w:pPr>
          </w:p>
        </w:tc>
        <w:tc>
          <w:tcPr>
            <w:tcW w:w="1092" w:type="dxa"/>
            <w:noWrap w:val="0"/>
            <w:vAlign w:val="center"/>
          </w:tcPr>
          <w:p w14:paraId="193FA1DA">
            <w:pPr>
              <w:pStyle w:val="25"/>
              <w:ind w:left="0" w:leftChars="0" w:firstLine="0" w:firstLineChars="0"/>
              <w:jc w:val="center"/>
              <w:rPr>
                <w:color w:val="auto"/>
                <w:highlight w:val="none"/>
              </w:rPr>
            </w:pPr>
          </w:p>
        </w:tc>
        <w:tc>
          <w:tcPr>
            <w:tcW w:w="1152" w:type="dxa"/>
            <w:noWrap w:val="0"/>
            <w:vAlign w:val="center"/>
          </w:tcPr>
          <w:p w14:paraId="783048E2">
            <w:pPr>
              <w:pStyle w:val="25"/>
              <w:ind w:left="0" w:leftChars="0" w:firstLine="0" w:firstLineChars="0"/>
              <w:jc w:val="center"/>
              <w:rPr>
                <w:color w:val="auto"/>
                <w:highlight w:val="none"/>
              </w:rPr>
            </w:pPr>
          </w:p>
        </w:tc>
        <w:tc>
          <w:tcPr>
            <w:tcW w:w="1044" w:type="dxa"/>
            <w:noWrap w:val="0"/>
            <w:vAlign w:val="center"/>
          </w:tcPr>
          <w:p w14:paraId="2EB6ED83">
            <w:pPr>
              <w:pStyle w:val="25"/>
              <w:ind w:left="0" w:leftChars="0" w:firstLine="0" w:firstLineChars="0"/>
              <w:jc w:val="center"/>
              <w:rPr>
                <w:color w:val="auto"/>
                <w:highlight w:val="none"/>
              </w:rPr>
            </w:pPr>
          </w:p>
        </w:tc>
      </w:tr>
      <w:tr w14:paraId="56E3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4DB51B">
            <w:pPr>
              <w:pStyle w:val="25"/>
              <w:ind w:left="0" w:leftChars="0" w:firstLine="0" w:firstLineChars="0"/>
              <w:jc w:val="center"/>
              <w:rPr>
                <w:color w:val="auto"/>
                <w:highlight w:val="none"/>
              </w:rPr>
            </w:pPr>
          </w:p>
        </w:tc>
        <w:tc>
          <w:tcPr>
            <w:tcW w:w="1363" w:type="dxa"/>
            <w:noWrap w:val="0"/>
            <w:vAlign w:val="center"/>
          </w:tcPr>
          <w:p w14:paraId="721735B1">
            <w:pPr>
              <w:pStyle w:val="25"/>
              <w:ind w:left="0" w:leftChars="0" w:firstLine="0" w:firstLineChars="0"/>
              <w:jc w:val="center"/>
              <w:rPr>
                <w:color w:val="auto"/>
                <w:highlight w:val="none"/>
              </w:rPr>
            </w:pPr>
          </w:p>
        </w:tc>
        <w:tc>
          <w:tcPr>
            <w:tcW w:w="956" w:type="dxa"/>
            <w:noWrap w:val="0"/>
            <w:vAlign w:val="center"/>
          </w:tcPr>
          <w:p w14:paraId="2FA7F571">
            <w:pPr>
              <w:pStyle w:val="25"/>
              <w:ind w:left="0" w:leftChars="0" w:firstLine="0" w:firstLineChars="0"/>
              <w:jc w:val="center"/>
              <w:rPr>
                <w:color w:val="auto"/>
                <w:highlight w:val="none"/>
              </w:rPr>
            </w:pPr>
          </w:p>
        </w:tc>
        <w:tc>
          <w:tcPr>
            <w:tcW w:w="956" w:type="dxa"/>
            <w:noWrap w:val="0"/>
            <w:vAlign w:val="center"/>
          </w:tcPr>
          <w:p w14:paraId="3BD6F3E2">
            <w:pPr>
              <w:pStyle w:val="25"/>
              <w:ind w:left="0" w:leftChars="0" w:firstLine="0" w:firstLineChars="0"/>
              <w:jc w:val="center"/>
              <w:rPr>
                <w:color w:val="auto"/>
                <w:highlight w:val="none"/>
              </w:rPr>
            </w:pPr>
          </w:p>
        </w:tc>
        <w:tc>
          <w:tcPr>
            <w:tcW w:w="957" w:type="dxa"/>
            <w:noWrap w:val="0"/>
            <w:vAlign w:val="center"/>
          </w:tcPr>
          <w:p w14:paraId="0300D203">
            <w:pPr>
              <w:pStyle w:val="25"/>
              <w:ind w:left="0" w:leftChars="0" w:firstLine="0" w:firstLineChars="0"/>
              <w:jc w:val="center"/>
              <w:rPr>
                <w:color w:val="auto"/>
                <w:highlight w:val="none"/>
              </w:rPr>
            </w:pPr>
          </w:p>
        </w:tc>
        <w:tc>
          <w:tcPr>
            <w:tcW w:w="1369" w:type="dxa"/>
            <w:noWrap w:val="0"/>
            <w:vAlign w:val="center"/>
          </w:tcPr>
          <w:p w14:paraId="19AED0F5">
            <w:pPr>
              <w:pStyle w:val="25"/>
              <w:ind w:left="0" w:leftChars="0" w:firstLine="0" w:firstLineChars="0"/>
              <w:jc w:val="center"/>
              <w:rPr>
                <w:color w:val="auto"/>
                <w:highlight w:val="none"/>
              </w:rPr>
            </w:pPr>
          </w:p>
        </w:tc>
        <w:tc>
          <w:tcPr>
            <w:tcW w:w="1092" w:type="dxa"/>
            <w:noWrap w:val="0"/>
            <w:vAlign w:val="center"/>
          </w:tcPr>
          <w:p w14:paraId="26F9B243">
            <w:pPr>
              <w:pStyle w:val="25"/>
              <w:ind w:left="0" w:leftChars="0" w:firstLine="0" w:firstLineChars="0"/>
              <w:jc w:val="center"/>
              <w:rPr>
                <w:color w:val="auto"/>
                <w:highlight w:val="none"/>
              </w:rPr>
            </w:pPr>
          </w:p>
        </w:tc>
        <w:tc>
          <w:tcPr>
            <w:tcW w:w="1152" w:type="dxa"/>
            <w:noWrap w:val="0"/>
            <w:vAlign w:val="center"/>
          </w:tcPr>
          <w:p w14:paraId="46EBA09D">
            <w:pPr>
              <w:pStyle w:val="25"/>
              <w:ind w:left="0" w:leftChars="0" w:firstLine="0" w:firstLineChars="0"/>
              <w:jc w:val="center"/>
              <w:rPr>
                <w:color w:val="auto"/>
                <w:highlight w:val="none"/>
              </w:rPr>
            </w:pPr>
          </w:p>
        </w:tc>
        <w:tc>
          <w:tcPr>
            <w:tcW w:w="1044" w:type="dxa"/>
            <w:noWrap w:val="0"/>
            <w:vAlign w:val="center"/>
          </w:tcPr>
          <w:p w14:paraId="33A96529">
            <w:pPr>
              <w:pStyle w:val="25"/>
              <w:ind w:left="0" w:leftChars="0" w:firstLine="0" w:firstLineChars="0"/>
              <w:jc w:val="center"/>
              <w:rPr>
                <w:color w:val="auto"/>
                <w:highlight w:val="none"/>
              </w:rPr>
            </w:pPr>
          </w:p>
        </w:tc>
      </w:tr>
    </w:tbl>
    <w:p w14:paraId="44319AD1">
      <w:pPr>
        <w:pStyle w:val="25"/>
        <w:spacing w:before="120" w:beforeLines="50"/>
        <w:ind w:left="0" w:leftChars="0" w:firstLine="0" w:firstLineChars="0"/>
        <w:rPr>
          <w:rFonts w:hint="eastAsia"/>
          <w:color w:val="auto"/>
          <w:highlight w:val="none"/>
        </w:rPr>
      </w:pPr>
      <w:r>
        <w:rPr>
          <w:rFonts w:hint="eastAsia"/>
          <w:color w:val="auto"/>
          <w:highlight w:val="none"/>
        </w:rPr>
        <w:t>注：投标人拟配备人员若在广东省住房和城乡建设主管部门备案且备案的业务范围符合对应要求的香港专业人士亦给予认可。香港专业人士的备案业务范围依据《广东省住房和城乡建设厅关于印发香港工程建设咨询企业和专业人士在粤港澳大湾区内地城市开业执业试点管理暂行办法的通知》（粤建规范〔2020〕1号）确定。</w:t>
      </w:r>
    </w:p>
    <w:p w14:paraId="3347F0F5">
      <w:pPr>
        <w:outlineLvl w:val="9"/>
        <w:rPr>
          <w:rFonts w:hint="eastAsia" w:ascii="宋体" w:hAnsi="宋体" w:eastAsia="宋体" w:cs="宋体"/>
          <w:color w:val="auto"/>
          <w:highlight w:val="none"/>
          <w:lang w:val="en-US" w:eastAsia="zh-CN"/>
        </w:rPr>
      </w:pPr>
    </w:p>
    <w:p w14:paraId="6156F9E7">
      <w:pPr>
        <w:outlineLvl w:val="9"/>
        <w:rPr>
          <w:rFonts w:hint="eastAsia" w:ascii="宋体" w:hAnsi="宋体" w:cs="宋体"/>
          <w:b/>
          <w:bCs/>
          <w:color w:val="auto"/>
          <w:highlight w:val="none"/>
          <w:lang w:eastAsia="zh-CN"/>
        </w:rPr>
      </w:pPr>
      <w:r>
        <w:rPr>
          <w:rFonts w:hint="eastAsia" w:ascii="宋体" w:hAnsi="宋体" w:cs="宋体"/>
          <w:b/>
          <w:bCs/>
          <w:color w:val="auto"/>
          <w:highlight w:val="none"/>
          <w:lang w:eastAsia="zh-CN"/>
        </w:rPr>
        <w:br w:type="page"/>
      </w:r>
    </w:p>
    <w:p w14:paraId="0F416F4A">
      <w:pPr>
        <w:jc w:val="center"/>
        <w:outlineLvl w:val="2"/>
        <w:rPr>
          <w:rFonts w:hint="eastAsia" w:ascii="宋体" w:hAnsi="宋体" w:cs="宋体"/>
          <w:b/>
          <w:color w:val="auto"/>
          <w:sz w:val="24"/>
          <w:szCs w:val="24"/>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五</w:t>
      </w:r>
      <w:r>
        <w:rPr>
          <w:rFonts w:hint="eastAsia" w:ascii="宋体" w:hAnsi="宋体" w:cs="宋体"/>
          <w:b/>
          <w:bCs/>
          <w:color w:val="auto"/>
          <w:highlight w:val="none"/>
          <w:lang w:eastAsia="zh-CN"/>
        </w:rPr>
        <w:t>）</w:t>
      </w:r>
      <w:r>
        <w:rPr>
          <w:rFonts w:hint="eastAsia" w:ascii="宋体" w:hAnsi="宋体" w:cs="宋体"/>
          <w:b/>
          <w:bCs/>
          <w:color w:val="auto"/>
          <w:sz w:val="24"/>
          <w:szCs w:val="24"/>
          <w:highlight w:val="none"/>
        </w:rPr>
        <w:t>主要人员简历表</w:t>
      </w:r>
      <w:bookmarkEnd w:id="141"/>
    </w:p>
    <w:p w14:paraId="63B198AA">
      <w:pPr>
        <w:pStyle w:val="12"/>
        <w:kinsoku w:val="0"/>
        <w:overflowPunct w:val="0"/>
        <w:ind w:left="0"/>
        <w:rPr>
          <w:rFonts w:hint="eastAsia" w:cs="宋体"/>
          <w:b/>
          <w:color w:val="auto"/>
          <w:sz w:val="24"/>
          <w:szCs w:val="24"/>
          <w:highlight w:val="none"/>
        </w:rPr>
      </w:pPr>
    </w:p>
    <w:p w14:paraId="0ACE38F3">
      <w:pPr>
        <w:pStyle w:val="12"/>
        <w:kinsoku w:val="0"/>
        <w:overflowPunct w:val="0"/>
        <w:spacing w:before="5"/>
        <w:ind w:left="0"/>
        <w:rPr>
          <w:rFonts w:hint="eastAsia" w:cs="宋体"/>
          <w:color w:val="auto"/>
          <w:sz w:val="16"/>
          <w:szCs w:val="24"/>
          <w:highlight w:val="none"/>
        </w:rPr>
      </w:pPr>
    </w:p>
    <w:tbl>
      <w:tblPr>
        <w:tblStyle w:val="27"/>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1571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6489A">
            <w:pPr>
              <w:pStyle w:val="34"/>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D610596">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C3CB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07689">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E5CED">
            <w:pPr>
              <w:pStyle w:val="34"/>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5AD6FE">
            <w:pPr>
              <w:rPr>
                <w:rFonts w:hint="eastAsia" w:ascii="宋体" w:hAnsi="宋体" w:eastAsia="宋体" w:cs="宋体"/>
                <w:color w:val="auto"/>
                <w:sz w:val="21"/>
                <w:szCs w:val="21"/>
                <w:highlight w:val="none"/>
              </w:rPr>
            </w:pPr>
          </w:p>
        </w:tc>
      </w:tr>
      <w:tr w14:paraId="4313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D3754">
            <w:pPr>
              <w:pStyle w:val="34"/>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22781EC">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CC9C0">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F149E1">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E4E11">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E3DBED">
            <w:pPr>
              <w:rPr>
                <w:rFonts w:hint="eastAsia" w:ascii="宋体" w:hAnsi="宋体" w:eastAsia="宋体" w:cs="宋体"/>
                <w:color w:val="auto"/>
                <w:sz w:val="21"/>
                <w:szCs w:val="21"/>
                <w:highlight w:val="none"/>
              </w:rPr>
            </w:pPr>
          </w:p>
        </w:tc>
      </w:tr>
      <w:tr w14:paraId="1BB0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745AB">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F5C9B42">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AE35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C512A3">
            <w:pPr>
              <w:rPr>
                <w:rFonts w:hint="eastAsia" w:ascii="宋体" w:hAnsi="宋体" w:eastAsia="宋体" w:cs="宋体"/>
                <w:color w:val="auto"/>
                <w:sz w:val="21"/>
                <w:szCs w:val="21"/>
                <w:highlight w:val="none"/>
              </w:rPr>
            </w:pPr>
          </w:p>
        </w:tc>
      </w:tr>
      <w:tr w14:paraId="036F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011C9">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65DE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D6B9E">
            <w:pPr>
              <w:pStyle w:val="34"/>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0421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B005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C399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242D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A1DB3">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0F899">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44FE6">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F2A5F">
            <w:pPr>
              <w:jc w:val="center"/>
              <w:rPr>
                <w:rFonts w:hint="eastAsia" w:ascii="宋体" w:hAnsi="宋体" w:eastAsia="宋体" w:cs="宋体"/>
                <w:color w:val="auto"/>
                <w:sz w:val="21"/>
                <w:szCs w:val="21"/>
                <w:highlight w:val="none"/>
              </w:rPr>
            </w:pPr>
          </w:p>
        </w:tc>
      </w:tr>
      <w:tr w14:paraId="4236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866E0">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2AD4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0F9CE">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7D56D">
            <w:pPr>
              <w:jc w:val="center"/>
              <w:rPr>
                <w:rFonts w:hint="eastAsia" w:ascii="宋体" w:hAnsi="宋体" w:eastAsia="宋体" w:cs="宋体"/>
                <w:color w:val="auto"/>
                <w:sz w:val="21"/>
                <w:szCs w:val="21"/>
                <w:highlight w:val="none"/>
              </w:rPr>
            </w:pPr>
          </w:p>
        </w:tc>
      </w:tr>
      <w:tr w14:paraId="5742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CBE95">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ACDF1">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E187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45F4A">
            <w:pPr>
              <w:jc w:val="center"/>
              <w:rPr>
                <w:rFonts w:hint="eastAsia" w:ascii="宋体" w:hAnsi="宋体" w:eastAsia="宋体" w:cs="宋体"/>
                <w:color w:val="auto"/>
                <w:sz w:val="21"/>
                <w:szCs w:val="21"/>
                <w:highlight w:val="none"/>
              </w:rPr>
            </w:pPr>
          </w:p>
        </w:tc>
      </w:tr>
      <w:tr w14:paraId="26E8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F85EB">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25EA7">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6AC57">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690DE">
            <w:pPr>
              <w:jc w:val="center"/>
              <w:rPr>
                <w:rFonts w:hint="eastAsia" w:ascii="宋体" w:hAnsi="宋体" w:eastAsia="宋体" w:cs="宋体"/>
                <w:color w:val="auto"/>
                <w:sz w:val="21"/>
                <w:szCs w:val="21"/>
                <w:highlight w:val="none"/>
              </w:rPr>
            </w:pPr>
          </w:p>
        </w:tc>
      </w:tr>
      <w:tr w14:paraId="7091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25405">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C16F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D8987">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71F08">
            <w:pPr>
              <w:jc w:val="center"/>
              <w:rPr>
                <w:rFonts w:hint="eastAsia" w:ascii="宋体" w:hAnsi="宋体" w:eastAsia="宋体" w:cs="宋体"/>
                <w:color w:val="auto"/>
                <w:sz w:val="21"/>
                <w:szCs w:val="21"/>
                <w:highlight w:val="none"/>
              </w:rPr>
            </w:pPr>
          </w:p>
        </w:tc>
      </w:tr>
      <w:tr w14:paraId="0E0E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31D8B">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2060C">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8A473">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C9E3D">
            <w:pPr>
              <w:jc w:val="center"/>
              <w:rPr>
                <w:rFonts w:hint="eastAsia" w:ascii="宋体" w:hAnsi="宋体" w:eastAsia="宋体" w:cs="宋体"/>
                <w:color w:val="auto"/>
                <w:sz w:val="21"/>
                <w:szCs w:val="21"/>
                <w:highlight w:val="none"/>
              </w:rPr>
            </w:pPr>
          </w:p>
        </w:tc>
      </w:tr>
      <w:tr w14:paraId="0C68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25B74">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F6291B">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CAA10">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FAB94">
            <w:pPr>
              <w:jc w:val="center"/>
              <w:rPr>
                <w:rFonts w:hint="eastAsia" w:ascii="宋体" w:hAnsi="宋体" w:eastAsia="宋体" w:cs="宋体"/>
                <w:color w:val="auto"/>
                <w:sz w:val="21"/>
                <w:szCs w:val="21"/>
                <w:highlight w:val="none"/>
              </w:rPr>
            </w:pPr>
          </w:p>
        </w:tc>
      </w:tr>
    </w:tbl>
    <w:p w14:paraId="39D2E2BD">
      <w:pPr>
        <w:pStyle w:val="12"/>
        <w:kinsoku w:val="0"/>
        <w:overflowPunct w:val="0"/>
        <w:spacing w:before="6"/>
        <w:ind w:left="0"/>
        <w:rPr>
          <w:rFonts w:hint="eastAsia" w:cs="宋体"/>
          <w:color w:val="auto"/>
          <w:sz w:val="24"/>
          <w:szCs w:val="24"/>
          <w:highlight w:val="none"/>
        </w:rPr>
      </w:pPr>
    </w:p>
    <w:p w14:paraId="5538158E">
      <w:pPr>
        <w:pStyle w:val="12"/>
        <w:kinsoku w:val="0"/>
        <w:overflowPunct w:val="0"/>
        <w:spacing w:before="36"/>
        <w:ind w:left="100"/>
        <w:rPr>
          <w:rFonts w:hint="eastAsia" w:cs="宋体"/>
          <w:color w:val="auto"/>
          <w:sz w:val="24"/>
          <w:szCs w:val="24"/>
          <w:highlight w:val="none"/>
        </w:rPr>
      </w:pPr>
    </w:p>
    <w:p w14:paraId="4033EA36">
      <w:pPr>
        <w:pStyle w:val="12"/>
        <w:kinsoku w:val="0"/>
        <w:overflowPunct w:val="0"/>
        <w:spacing w:before="36"/>
        <w:ind w:left="100"/>
        <w:rPr>
          <w:rFonts w:hint="eastAsia" w:ascii="宋体" w:hAnsi="宋体" w:eastAsia="宋体" w:cs="宋体"/>
          <w:color w:val="auto"/>
          <w:sz w:val="21"/>
          <w:szCs w:val="21"/>
          <w:highlight w:val="none"/>
        </w:rPr>
        <w:sectPr>
          <w:headerReference r:id="rId15" w:type="default"/>
          <w:footerReference r:id="rId16" w:type="default"/>
          <w:pgSz w:w="11905" w:h="16838"/>
          <w:pgMar w:top="1417" w:right="1417" w:bottom="1417" w:left="1417" w:header="992" w:footer="992" w:gutter="0"/>
          <w:lnNumType w:countBy="0" w:distance="360"/>
          <w:cols w:space="720" w:num="1"/>
        </w:sectPr>
      </w:pPr>
    </w:p>
    <w:p w14:paraId="32D24D95">
      <w:pPr>
        <w:pStyle w:val="5"/>
        <w:jc w:val="center"/>
        <w:outlineLvl w:val="2"/>
        <w:rPr>
          <w:rFonts w:hint="eastAsia" w:cs="宋体"/>
          <w:b/>
          <w:color w:val="auto"/>
          <w:sz w:val="24"/>
          <w:szCs w:val="24"/>
          <w:highlight w:val="none"/>
        </w:rPr>
      </w:pPr>
      <w:bookmarkStart w:id="142" w:name="bookmark192"/>
      <w:bookmarkEnd w:id="142"/>
      <w:bookmarkStart w:id="143" w:name="_Toc6052"/>
      <w:r>
        <w:rPr>
          <w:rFonts w:hint="eastAsia" w:cs="宋体"/>
          <w:b/>
          <w:color w:val="auto"/>
          <w:sz w:val="24"/>
          <w:szCs w:val="24"/>
          <w:highlight w:val="none"/>
        </w:rPr>
        <w:t>（</w:t>
      </w:r>
      <w:r>
        <w:rPr>
          <w:rFonts w:hint="eastAsia" w:cs="宋体"/>
          <w:b/>
          <w:color w:val="auto"/>
          <w:sz w:val="24"/>
          <w:szCs w:val="24"/>
          <w:highlight w:val="none"/>
          <w:lang w:val="en-US" w:eastAsia="zh-CN"/>
        </w:rPr>
        <w:t>六</w:t>
      </w:r>
      <w:r>
        <w:rPr>
          <w:rFonts w:hint="eastAsia" w:cs="宋体"/>
          <w:b/>
          <w:color w:val="auto"/>
          <w:sz w:val="24"/>
          <w:szCs w:val="24"/>
          <w:highlight w:val="none"/>
        </w:rPr>
        <w:t>）拟投入本项目的主要试验检测仪器设备表</w:t>
      </w:r>
      <w:bookmarkEnd w:id="143"/>
    </w:p>
    <w:p w14:paraId="4534DC42">
      <w:pPr>
        <w:pStyle w:val="12"/>
        <w:kinsoku w:val="0"/>
        <w:overflowPunct w:val="0"/>
        <w:ind w:left="0"/>
        <w:rPr>
          <w:rFonts w:hint="eastAsia" w:cs="宋体"/>
          <w:color w:val="auto"/>
          <w:sz w:val="20"/>
          <w:szCs w:val="24"/>
          <w:highlight w:val="none"/>
        </w:rPr>
      </w:pPr>
    </w:p>
    <w:p w14:paraId="53631852">
      <w:pPr>
        <w:pStyle w:val="12"/>
        <w:kinsoku w:val="0"/>
        <w:overflowPunct w:val="0"/>
        <w:spacing w:before="11"/>
        <w:ind w:left="0"/>
        <w:rPr>
          <w:rFonts w:hint="eastAsia" w:cs="宋体"/>
          <w:color w:val="auto"/>
          <w:sz w:val="22"/>
          <w:szCs w:val="24"/>
          <w:highlight w:val="none"/>
        </w:rPr>
      </w:pPr>
    </w:p>
    <w:tbl>
      <w:tblPr>
        <w:tblStyle w:val="27"/>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70DE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F1F33">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EC0CC">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仪器</w:t>
            </w:r>
            <w:r>
              <w:rPr>
                <w:rFonts w:hint="eastAsia" w:ascii="宋体" w:hAnsi="宋体" w:eastAsia="宋体" w:cs="宋体"/>
                <w:color w:val="auto"/>
                <w:sz w:val="21"/>
                <w:szCs w:val="24"/>
                <w:highlight w:val="none"/>
                <w:lang w:eastAsia="zh-CN"/>
              </w:rPr>
              <w:t>设</w:t>
            </w:r>
            <w:r>
              <w:rPr>
                <w:rFonts w:hint="eastAsia" w:ascii="宋体" w:hAnsi="宋体" w:eastAsia="宋体" w:cs="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07E92">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型号</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2C0B5">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54077">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国别</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C0A215">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制造</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1400C">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AF4E3">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备注</w:t>
            </w:r>
          </w:p>
        </w:tc>
      </w:tr>
      <w:tr w14:paraId="454C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95238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4BBE37">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314209">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FB63D8">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B1290F">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1101E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5030C3">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777C5B">
            <w:pPr>
              <w:rPr>
                <w:rFonts w:hint="eastAsia" w:ascii="宋体" w:hAnsi="宋体" w:cs="宋体"/>
                <w:color w:val="auto"/>
                <w:sz w:val="24"/>
                <w:szCs w:val="24"/>
                <w:highlight w:val="none"/>
              </w:rPr>
            </w:pPr>
          </w:p>
        </w:tc>
      </w:tr>
      <w:tr w14:paraId="0E4D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449B6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614E10">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AEEF3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2AAD43">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F7B64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E8DFD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E8BFD4">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3C5BB7">
            <w:pPr>
              <w:rPr>
                <w:rFonts w:hint="eastAsia" w:ascii="宋体" w:hAnsi="宋体" w:cs="宋体"/>
                <w:color w:val="auto"/>
                <w:sz w:val="24"/>
                <w:szCs w:val="24"/>
                <w:highlight w:val="none"/>
              </w:rPr>
            </w:pPr>
          </w:p>
        </w:tc>
      </w:tr>
      <w:tr w14:paraId="153C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D67AC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624C4">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52265F">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72A591">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D7C1B2">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4ACA59">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DE71A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213A09">
            <w:pPr>
              <w:rPr>
                <w:rFonts w:hint="eastAsia" w:ascii="宋体" w:hAnsi="宋体" w:cs="宋体"/>
                <w:color w:val="auto"/>
                <w:sz w:val="24"/>
                <w:szCs w:val="24"/>
                <w:highlight w:val="none"/>
              </w:rPr>
            </w:pPr>
          </w:p>
        </w:tc>
      </w:tr>
      <w:tr w14:paraId="0FB4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31C879">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E2BD6E">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C390C6">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0CC7A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67CFDA">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4E125A">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5F035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CF08A7">
            <w:pPr>
              <w:rPr>
                <w:rFonts w:hint="eastAsia" w:ascii="宋体" w:hAnsi="宋体" w:cs="宋体"/>
                <w:color w:val="auto"/>
                <w:sz w:val="24"/>
                <w:szCs w:val="24"/>
                <w:highlight w:val="none"/>
              </w:rPr>
            </w:pPr>
          </w:p>
        </w:tc>
      </w:tr>
      <w:tr w14:paraId="431A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4DF23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875066">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53F63">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90F8D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A7883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66CA8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1DCB93">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6DBB8A">
            <w:pPr>
              <w:rPr>
                <w:rFonts w:hint="eastAsia" w:ascii="宋体" w:hAnsi="宋体" w:cs="宋体"/>
                <w:color w:val="auto"/>
                <w:sz w:val="24"/>
                <w:szCs w:val="24"/>
                <w:highlight w:val="none"/>
              </w:rPr>
            </w:pPr>
          </w:p>
        </w:tc>
      </w:tr>
      <w:tr w14:paraId="71D2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1E3B4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7FE5C6">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70877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9C0D6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1FB8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2BFEA">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AD7DAE">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F5E736">
            <w:pPr>
              <w:rPr>
                <w:rFonts w:hint="eastAsia" w:ascii="宋体" w:hAnsi="宋体" w:cs="宋体"/>
                <w:color w:val="auto"/>
                <w:sz w:val="24"/>
                <w:szCs w:val="24"/>
                <w:highlight w:val="none"/>
              </w:rPr>
            </w:pPr>
          </w:p>
        </w:tc>
      </w:tr>
      <w:tr w14:paraId="1809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41E43C">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942241">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ACBFF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1C563">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5B2A4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F2A0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9AAC0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09EBC0">
            <w:pPr>
              <w:rPr>
                <w:rFonts w:hint="eastAsia" w:ascii="宋体" w:hAnsi="宋体" w:cs="宋体"/>
                <w:color w:val="auto"/>
                <w:sz w:val="24"/>
                <w:szCs w:val="24"/>
                <w:highlight w:val="none"/>
              </w:rPr>
            </w:pPr>
          </w:p>
        </w:tc>
      </w:tr>
      <w:tr w14:paraId="41C7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C4663D">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16469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C82A4E">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C9F388">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08E18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F4CC98">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F5419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43E0E">
            <w:pPr>
              <w:rPr>
                <w:rFonts w:hint="eastAsia" w:ascii="宋体" w:hAnsi="宋体" w:cs="宋体"/>
                <w:color w:val="auto"/>
                <w:sz w:val="24"/>
                <w:szCs w:val="24"/>
                <w:highlight w:val="none"/>
              </w:rPr>
            </w:pPr>
          </w:p>
        </w:tc>
      </w:tr>
      <w:tr w14:paraId="5B2E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382E1D">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2E8AC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8D31A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9A57D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2CD9D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A20E6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60F7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2662D">
            <w:pPr>
              <w:rPr>
                <w:rFonts w:hint="eastAsia" w:ascii="宋体" w:hAnsi="宋体" w:cs="宋体"/>
                <w:color w:val="auto"/>
                <w:sz w:val="24"/>
                <w:szCs w:val="24"/>
                <w:highlight w:val="none"/>
              </w:rPr>
            </w:pPr>
          </w:p>
        </w:tc>
      </w:tr>
      <w:tr w14:paraId="7E67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B0B7C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F4473F">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4A8B9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01EB4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03DF8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805CF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8159B2">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BFBD53">
            <w:pPr>
              <w:rPr>
                <w:rFonts w:hint="eastAsia" w:ascii="宋体" w:hAnsi="宋体" w:cs="宋体"/>
                <w:color w:val="auto"/>
                <w:sz w:val="24"/>
                <w:szCs w:val="24"/>
                <w:highlight w:val="none"/>
              </w:rPr>
            </w:pPr>
          </w:p>
        </w:tc>
      </w:tr>
      <w:tr w14:paraId="6F10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7C43D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7445D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DBBDDE">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53910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8DD8C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5B769">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13269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54E556">
            <w:pPr>
              <w:rPr>
                <w:rFonts w:hint="eastAsia" w:ascii="宋体" w:hAnsi="宋体" w:cs="宋体"/>
                <w:color w:val="auto"/>
                <w:sz w:val="24"/>
                <w:szCs w:val="24"/>
                <w:highlight w:val="none"/>
              </w:rPr>
            </w:pPr>
          </w:p>
        </w:tc>
      </w:tr>
      <w:tr w14:paraId="20C6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021BC5">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15CBC1">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53C37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A53040">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6B75D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AF4202">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D9EE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2BC615">
            <w:pPr>
              <w:rPr>
                <w:rFonts w:hint="eastAsia" w:ascii="宋体" w:hAnsi="宋体" w:cs="宋体"/>
                <w:color w:val="auto"/>
                <w:sz w:val="24"/>
                <w:szCs w:val="24"/>
                <w:highlight w:val="none"/>
              </w:rPr>
            </w:pPr>
          </w:p>
        </w:tc>
      </w:tr>
      <w:tr w14:paraId="72AB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507D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1A7AD6">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5A08A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D380D5">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39912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78665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2607CD">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D237E0">
            <w:pPr>
              <w:rPr>
                <w:rFonts w:hint="eastAsia" w:ascii="宋体" w:hAnsi="宋体" w:cs="宋体"/>
                <w:color w:val="auto"/>
                <w:sz w:val="24"/>
                <w:szCs w:val="24"/>
                <w:highlight w:val="none"/>
              </w:rPr>
            </w:pPr>
          </w:p>
        </w:tc>
      </w:tr>
      <w:tr w14:paraId="2D84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FFAF2F">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8FC30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D1F01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557CF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69A23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08E595">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C2F67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854A4E">
            <w:pPr>
              <w:rPr>
                <w:rFonts w:hint="eastAsia" w:ascii="宋体" w:hAnsi="宋体" w:cs="宋体"/>
                <w:color w:val="auto"/>
                <w:sz w:val="24"/>
                <w:szCs w:val="24"/>
                <w:highlight w:val="none"/>
              </w:rPr>
            </w:pPr>
          </w:p>
        </w:tc>
      </w:tr>
      <w:tr w14:paraId="37FF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24B8D1">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F8530F">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D9152C">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9427C2">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74BD4">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D7D1F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B6F2D3">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0CB65E">
            <w:pPr>
              <w:rPr>
                <w:rFonts w:hint="eastAsia" w:ascii="宋体" w:hAnsi="宋体" w:cs="宋体"/>
                <w:color w:val="auto"/>
                <w:sz w:val="24"/>
                <w:szCs w:val="24"/>
                <w:highlight w:val="none"/>
              </w:rPr>
            </w:pPr>
          </w:p>
        </w:tc>
      </w:tr>
      <w:tr w14:paraId="008E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292B3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02F3E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F5C6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7015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6748E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2F9C2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D8C572">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625F60">
            <w:pPr>
              <w:rPr>
                <w:rFonts w:hint="eastAsia" w:ascii="宋体" w:hAnsi="宋体" w:cs="宋体"/>
                <w:color w:val="auto"/>
                <w:sz w:val="24"/>
                <w:szCs w:val="24"/>
                <w:highlight w:val="none"/>
              </w:rPr>
            </w:pPr>
          </w:p>
        </w:tc>
      </w:tr>
      <w:tr w14:paraId="3EFA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8EF1E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66871">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22A4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629967">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40535F">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3C892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011C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503CC5">
            <w:pPr>
              <w:rPr>
                <w:rFonts w:hint="eastAsia" w:ascii="宋体" w:hAnsi="宋体" w:cs="宋体"/>
                <w:color w:val="auto"/>
                <w:sz w:val="24"/>
                <w:szCs w:val="24"/>
                <w:highlight w:val="none"/>
              </w:rPr>
            </w:pPr>
          </w:p>
        </w:tc>
      </w:tr>
      <w:tr w14:paraId="367F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3EB828">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B2A4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06D9B1">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78A7D">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EFDAE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5DC6A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149CA">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ED76BD">
            <w:pPr>
              <w:rPr>
                <w:rFonts w:hint="eastAsia" w:ascii="宋体" w:hAnsi="宋体" w:cs="宋体"/>
                <w:color w:val="auto"/>
                <w:sz w:val="24"/>
                <w:szCs w:val="24"/>
                <w:highlight w:val="none"/>
              </w:rPr>
            </w:pPr>
          </w:p>
        </w:tc>
      </w:tr>
      <w:tr w14:paraId="6D34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49552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DE94A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BB2EE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136398">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2C9BE0">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74865">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32EF3F">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7EB01F">
            <w:pPr>
              <w:rPr>
                <w:rFonts w:hint="eastAsia" w:ascii="宋体" w:hAnsi="宋体" w:cs="宋体"/>
                <w:color w:val="auto"/>
                <w:sz w:val="24"/>
                <w:szCs w:val="24"/>
                <w:highlight w:val="none"/>
              </w:rPr>
            </w:pPr>
          </w:p>
        </w:tc>
      </w:tr>
    </w:tbl>
    <w:p w14:paraId="2A72D817">
      <w:pPr>
        <w:rPr>
          <w:rFonts w:hint="eastAsia" w:ascii="宋体" w:hAnsi="宋体" w:eastAsia="宋体" w:cs="宋体"/>
          <w:color w:val="auto"/>
          <w:sz w:val="24"/>
          <w:szCs w:val="24"/>
          <w:highlight w:val="none"/>
        </w:rPr>
        <w:sectPr>
          <w:headerReference r:id="rId17" w:type="default"/>
          <w:footerReference r:id="rId18" w:type="default"/>
          <w:pgSz w:w="11905" w:h="16838"/>
          <w:pgMar w:top="1417" w:right="1417" w:bottom="1417" w:left="1417" w:header="992" w:footer="992" w:gutter="0"/>
          <w:lnNumType w:countBy="0" w:distance="360"/>
          <w:cols w:space="720" w:num="1"/>
        </w:sectPr>
      </w:pPr>
    </w:p>
    <w:p w14:paraId="10EFA068">
      <w:pPr>
        <w:pStyle w:val="5"/>
        <w:spacing w:line="480" w:lineRule="auto"/>
        <w:jc w:val="center"/>
        <w:outlineLvl w:val="2"/>
        <w:rPr>
          <w:rFonts w:hint="eastAsia" w:cs="宋体"/>
          <w:b/>
          <w:bCs/>
          <w:color w:val="auto"/>
          <w:sz w:val="32"/>
          <w:szCs w:val="32"/>
          <w:highlight w:val="none"/>
        </w:rPr>
      </w:pPr>
      <w:bookmarkStart w:id="144" w:name="_Toc21460"/>
      <w:r>
        <w:rPr>
          <w:rFonts w:hint="eastAsia" w:cs="宋体"/>
          <w:b/>
          <w:bCs/>
          <w:color w:val="auto"/>
          <w:sz w:val="32"/>
          <w:szCs w:val="32"/>
          <w:highlight w:val="none"/>
          <w:lang w:val="en-US" w:eastAsia="zh-CN"/>
        </w:rPr>
        <w:t>（七）、</w:t>
      </w:r>
      <w:bookmarkEnd w:id="144"/>
      <w:bookmarkStart w:id="145" w:name="_Toc7353"/>
      <w:r>
        <w:rPr>
          <w:rFonts w:hint="eastAsia" w:cs="宋体"/>
          <w:b/>
          <w:bCs/>
          <w:color w:val="auto"/>
          <w:sz w:val="32"/>
          <w:szCs w:val="32"/>
          <w:highlight w:val="none"/>
          <w:lang w:val="en-US" w:eastAsia="zh-CN"/>
        </w:rPr>
        <w:t>投标人声明</w:t>
      </w:r>
      <w:bookmarkEnd w:id="145"/>
    </w:p>
    <w:p w14:paraId="1A6773B1">
      <w:pPr>
        <w:snapToGrid w:val="0"/>
        <w:spacing w:line="360" w:lineRule="auto"/>
        <w:rPr>
          <w:rFonts w:hint="eastAsia" w:ascii="宋体" w:hAnsi="宋体" w:eastAsia="宋体" w:cs="宋体"/>
          <w:color w:val="auto"/>
          <w:sz w:val="21"/>
          <w:szCs w:val="21"/>
          <w:highlight w:val="none"/>
        </w:rPr>
      </w:pPr>
    </w:p>
    <w:p w14:paraId="70907A1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73982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标段</w:t>
      </w:r>
      <w:r>
        <w:rPr>
          <w:rFonts w:hint="eastAsia" w:ascii="宋体" w:hAnsi="宋体" w:eastAsia="宋体" w:cs="宋体"/>
          <w:color w:val="auto"/>
          <w:sz w:val="24"/>
          <w:szCs w:val="24"/>
          <w:highlight w:val="none"/>
          <w:u w:val="single"/>
          <w:lang w:eastAsia="zh-CN"/>
        </w:rPr>
        <w:t>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22B94C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7A1424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3EAFA4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14:paraId="643096A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w:t>
      </w:r>
    </w:p>
    <w:p w14:paraId="36B23514">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1E20F667">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w:t>
      </w:r>
    </w:p>
    <w:p w14:paraId="4BCB58C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14:paraId="3850EE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4486F6D">
      <w:pPr>
        <w:pStyle w:val="40"/>
        <w:ind w:right="1449" w:firstLine="480" w:firstLineChars="200"/>
        <w:rPr>
          <w:rFonts w:hint="eastAsia" w:ascii="宋体" w:eastAsia="宋体" w:cs="宋体"/>
          <w:color w:val="auto"/>
          <w:sz w:val="24"/>
          <w:szCs w:val="24"/>
          <w:highlight w:val="none"/>
        </w:rPr>
      </w:pPr>
    </w:p>
    <w:p w14:paraId="1797BE9E">
      <w:pPr>
        <w:pStyle w:val="40"/>
        <w:spacing w:line="600" w:lineRule="exact"/>
        <w:ind w:left="629" w:right="1449"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声明企业：</w:t>
      </w:r>
    </w:p>
    <w:p w14:paraId="1BA5530C">
      <w:pPr>
        <w:pStyle w:val="35"/>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法定代表人（签字）：</w:t>
      </w:r>
    </w:p>
    <w:p w14:paraId="66F93F22">
      <w:pPr>
        <w:pStyle w:val="35"/>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总监理工程师（签字）：</w:t>
      </w:r>
    </w:p>
    <w:p w14:paraId="5F0AEE72">
      <w:pPr>
        <w:pStyle w:val="35"/>
        <w:spacing w:line="600" w:lineRule="exact"/>
        <w:ind w:right="1779" w:firstLine="0"/>
        <w:jc w:val="righ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技术负责人（签字）：</w:t>
      </w:r>
    </w:p>
    <w:p w14:paraId="79E4C053">
      <w:pPr>
        <w:pStyle w:val="35"/>
        <w:spacing w:line="600" w:lineRule="exact"/>
        <w:ind w:right="879" w:firstLine="480" w:firstLineChars="20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（企业公章）</w:t>
      </w:r>
    </w:p>
    <w:p w14:paraId="761A30EE">
      <w:pPr>
        <w:tabs>
          <w:tab w:val="left" w:pos="2316"/>
        </w:tabs>
        <w:spacing w:line="360" w:lineRule="auto"/>
        <w:ind w:firstLine="0" w:firstLineChars="0"/>
        <w:jc w:val="cente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52D8877F">
      <w:pPr>
        <w:pStyle w:val="5"/>
        <w:pageBreakBefore/>
        <w:outlineLvl w:val="2"/>
        <w:rPr>
          <w:rFonts w:hint="eastAsia" w:cs="宋体"/>
          <w:b/>
          <w:color w:val="auto"/>
          <w:sz w:val="24"/>
          <w:szCs w:val="24"/>
          <w:highlight w:val="none"/>
        </w:rPr>
      </w:pPr>
    </w:p>
    <w:p w14:paraId="69D4EEF3">
      <w:pPr>
        <w:pStyle w:val="22"/>
        <w:spacing w:before="157" w:beforeLines="50" w:beforeAutospacing="0" w:after="157" w:afterLines="50" w:afterAutospacing="0"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投标人廉洁承诺书</w:t>
      </w:r>
    </w:p>
    <w:p w14:paraId="141F72D7">
      <w:pPr>
        <w:pStyle w:val="16"/>
        <w:spacing w:line="360" w:lineRule="auto"/>
        <w:ind w:left="0" w:leftChars="0" w:right="42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w:t>
      </w:r>
      <w:r>
        <w:rPr>
          <w:rFonts w:hint="eastAsia" w:ascii="宋体" w:hAnsi="宋体" w:eastAsia="宋体" w:cs="宋体"/>
          <w:color w:val="auto"/>
          <w:sz w:val="24"/>
          <w:szCs w:val="24"/>
          <w:highlight w:val="none"/>
          <w:lang w:val="en-US" w:eastAsia="zh-CN"/>
        </w:rPr>
        <w:t>番禺区</w:t>
      </w:r>
      <w:r>
        <w:rPr>
          <w:rFonts w:hint="eastAsia" w:ascii="宋体" w:hAnsi="宋体" w:eastAsia="宋体" w:cs="宋体"/>
          <w:color w:val="auto"/>
          <w:sz w:val="24"/>
          <w:szCs w:val="24"/>
          <w:highlight w:val="none"/>
        </w:rPr>
        <w:t>水务局、本招标项目招标人及招标监管机构：</w:t>
      </w:r>
    </w:p>
    <w:p w14:paraId="47BBAAC1">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51839AA">
      <w:pPr>
        <w:pStyle w:val="16"/>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6F422DE0">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4301B875">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7E09ADF0">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4CA777B2">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5C6D899F">
      <w:pPr>
        <w:pStyle w:val="16"/>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08277D4E">
      <w:pPr>
        <w:pStyle w:val="16"/>
        <w:autoSpaceDE/>
        <w:autoSpaceDN/>
        <w:spacing w:line="360" w:lineRule="auto"/>
        <w:ind w:right="420" w:firstLine="480" w:firstLineChars="200"/>
        <w:rPr>
          <w:rFonts w:hint="eastAsia" w:hAnsi="宋体" w:cs="宋体"/>
          <w:color w:val="auto"/>
          <w:highlight w:val="none"/>
        </w:rPr>
      </w:pPr>
      <w:r>
        <w:rPr>
          <w:rFonts w:hint="eastAsia" w:hAnsi="宋体" w:cs="宋体"/>
          <w:color w:val="auto"/>
          <w:highlight w:val="none"/>
        </w:rPr>
        <w:t>本公司违反上述承诺，或本承诺陈述与事实不符，经查实，本公司愿意接受公开通报，承担由此带来的法律后果。</w:t>
      </w:r>
    </w:p>
    <w:p w14:paraId="2108535F">
      <w:pPr>
        <w:pStyle w:val="16"/>
        <w:autoSpaceDE/>
        <w:autoSpaceDN/>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hAnsi="宋体" w:cs="宋体"/>
          <w:color w:val="auto"/>
          <w:highlight w:val="none"/>
        </w:rPr>
        <w:t>特此承诺</w:t>
      </w:r>
      <w:r>
        <w:rPr>
          <w:rFonts w:hint="eastAsia" w:ascii="宋体" w:hAnsi="宋体" w:eastAsia="宋体" w:cs="宋体"/>
          <w:color w:val="auto"/>
          <w:sz w:val="24"/>
          <w:szCs w:val="24"/>
          <w:highlight w:val="none"/>
          <w:lang w:eastAsia="zh-CN"/>
        </w:rPr>
        <w:t>。</w:t>
      </w:r>
    </w:p>
    <w:p w14:paraId="4C2ED1BA">
      <w:pPr>
        <w:pStyle w:val="22"/>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76E6AA45">
      <w:pPr>
        <w:pStyle w:val="22"/>
        <w:shd w:val="clear" w:color="auto" w:fill="FFFFFF"/>
        <w:spacing w:before="0" w:beforeAutospacing="0" w:after="0" w:afterAutospacing="0"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1267A911">
      <w:pPr>
        <w:pStyle w:val="22"/>
        <w:shd w:val="clear" w:color="auto" w:fill="FFFFFF"/>
        <w:spacing w:before="0" w:after="0"/>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bookmarkStart w:id="146" w:name="bookmark193"/>
      <w:bookmarkEnd w:id="146"/>
      <w:bookmarkStart w:id="147" w:name="_Toc13291"/>
    </w:p>
    <w:p w14:paraId="6DFFF2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2EC1E48">
      <w:pPr>
        <w:pStyle w:val="22"/>
        <w:shd w:val="clear" w:color="auto" w:fill="FFFFFF"/>
        <w:spacing w:before="0" w:after="0"/>
        <w:ind w:firstLine="48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0F057F21">
      <w:pPr>
        <w:pStyle w:val="4"/>
        <w:jc w:val="center"/>
        <w:outlineLvl w:val="1"/>
        <w:rPr>
          <w:rFonts w:hint="eastAsia" w:cs="宋体"/>
          <w:color w:val="auto"/>
          <w:sz w:val="28"/>
          <w:szCs w:val="24"/>
          <w:highlight w:val="none"/>
        </w:rPr>
      </w:pPr>
      <w:r>
        <w:rPr>
          <w:rFonts w:hint="eastAsia" w:cs="宋体"/>
          <w:color w:val="auto"/>
          <w:sz w:val="28"/>
          <w:szCs w:val="24"/>
          <w:highlight w:val="none"/>
          <w:lang w:eastAsia="zh-CN"/>
        </w:rPr>
        <w:t>六</w:t>
      </w:r>
      <w:r>
        <w:rPr>
          <w:rFonts w:hint="eastAsia" w:cs="宋体"/>
          <w:color w:val="auto"/>
          <w:sz w:val="28"/>
          <w:szCs w:val="24"/>
          <w:highlight w:val="none"/>
        </w:rPr>
        <w:t>、监理大纲</w:t>
      </w:r>
      <w:bookmarkEnd w:id="147"/>
    </w:p>
    <w:p w14:paraId="6F155C6C">
      <w:pPr>
        <w:pStyle w:val="12"/>
        <w:kinsoku w:val="0"/>
        <w:overflowPunct w:val="0"/>
        <w:spacing w:beforeLines="100"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监理大纲应包括（但不限于）下列内容：</w:t>
      </w:r>
    </w:p>
    <w:p w14:paraId="3D33B3DA">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监理工程概况；</w:t>
      </w:r>
    </w:p>
    <w:p w14:paraId="1D73306B">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二、监理范围、监理内容； </w:t>
      </w:r>
    </w:p>
    <w:p w14:paraId="2F12346C">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三、监理依据、监理工作目标；</w:t>
      </w:r>
    </w:p>
    <w:p w14:paraId="0DCE9E97">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8"/>
          <w:sz w:val="24"/>
          <w:szCs w:val="24"/>
          <w:highlight w:val="none"/>
        </w:rPr>
        <w:t>四、监理机构设置（框图）、岗位职责；</w:t>
      </w:r>
      <w:r>
        <w:rPr>
          <w:rFonts w:hint="eastAsia" w:cs="宋体"/>
          <w:color w:val="auto"/>
          <w:spacing w:val="-69"/>
          <w:sz w:val="24"/>
          <w:szCs w:val="24"/>
          <w:highlight w:val="none"/>
        </w:rPr>
        <w:t xml:space="preserve"> </w:t>
      </w:r>
    </w:p>
    <w:p w14:paraId="1DCC3B83">
      <w:pPr>
        <w:pStyle w:val="12"/>
        <w:numPr>
          <w:ilvl w:val="0"/>
          <w:numId w:val="0"/>
        </w:numPr>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 xml:space="preserve">五、监理工作程序、方法和制度； </w:t>
      </w:r>
    </w:p>
    <w:p w14:paraId="30F1B8DA">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六、拟投入的监理人员、试验检测仪器设备； </w:t>
      </w:r>
    </w:p>
    <w:p w14:paraId="5B18A2AB">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2"/>
          <w:sz w:val="24"/>
          <w:szCs w:val="24"/>
          <w:highlight w:val="none"/>
        </w:rPr>
        <w:t>七、质量、进度、造价、安全、环保监理措施；</w:t>
      </w:r>
      <w:r>
        <w:rPr>
          <w:rFonts w:hint="eastAsia" w:cs="宋体"/>
          <w:color w:val="auto"/>
          <w:spacing w:val="-66"/>
          <w:sz w:val="24"/>
          <w:szCs w:val="24"/>
          <w:highlight w:val="none"/>
        </w:rPr>
        <w:t xml:space="preserve"> </w:t>
      </w:r>
    </w:p>
    <w:p w14:paraId="65F82612">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八、合同、信息管理方案；</w:t>
      </w:r>
    </w:p>
    <w:p w14:paraId="4071FA62">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九</w:t>
      </w:r>
      <w:r>
        <w:rPr>
          <w:rFonts w:hint="eastAsia" w:cs="宋体"/>
          <w:color w:val="auto"/>
          <w:sz w:val="24"/>
          <w:szCs w:val="24"/>
          <w:highlight w:val="none"/>
        </w:rPr>
        <w:t xml:space="preserve">、组织协调内容及措施； </w:t>
      </w:r>
    </w:p>
    <w:p w14:paraId="33CA1F2B">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十、监理工作重点、难点分析； </w:t>
      </w:r>
    </w:p>
    <w:p w14:paraId="5B776E1A">
      <w:pPr>
        <w:pStyle w:val="12"/>
        <w:numPr>
          <w:ilvl w:val="0"/>
          <w:numId w:val="0"/>
        </w:numPr>
        <w:kinsoku w:val="0"/>
        <w:overflowPunct w:val="0"/>
        <w:spacing w:before="0" w:line="360" w:lineRule="auto"/>
        <w:ind w:left="480" w:right="0"/>
        <w:rPr>
          <w:rFonts w:hint="eastAsia" w:cs="宋体"/>
          <w:color w:val="auto"/>
          <w:sz w:val="24"/>
          <w:szCs w:val="24"/>
          <w:highlight w:val="none"/>
        </w:rPr>
      </w:pPr>
      <w:r>
        <w:rPr>
          <w:rFonts w:hint="eastAsia" w:cs="宋体"/>
          <w:color w:val="auto"/>
          <w:sz w:val="24"/>
          <w:szCs w:val="24"/>
          <w:highlight w:val="none"/>
        </w:rPr>
        <w:t>十</w:t>
      </w:r>
      <w:r>
        <w:rPr>
          <w:rFonts w:hint="eastAsia" w:cs="宋体"/>
          <w:color w:val="auto"/>
          <w:sz w:val="24"/>
          <w:szCs w:val="24"/>
          <w:highlight w:val="none"/>
          <w:lang w:val="en-US" w:eastAsia="zh-CN"/>
        </w:rPr>
        <w:t>一</w:t>
      </w:r>
      <w:r>
        <w:rPr>
          <w:rFonts w:hint="eastAsia" w:cs="宋体"/>
          <w:color w:val="auto"/>
          <w:sz w:val="24"/>
          <w:szCs w:val="24"/>
          <w:highlight w:val="none"/>
        </w:rPr>
        <w:t>、对本工程监理的合理化建议。</w:t>
      </w:r>
    </w:p>
    <w:p w14:paraId="30C3F89C">
      <w:pPr>
        <w:pStyle w:val="25"/>
        <w:ind w:left="0" w:leftChars="0" w:firstLine="480"/>
        <w:rPr>
          <w:rFonts w:hint="eastAsia" w:ascii="宋体" w:hAnsi="宋体" w:cs="宋体"/>
          <w:color w:val="auto"/>
          <w:highlight w:val="none"/>
        </w:rPr>
      </w:pPr>
      <w:r>
        <w:rPr>
          <w:rFonts w:hint="eastAsia" w:ascii="宋体" w:hAnsi="宋体" w:cs="宋体"/>
          <w:color w:val="auto"/>
          <w:sz w:val="24"/>
          <w:highlight w:val="none"/>
        </w:rPr>
        <w:t>十二、配合行政主管部门开展监督检查及加快项目推进的措施。</w:t>
      </w:r>
    </w:p>
    <w:p w14:paraId="1FB5524D">
      <w:pPr>
        <w:rPr>
          <w:rFonts w:hint="eastAsia" w:ascii="宋体" w:hAnsi="宋体" w:eastAsia="宋体" w:cs="宋体"/>
          <w:color w:val="auto"/>
          <w:highlight w:val="none"/>
        </w:rPr>
        <w:sectPr>
          <w:pgSz w:w="11905" w:h="16838"/>
          <w:pgMar w:top="1417" w:right="1417" w:bottom="1417" w:left="1417" w:header="992" w:footer="992" w:gutter="0"/>
          <w:lnNumType w:countBy="0" w:distance="360"/>
          <w:cols w:space="720" w:num="1"/>
        </w:sectPr>
      </w:pPr>
    </w:p>
    <w:p w14:paraId="5ABB1970">
      <w:pPr>
        <w:pStyle w:val="4"/>
        <w:numPr>
          <w:ilvl w:val="0"/>
          <w:numId w:val="2"/>
        </w:numPr>
        <w:jc w:val="center"/>
        <w:outlineLvl w:val="1"/>
        <w:rPr>
          <w:rFonts w:hint="eastAsia" w:cs="宋体"/>
          <w:color w:val="auto"/>
          <w:sz w:val="28"/>
          <w:szCs w:val="24"/>
          <w:highlight w:val="none"/>
        </w:rPr>
      </w:pPr>
      <w:bookmarkStart w:id="148" w:name="bookmark194"/>
      <w:bookmarkEnd w:id="148"/>
      <w:bookmarkStart w:id="149" w:name="_Toc26031"/>
      <w:r>
        <w:rPr>
          <w:rFonts w:hint="eastAsia" w:cs="宋体"/>
          <w:color w:val="auto"/>
          <w:sz w:val="28"/>
          <w:szCs w:val="24"/>
          <w:highlight w:val="none"/>
        </w:rPr>
        <w:t>其他资料</w:t>
      </w:r>
      <w:bookmarkEnd w:id="149"/>
    </w:p>
    <w:p w14:paraId="58FB3526">
      <w:pPr>
        <w:tabs>
          <w:tab w:val="left" w:pos="720"/>
        </w:tabs>
        <w:snapToGrid w:val="0"/>
        <w:spacing w:line="360" w:lineRule="auto"/>
        <w:rPr>
          <w:b/>
          <w:color w:val="auto"/>
          <w:highlight w:val="none"/>
        </w:rPr>
      </w:pPr>
      <w:r>
        <w:rPr>
          <w:rFonts w:hint="eastAsia"/>
          <w:b/>
          <w:color w:val="auto"/>
          <w:highlight w:val="none"/>
        </w:rPr>
        <w:t>（一）中小企业声明函（格式）</w:t>
      </w:r>
    </w:p>
    <w:p w14:paraId="73B2CD9D">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1D155F66">
      <w:pPr>
        <w:spacing w:line="360" w:lineRule="auto"/>
        <w:ind w:firstLine="480" w:firstLineChars="200"/>
        <w:jc w:val="both"/>
        <w:rPr>
          <w:rFonts w:hint="eastAsia" w:ascii="宋体" w:hAnsi="宋体" w:cs="宋体"/>
          <w:color w:val="auto"/>
          <w:szCs w:val="20"/>
          <w:highlight w:val="none"/>
          <w:u w:val="single"/>
        </w:rPr>
      </w:pPr>
      <w:r>
        <w:rPr>
          <w:rFonts w:hint="eastAsia" w:ascii="宋体" w:hAnsi="宋体" w:cs="宋体"/>
          <w:color w:val="auto"/>
          <w:szCs w:val="20"/>
          <w:highlight w:val="none"/>
        </w:rPr>
        <w:t>致：</w:t>
      </w:r>
      <w:r>
        <w:rPr>
          <w:rFonts w:hint="eastAsia" w:ascii="宋体" w:hAnsi="宋体" w:cs="宋体"/>
          <w:color w:val="auto"/>
          <w:szCs w:val="20"/>
          <w:highlight w:val="none"/>
          <w:u w:val="single"/>
        </w:rPr>
        <w:t xml:space="preserve">        （招标人）         </w:t>
      </w:r>
    </w:p>
    <w:p w14:paraId="6E18BB38">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本公司郑重声明，根据《政府采购促进中小企业发展管理办法》（财库﹝2020﹞46号）的规定，本公司参加</w:t>
      </w:r>
      <w:r>
        <w:rPr>
          <w:rFonts w:hint="eastAsia" w:ascii="宋体" w:hAnsi="宋体" w:cs="宋体"/>
          <w:color w:val="auto"/>
          <w:szCs w:val="20"/>
          <w:highlight w:val="none"/>
          <w:u w:val="single"/>
        </w:rPr>
        <w:t xml:space="preserve">   （招标人）    </w:t>
      </w:r>
      <w:r>
        <w:rPr>
          <w:rFonts w:hint="eastAsia" w:ascii="宋体" w:hAnsi="宋体" w:cs="宋体"/>
          <w:color w:val="auto"/>
          <w:szCs w:val="20"/>
          <w:highlight w:val="none"/>
        </w:rPr>
        <w:t>的</w:t>
      </w:r>
      <w:r>
        <w:rPr>
          <w:rFonts w:hint="eastAsia" w:ascii="宋体" w:hAnsi="宋体" w:cs="宋体"/>
          <w:color w:val="auto"/>
          <w:szCs w:val="20"/>
          <w:highlight w:val="none"/>
          <w:u w:val="single"/>
        </w:rPr>
        <w:t xml:space="preserve">      （标段名称）      </w:t>
      </w:r>
      <w:r>
        <w:rPr>
          <w:rFonts w:hint="eastAsia" w:ascii="宋体" w:hAnsi="宋体" w:cs="宋体"/>
          <w:color w:val="auto"/>
          <w:szCs w:val="20"/>
          <w:highlight w:val="none"/>
        </w:rPr>
        <w:t>招标活动，工程的</w:t>
      </w:r>
      <w:r>
        <w:rPr>
          <w:rFonts w:hint="eastAsia" w:ascii="宋体" w:hAnsi="宋体" w:cs="宋体"/>
          <w:color w:val="auto"/>
          <w:szCs w:val="20"/>
          <w:highlight w:val="none"/>
          <w:lang w:val="en-US" w:eastAsia="zh-CN"/>
        </w:rPr>
        <w:t>服务</w:t>
      </w:r>
      <w:r>
        <w:rPr>
          <w:rFonts w:hint="eastAsia" w:ascii="宋体" w:hAnsi="宋体" w:cs="宋体"/>
          <w:color w:val="auto"/>
          <w:szCs w:val="20"/>
          <w:highlight w:val="none"/>
        </w:rPr>
        <w:t>单位全部为符合政策要求的中小企业</w:t>
      </w:r>
      <w:r>
        <w:rPr>
          <w:rFonts w:hint="eastAsia" w:ascii="宋体" w:hAnsi="宋体" w:cs="宋体"/>
          <w:color w:val="auto"/>
          <w:szCs w:val="20"/>
          <w:highlight w:val="none"/>
          <w:lang w:val="en-US" w:eastAsia="zh-CN"/>
        </w:rPr>
        <w:t>承接</w:t>
      </w:r>
      <w:r>
        <w:rPr>
          <w:rFonts w:hint="eastAsia" w:ascii="宋体" w:hAnsi="宋体" w:cs="宋体"/>
          <w:color w:val="auto"/>
          <w:szCs w:val="20"/>
          <w:highlight w:val="none"/>
        </w:rPr>
        <w:t>。相关企业（含签订分包意向协议的中小企业）的具体情况如下：</w:t>
      </w:r>
    </w:p>
    <w:p w14:paraId="21A64093">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1.</w:t>
      </w:r>
      <w:r>
        <w:rPr>
          <w:rFonts w:hint="eastAsia" w:ascii="宋体" w:hAnsi="宋体" w:cs="宋体"/>
          <w:color w:val="auto"/>
          <w:szCs w:val="20"/>
          <w:highlight w:val="none"/>
          <w:u w:val="single"/>
        </w:rPr>
        <w:t xml:space="preserve">     （标段名称）     </w:t>
      </w:r>
      <w:r>
        <w:rPr>
          <w:rFonts w:hint="eastAsia" w:ascii="宋体" w:hAnsi="宋体" w:cs="宋体"/>
          <w:color w:val="auto"/>
          <w:szCs w:val="20"/>
          <w:highlight w:val="none"/>
        </w:rPr>
        <w:t>，属于</w:t>
      </w:r>
      <w:r>
        <w:rPr>
          <w:rFonts w:hint="eastAsia" w:ascii="宋体" w:hAnsi="宋体" w:cs="宋体"/>
          <w:color w:val="auto"/>
          <w:szCs w:val="20"/>
          <w:highlight w:val="none"/>
          <w:u w:val="single"/>
          <w:lang w:val="en-US" w:eastAsia="zh-CN"/>
        </w:rPr>
        <w:t>其他未列明行业</w:t>
      </w:r>
      <w:r>
        <w:rPr>
          <w:rFonts w:hint="eastAsia" w:ascii="宋体" w:hAnsi="宋体" w:cs="宋体"/>
          <w:color w:val="auto"/>
          <w:szCs w:val="20"/>
          <w:highlight w:val="none"/>
        </w:rPr>
        <w:t>；承建（承接）企业为</w:t>
      </w:r>
      <w:r>
        <w:rPr>
          <w:rFonts w:hint="eastAsia" w:ascii="宋体" w:hAnsi="宋体" w:cs="宋体"/>
          <w:color w:val="auto"/>
          <w:szCs w:val="20"/>
          <w:highlight w:val="none"/>
          <w:u w:val="single"/>
        </w:rPr>
        <w:t xml:space="preserve">    （企业名称）     </w:t>
      </w:r>
      <w:r>
        <w:rPr>
          <w:rFonts w:hint="eastAsia" w:ascii="宋体" w:hAnsi="宋体" w:cs="宋体"/>
          <w:color w:val="auto"/>
          <w:szCs w:val="20"/>
          <w:highlight w:val="none"/>
        </w:rPr>
        <w:t>，从业人员</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人，营业收入为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万元，资产总额为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万元，属于</w:t>
      </w:r>
      <w:r>
        <w:rPr>
          <w:rFonts w:hint="eastAsia" w:ascii="宋体" w:hAnsi="宋体" w:cs="宋体"/>
          <w:color w:val="auto"/>
          <w:szCs w:val="20"/>
          <w:highlight w:val="none"/>
          <w:u w:val="single"/>
        </w:rPr>
        <w:t>（中型企业、小型企业、微型企业）</w:t>
      </w:r>
      <w:r>
        <w:rPr>
          <w:rFonts w:hint="eastAsia" w:ascii="宋体" w:hAnsi="宋体" w:cs="宋体"/>
          <w:color w:val="auto"/>
          <w:szCs w:val="20"/>
          <w:highlight w:val="none"/>
        </w:rPr>
        <w:t>。</w:t>
      </w:r>
    </w:p>
    <w:p w14:paraId="3CDC49C8">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2.</w:t>
      </w:r>
      <w:r>
        <w:rPr>
          <w:rFonts w:hint="eastAsia" w:ascii="宋体" w:hAnsi="宋体" w:cs="宋体"/>
          <w:color w:val="auto"/>
          <w:szCs w:val="20"/>
          <w:highlight w:val="none"/>
          <w:u w:val="single"/>
        </w:rPr>
        <w:t xml:space="preserve">     （标段名称）     </w:t>
      </w:r>
      <w:r>
        <w:rPr>
          <w:rFonts w:hint="eastAsia" w:ascii="宋体" w:hAnsi="宋体" w:cs="宋体"/>
          <w:color w:val="auto"/>
          <w:szCs w:val="20"/>
          <w:highlight w:val="none"/>
        </w:rPr>
        <w:t>，属于</w:t>
      </w:r>
      <w:r>
        <w:rPr>
          <w:rFonts w:hint="eastAsia" w:ascii="宋体" w:hAnsi="宋体" w:cs="宋体"/>
          <w:color w:val="auto"/>
          <w:szCs w:val="20"/>
          <w:highlight w:val="none"/>
          <w:u w:val="single"/>
          <w:lang w:val="en-US" w:eastAsia="zh-CN"/>
        </w:rPr>
        <w:t>其他未列明行业</w:t>
      </w:r>
      <w:r>
        <w:rPr>
          <w:rFonts w:hint="eastAsia" w:ascii="宋体" w:hAnsi="宋体" w:cs="宋体"/>
          <w:color w:val="auto"/>
          <w:szCs w:val="20"/>
          <w:highlight w:val="none"/>
        </w:rPr>
        <w:t>；承建（承接）企业为</w:t>
      </w:r>
      <w:r>
        <w:rPr>
          <w:rFonts w:hint="eastAsia" w:ascii="宋体" w:hAnsi="宋体" w:cs="宋体"/>
          <w:color w:val="auto"/>
          <w:szCs w:val="20"/>
          <w:highlight w:val="none"/>
          <w:u w:val="single"/>
        </w:rPr>
        <w:t xml:space="preserve">     （企业名称）     </w:t>
      </w:r>
      <w:r>
        <w:rPr>
          <w:rFonts w:hint="eastAsia" w:ascii="宋体" w:hAnsi="宋体" w:cs="宋体"/>
          <w:color w:val="auto"/>
          <w:szCs w:val="20"/>
          <w:highlight w:val="none"/>
        </w:rPr>
        <w:t>，从业人员</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人，营业收入为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万元，资产总额为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万元，属于</w:t>
      </w:r>
      <w:r>
        <w:rPr>
          <w:rFonts w:hint="eastAsia" w:ascii="宋体" w:hAnsi="宋体" w:cs="宋体"/>
          <w:color w:val="auto"/>
          <w:szCs w:val="20"/>
          <w:highlight w:val="none"/>
          <w:u w:val="single"/>
        </w:rPr>
        <w:t>（中型企业、小型企业、微型企业）</w:t>
      </w:r>
      <w:r>
        <w:rPr>
          <w:rFonts w:hint="eastAsia" w:ascii="宋体" w:hAnsi="宋体" w:cs="宋体"/>
          <w:color w:val="auto"/>
          <w:szCs w:val="20"/>
          <w:highlight w:val="none"/>
        </w:rPr>
        <w:t>；</w:t>
      </w:r>
    </w:p>
    <w:p w14:paraId="194CA3E6">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w:t>
      </w:r>
    </w:p>
    <w:p w14:paraId="67C14A34">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以上企业，不属于大企业的分支机构，不存在控股股东为大企业的情形，也不存在与大企业的负责人为同一人的情形。</w:t>
      </w:r>
    </w:p>
    <w:p w14:paraId="2E599AB9">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本企业对上述声明内容的真实性负责。如有虚假，将依法承担相应责任。</w:t>
      </w:r>
    </w:p>
    <w:p w14:paraId="52365621">
      <w:pPr>
        <w:pStyle w:val="16"/>
        <w:spacing w:line="360" w:lineRule="auto"/>
        <w:ind w:firstLine="480" w:firstLineChars="200"/>
        <w:rPr>
          <w:rFonts w:hint="eastAsia" w:hAnsi="宋体" w:cs="宋体"/>
          <w:color w:val="auto"/>
          <w:szCs w:val="20"/>
          <w:highlight w:val="none"/>
        </w:rPr>
      </w:pPr>
    </w:p>
    <w:p w14:paraId="6A052B83">
      <w:pPr>
        <w:spacing w:line="360" w:lineRule="auto"/>
        <w:ind w:firstLine="480" w:firstLineChars="200"/>
        <w:jc w:val="right"/>
        <w:rPr>
          <w:rFonts w:hint="eastAsia" w:ascii="宋体" w:hAnsi="宋体" w:cs="宋体"/>
          <w:color w:val="auto"/>
          <w:szCs w:val="20"/>
          <w:highlight w:val="none"/>
        </w:rPr>
      </w:pPr>
      <w:r>
        <w:rPr>
          <w:rFonts w:hint="eastAsia" w:ascii="宋体" w:hAnsi="宋体" w:cs="宋体"/>
          <w:color w:val="auto"/>
          <w:szCs w:val="20"/>
          <w:highlight w:val="none"/>
        </w:rPr>
        <w:t>投标人名称（盖章或电子印章）：</w:t>
      </w:r>
    </w:p>
    <w:p w14:paraId="61019746">
      <w:pPr>
        <w:spacing w:line="360" w:lineRule="auto"/>
        <w:ind w:firstLine="480" w:firstLineChars="200"/>
        <w:jc w:val="center"/>
        <w:rPr>
          <w:rFonts w:hint="eastAsia" w:ascii="宋体" w:hAnsi="宋体" w:cs="宋体"/>
          <w:color w:val="auto"/>
          <w:szCs w:val="20"/>
          <w:highlight w:val="none"/>
        </w:rPr>
      </w:pP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日   期：     年   月   日</w:t>
      </w:r>
    </w:p>
    <w:p w14:paraId="74B6145B">
      <w:pPr>
        <w:spacing w:line="360" w:lineRule="auto"/>
        <w:ind w:firstLine="422" w:firstLineChars="200"/>
        <w:jc w:val="both"/>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注：1、从业人员、营业收入、资产总额填报上一年度数据，无上一年度数据的新成立企业可不填报。</w:t>
      </w:r>
    </w:p>
    <w:p w14:paraId="19B834A5">
      <w:pPr>
        <w:pStyle w:val="16"/>
        <w:spacing w:line="360" w:lineRule="auto"/>
        <w:ind w:firstLine="422" w:firstLineChars="200"/>
        <w:rPr>
          <w:b/>
          <w:bCs/>
          <w:color w:val="auto"/>
          <w:sz w:val="21"/>
          <w:szCs w:val="21"/>
          <w:highlight w:val="none"/>
          <w:u w:val="single"/>
        </w:rPr>
      </w:pPr>
      <w:r>
        <w:rPr>
          <w:rFonts w:hint="eastAsia"/>
          <w:b/>
          <w:bCs/>
          <w:color w:val="auto"/>
          <w:sz w:val="21"/>
          <w:szCs w:val="21"/>
          <w:highlight w:val="none"/>
          <w:u w:val="single"/>
        </w:rPr>
        <w:t>2、《中小企业声明函》（如有）适用于小微企业参加招投标活动的。投标人应当自行核实是否属于小微企业，并认真填写，若有虚假将追究其责任。</w:t>
      </w:r>
    </w:p>
    <w:p w14:paraId="317A13CB">
      <w:pPr>
        <w:pStyle w:val="16"/>
        <w:spacing w:line="360" w:lineRule="auto"/>
        <w:ind w:firstLine="422" w:firstLineChars="200"/>
        <w:rPr>
          <w:rFonts w:hint="eastAsia"/>
          <w:b/>
          <w:bCs/>
          <w:color w:val="auto"/>
          <w:sz w:val="21"/>
          <w:szCs w:val="21"/>
          <w:highlight w:val="none"/>
          <w:u w:val="single"/>
        </w:rPr>
      </w:pPr>
      <w:r>
        <w:rPr>
          <w:rFonts w:hint="eastAsia"/>
          <w:b/>
          <w:bCs/>
          <w:color w:val="auto"/>
          <w:sz w:val="21"/>
          <w:szCs w:val="21"/>
          <w:highlight w:val="none"/>
          <w:u w:val="single"/>
        </w:rPr>
        <w:t>3、需按照本项目对应行业出具《中小企业声明函》，而非按照供应商的经营范围出具。</w:t>
      </w:r>
    </w:p>
    <w:p w14:paraId="2501A68E">
      <w:pPr>
        <w:pStyle w:val="16"/>
        <w:spacing w:line="360" w:lineRule="auto"/>
        <w:ind w:firstLine="422" w:firstLineChars="200"/>
        <w:rPr>
          <w:rFonts w:hint="default" w:eastAsia="宋体"/>
          <w:b/>
          <w:bCs/>
          <w:color w:val="auto"/>
          <w:highlight w:val="none"/>
          <w:u w:val="single"/>
          <w:lang w:val="en-US" w:eastAsia="zh-CN"/>
        </w:rPr>
      </w:pPr>
      <w:r>
        <w:rPr>
          <w:rFonts w:hint="eastAsia"/>
          <w:b/>
          <w:bCs/>
          <w:color w:val="auto"/>
          <w:sz w:val="21"/>
          <w:szCs w:val="21"/>
          <w:highlight w:val="none"/>
          <w:u w:val="single"/>
          <w:lang w:val="en-US" w:eastAsia="zh-CN"/>
        </w:rPr>
        <w:t>4、小微企业划分标准按照《工业和信息化部 国家统计局国家发展和改革委员会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4578D813">
      <w:pPr>
        <w:spacing w:line="360" w:lineRule="auto"/>
        <w:jc w:val="both"/>
        <w:rPr>
          <w:rFonts w:hint="eastAsia" w:ascii="宋体" w:hAnsi="宋体" w:cs="宋体"/>
          <w:b/>
          <w:bCs/>
          <w:color w:val="auto"/>
          <w:sz w:val="21"/>
          <w:szCs w:val="21"/>
          <w:highlight w:val="none"/>
        </w:rPr>
      </w:pPr>
      <w:r>
        <w:rPr>
          <w:rFonts w:hint="eastAsia" w:ascii="宋体" w:hAnsi="宋体" w:cs="宋体"/>
          <w:color w:val="auto"/>
          <w:sz w:val="21"/>
          <w:szCs w:val="21"/>
          <w:highlight w:val="none"/>
        </w:rPr>
        <w:br w:type="page"/>
      </w:r>
      <w:r>
        <w:rPr>
          <w:rFonts w:hint="eastAsia"/>
          <w:b/>
          <w:color w:val="auto"/>
          <w:highlight w:val="none"/>
        </w:rPr>
        <w:t>（二）监狱企业证明文件（格式）</w:t>
      </w:r>
    </w:p>
    <w:p w14:paraId="50BA9767">
      <w:pPr>
        <w:pStyle w:val="46"/>
        <w:jc w:val="center"/>
        <w:outlineLvl w:val="3"/>
        <w:rPr>
          <w:rFonts w:hint="default"/>
          <w:color w:val="auto"/>
          <w:highlight w:val="none"/>
          <w:lang w:eastAsia="zh-CN"/>
        </w:rPr>
      </w:pPr>
      <w:r>
        <w:rPr>
          <w:rFonts w:ascii="宋体" w:hAnsi="宋体" w:cs="宋体"/>
          <w:b/>
          <w:color w:val="auto"/>
          <w:kern w:val="2"/>
          <w:sz w:val="32"/>
          <w:szCs w:val="32"/>
          <w:highlight w:val="none"/>
          <w:lang w:eastAsia="zh-CN"/>
        </w:rPr>
        <w:t>监狱企业证明文件（如有）</w:t>
      </w:r>
    </w:p>
    <w:p w14:paraId="1CAD9AF1">
      <w:pPr>
        <w:pStyle w:val="46"/>
        <w:ind w:firstLine="480"/>
        <w:rPr>
          <w:rFonts w:hint="default"/>
          <w:color w:val="auto"/>
          <w:highlight w:val="none"/>
          <w:lang w:eastAsia="zh-CN"/>
        </w:rPr>
      </w:pPr>
    </w:p>
    <w:p w14:paraId="461CF613">
      <w:pPr>
        <w:pStyle w:val="46"/>
        <w:ind w:firstLine="480"/>
        <w:rPr>
          <w:rFonts w:hint="default"/>
          <w:color w:val="auto"/>
          <w:highlight w:val="none"/>
          <w:lang w:eastAsia="zh-CN"/>
        </w:rPr>
      </w:pPr>
    </w:p>
    <w:p w14:paraId="787CC454">
      <w:pPr>
        <w:pStyle w:val="46"/>
        <w:ind w:firstLine="480"/>
        <w:rPr>
          <w:rFonts w:hint="default"/>
          <w:color w:val="auto"/>
          <w:highlight w:val="none"/>
          <w:lang w:eastAsia="zh-CN"/>
        </w:rPr>
      </w:pPr>
    </w:p>
    <w:p w14:paraId="558FE00D">
      <w:pPr>
        <w:pStyle w:val="46"/>
        <w:ind w:firstLine="480"/>
        <w:rPr>
          <w:rFonts w:hint="default"/>
          <w:color w:val="auto"/>
          <w:highlight w:val="none"/>
          <w:lang w:eastAsia="zh-CN"/>
        </w:rPr>
      </w:pPr>
    </w:p>
    <w:p w14:paraId="7D7794D0">
      <w:pPr>
        <w:pStyle w:val="46"/>
        <w:ind w:firstLine="480"/>
        <w:rPr>
          <w:rFonts w:hint="default"/>
          <w:color w:val="auto"/>
          <w:highlight w:val="none"/>
          <w:lang w:eastAsia="zh-CN"/>
        </w:rPr>
      </w:pPr>
    </w:p>
    <w:p w14:paraId="4FFBD5AA">
      <w:pPr>
        <w:pStyle w:val="46"/>
        <w:ind w:firstLine="480"/>
        <w:rPr>
          <w:rFonts w:hint="default"/>
          <w:color w:val="auto"/>
          <w:highlight w:val="none"/>
          <w:lang w:eastAsia="zh-CN"/>
        </w:rPr>
      </w:pPr>
    </w:p>
    <w:p w14:paraId="6869CCF9">
      <w:pPr>
        <w:pStyle w:val="46"/>
        <w:ind w:firstLine="480"/>
        <w:rPr>
          <w:rFonts w:hint="default"/>
          <w:color w:val="auto"/>
          <w:highlight w:val="none"/>
          <w:lang w:eastAsia="zh-CN"/>
        </w:rPr>
      </w:pPr>
    </w:p>
    <w:p w14:paraId="6F067542">
      <w:pPr>
        <w:pStyle w:val="46"/>
        <w:ind w:firstLine="480"/>
        <w:rPr>
          <w:rFonts w:hint="default"/>
          <w:color w:val="auto"/>
          <w:highlight w:val="none"/>
          <w:lang w:eastAsia="zh-CN"/>
        </w:rPr>
      </w:pPr>
    </w:p>
    <w:p w14:paraId="776EC337">
      <w:pPr>
        <w:pStyle w:val="46"/>
        <w:ind w:firstLine="480"/>
        <w:rPr>
          <w:rFonts w:hint="default"/>
          <w:color w:val="auto"/>
          <w:highlight w:val="none"/>
          <w:lang w:eastAsia="zh-CN"/>
        </w:rPr>
      </w:pPr>
    </w:p>
    <w:p w14:paraId="5AC891B0">
      <w:pPr>
        <w:pStyle w:val="46"/>
        <w:ind w:firstLine="480"/>
        <w:rPr>
          <w:rFonts w:hint="default"/>
          <w:color w:val="auto"/>
          <w:highlight w:val="none"/>
          <w:lang w:eastAsia="zh-CN"/>
        </w:rPr>
      </w:pPr>
    </w:p>
    <w:p w14:paraId="33DE78E8">
      <w:pPr>
        <w:pStyle w:val="46"/>
        <w:ind w:firstLine="480"/>
        <w:rPr>
          <w:rFonts w:hint="default"/>
          <w:color w:val="auto"/>
          <w:highlight w:val="none"/>
          <w:lang w:eastAsia="zh-CN"/>
        </w:rPr>
      </w:pPr>
    </w:p>
    <w:p w14:paraId="785232AE">
      <w:pPr>
        <w:pStyle w:val="46"/>
        <w:ind w:firstLine="480"/>
        <w:rPr>
          <w:rFonts w:hint="default"/>
          <w:color w:val="auto"/>
          <w:highlight w:val="none"/>
          <w:lang w:eastAsia="zh-CN"/>
        </w:rPr>
      </w:pPr>
    </w:p>
    <w:p w14:paraId="62C03A0F">
      <w:pPr>
        <w:pStyle w:val="46"/>
        <w:ind w:firstLine="480"/>
        <w:rPr>
          <w:rFonts w:hint="default"/>
          <w:color w:val="auto"/>
          <w:highlight w:val="none"/>
          <w:lang w:eastAsia="zh-CN"/>
        </w:rPr>
      </w:pPr>
    </w:p>
    <w:p w14:paraId="395D5E76">
      <w:pPr>
        <w:pStyle w:val="46"/>
        <w:ind w:firstLine="480"/>
        <w:rPr>
          <w:rFonts w:hint="default"/>
          <w:color w:val="auto"/>
          <w:highlight w:val="none"/>
          <w:lang w:eastAsia="zh-CN"/>
        </w:rPr>
      </w:pPr>
    </w:p>
    <w:p w14:paraId="7C4414BA">
      <w:pPr>
        <w:pStyle w:val="46"/>
        <w:ind w:firstLine="480"/>
        <w:rPr>
          <w:rFonts w:hint="default"/>
          <w:color w:val="auto"/>
          <w:highlight w:val="none"/>
          <w:lang w:eastAsia="zh-CN"/>
        </w:rPr>
      </w:pPr>
    </w:p>
    <w:p w14:paraId="66A8812D">
      <w:pPr>
        <w:pStyle w:val="46"/>
        <w:ind w:firstLine="480"/>
        <w:rPr>
          <w:rFonts w:hint="default"/>
          <w:color w:val="auto"/>
          <w:highlight w:val="none"/>
          <w:lang w:eastAsia="zh-CN"/>
        </w:rPr>
      </w:pPr>
    </w:p>
    <w:p w14:paraId="51BC0F3F">
      <w:pPr>
        <w:pStyle w:val="46"/>
        <w:ind w:firstLine="480"/>
        <w:rPr>
          <w:rFonts w:hint="default"/>
          <w:color w:val="auto"/>
          <w:highlight w:val="none"/>
          <w:lang w:eastAsia="zh-CN"/>
        </w:rPr>
      </w:pPr>
    </w:p>
    <w:p w14:paraId="7D360727">
      <w:pPr>
        <w:pStyle w:val="46"/>
        <w:ind w:firstLine="480"/>
        <w:rPr>
          <w:rFonts w:hint="default"/>
          <w:color w:val="auto"/>
          <w:highlight w:val="none"/>
          <w:lang w:eastAsia="zh-CN"/>
        </w:rPr>
      </w:pPr>
    </w:p>
    <w:p w14:paraId="16D38EBD">
      <w:pPr>
        <w:pStyle w:val="46"/>
        <w:ind w:firstLine="480"/>
        <w:rPr>
          <w:rFonts w:hint="default"/>
          <w:color w:val="auto"/>
          <w:highlight w:val="none"/>
          <w:lang w:eastAsia="zh-CN"/>
        </w:rPr>
      </w:pPr>
    </w:p>
    <w:p w14:paraId="4EB7D548">
      <w:pPr>
        <w:pStyle w:val="46"/>
        <w:ind w:firstLine="480"/>
        <w:rPr>
          <w:rFonts w:hint="default"/>
          <w:color w:val="auto"/>
          <w:highlight w:val="none"/>
          <w:lang w:eastAsia="zh-CN"/>
        </w:rPr>
      </w:pPr>
    </w:p>
    <w:p w14:paraId="07B3CD08">
      <w:pPr>
        <w:pStyle w:val="46"/>
        <w:ind w:firstLine="480"/>
        <w:rPr>
          <w:rFonts w:hint="default"/>
          <w:color w:val="auto"/>
          <w:highlight w:val="none"/>
          <w:lang w:eastAsia="zh-CN"/>
        </w:rPr>
      </w:pPr>
    </w:p>
    <w:p w14:paraId="7A9A6943">
      <w:pPr>
        <w:pStyle w:val="46"/>
        <w:ind w:firstLine="480"/>
        <w:rPr>
          <w:rFonts w:hint="default"/>
          <w:color w:val="auto"/>
          <w:highlight w:val="none"/>
          <w:lang w:eastAsia="zh-CN"/>
        </w:rPr>
      </w:pPr>
    </w:p>
    <w:p w14:paraId="2260A284">
      <w:pPr>
        <w:pStyle w:val="46"/>
        <w:ind w:firstLine="480"/>
        <w:rPr>
          <w:rFonts w:hint="default"/>
          <w:color w:val="auto"/>
          <w:highlight w:val="none"/>
          <w:lang w:eastAsia="zh-CN"/>
        </w:rPr>
      </w:pPr>
    </w:p>
    <w:p w14:paraId="53C1DD3E">
      <w:pPr>
        <w:pStyle w:val="46"/>
        <w:ind w:firstLine="480"/>
        <w:rPr>
          <w:rFonts w:hint="default"/>
          <w:color w:val="auto"/>
          <w:highlight w:val="none"/>
          <w:lang w:eastAsia="zh-CN"/>
        </w:rPr>
      </w:pPr>
    </w:p>
    <w:p w14:paraId="790370FE">
      <w:pPr>
        <w:pStyle w:val="46"/>
        <w:ind w:firstLine="480"/>
        <w:rPr>
          <w:rFonts w:hint="default"/>
          <w:color w:val="auto"/>
          <w:highlight w:val="none"/>
          <w:lang w:eastAsia="zh-CN"/>
        </w:rPr>
      </w:pPr>
    </w:p>
    <w:p w14:paraId="54EA8BDA">
      <w:pPr>
        <w:pStyle w:val="46"/>
        <w:ind w:firstLine="480"/>
        <w:rPr>
          <w:rFonts w:hint="default"/>
          <w:color w:val="auto"/>
          <w:highlight w:val="none"/>
          <w:lang w:eastAsia="zh-CN"/>
        </w:rPr>
      </w:pPr>
    </w:p>
    <w:p w14:paraId="5DB67CBF">
      <w:pPr>
        <w:pStyle w:val="46"/>
        <w:ind w:firstLine="480"/>
        <w:rPr>
          <w:rFonts w:hint="default"/>
          <w:color w:val="auto"/>
          <w:highlight w:val="none"/>
          <w:lang w:eastAsia="zh-CN"/>
        </w:rPr>
      </w:pPr>
    </w:p>
    <w:p w14:paraId="7A4235F3">
      <w:pPr>
        <w:pStyle w:val="46"/>
        <w:ind w:firstLine="480"/>
        <w:rPr>
          <w:rFonts w:hint="default"/>
          <w:color w:val="auto"/>
          <w:highlight w:val="none"/>
          <w:lang w:eastAsia="zh-CN"/>
        </w:rPr>
      </w:pPr>
    </w:p>
    <w:p w14:paraId="124366A5">
      <w:pPr>
        <w:pStyle w:val="46"/>
        <w:ind w:firstLine="480"/>
        <w:rPr>
          <w:rFonts w:hint="default"/>
          <w:color w:val="auto"/>
          <w:highlight w:val="none"/>
          <w:lang w:eastAsia="zh-CN"/>
        </w:rPr>
      </w:pPr>
    </w:p>
    <w:p w14:paraId="0DB7E859">
      <w:pPr>
        <w:pStyle w:val="46"/>
        <w:ind w:firstLine="480"/>
        <w:rPr>
          <w:rFonts w:hint="default"/>
          <w:color w:val="auto"/>
          <w:highlight w:val="none"/>
          <w:lang w:eastAsia="zh-CN"/>
        </w:rPr>
      </w:pPr>
    </w:p>
    <w:p w14:paraId="2B2BA5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8B8C9D">
      <w:pPr>
        <w:keepNext w:val="0"/>
        <w:keepLines w:val="0"/>
        <w:pageBreakBefore w:val="0"/>
        <w:widowControl w:val="0"/>
        <w:kinsoku/>
        <w:wordWrap/>
        <w:overflowPunct/>
        <w:topLinePunct w:val="0"/>
        <w:autoSpaceDE/>
        <w:autoSpaceDN/>
        <w:bidi w:val="0"/>
        <w:adjustRightInd/>
        <w:snapToGrid/>
        <w:spacing w:line="360" w:lineRule="auto"/>
        <w:ind w:firstLine="964" w:firstLineChars="400"/>
        <w:jc w:val="both"/>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7951484F">
      <w:pPr>
        <w:pStyle w:val="46"/>
        <w:rPr>
          <w:rFonts w:hint="default"/>
          <w:color w:val="auto"/>
          <w:highlight w:val="none"/>
        </w:rPr>
      </w:pPr>
      <w:r>
        <w:rPr>
          <w:color w:val="auto"/>
          <w:highlight w:val="none"/>
        </w:rPr>
        <w:br w:type="page"/>
      </w:r>
      <w:r>
        <w:rPr>
          <w:b/>
          <w:color w:val="auto"/>
          <w:sz w:val="24"/>
          <w:szCs w:val="24"/>
          <w:highlight w:val="none"/>
          <w:lang w:eastAsia="zh-CN"/>
        </w:rPr>
        <w:t>（三）残疾人福利性单位声明函</w:t>
      </w:r>
      <w:r>
        <w:rPr>
          <w:b/>
          <w:color w:val="auto"/>
          <w:sz w:val="24"/>
          <w:szCs w:val="24"/>
          <w:highlight w:val="none"/>
        </w:rPr>
        <w:t>（格式）</w:t>
      </w:r>
    </w:p>
    <w:p w14:paraId="1F100B60">
      <w:pPr>
        <w:pStyle w:val="46"/>
        <w:ind w:firstLine="480"/>
        <w:rPr>
          <w:rFonts w:hint="default"/>
          <w:color w:val="auto"/>
          <w:highlight w:val="none"/>
        </w:rPr>
      </w:pPr>
    </w:p>
    <w:p w14:paraId="6D6BD94B">
      <w:pPr>
        <w:pStyle w:val="46"/>
        <w:jc w:val="center"/>
        <w:outlineLvl w:val="3"/>
        <w:rPr>
          <w:rFonts w:ascii="宋体" w:hAnsi="宋体" w:cs="宋体"/>
          <w:b/>
          <w:color w:val="auto"/>
          <w:kern w:val="2"/>
          <w:sz w:val="32"/>
          <w:szCs w:val="32"/>
          <w:highlight w:val="none"/>
          <w:lang w:eastAsia="zh-CN"/>
        </w:rPr>
      </w:pPr>
      <w:r>
        <w:rPr>
          <w:rFonts w:ascii="宋体" w:hAnsi="宋体" w:cs="宋体"/>
          <w:b/>
          <w:color w:val="auto"/>
          <w:kern w:val="2"/>
          <w:sz w:val="32"/>
          <w:szCs w:val="32"/>
          <w:highlight w:val="none"/>
          <w:lang w:eastAsia="zh-CN"/>
        </w:rPr>
        <w:t>残疾人福利性单位声明函（如有）</w:t>
      </w:r>
    </w:p>
    <w:p w14:paraId="46210FCB">
      <w:pPr>
        <w:pStyle w:val="46"/>
        <w:spacing w:line="360" w:lineRule="auto"/>
        <w:ind w:firstLine="480" w:firstLineChars="200"/>
        <w:rPr>
          <w:rFonts w:ascii="宋体" w:hAnsi="宋体" w:cs="宋体"/>
          <w:color w:val="auto"/>
          <w:sz w:val="24"/>
          <w:highlight w:val="none"/>
        </w:rPr>
      </w:pPr>
    </w:p>
    <w:p w14:paraId="45495A08">
      <w:pPr>
        <w:pStyle w:val="46"/>
        <w:spacing w:line="360" w:lineRule="auto"/>
        <w:ind w:firstLine="480" w:firstLineChars="200"/>
        <w:rPr>
          <w:rFonts w:hint="default"/>
          <w:color w:val="auto"/>
          <w:highlight w:val="none"/>
        </w:rPr>
      </w:pPr>
      <w:r>
        <w:rPr>
          <w:rFonts w:ascii="宋体" w:hAnsi="宋体" w:cs="宋体"/>
          <w:color w:val="auto"/>
          <w:sz w:val="24"/>
          <w:highlight w:val="none"/>
        </w:rPr>
        <w:t>致：</w:t>
      </w:r>
      <w:r>
        <w:rPr>
          <w:rFonts w:ascii="宋体" w:hAnsi="宋体" w:cs="宋体"/>
          <w:color w:val="auto"/>
          <w:sz w:val="24"/>
          <w:highlight w:val="none"/>
          <w:u w:val="single"/>
        </w:rPr>
        <w:t xml:space="preserve">        （招标人）</w:t>
      </w:r>
      <w:r>
        <w:rPr>
          <w:rFonts w:ascii="宋体" w:hAnsi="宋体" w:cs="宋体"/>
          <w:color w:val="auto"/>
          <w:sz w:val="24"/>
          <w:highlight w:val="none"/>
          <w:u w:val="single"/>
          <w:lang w:eastAsia="zh-CN"/>
        </w:rPr>
        <w:t xml:space="preserve">         </w:t>
      </w:r>
    </w:p>
    <w:p w14:paraId="26D84D80">
      <w:pPr>
        <w:pStyle w:val="46"/>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auto"/>
          <w:sz w:val="24"/>
          <w:highlight w:val="none"/>
          <w:u w:val="single"/>
        </w:rPr>
        <w:t xml:space="preserve">        （招标人）</w:t>
      </w:r>
      <w:r>
        <w:rPr>
          <w:rFonts w:ascii="宋体" w:hAnsi="宋体" w:cs="宋体"/>
          <w:color w:val="auto"/>
          <w:sz w:val="24"/>
          <w:highlight w:val="none"/>
          <w:u w:val="single"/>
          <w:lang w:eastAsia="zh-CN"/>
        </w:rPr>
        <w:t xml:space="preserve">         </w:t>
      </w:r>
      <w:r>
        <w:rPr>
          <w:rFonts w:ascii="宋体" w:hAnsi="宋体" w:cs="宋体"/>
          <w:color w:val="auto"/>
          <w:sz w:val="24"/>
          <w:szCs w:val="24"/>
          <w:highlight w:val="none"/>
        </w:rPr>
        <w:t>单位的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标段</w:t>
      </w:r>
      <w:r>
        <w:rPr>
          <w:rFonts w:ascii="宋体" w:hAnsi="宋体" w:cs="宋体"/>
          <w:color w:val="auto"/>
          <w:sz w:val="24"/>
          <w:highlight w:val="none"/>
          <w:u w:val="single"/>
          <w:lang w:eastAsia="zh-CN"/>
        </w:rPr>
        <w:t>名称</w:t>
      </w:r>
      <w:r>
        <w:rPr>
          <w:rFonts w:ascii="宋体" w:hAnsi="宋体" w:cs="宋体"/>
          <w:color w:val="auto"/>
          <w:sz w:val="24"/>
          <w:highlight w:val="none"/>
          <w:u w:val="single"/>
        </w:rPr>
        <w:t>）</w:t>
      </w:r>
      <w:r>
        <w:rPr>
          <w:rFonts w:ascii="宋体" w:hAnsi="宋体" w:cs="宋体"/>
          <w:color w:val="auto"/>
          <w:sz w:val="24"/>
          <w:highlight w:val="none"/>
          <w:u w:val="single"/>
          <w:lang w:eastAsia="zh-CN"/>
        </w:rPr>
        <w:t xml:space="preserve">         </w:t>
      </w:r>
      <w:r>
        <w:rPr>
          <w:rFonts w:ascii="宋体" w:hAnsi="宋体" w:cs="宋体"/>
          <w:color w:val="auto"/>
          <w:sz w:val="24"/>
          <w:highlight w:val="none"/>
          <w:lang w:eastAsia="zh-CN"/>
        </w:rPr>
        <w:t>项目</w:t>
      </w:r>
      <w:r>
        <w:rPr>
          <w:rFonts w:ascii="宋体" w:hAnsi="宋体" w:cs="宋体"/>
          <w:color w:val="auto"/>
          <w:sz w:val="24"/>
          <w:szCs w:val="24"/>
          <w:highlight w:val="none"/>
          <w:lang w:eastAsia="zh-CN"/>
        </w:rPr>
        <w:t>招标</w:t>
      </w:r>
      <w:r>
        <w:rPr>
          <w:rFonts w:ascii="宋体" w:hAnsi="宋体" w:cs="宋体"/>
          <w:color w:val="auto"/>
          <w:sz w:val="24"/>
          <w:szCs w:val="24"/>
          <w:highlight w:val="none"/>
        </w:rPr>
        <w:t>活动</w:t>
      </w:r>
      <w:r>
        <w:rPr>
          <w:rFonts w:ascii="宋体" w:hAnsi="宋体" w:cs="宋体"/>
          <w:color w:val="auto"/>
          <w:sz w:val="24"/>
          <w:szCs w:val="24"/>
          <w:highlight w:val="none"/>
          <w:lang w:eastAsia="zh-CN"/>
        </w:rPr>
        <w:t>，</w:t>
      </w:r>
      <w:r>
        <w:rPr>
          <w:rFonts w:ascii="宋体" w:hAnsi="宋体" w:cs="宋体"/>
          <w:color w:val="auto"/>
          <w:sz w:val="24"/>
          <w:szCs w:val="24"/>
          <w:highlight w:val="none"/>
        </w:rPr>
        <w:t>由本单位承担</w:t>
      </w:r>
      <w:r>
        <w:rPr>
          <w:rFonts w:hint="eastAsia" w:ascii="宋体" w:hAnsi="宋体" w:cs="宋体"/>
          <w:color w:val="auto"/>
          <w:sz w:val="24"/>
          <w:szCs w:val="24"/>
          <w:highlight w:val="none"/>
          <w:lang w:val="en-US" w:eastAsia="zh-CN"/>
        </w:rPr>
        <w:t>服务</w:t>
      </w:r>
      <w:r>
        <w:rPr>
          <w:rFonts w:ascii="宋体" w:hAnsi="宋体" w:cs="宋体"/>
          <w:color w:val="auto"/>
          <w:sz w:val="24"/>
          <w:szCs w:val="24"/>
          <w:highlight w:val="none"/>
        </w:rPr>
        <w:t>。</w:t>
      </w:r>
    </w:p>
    <w:p w14:paraId="3B9881A2">
      <w:pPr>
        <w:pStyle w:val="46"/>
        <w:spacing w:line="360" w:lineRule="auto"/>
        <w:ind w:firstLine="480" w:firstLineChars="200"/>
        <w:rPr>
          <w:rFonts w:hint="default"/>
          <w:color w:val="auto"/>
          <w:highlight w:val="none"/>
        </w:rPr>
      </w:pPr>
      <w:r>
        <w:rPr>
          <w:rFonts w:ascii="宋体" w:hAnsi="宋体" w:cs="宋体"/>
          <w:color w:val="auto"/>
          <w:sz w:val="24"/>
          <w:szCs w:val="24"/>
          <w:highlight w:val="none"/>
        </w:rPr>
        <w:t>本单位对上述声明的真实性负责。如有虚假，将依法承担相应责任。</w:t>
      </w:r>
    </w:p>
    <w:p w14:paraId="55CE9A81">
      <w:pPr>
        <w:spacing w:line="360" w:lineRule="auto"/>
        <w:ind w:firstLine="5040" w:firstLineChars="2100"/>
        <w:jc w:val="both"/>
        <w:rPr>
          <w:rFonts w:hint="eastAsia" w:ascii="宋体" w:hAnsi="宋体" w:cs="宋体"/>
          <w:color w:val="auto"/>
          <w:szCs w:val="20"/>
          <w:highlight w:val="none"/>
        </w:rPr>
      </w:pPr>
    </w:p>
    <w:p w14:paraId="0D1F62ED">
      <w:pPr>
        <w:spacing w:line="360" w:lineRule="auto"/>
        <w:ind w:firstLine="5040" w:firstLineChars="2100"/>
        <w:jc w:val="both"/>
        <w:rPr>
          <w:rFonts w:hint="eastAsia" w:ascii="宋体" w:hAnsi="宋体" w:cs="宋体"/>
          <w:color w:val="auto"/>
          <w:szCs w:val="20"/>
          <w:highlight w:val="none"/>
        </w:rPr>
      </w:pPr>
    </w:p>
    <w:p w14:paraId="1F177129">
      <w:pPr>
        <w:pStyle w:val="16"/>
        <w:rPr>
          <w:rFonts w:hint="eastAsia" w:hAnsi="宋体" w:cs="宋体"/>
          <w:color w:val="auto"/>
          <w:szCs w:val="20"/>
          <w:highlight w:val="none"/>
        </w:rPr>
      </w:pPr>
    </w:p>
    <w:p w14:paraId="66B0569A">
      <w:pPr>
        <w:pStyle w:val="16"/>
        <w:rPr>
          <w:rFonts w:hint="eastAsia" w:hAnsi="宋体" w:cs="宋体"/>
          <w:color w:val="auto"/>
          <w:szCs w:val="20"/>
          <w:highlight w:val="none"/>
        </w:rPr>
      </w:pPr>
    </w:p>
    <w:p w14:paraId="0576A2BF">
      <w:pPr>
        <w:spacing w:line="360" w:lineRule="auto"/>
        <w:ind w:firstLine="5040" w:firstLineChars="2100"/>
        <w:jc w:val="both"/>
        <w:rPr>
          <w:rFonts w:hint="eastAsia" w:ascii="宋体" w:hAnsi="宋体" w:cs="宋体"/>
          <w:color w:val="auto"/>
          <w:szCs w:val="20"/>
          <w:highlight w:val="none"/>
        </w:rPr>
      </w:pPr>
      <w:r>
        <w:rPr>
          <w:rFonts w:hint="eastAsia" w:ascii="宋体" w:hAnsi="宋体" w:cs="宋体"/>
          <w:color w:val="auto"/>
          <w:szCs w:val="20"/>
          <w:highlight w:val="none"/>
        </w:rPr>
        <w:t>投标人名称（盖章或电子印章）：</w:t>
      </w:r>
    </w:p>
    <w:p w14:paraId="1F2AF058">
      <w:pPr>
        <w:spacing w:line="360" w:lineRule="auto"/>
        <w:ind w:firstLine="5040" w:firstLineChars="2100"/>
        <w:jc w:val="both"/>
        <w:rPr>
          <w:color w:val="auto"/>
          <w:highlight w:val="none"/>
        </w:rPr>
      </w:pPr>
      <w:r>
        <w:rPr>
          <w:rFonts w:hint="eastAsia" w:ascii="宋体" w:hAnsi="宋体" w:cs="宋体"/>
          <w:color w:val="auto"/>
          <w:szCs w:val="20"/>
          <w:highlight w:val="none"/>
        </w:rPr>
        <w:t>日   期：     年   月   日</w:t>
      </w:r>
    </w:p>
    <w:p w14:paraId="312E87E9">
      <w:pPr>
        <w:spacing w:line="360" w:lineRule="auto"/>
        <w:jc w:val="center"/>
        <w:rPr>
          <w:b/>
          <w:bCs/>
          <w:color w:val="auto"/>
          <w:highlight w:val="none"/>
        </w:rPr>
      </w:pPr>
    </w:p>
    <w:p w14:paraId="5062B9F1">
      <w:pPr>
        <w:spacing w:line="360" w:lineRule="auto"/>
        <w:jc w:val="center"/>
        <w:rPr>
          <w:b/>
          <w:bCs/>
          <w:color w:val="auto"/>
          <w:highlight w:val="none"/>
        </w:rPr>
      </w:pPr>
    </w:p>
    <w:p w14:paraId="567FBDD9">
      <w:pPr>
        <w:spacing w:line="360" w:lineRule="auto"/>
        <w:jc w:val="center"/>
        <w:rPr>
          <w:b/>
          <w:bCs/>
          <w:color w:val="auto"/>
          <w:highlight w:val="none"/>
        </w:rPr>
      </w:pPr>
    </w:p>
    <w:p w14:paraId="1B4ADC59">
      <w:pPr>
        <w:spacing w:line="360" w:lineRule="auto"/>
        <w:jc w:val="center"/>
        <w:rPr>
          <w:b/>
          <w:bCs/>
          <w:color w:val="auto"/>
          <w:highlight w:val="none"/>
        </w:rPr>
      </w:pPr>
    </w:p>
    <w:p w14:paraId="40FA89D2">
      <w:pPr>
        <w:spacing w:line="360" w:lineRule="auto"/>
        <w:jc w:val="center"/>
        <w:rPr>
          <w:b/>
          <w:bCs/>
          <w:color w:val="auto"/>
          <w:highlight w:val="none"/>
        </w:rPr>
      </w:pPr>
    </w:p>
    <w:p w14:paraId="7411A798">
      <w:pPr>
        <w:spacing w:line="360" w:lineRule="auto"/>
        <w:jc w:val="center"/>
        <w:rPr>
          <w:b/>
          <w:bCs/>
          <w:color w:val="auto"/>
          <w:highlight w:val="none"/>
        </w:rPr>
      </w:pPr>
    </w:p>
    <w:p w14:paraId="1A84406D">
      <w:pPr>
        <w:spacing w:line="360" w:lineRule="auto"/>
        <w:jc w:val="center"/>
        <w:rPr>
          <w:b/>
          <w:bCs/>
          <w:color w:val="auto"/>
          <w:highlight w:val="none"/>
        </w:rPr>
      </w:pPr>
    </w:p>
    <w:p w14:paraId="18F15D94">
      <w:pPr>
        <w:spacing w:line="360" w:lineRule="auto"/>
        <w:jc w:val="center"/>
        <w:rPr>
          <w:b/>
          <w:bCs/>
          <w:color w:val="auto"/>
          <w:highlight w:val="none"/>
        </w:rPr>
      </w:pPr>
    </w:p>
    <w:p w14:paraId="3B833FA3">
      <w:pPr>
        <w:spacing w:line="360" w:lineRule="auto"/>
        <w:jc w:val="center"/>
        <w:rPr>
          <w:b/>
          <w:bCs/>
          <w:color w:val="auto"/>
          <w:highlight w:val="none"/>
        </w:rPr>
      </w:pPr>
    </w:p>
    <w:p w14:paraId="2A91B89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color w:val="auto"/>
          <w:highlight w:val="none"/>
        </w:rPr>
      </w:pPr>
    </w:p>
    <w:p w14:paraId="5B7C9F2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注：1、残疾人福利性单位声明函（如有）适用于残疾人福利性单位参加招投标活动的。本函未填写的视作未做声明。</w:t>
      </w:r>
    </w:p>
    <w:p w14:paraId="253378B8">
      <w:pPr>
        <w:autoSpaceDE/>
        <w:autoSpaceDN/>
        <w:adjustRightInd/>
        <w:ind w:firstLine="482" w:firstLineChars="200"/>
        <w:jc w:val="both"/>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2、残疾人福利性单位视同小微企业，无需再提供《中小企业声明函》。</w:t>
      </w:r>
    </w:p>
    <w:p w14:paraId="1B10E84A">
      <w:pPr>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1E41717C">
      <w:pPr>
        <w:pStyle w:val="16"/>
        <w:spacing w:line="360" w:lineRule="auto"/>
        <w:jc w:val="center"/>
        <w:rPr>
          <w:rFonts w:hint="eastAsia" w:hAnsi="宋体" w:cs="宋体"/>
          <w:color w:val="auto"/>
          <w:highlight w:val="none"/>
        </w:rPr>
      </w:pPr>
      <w:r>
        <w:rPr>
          <w:rFonts w:hint="eastAsia" w:hAnsi="宋体" w:cs="宋体"/>
          <w:color w:val="auto"/>
          <w:sz w:val="24"/>
          <w:szCs w:val="24"/>
          <w:highlight w:val="none"/>
        </w:rPr>
        <w:t>投标人认为需提供的其他资料（如有）。</w:t>
      </w:r>
    </w:p>
    <w:p w14:paraId="53B56647">
      <w:pPr>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lang w:eastAsia="zh-CN"/>
        </w:rPr>
        <w:br w:type="page"/>
      </w:r>
    </w:p>
    <w:p w14:paraId="58A23B2F">
      <w:pPr>
        <w:rPr>
          <w:rFonts w:hint="eastAsia"/>
          <w:color w:val="auto"/>
          <w:highlight w:val="none"/>
          <w:lang w:eastAsia="zh-CN"/>
        </w:rPr>
      </w:pPr>
    </w:p>
    <w:p w14:paraId="4AFB81A7">
      <w:pPr>
        <w:pStyle w:val="4"/>
        <w:numPr>
          <w:ilvl w:val="0"/>
          <w:numId w:val="2"/>
        </w:numPr>
        <w:jc w:val="center"/>
        <w:outlineLvl w:val="1"/>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lang w:eastAsia="zh-CN"/>
        </w:rPr>
        <w:t>投标文件（定标部分）</w:t>
      </w:r>
    </w:p>
    <w:p w14:paraId="63D2744E">
      <w:pPr>
        <w:numPr>
          <w:ilvl w:val="0"/>
          <w:numId w:val="0"/>
        </w:numPr>
        <w:jc w:val="center"/>
        <w:rPr>
          <w:rFonts w:hint="eastAsia" w:ascii="宋体" w:hAnsi="宋体" w:cs="宋体"/>
          <w:color w:val="auto"/>
          <w:sz w:val="28"/>
          <w:szCs w:val="24"/>
          <w:highlight w:val="none"/>
        </w:rPr>
      </w:pP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格式自定义</w:t>
      </w:r>
      <w:r>
        <w:rPr>
          <w:rFonts w:hint="eastAsia" w:ascii="宋体" w:hAnsi="宋体" w:cs="宋体"/>
          <w:color w:val="auto"/>
          <w:sz w:val="32"/>
          <w:szCs w:val="32"/>
          <w:highlight w:val="none"/>
          <w:lang w:eastAsia="zh-CN"/>
        </w:rPr>
        <w:t>）</w:t>
      </w:r>
    </w:p>
    <w:p w14:paraId="7B107516">
      <w:pPr>
        <w:pStyle w:val="5"/>
        <w:rPr>
          <w:rFonts w:hint="eastAsia" w:ascii="宋体" w:hAnsi="宋体" w:cs="宋体"/>
          <w:color w:val="auto"/>
          <w:sz w:val="28"/>
          <w:szCs w:val="24"/>
          <w:highlight w:val="none"/>
        </w:rPr>
      </w:pPr>
    </w:p>
    <w:p w14:paraId="729867FC">
      <w:pPr>
        <w:rPr>
          <w:rFonts w:hint="eastAsia"/>
          <w:color w:val="auto"/>
          <w:highlight w:val="none"/>
        </w:rPr>
      </w:pPr>
    </w:p>
    <w:p w14:paraId="1BCE5F6D">
      <w:pPr>
        <w:numPr>
          <w:ilvl w:val="0"/>
          <w:numId w:val="0"/>
        </w:numPr>
        <w:rPr>
          <w:rFonts w:hint="eastAsia" w:ascii="宋体" w:hAnsi="宋体" w:eastAsia="宋体" w:cs="宋体"/>
          <w:color w:val="auto"/>
          <w:sz w:val="28"/>
          <w:szCs w:val="24"/>
          <w:highlight w:val="none"/>
        </w:rPr>
        <w:sectPr>
          <w:headerReference r:id="rId19" w:type="default"/>
          <w:footerReference r:id="rId20" w:type="default"/>
          <w:pgSz w:w="11905" w:h="16838"/>
          <w:pgMar w:top="1417" w:right="1417" w:bottom="1417" w:left="1417" w:header="992" w:footer="992" w:gutter="0"/>
          <w:lnNumType w:countBy="0" w:distance="360"/>
          <w:cols w:space="720" w:num="1"/>
        </w:sectPr>
      </w:pPr>
    </w:p>
    <w:p w14:paraId="2A7C3B39">
      <w:pPr>
        <w:pStyle w:val="3"/>
        <w:outlineLvl w:val="0"/>
        <w:rPr>
          <w:rFonts w:hint="eastAsia" w:cs="宋体"/>
          <w:color w:val="auto"/>
          <w:sz w:val="44"/>
          <w:szCs w:val="44"/>
          <w:highlight w:val="none"/>
        </w:rPr>
      </w:pPr>
      <w:bookmarkStart w:id="150" w:name="_Toc17258"/>
      <w:r>
        <w:rPr>
          <w:rFonts w:hint="eastAsia" w:cs="宋体"/>
          <w:color w:val="auto"/>
          <w:sz w:val="44"/>
          <w:szCs w:val="44"/>
          <w:highlight w:val="none"/>
          <w:lang w:val="en-US" w:eastAsia="zh-CN"/>
        </w:rPr>
        <w:t xml:space="preserve">第七章 </w:t>
      </w:r>
      <w:r>
        <w:rPr>
          <w:rFonts w:hint="eastAsia" w:cs="宋体"/>
          <w:color w:val="auto"/>
          <w:sz w:val="44"/>
          <w:szCs w:val="44"/>
          <w:highlight w:val="none"/>
        </w:rPr>
        <w:t>投标人须知前附表规定的其他资料。</w:t>
      </w:r>
      <w:bookmarkEnd w:id="150"/>
    </w:p>
    <w:p w14:paraId="63666BBE">
      <w:pPr>
        <w:rPr>
          <w:rFonts w:hint="eastAsia" w:ascii="宋体" w:hAnsi="宋体" w:cs="宋体"/>
          <w:color w:val="auto"/>
          <w:sz w:val="24"/>
          <w:szCs w:val="24"/>
          <w:highlight w:val="none"/>
        </w:rPr>
      </w:pPr>
    </w:p>
    <w:p w14:paraId="0576BEAA">
      <w:pPr>
        <w:pStyle w:val="4"/>
        <w:keepNext w:val="0"/>
        <w:keepLines w:val="0"/>
        <w:pageBreakBefore w:val="0"/>
        <w:kinsoku/>
        <w:wordWrap/>
        <w:overflowPunct/>
        <w:topLinePunct w:val="0"/>
        <w:bidi w:val="0"/>
        <w:snapToGrid/>
        <w:spacing w:line="360" w:lineRule="auto"/>
        <w:jc w:val="center"/>
        <w:textAlignment w:val="auto"/>
        <w:outlineLvl w:val="0"/>
        <w:rPr>
          <w:rFonts w:hint="eastAsia" w:cs="宋体"/>
          <w:color w:val="auto"/>
          <w:sz w:val="30"/>
          <w:szCs w:val="24"/>
          <w:highlight w:val="none"/>
          <w:lang w:val="en-US" w:eastAsia="zh-CN"/>
        </w:rPr>
      </w:pPr>
      <w:bookmarkStart w:id="151" w:name="_Toc21589"/>
      <w:r>
        <w:rPr>
          <w:rFonts w:hint="eastAsia" w:cs="宋体"/>
          <w:color w:val="auto"/>
          <w:sz w:val="30"/>
          <w:szCs w:val="24"/>
          <w:highlight w:val="none"/>
          <w:lang w:val="en-US" w:eastAsia="zh-CN"/>
        </w:rPr>
        <w:t>否决性条款汇总</w:t>
      </w:r>
    </w:p>
    <w:p w14:paraId="676E7464">
      <w:pPr>
        <w:keepNext w:val="0"/>
        <w:keepLines w:val="0"/>
        <w:pageBreakBefore w:val="0"/>
        <w:widowControl/>
        <w:kinsoku/>
        <w:wordWrap/>
        <w:overflowPunct/>
        <w:topLinePunct w:val="0"/>
        <w:bidi w:val="0"/>
        <w:snapToGrid/>
        <w:spacing w:after="0" w:line="360" w:lineRule="auto"/>
        <w:ind w:firstLine="48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4745A021">
      <w:pPr>
        <w:keepNext w:val="0"/>
        <w:keepLines w:val="0"/>
        <w:pageBreakBefore w:val="0"/>
        <w:widowControl/>
        <w:kinsoku/>
        <w:wordWrap/>
        <w:overflowPunct/>
        <w:topLinePunct w:val="0"/>
        <w:bidi w:val="0"/>
        <w:snapToGrid/>
        <w:spacing w:after="135" w:line="360" w:lineRule="auto"/>
        <w:ind w:firstLine="48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（*格式仅供参考，条款的实际内容应与招标文件条款相对应）</w:t>
      </w:r>
    </w:p>
    <w:p w14:paraId="19CF672E">
      <w:pPr>
        <w:keepNext w:val="0"/>
        <w:keepLines w:val="0"/>
        <w:pageBreakBefore w:val="0"/>
        <w:widowControl/>
        <w:kinsoku/>
        <w:wordWrap/>
        <w:overflowPunct/>
        <w:topLinePunct w:val="0"/>
        <w:autoSpaceDE/>
        <w:autoSpaceDN/>
        <w:bidi w:val="0"/>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E84637D">
      <w:pPr>
        <w:keepNext w:val="0"/>
        <w:keepLines w:val="0"/>
        <w:pageBreakBefore w:val="0"/>
        <w:widowControl/>
        <w:kinsoku/>
        <w:wordWrap/>
        <w:overflowPunct/>
        <w:topLinePunct w:val="0"/>
        <w:autoSpaceDE/>
        <w:autoSpaceDN/>
        <w:bidi w:val="0"/>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27D7CE7B">
      <w:pPr>
        <w:keepNext w:val="0"/>
        <w:keepLines w:val="0"/>
        <w:pageBreakBefore w:val="0"/>
        <w:widowControl/>
        <w:kinsoku/>
        <w:wordWrap/>
        <w:overflowPunct/>
        <w:topLinePunct w:val="0"/>
        <w:autoSpaceDE/>
        <w:autoSpaceDN/>
        <w:bidi w:val="0"/>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37AAEC9">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1ABA16A">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7CC13CBB">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2C04B794">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05979DB3">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highlight w:val="none"/>
        </w:rPr>
        <w:t>电子投标文件未在投标截止时间前完整上传并保存在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电子评标系统且取得回执的</w:t>
      </w:r>
      <w:r>
        <w:rPr>
          <w:rFonts w:hint="eastAsia" w:ascii="宋体" w:hAnsi="宋体" w:eastAsia="宋体" w:cs="宋体"/>
          <w:color w:val="auto"/>
          <w:sz w:val="24"/>
          <w:highlight w:val="none"/>
          <w:lang w:eastAsia="zh-CN"/>
        </w:rPr>
        <w:t>；</w:t>
      </w:r>
    </w:p>
    <w:p w14:paraId="17531294">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highlight w:val="none"/>
        </w:rPr>
        <w:t>投标文件未按招标文件要求进行电子签章，并进行加密的</w:t>
      </w:r>
      <w:r>
        <w:rPr>
          <w:rFonts w:hint="eastAsia" w:ascii="宋体" w:hAnsi="宋体" w:eastAsia="宋体" w:cs="宋体"/>
          <w:color w:val="auto"/>
          <w:sz w:val="24"/>
          <w:highlight w:val="none"/>
          <w:lang w:eastAsia="zh-CN"/>
        </w:rPr>
        <w:t>；</w:t>
      </w:r>
    </w:p>
    <w:p w14:paraId="541B1087">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电子投标文件中投标人电子签章不完整的；</w:t>
      </w:r>
    </w:p>
    <w:p w14:paraId="71683388">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rPr>
        <w:t>电子投标文件损坏或格式不正确的；</w:t>
      </w:r>
    </w:p>
    <w:p w14:paraId="532AA29D">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sz w:val="24"/>
          <w:highlight w:val="none"/>
        </w:rPr>
        <w:t>电子投标文件未加密的；</w:t>
      </w:r>
    </w:p>
    <w:p w14:paraId="00529464">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highlight w:val="none"/>
        </w:rPr>
        <w:t>投标文件以纸质形式提供的。</w:t>
      </w:r>
    </w:p>
    <w:p w14:paraId="4F264478">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4DDB4ECA">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投标文件不符合招标文件评标办法中资格评审标准、形式评审标准、响应性评审标准的要求</w:t>
      </w:r>
      <w:r>
        <w:rPr>
          <w:rFonts w:hint="eastAsia" w:ascii="宋体" w:hAnsi="宋体" w:eastAsia="宋体" w:cs="宋体"/>
          <w:color w:val="auto"/>
          <w:kern w:val="0"/>
          <w:sz w:val="24"/>
          <w:szCs w:val="24"/>
          <w:highlight w:val="none"/>
          <w:lang w:eastAsia="zh-CN"/>
        </w:rPr>
        <w:t>；</w:t>
      </w:r>
    </w:p>
    <w:p w14:paraId="59FE863C">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52284C0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1.投标人的报价明显低于其他投标报价，使得其投标报价可能低于其个别成本的，应当要求该投标人作出书面说明并提供相关证明材料。投标人不能合理说明或者不能提供相关证明材料的；</w:t>
      </w:r>
    </w:p>
    <w:p w14:paraId="020496D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2.投标报价有算术错误的，评标委员会按</w:t>
      </w:r>
      <w:r>
        <w:rPr>
          <w:rFonts w:hint="eastAsia" w:ascii="宋体" w:hAnsi="宋体" w:cs="宋体"/>
          <w:color w:val="auto"/>
          <w:sz w:val="24"/>
          <w:highlight w:val="none"/>
          <w:lang w:val="en-US" w:eastAsia="zh-CN"/>
        </w:rPr>
        <w:t>第三章3.1.3</w:t>
      </w:r>
      <w:r>
        <w:rPr>
          <w:rFonts w:hint="eastAsia" w:ascii="宋体" w:hAnsi="宋体" w:eastAsia="宋体" w:cs="宋体"/>
          <w:color w:val="auto"/>
          <w:sz w:val="24"/>
          <w:highlight w:val="none"/>
        </w:rPr>
        <w:t>原则对投标报价进行修正，修正的价格经投标人书面确认后具有约束力。投标人不接受修正价格的，评标委员会应当否决其投标；</w:t>
      </w:r>
    </w:p>
    <w:p w14:paraId="2FB13DA2">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3.投标文件有不符合招标文件评标办法初步评审标准中任何一项情形的；</w:t>
      </w:r>
    </w:p>
    <w:p w14:paraId="281E6055">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4.投标人存在第二章“投标人须知”第1.4.3项规定的任何一种情形的；</w:t>
      </w:r>
    </w:p>
    <w:p w14:paraId="3BB51D6F">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5.投标人存在串通投标或弄虚作假或有其他违法行为的；</w:t>
      </w:r>
    </w:p>
    <w:p w14:paraId="48D1E636">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6.不按评标委员会要求澄清、说明或补正的。</w:t>
      </w:r>
    </w:p>
    <w:bookmarkEnd w:id="151"/>
    <w:p w14:paraId="31A91C3B">
      <w:pPr>
        <w:spacing w:line="360" w:lineRule="auto"/>
        <w:ind w:firstLine="484" w:firstLineChars="202"/>
        <w:rPr>
          <w:rFonts w:hint="eastAsia" w:ascii="宋体" w:hAnsi="宋体" w:eastAsia="宋体" w:cs="宋体"/>
          <w:color w:val="auto"/>
          <w:kern w:val="21"/>
          <w:sz w:val="24"/>
          <w:szCs w:val="24"/>
          <w:highlight w:val="none"/>
        </w:rPr>
      </w:pPr>
    </w:p>
    <w:p w14:paraId="6E2FE319">
      <w:pPr>
        <w:rPr>
          <w:rFonts w:hint="eastAsia" w:ascii="宋体" w:hAnsi="宋体" w:cs="宋体"/>
          <w:color w:val="auto"/>
          <w:highlight w:val="none"/>
        </w:rPr>
      </w:pPr>
    </w:p>
    <w:p w14:paraId="2BDF4EB0">
      <w:pPr>
        <w:rPr>
          <w:rFonts w:hint="eastAsia" w:ascii="宋体" w:hAnsi="宋体" w:cs="宋体"/>
          <w:color w:val="auto"/>
          <w:highlight w:val="none"/>
        </w:rPr>
      </w:pPr>
    </w:p>
    <w:p w14:paraId="4C1137BC">
      <w:pPr>
        <w:rPr>
          <w:rFonts w:hint="eastAsia" w:ascii="宋体" w:hAnsi="宋体" w:cs="宋体"/>
          <w:color w:val="auto"/>
          <w:highlight w:val="none"/>
        </w:rPr>
      </w:pPr>
    </w:p>
    <w:p w14:paraId="608597C6">
      <w:pPr>
        <w:rPr>
          <w:rFonts w:hint="eastAsia" w:ascii="宋体" w:hAnsi="宋体" w:cs="宋体"/>
          <w:color w:val="auto"/>
          <w:highlight w:val="none"/>
        </w:rPr>
      </w:pP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5366">
    <w:pPr>
      <w:pStyle w:val="17"/>
      <w:rPr>
        <w:rFonts w:hint="default"/>
        <w:sz w:val="18"/>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A8DD">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A3F9BC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3A3F9BC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42BF">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733231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2733231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8C5A">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34213A1">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434213A1">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ED83">
    <w:pPr>
      <w:pStyle w:val="12"/>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5DF9F5B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5DF9F5B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E409">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06B48D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306B48D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4A84">
    <w:pPr>
      <w:pStyle w:val="12"/>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C8478F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4C8478F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6B4B">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D2023D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7D2023D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A9B8">
    <w:pPr>
      <w:pStyle w:val="1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0E403D">
                          <w:pPr>
                            <w:pStyle w:val="17"/>
                            <w:rPr>
                              <w:rStyle w:val="29"/>
                            </w:rPr>
                          </w:pPr>
                          <w:r>
                            <w:fldChar w:fldCharType="begin"/>
                          </w:r>
                          <w:r>
                            <w:rPr>
                              <w:rStyle w:val="29"/>
                            </w:rPr>
                            <w:instrText xml:space="preserve">PAGE  </w:instrText>
                          </w:r>
                          <w:r>
                            <w:fldChar w:fldCharType="separate"/>
                          </w:r>
                          <w:r>
                            <w:rPr>
                              <w:rStyle w:val="29"/>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60E403D">
                    <w:pPr>
                      <w:pStyle w:val="17"/>
                      <w:rPr>
                        <w:rStyle w:val="29"/>
                      </w:rPr>
                    </w:pPr>
                    <w:r>
                      <w:fldChar w:fldCharType="begin"/>
                    </w:r>
                    <w:r>
                      <w:rPr>
                        <w:rStyle w:val="29"/>
                      </w:rPr>
                      <w:instrText xml:space="preserve">PAGE  </w:instrText>
                    </w:r>
                    <w:r>
                      <w:fldChar w:fldCharType="separate"/>
                    </w:r>
                    <w:r>
                      <w:rPr>
                        <w:rStyle w:val="29"/>
                      </w:rP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0E6D">
    <w:pPr>
      <w:pStyle w:val="17"/>
      <w:framePr w:wrap="around" w:vAnchor="text" w:hAnchor="margin" w:xAlign="right" w:y="1"/>
      <w:rPr>
        <w:rStyle w:val="29"/>
      </w:rPr>
    </w:pPr>
    <w:r>
      <w:fldChar w:fldCharType="begin"/>
    </w:r>
    <w:r>
      <w:rPr>
        <w:rStyle w:val="29"/>
      </w:rPr>
      <w:instrText xml:space="preserve">PAGE  </w:instrText>
    </w:r>
    <w:r>
      <w:fldChar w:fldCharType="end"/>
    </w:r>
  </w:p>
  <w:p w14:paraId="6AA3C081">
    <w:pPr>
      <w:pStyle w:val="1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986B">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E7E2C4A">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1E7E2C4A">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74A7">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A7D033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5A7D033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2299">
    <w:pPr>
      <w:pStyle w:val="18"/>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515C">
    <w:pPr>
      <w:pStyle w:val="18"/>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0A14">
    <w:pPr>
      <w:pStyle w:val="18"/>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4FF0">
    <w:pPr>
      <w:pStyle w:val="18"/>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68E4">
    <w:pPr>
      <w:pStyle w:val="18"/>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27E2">
    <w:pPr>
      <w:pStyle w:val="18"/>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BD1E1"/>
    <w:multiLevelType w:val="singleLevel"/>
    <w:tmpl w:val="2A3BD1E1"/>
    <w:lvl w:ilvl="0" w:tentative="0">
      <w:start w:val="1"/>
      <w:numFmt w:val="decimal"/>
      <w:suff w:val="nothing"/>
      <w:lvlText w:val="%1、"/>
      <w:lvlJc w:val="left"/>
    </w:lvl>
  </w:abstractNum>
  <w:abstractNum w:abstractNumId="1">
    <w:nsid w:val="67A33BB9"/>
    <w:multiLevelType w:val="singleLevel"/>
    <w:tmpl w:val="67A33BB9"/>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2F3B80"/>
    <w:rsid w:val="003964C8"/>
    <w:rsid w:val="00950240"/>
    <w:rsid w:val="012C2953"/>
    <w:rsid w:val="015F5C05"/>
    <w:rsid w:val="018A1427"/>
    <w:rsid w:val="01964270"/>
    <w:rsid w:val="01BE2FA6"/>
    <w:rsid w:val="020F624B"/>
    <w:rsid w:val="023A1A46"/>
    <w:rsid w:val="02866B04"/>
    <w:rsid w:val="02C61C3C"/>
    <w:rsid w:val="03AE389D"/>
    <w:rsid w:val="03DE6C08"/>
    <w:rsid w:val="041D5486"/>
    <w:rsid w:val="042A17F5"/>
    <w:rsid w:val="04590E88"/>
    <w:rsid w:val="054C2ADE"/>
    <w:rsid w:val="05571F68"/>
    <w:rsid w:val="055A6E6C"/>
    <w:rsid w:val="0624009C"/>
    <w:rsid w:val="06994AAC"/>
    <w:rsid w:val="070204F3"/>
    <w:rsid w:val="07195727"/>
    <w:rsid w:val="079D30DF"/>
    <w:rsid w:val="07C57EB5"/>
    <w:rsid w:val="0898267C"/>
    <w:rsid w:val="08C473E5"/>
    <w:rsid w:val="092A0515"/>
    <w:rsid w:val="09452310"/>
    <w:rsid w:val="094B540D"/>
    <w:rsid w:val="09662AAB"/>
    <w:rsid w:val="09A432A2"/>
    <w:rsid w:val="09C27272"/>
    <w:rsid w:val="0A1A3497"/>
    <w:rsid w:val="0A92134D"/>
    <w:rsid w:val="0B236B3A"/>
    <w:rsid w:val="0BA862FB"/>
    <w:rsid w:val="0BBE7DB6"/>
    <w:rsid w:val="0C25691C"/>
    <w:rsid w:val="0C52726D"/>
    <w:rsid w:val="0C997CA3"/>
    <w:rsid w:val="0CF07D67"/>
    <w:rsid w:val="0D123C8D"/>
    <w:rsid w:val="0D3E26CF"/>
    <w:rsid w:val="0D586E73"/>
    <w:rsid w:val="0D8242EC"/>
    <w:rsid w:val="0DDF0D4D"/>
    <w:rsid w:val="0DE16873"/>
    <w:rsid w:val="0DFA281E"/>
    <w:rsid w:val="0E8A0E0C"/>
    <w:rsid w:val="0EEC0CE8"/>
    <w:rsid w:val="0F8C0A60"/>
    <w:rsid w:val="10112B38"/>
    <w:rsid w:val="106A72DA"/>
    <w:rsid w:val="10AA73F0"/>
    <w:rsid w:val="10EC085B"/>
    <w:rsid w:val="11045F0A"/>
    <w:rsid w:val="11702C8D"/>
    <w:rsid w:val="11A44F56"/>
    <w:rsid w:val="12082801"/>
    <w:rsid w:val="129D0B9C"/>
    <w:rsid w:val="12B208E9"/>
    <w:rsid w:val="1360023A"/>
    <w:rsid w:val="13833692"/>
    <w:rsid w:val="143F42F3"/>
    <w:rsid w:val="14D84B7D"/>
    <w:rsid w:val="15466B5B"/>
    <w:rsid w:val="15D45C9E"/>
    <w:rsid w:val="15FA071C"/>
    <w:rsid w:val="17214CB6"/>
    <w:rsid w:val="17C3241B"/>
    <w:rsid w:val="17EC4792"/>
    <w:rsid w:val="184711C8"/>
    <w:rsid w:val="187237A6"/>
    <w:rsid w:val="188D04C6"/>
    <w:rsid w:val="189B1E31"/>
    <w:rsid w:val="18A9301C"/>
    <w:rsid w:val="18F02060"/>
    <w:rsid w:val="193D231A"/>
    <w:rsid w:val="196C5C41"/>
    <w:rsid w:val="1995519E"/>
    <w:rsid w:val="1A1D79A0"/>
    <w:rsid w:val="1AE837D0"/>
    <w:rsid w:val="1B045174"/>
    <w:rsid w:val="1BF9122C"/>
    <w:rsid w:val="1C3F5AF9"/>
    <w:rsid w:val="1C852C28"/>
    <w:rsid w:val="1CFE11EF"/>
    <w:rsid w:val="1D7138BC"/>
    <w:rsid w:val="1D8B6EF6"/>
    <w:rsid w:val="1EAE2913"/>
    <w:rsid w:val="1F493040"/>
    <w:rsid w:val="1F9F20EA"/>
    <w:rsid w:val="1FB76ED1"/>
    <w:rsid w:val="1FDC0B38"/>
    <w:rsid w:val="20312D6D"/>
    <w:rsid w:val="20CE3F4B"/>
    <w:rsid w:val="21A27D50"/>
    <w:rsid w:val="21C67E02"/>
    <w:rsid w:val="21E86845"/>
    <w:rsid w:val="221729FA"/>
    <w:rsid w:val="226E3D37"/>
    <w:rsid w:val="23354F87"/>
    <w:rsid w:val="2338257F"/>
    <w:rsid w:val="237C55D4"/>
    <w:rsid w:val="238E0DF3"/>
    <w:rsid w:val="23AE3635"/>
    <w:rsid w:val="245C2C9F"/>
    <w:rsid w:val="258376E6"/>
    <w:rsid w:val="25A44C59"/>
    <w:rsid w:val="26094761"/>
    <w:rsid w:val="2613174D"/>
    <w:rsid w:val="26CF6181"/>
    <w:rsid w:val="27077F7F"/>
    <w:rsid w:val="271164CB"/>
    <w:rsid w:val="288B74C9"/>
    <w:rsid w:val="296004DC"/>
    <w:rsid w:val="29824AA8"/>
    <w:rsid w:val="29902EF6"/>
    <w:rsid w:val="29BB7657"/>
    <w:rsid w:val="29F12CB0"/>
    <w:rsid w:val="2A094CB1"/>
    <w:rsid w:val="2A2840F7"/>
    <w:rsid w:val="2AD15ABE"/>
    <w:rsid w:val="2B583B1C"/>
    <w:rsid w:val="2B7B58B1"/>
    <w:rsid w:val="2C1726BE"/>
    <w:rsid w:val="2D07305C"/>
    <w:rsid w:val="2D687FBF"/>
    <w:rsid w:val="2D97319A"/>
    <w:rsid w:val="2DB43E82"/>
    <w:rsid w:val="2DF94EDE"/>
    <w:rsid w:val="2E2677B0"/>
    <w:rsid w:val="2E405867"/>
    <w:rsid w:val="2E6508F1"/>
    <w:rsid w:val="2EAD14DA"/>
    <w:rsid w:val="2EE62049"/>
    <w:rsid w:val="2F4A16AB"/>
    <w:rsid w:val="2F8530AA"/>
    <w:rsid w:val="2FB17508"/>
    <w:rsid w:val="2FF069AD"/>
    <w:rsid w:val="300375DA"/>
    <w:rsid w:val="302531FD"/>
    <w:rsid w:val="30A623A3"/>
    <w:rsid w:val="316F105F"/>
    <w:rsid w:val="322B758E"/>
    <w:rsid w:val="32411B40"/>
    <w:rsid w:val="324A2A66"/>
    <w:rsid w:val="32593FDB"/>
    <w:rsid w:val="329E7B66"/>
    <w:rsid w:val="32BA482A"/>
    <w:rsid w:val="32D57EA5"/>
    <w:rsid w:val="32D96FCE"/>
    <w:rsid w:val="32F64FD4"/>
    <w:rsid w:val="3421153E"/>
    <w:rsid w:val="34394463"/>
    <w:rsid w:val="34F05496"/>
    <w:rsid w:val="35DE181C"/>
    <w:rsid w:val="36115F43"/>
    <w:rsid w:val="368C042F"/>
    <w:rsid w:val="369B135C"/>
    <w:rsid w:val="36BD1621"/>
    <w:rsid w:val="37090E2F"/>
    <w:rsid w:val="3754025C"/>
    <w:rsid w:val="37865B8C"/>
    <w:rsid w:val="37B70A1B"/>
    <w:rsid w:val="3882287D"/>
    <w:rsid w:val="39037C61"/>
    <w:rsid w:val="392C2B4D"/>
    <w:rsid w:val="393E274D"/>
    <w:rsid w:val="39750026"/>
    <w:rsid w:val="3A960DB6"/>
    <w:rsid w:val="3AE64F8C"/>
    <w:rsid w:val="3BA70D12"/>
    <w:rsid w:val="3BEA5EFE"/>
    <w:rsid w:val="3C154415"/>
    <w:rsid w:val="3C490B4F"/>
    <w:rsid w:val="3CE54F60"/>
    <w:rsid w:val="3D9848F1"/>
    <w:rsid w:val="3E4912C1"/>
    <w:rsid w:val="3EBE3C7A"/>
    <w:rsid w:val="3EFA5A7A"/>
    <w:rsid w:val="3EFC16BE"/>
    <w:rsid w:val="3F73654C"/>
    <w:rsid w:val="3FF71AA2"/>
    <w:rsid w:val="3FFE458D"/>
    <w:rsid w:val="41746A12"/>
    <w:rsid w:val="421C22C0"/>
    <w:rsid w:val="436865A2"/>
    <w:rsid w:val="446B020B"/>
    <w:rsid w:val="4496544D"/>
    <w:rsid w:val="449811DB"/>
    <w:rsid w:val="46A87A2F"/>
    <w:rsid w:val="46C769A2"/>
    <w:rsid w:val="473A07C7"/>
    <w:rsid w:val="47B67BBB"/>
    <w:rsid w:val="48421EA0"/>
    <w:rsid w:val="489C6820"/>
    <w:rsid w:val="48FD385A"/>
    <w:rsid w:val="49121D1E"/>
    <w:rsid w:val="49247828"/>
    <w:rsid w:val="4A1E1474"/>
    <w:rsid w:val="4A742A58"/>
    <w:rsid w:val="4AB1638A"/>
    <w:rsid w:val="4B3E45F3"/>
    <w:rsid w:val="4BA644A7"/>
    <w:rsid w:val="4BF227B8"/>
    <w:rsid w:val="4C536A17"/>
    <w:rsid w:val="4C5C5158"/>
    <w:rsid w:val="4CAD0BB0"/>
    <w:rsid w:val="4D0369F0"/>
    <w:rsid w:val="4D1A650D"/>
    <w:rsid w:val="4D333CEE"/>
    <w:rsid w:val="4D70396B"/>
    <w:rsid w:val="4D877542"/>
    <w:rsid w:val="4D903A6C"/>
    <w:rsid w:val="4E541E88"/>
    <w:rsid w:val="4E604FAB"/>
    <w:rsid w:val="4E6A373F"/>
    <w:rsid w:val="4EEB72C3"/>
    <w:rsid w:val="4F8A626D"/>
    <w:rsid w:val="4FA80951"/>
    <w:rsid w:val="4FFF015F"/>
    <w:rsid w:val="50540565"/>
    <w:rsid w:val="50A10CB6"/>
    <w:rsid w:val="515F46AD"/>
    <w:rsid w:val="516B1168"/>
    <w:rsid w:val="5223443E"/>
    <w:rsid w:val="522A2DDA"/>
    <w:rsid w:val="522C3C23"/>
    <w:rsid w:val="5254693E"/>
    <w:rsid w:val="528943B0"/>
    <w:rsid w:val="52A929CD"/>
    <w:rsid w:val="53EF77F2"/>
    <w:rsid w:val="55096426"/>
    <w:rsid w:val="552D75A9"/>
    <w:rsid w:val="563B238E"/>
    <w:rsid w:val="56D03958"/>
    <w:rsid w:val="57E70337"/>
    <w:rsid w:val="58336D20"/>
    <w:rsid w:val="58444558"/>
    <w:rsid w:val="58E533AC"/>
    <w:rsid w:val="59272B2E"/>
    <w:rsid w:val="5A330B73"/>
    <w:rsid w:val="5A8913F1"/>
    <w:rsid w:val="5A97433A"/>
    <w:rsid w:val="5BEF4456"/>
    <w:rsid w:val="5C180F45"/>
    <w:rsid w:val="5C927DDE"/>
    <w:rsid w:val="5CFA65D6"/>
    <w:rsid w:val="5D75554C"/>
    <w:rsid w:val="5D767FED"/>
    <w:rsid w:val="5E0240E9"/>
    <w:rsid w:val="5E490C8B"/>
    <w:rsid w:val="5EEF62A0"/>
    <w:rsid w:val="5F6B5569"/>
    <w:rsid w:val="5FF3286B"/>
    <w:rsid w:val="60A8239F"/>
    <w:rsid w:val="61960532"/>
    <w:rsid w:val="61EA613C"/>
    <w:rsid w:val="61FB637A"/>
    <w:rsid w:val="62AB097F"/>
    <w:rsid w:val="62BB337C"/>
    <w:rsid w:val="62C12D55"/>
    <w:rsid w:val="62D67852"/>
    <w:rsid w:val="637026CC"/>
    <w:rsid w:val="63DB2CB0"/>
    <w:rsid w:val="640B24A8"/>
    <w:rsid w:val="6472739A"/>
    <w:rsid w:val="654A3E4B"/>
    <w:rsid w:val="65BF660F"/>
    <w:rsid w:val="65D76672"/>
    <w:rsid w:val="662D7012"/>
    <w:rsid w:val="664C1013"/>
    <w:rsid w:val="66664CDC"/>
    <w:rsid w:val="666D4AAA"/>
    <w:rsid w:val="668C48D3"/>
    <w:rsid w:val="66CA3897"/>
    <w:rsid w:val="67D87514"/>
    <w:rsid w:val="69721821"/>
    <w:rsid w:val="69B47845"/>
    <w:rsid w:val="6A9742E2"/>
    <w:rsid w:val="6AC226E4"/>
    <w:rsid w:val="6AC8299D"/>
    <w:rsid w:val="6B422BCB"/>
    <w:rsid w:val="6C3D117C"/>
    <w:rsid w:val="6CC72A30"/>
    <w:rsid w:val="6E2711F5"/>
    <w:rsid w:val="6E42136C"/>
    <w:rsid w:val="6E453429"/>
    <w:rsid w:val="6E70494A"/>
    <w:rsid w:val="6EFA2786"/>
    <w:rsid w:val="6EFB77FF"/>
    <w:rsid w:val="6F585C48"/>
    <w:rsid w:val="6F8474C0"/>
    <w:rsid w:val="6F8561D3"/>
    <w:rsid w:val="6FB6545E"/>
    <w:rsid w:val="6FDC5A0F"/>
    <w:rsid w:val="70115CB9"/>
    <w:rsid w:val="701A6C5A"/>
    <w:rsid w:val="70251764"/>
    <w:rsid w:val="702B37BF"/>
    <w:rsid w:val="712B6906"/>
    <w:rsid w:val="717C24DF"/>
    <w:rsid w:val="72AF5315"/>
    <w:rsid w:val="731D539E"/>
    <w:rsid w:val="731E0F50"/>
    <w:rsid w:val="7334394F"/>
    <w:rsid w:val="736304E2"/>
    <w:rsid w:val="73F05BE5"/>
    <w:rsid w:val="74017DF2"/>
    <w:rsid w:val="74890514"/>
    <w:rsid w:val="757635DC"/>
    <w:rsid w:val="758F3128"/>
    <w:rsid w:val="760C28FB"/>
    <w:rsid w:val="76A25114"/>
    <w:rsid w:val="77563D2B"/>
    <w:rsid w:val="776C7C79"/>
    <w:rsid w:val="77B35BDB"/>
    <w:rsid w:val="77F34C42"/>
    <w:rsid w:val="7811525D"/>
    <w:rsid w:val="7838546B"/>
    <w:rsid w:val="784210E3"/>
    <w:rsid w:val="7874624B"/>
    <w:rsid w:val="794517A2"/>
    <w:rsid w:val="79577CF8"/>
    <w:rsid w:val="79814B2D"/>
    <w:rsid w:val="79BF259A"/>
    <w:rsid w:val="7A221A56"/>
    <w:rsid w:val="7A2B6658"/>
    <w:rsid w:val="7AD16771"/>
    <w:rsid w:val="7B8A5777"/>
    <w:rsid w:val="7B905F16"/>
    <w:rsid w:val="7BFD67E0"/>
    <w:rsid w:val="7C590F2E"/>
    <w:rsid w:val="7CCB0A62"/>
    <w:rsid w:val="7D4B3C28"/>
    <w:rsid w:val="7D91734A"/>
    <w:rsid w:val="7DB163E5"/>
    <w:rsid w:val="7DCE4049"/>
    <w:rsid w:val="7DE461EC"/>
    <w:rsid w:val="7E8D2B2E"/>
    <w:rsid w:val="7EA43DA1"/>
    <w:rsid w:val="7F0E2027"/>
    <w:rsid w:val="7F524BFA"/>
    <w:rsid w:val="7FAA75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autoRedefine/>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41"/>
    <w:autoRedefine/>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33"/>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8">
    <w:name w:val="Default Paragraph Font"/>
    <w:autoRedefine/>
    <w:unhideWhenUsed/>
    <w:qFormat/>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Normal Indent"/>
    <w:basedOn w:val="1"/>
    <w:next w:val="1"/>
    <w:unhideWhenUsed/>
    <w:qFormat/>
    <w:uiPriority w:val="0"/>
    <w:pPr>
      <w:ind w:firstLine="420" w:firstLineChars="200"/>
    </w:pPr>
  </w:style>
  <w:style w:type="paragraph" w:styleId="10">
    <w:name w:val="annotation text"/>
    <w:basedOn w:val="1"/>
    <w:unhideWhenUsed/>
    <w:qFormat/>
    <w:uiPriority w:val="99"/>
    <w:pPr>
      <w:jc w:val="left"/>
    </w:pPr>
  </w:style>
  <w:style w:type="paragraph" w:styleId="11">
    <w:name w:val="Body Text 3"/>
    <w:basedOn w:val="1"/>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next w:val="1"/>
    <w:autoRedefine/>
    <w:unhideWhenUsed/>
    <w:qFormat/>
    <w:uiPriority w:val="1"/>
    <w:pPr>
      <w:ind w:left="520"/>
    </w:pPr>
    <w:rPr>
      <w:rFonts w:hint="default" w:ascii="宋体" w:hAnsi="宋体" w:eastAsia="宋体"/>
      <w:sz w:val="21"/>
      <w:szCs w:val="24"/>
    </w:r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szCs w:val="24"/>
    </w:rPr>
  </w:style>
  <w:style w:type="paragraph" w:styleId="15">
    <w:name w:val="toc 3"/>
    <w:basedOn w:val="1"/>
    <w:next w:val="1"/>
    <w:autoRedefine/>
    <w:qFormat/>
    <w:uiPriority w:val="99"/>
    <w:pPr>
      <w:ind w:left="840" w:leftChars="400"/>
    </w:pPr>
  </w:style>
  <w:style w:type="paragraph" w:styleId="16">
    <w:name w:val="Plain Text"/>
    <w:basedOn w:val="1"/>
    <w:autoRedefine/>
    <w:unhideWhenUsed/>
    <w:qFormat/>
    <w:uiPriority w:val="0"/>
    <w:rPr>
      <w:rFonts w:hint="default" w:ascii="宋体" w:hAnsi="Courier New" w:eastAsia="宋体"/>
      <w:sz w:val="24"/>
      <w:szCs w:val="24"/>
    </w:rPr>
  </w:style>
  <w:style w:type="paragraph" w:styleId="17">
    <w:name w:val="footer"/>
    <w:basedOn w:val="1"/>
    <w:autoRedefine/>
    <w:unhideWhenUsed/>
    <w:qFormat/>
    <w:uiPriority w:val="99"/>
    <w:pPr>
      <w:tabs>
        <w:tab w:val="center" w:pos="4153"/>
        <w:tab w:val="right" w:pos="8306"/>
      </w:tabs>
      <w:snapToGrid w:val="0"/>
    </w:pPr>
    <w:rPr>
      <w:rFonts w:hint="default"/>
      <w:sz w:val="18"/>
      <w:szCs w:val="24"/>
    </w:rPr>
  </w:style>
  <w:style w:type="paragraph" w:styleId="18">
    <w:name w:val="header"/>
    <w:basedOn w:val="1"/>
    <w:autoRedefine/>
    <w:unhideWhenUsed/>
    <w:qFormat/>
    <w:uiPriority w:val="99"/>
    <w:pPr>
      <w:tabs>
        <w:tab w:val="center" w:pos="4153"/>
        <w:tab w:val="right" w:pos="8306"/>
      </w:tabs>
      <w:snapToGrid w:val="0"/>
      <w:jc w:val="both"/>
    </w:pPr>
    <w:rPr>
      <w:rFonts w:hint="default"/>
      <w:sz w:val="18"/>
      <w:szCs w:val="24"/>
    </w:rPr>
  </w:style>
  <w:style w:type="paragraph" w:styleId="19">
    <w:name w:val="toc 1"/>
    <w:basedOn w:val="1"/>
    <w:next w:val="1"/>
    <w:autoRedefine/>
    <w:qFormat/>
    <w:uiPriority w:val="99"/>
  </w:style>
  <w:style w:type="paragraph" w:styleId="20">
    <w:name w:val="toc 2"/>
    <w:basedOn w:val="1"/>
    <w:next w:val="1"/>
    <w:autoRedefine/>
    <w:qFormat/>
    <w:uiPriority w:val="99"/>
    <w:pPr>
      <w:ind w:left="420" w:leftChars="200"/>
    </w:pPr>
  </w:style>
  <w:style w:type="paragraph" w:styleId="21">
    <w:name w:val="Body Text 2"/>
    <w:basedOn w:val="1"/>
    <w:autoRedefine/>
    <w:unhideWhenUsed/>
    <w:qFormat/>
    <w:uiPriority w:val="0"/>
    <w:rPr>
      <w:rFonts w:ascii="宋体" w:hAnsi="宋体" w:eastAsia="楷体_GB2312"/>
      <w:kern w:val="0"/>
      <w:sz w:val="20"/>
      <w:szCs w:val="24"/>
      <w:u w:val="single"/>
    </w:rPr>
  </w:style>
  <w:style w:type="paragraph" w:styleId="22">
    <w:name w:val="Normal (Web)"/>
    <w:basedOn w:val="1"/>
    <w:autoRedefine/>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3">
    <w:name w:val="Title"/>
    <w:basedOn w:val="1"/>
    <w:qFormat/>
    <w:uiPriority w:val="0"/>
    <w:pPr>
      <w:spacing w:before="240" w:after="60"/>
      <w:jc w:val="center"/>
      <w:outlineLvl w:val="0"/>
    </w:pPr>
    <w:rPr>
      <w:rFonts w:ascii="Arial" w:hAnsi="Arial"/>
      <w:b/>
      <w:bCs/>
      <w:kern w:val="0"/>
      <w:sz w:val="32"/>
      <w:szCs w:val="32"/>
    </w:rPr>
  </w:style>
  <w:style w:type="paragraph" w:styleId="24">
    <w:name w:val="Body Text First Indent"/>
    <w:basedOn w:val="12"/>
    <w:next w:val="25"/>
    <w:autoRedefine/>
    <w:unhideWhenUsed/>
    <w:qFormat/>
    <w:uiPriority w:val="0"/>
    <w:pPr>
      <w:ind w:firstLine="420"/>
    </w:pPr>
    <w:rPr>
      <w:rFonts w:hint="eastAsia" w:ascii="Times New Roman" w:hAnsi="Times New Roman" w:eastAsia="楷体_GB2312"/>
      <w:sz w:val="20"/>
      <w:szCs w:val="24"/>
    </w:rPr>
  </w:style>
  <w:style w:type="paragraph" w:styleId="25">
    <w:name w:val="Body Text First Indent 2"/>
    <w:basedOn w:val="13"/>
    <w:next w:val="26"/>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6">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character" w:styleId="29">
    <w:name w:val="page number"/>
    <w:autoRedefine/>
    <w:qFormat/>
    <w:uiPriority w:val="0"/>
  </w:style>
  <w:style w:type="character" w:styleId="30">
    <w:name w:val="Hyperlink"/>
    <w:autoRedefine/>
    <w:unhideWhenUsed/>
    <w:qFormat/>
    <w:uiPriority w:val="99"/>
    <w:rPr>
      <w:rFonts w:hint="default" w:ascii="Arial" w:hAnsi="Arial" w:eastAsia="黑体"/>
      <w:color w:val="0000FF"/>
      <w:kern w:val="2"/>
      <w:sz w:val="21"/>
      <w:szCs w:val="24"/>
      <w:u w:val="single"/>
      <w:lang w:val="en-US" w:eastAsia="zh-CN" w:bidi="ar-SA"/>
    </w:rPr>
  </w:style>
  <w:style w:type="paragraph" w:customStyle="1" w:styleId="31">
    <w:name w:val="正文缩进1"/>
    <w:basedOn w:val="32"/>
    <w:autoRedefine/>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2">
    <w:name w:val="正文1"/>
    <w:basedOn w:val="1"/>
    <w:autoRedefine/>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3">
    <w:name w:val="标题 3 Char"/>
    <w:link w:val="4"/>
    <w:autoRedefine/>
    <w:unhideWhenUsed/>
    <w:qFormat/>
    <w:uiPriority w:val="1"/>
    <w:rPr>
      <w:rFonts w:hint="default" w:ascii="宋体" w:hAnsi="宋体" w:eastAsia="宋体"/>
      <w:b/>
      <w:sz w:val="24"/>
      <w:szCs w:val="24"/>
    </w:rPr>
  </w:style>
  <w:style w:type="paragraph" w:customStyle="1" w:styleId="34">
    <w:name w:val="Table Paragraph"/>
    <w:basedOn w:val="1"/>
    <w:autoRedefine/>
    <w:unhideWhenUsed/>
    <w:qFormat/>
    <w:uiPriority w:val="1"/>
    <w:rPr>
      <w:rFonts w:hint="default"/>
      <w:sz w:val="24"/>
      <w:szCs w:val="24"/>
    </w:rPr>
  </w:style>
  <w:style w:type="paragraph" w:customStyle="1" w:styleId="35">
    <w:name w:val="公文正文"/>
    <w:autoRedefine/>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6">
    <w:name w:val="p0"/>
    <w:basedOn w:val="1"/>
    <w:autoRedefine/>
    <w:unhideWhenUsed/>
    <w:qFormat/>
    <w:uiPriority w:val="0"/>
    <w:pPr>
      <w:widowControl/>
      <w:spacing w:before="75" w:after="75"/>
    </w:pPr>
    <w:rPr>
      <w:rFonts w:hint="default" w:ascii="宋体" w:hAnsi="宋体" w:eastAsia="宋体" w:cs="宋体"/>
      <w:sz w:val="24"/>
      <w:szCs w:val="24"/>
    </w:rPr>
  </w:style>
  <w:style w:type="paragraph" w:styleId="37">
    <w:name w:val="List Paragraph"/>
    <w:basedOn w:val="1"/>
    <w:autoRedefine/>
    <w:unhideWhenUsed/>
    <w:qFormat/>
    <w:uiPriority w:val="1"/>
    <w:rPr>
      <w:rFonts w:hint="default"/>
      <w:sz w:val="24"/>
      <w:szCs w:val="24"/>
    </w:rPr>
  </w:style>
  <w:style w:type="paragraph" w:customStyle="1" w:styleId="38">
    <w:name w:val="文一"/>
    <w:basedOn w:val="1"/>
    <w:autoRedefine/>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9">
    <w:name w:val="样式 宋体 行距: 1.5 倍行距"/>
    <w:basedOn w:val="1"/>
    <w:autoRedefine/>
    <w:unhideWhenUsed/>
    <w:qFormat/>
    <w:uiPriority w:val="0"/>
    <w:pPr>
      <w:jc w:val="center"/>
    </w:pPr>
    <w:rPr>
      <w:rFonts w:hint="default"/>
      <w:b/>
      <w:sz w:val="24"/>
      <w:szCs w:val="24"/>
    </w:rPr>
  </w:style>
  <w:style w:type="paragraph" w:customStyle="1" w:styleId="40">
    <w:name w:val="发文落款"/>
    <w:basedOn w:val="35"/>
    <w:autoRedefine/>
    <w:unhideWhenUsed/>
    <w:qFormat/>
    <w:uiPriority w:val="99"/>
    <w:pPr>
      <w:ind w:left="4094" w:right="607" w:firstLine="0"/>
      <w:jc w:val="center"/>
    </w:pPr>
    <w:rPr>
      <w:rFonts w:hint="eastAsia" w:cs="仿宋_GB2312"/>
      <w:sz w:val="32"/>
      <w:szCs w:val="32"/>
    </w:rPr>
  </w:style>
  <w:style w:type="character" w:customStyle="1" w:styleId="41">
    <w:name w:val="标题 2 Char"/>
    <w:link w:val="3"/>
    <w:autoRedefine/>
    <w:unhideWhenUsed/>
    <w:qFormat/>
    <w:uiPriority w:val="1"/>
    <w:rPr>
      <w:rFonts w:hint="default" w:ascii="宋体" w:hAnsi="宋体" w:eastAsia="宋体"/>
      <w:b/>
      <w:sz w:val="30"/>
      <w:szCs w:val="24"/>
    </w:rPr>
  </w:style>
  <w:style w:type="character" w:customStyle="1" w:styleId="42">
    <w:name w:val="NormalCharacter"/>
    <w:autoRedefine/>
    <w:unhideWhenUsed/>
    <w:qFormat/>
    <w:uiPriority w:val="0"/>
    <w:rPr>
      <w:rFonts w:hint="default"/>
      <w:sz w:val="24"/>
      <w:szCs w:val="24"/>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customStyle="1" w:styleId="46">
    <w:name w:val="null3"/>
    <w:qFormat/>
    <w:uiPriority w:val="0"/>
    <w:rPr>
      <w:rFonts w:hint="eastAsia" w:ascii="Calibri" w:hAnsi="Calibri" w:eastAsia="宋体" w:cs="Times New Roman"/>
      <w:lang w:val="en-US" w:eastAsia="zh-Hans"/>
    </w:rPr>
  </w:style>
  <w:style w:type="paragraph" w:styleId="47">
    <w:name w:val="No Spacing"/>
    <w:qFormat/>
    <w:uiPriority w:val="0"/>
    <w:pPr>
      <w:widowControl w:val="0"/>
      <w:jc w:val="both"/>
    </w:pPr>
    <w:rPr>
      <w:rFonts w:ascii="Times New Roman" w:hAnsi="Times New Roman"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492</Words>
  <Characters>565</Characters>
  <TotalTime>3</TotalTime>
  <ScaleCrop>false</ScaleCrop>
  <LinksUpToDate>false</LinksUpToDate>
  <CharactersWithSpaces>621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招标代理肖YL</cp:lastModifiedBy>
  <dcterms:modified xsi:type="dcterms:W3CDTF">2025-08-19T09:28:30Z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BEBA8DDC31264A87BBF2A47EC6DB3785_13</vt:lpwstr>
  </property>
  <property fmtid="{D5CDD505-2E9C-101B-9397-08002B2CF9AE}" pid="4" name="KSOTemplateDocerSaveRecord">
    <vt:lpwstr>eyJoZGlkIjoiNTBhZjYwMjEwZWUyOTk1MmVjNDg1N2E3MTZlNDAxOWUiLCJ1c2VySWQiOiI5NTM1MzkxNzQifQ==</vt:lpwstr>
  </property>
</Properties>
</file>