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5DD80">
      <w:pPr>
        <w:rPr>
          <w:rFonts w:ascii="宋体" w:hAnsi="宋体" w:cs="宋体"/>
          <w:color w:val="auto"/>
          <w:sz w:val="30"/>
          <w:szCs w:val="30"/>
          <w:highlight w:val="none"/>
        </w:rPr>
      </w:pPr>
    </w:p>
    <w:p w14:paraId="55FBE2C3">
      <w:pPr>
        <w:rPr>
          <w:rFonts w:ascii="宋体" w:hAnsi="宋体" w:cs="宋体"/>
          <w:color w:val="auto"/>
          <w:highlight w:val="none"/>
        </w:rPr>
      </w:pPr>
    </w:p>
    <w:p w14:paraId="37980DA3">
      <w:pPr>
        <w:pStyle w:val="21"/>
        <w:ind w:left="0" w:leftChars="0" w:firstLine="0" w:firstLineChars="0"/>
        <w:jc w:val="center"/>
        <w:rPr>
          <w:rFonts w:cs="宋体"/>
          <w:b/>
          <w:color w:val="auto"/>
          <w:sz w:val="52"/>
          <w:szCs w:val="52"/>
          <w:highlight w:val="none"/>
        </w:rPr>
      </w:pPr>
      <w:r>
        <w:rPr>
          <w:rFonts w:hint="eastAsia" w:cs="宋体"/>
          <w:b/>
          <w:bCs/>
          <w:color w:val="auto"/>
          <w:sz w:val="52"/>
          <w:szCs w:val="52"/>
          <w:highlight w:val="none"/>
          <w:u w:val="single"/>
          <w:lang w:eastAsia="zh-CN"/>
        </w:rPr>
        <w:t>广州发展广州市区域小微分布式光伏设备集成及开发移交一体化服务</w:t>
      </w:r>
    </w:p>
    <w:p w14:paraId="47A3E866">
      <w:pPr>
        <w:spacing w:line="360" w:lineRule="auto"/>
        <w:jc w:val="center"/>
        <w:rPr>
          <w:rFonts w:hint="eastAsia" w:ascii="宋体" w:hAnsi="宋体" w:cs="宋体"/>
          <w:b/>
          <w:bCs/>
          <w:color w:val="auto"/>
          <w:spacing w:val="26"/>
          <w:sz w:val="110"/>
          <w:szCs w:val="110"/>
          <w:highlight w:val="none"/>
        </w:rPr>
      </w:pPr>
    </w:p>
    <w:p w14:paraId="4B12EED4">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eastAsia="zh-CN"/>
        </w:rPr>
        <w:t>公</w:t>
      </w:r>
      <w:bookmarkStart w:id="18" w:name="_GoBack"/>
      <w:bookmarkEnd w:id="18"/>
      <w:r>
        <w:rPr>
          <w:rFonts w:hint="eastAsia" w:ascii="宋体" w:hAnsi="宋体" w:cs="宋体"/>
          <w:b/>
          <w:bCs/>
          <w:color w:val="auto"/>
          <w:spacing w:val="26"/>
          <w:sz w:val="110"/>
          <w:szCs w:val="110"/>
          <w:highlight w:val="none"/>
          <w:lang w:eastAsia="zh-CN"/>
        </w:rPr>
        <w:t>告</w:t>
      </w:r>
    </w:p>
    <w:p w14:paraId="27201200">
      <w:pPr>
        <w:spacing w:line="360" w:lineRule="auto"/>
        <w:jc w:val="center"/>
        <w:rPr>
          <w:rFonts w:ascii="宋体" w:hAnsi="宋体" w:cs="宋体"/>
          <w:color w:val="auto"/>
          <w:sz w:val="32"/>
          <w:highlight w:val="none"/>
        </w:rPr>
      </w:pPr>
    </w:p>
    <w:p w14:paraId="4C606834">
      <w:pPr>
        <w:spacing w:line="360" w:lineRule="auto"/>
        <w:ind w:firstLine="2560" w:firstLineChars="800"/>
        <w:rPr>
          <w:rFonts w:ascii="宋体" w:hAnsi="宋体" w:cs="宋体"/>
          <w:color w:val="auto"/>
          <w:sz w:val="32"/>
          <w:highlight w:val="none"/>
        </w:rPr>
      </w:pPr>
    </w:p>
    <w:p w14:paraId="103AB5A9">
      <w:pPr>
        <w:spacing w:line="360" w:lineRule="auto"/>
        <w:rPr>
          <w:rFonts w:ascii="宋体" w:hAnsi="宋体" w:cs="宋体"/>
          <w:color w:val="auto"/>
          <w:sz w:val="52"/>
          <w:highlight w:val="none"/>
        </w:rPr>
      </w:pPr>
    </w:p>
    <w:p w14:paraId="7B4633BB">
      <w:pPr>
        <w:pStyle w:val="3"/>
        <w:rPr>
          <w:color w:val="auto"/>
          <w:highlight w:val="none"/>
        </w:rPr>
      </w:pPr>
    </w:p>
    <w:p w14:paraId="2BF4D6AF">
      <w:pPr>
        <w:spacing w:line="360" w:lineRule="auto"/>
        <w:ind w:firstLine="1500" w:firstLineChars="500"/>
        <w:jc w:val="left"/>
        <w:rPr>
          <w:rFonts w:ascii="宋体" w:hAnsi="宋体" w:cs="宋体"/>
          <w:color w:val="auto"/>
          <w:sz w:val="30"/>
          <w:szCs w:val="30"/>
          <w:highlight w:val="none"/>
          <w:lang w:eastAsia="zh"/>
        </w:rPr>
      </w:pPr>
      <w:r>
        <w:rPr>
          <w:rFonts w:hint="eastAsia" w:ascii="宋体" w:hAnsi="宋体" w:cs="宋体"/>
          <w:color w:val="auto"/>
          <w:sz w:val="30"/>
          <w:szCs w:val="30"/>
          <w:highlight w:val="none"/>
        </w:rPr>
        <w:t>招标单位：</w:t>
      </w:r>
      <w:r>
        <w:rPr>
          <w:rFonts w:hint="eastAsia" w:ascii="宋体" w:hAnsi="宋体" w:cs="宋体"/>
          <w:color w:val="auto"/>
          <w:sz w:val="30"/>
          <w:szCs w:val="30"/>
          <w:highlight w:val="none"/>
          <w:lang w:eastAsia="zh"/>
        </w:rPr>
        <w:t>广州发展新能源集团股份有限公司</w:t>
      </w:r>
    </w:p>
    <w:p w14:paraId="6BA06C3A">
      <w:pPr>
        <w:spacing w:line="360" w:lineRule="auto"/>
        <w:ind w:firstLine="1500" w:firstLineChars="500"/>
        <w:jc w:val="left"/>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 xml:space="preserve">北京中交建设工程咨询有限公司 </w:t>
      </w:r>
      <w:r>
        <w:rPr>
          <w:rFonts w:hint="eastAsia" w:ascii="宋体" w:hAnsi="宋体" w:cs="宋体"/>
          <w:color w:val="auto"/>
          <w:sz w:val="30"/>
          <w:szCs w:val="30"/>
          <w:highlight w:val="none"/>
        </w:rPr>
        <w:t xml:space="preserve"> </w:t>
      </w:r>
    </w:p>
    <w:p w14:paraId="2541300E">
      <w:pPr>
        <w:spacing w:line="360" w:lineRule="auto"/>
        <w:ind w:firstLine="1500" w:firstLineChars="500"/>
        <w:jc w:val="left"/>
        <w:rPr>
          <w:rFonts w:ascii="宋体" w:hAnsi="宋体" w:cs="宋体"/>
          <w:color w:val="auto"/>
          <w:sz w:val="30"/>
          <w:szCs w:val="30"/>
          <w:highlight w:val="none"/>
        </w:rPr>
      </w:pPr>
      <w:r>
        <w:rPr>
          <w:rFonts w:hint="eastAsia" w:ascii="宋体" w:hAnsi="宋体" w:cs="宋体"/>
          <w:color w:val="auto"/>
          <w:sz w:val="30"/>
          <w:szCs w:val="30"/>
          <w:highlight w:val="none"/>
        </w:rPr>
        <w:t>日        期：202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8</w:t>
      </w:r>
      <w:r>
        <w:rPr>
          <w:rFonts w:hint="eastAsia" w:ascii="宋体" w:hAnsi="宋体" w:cs="宋体"/>
          <w:color w:val="auto"/>
          <w:sz w:val="30"/>
          <w:szCs w:val="30"/>
          <w:highlight w:val="none"/>
        </w:rPr>
        <w:t>月</w:t>
      </w:r>
    </w:p>
    <w:p w14:paraId="78229121">
      <w:pPr>
        <w:jc w:val="center"/>
        <w:sectPr>
          <w:headerReference r:id="rId4" w:type="first"/>
          <w:footerReference r:id="rId6" w:type="first"/>
          <w:headerReference r:id="rId3" w:type="default"/>
          <w:footerReference r:id="rId5" w:type="default"/>
          <w:endnotePr>
            <w:numFmt w:val="decimal"/>
          </w:endnotePr>
          <w:pgSz w:w="11905" w:h="16838"/>
          <w:pgMar w:top="1440" w:right="1440" w:bottom="1440" w:left="1440" w:header="851" w:footer="907" w:gutter="0"/>
          <w:pgBorders>
            <w:top w:val="none" w:sz="0" w:space="0"/>
            <w:left w:val="none" w:sz="0" w:space="0"/>
            <w:bottom w:val="none" w:sz="0" w:space="0"/>
            <w:right w:val="none" w:sz="0" w:space="0"/>
          </w:pgBorders>
          <w:pgNumType w:fmt="decimal" w:start="0"/>
          <w:cols w:space="720" w:num="1"/>
          <w:titlePg/>
          <w:rtlGutter w:val="0"/>
          <w:docGrid w:type="lines" w:linePitch="318" w:charSpace="0"/>
        </w:sectPr>
      </w:pPr>
      <w:r>
        <w:rPr>
          <w:rFonts w:hint="eastAsia"/>
          <w:color w:val="FFFFFF" w:themeColor="background1"/>
          <w14:textFill>
            <w14:solidFill>
              <w14:schemeClr w14:val="bg1"/>
            </w14:solidFill>
          </w14:textFill>
        </w:rPr>
        <w:t>招标机构签章位置</w:t>
      </w:r>
    </w:p>
    <w:p w14:paraId="763DCBD7">
      <w:pPr>
        <w:pStyle w:val="4"/>
        <w:wordWrap w:val="0"/>
        <w:spacing w:before="200" w:after="200"/>
        <w:jc w:val="center"/>
        <w:rPr>
          <w:rFonts w:ascii="宋体" w:hAnsi="宋体" w:eastAsia="宋体" w:cs="宋体"/>
          <w:color w:val="auto"/>
          <w:highlight w:val="none"/>
        </w:rPr>
      </w:pPr>
      <w:bookmarkStart w:id="0" w:name="_Toc19616"/>
      <w:bookmarkStart w:id="1" w:name="_Toc23860"/>
      <w:bookmarkStart w:id="2" w:name="_Toc62725693"/>
      <w:bookmarkStart w:id="3" w:name="_Toc2669"/>
      <w:bookmarkStart w:id="4" w:name="_Toc26895"/>
      <w:bookmarkStart w:id="5" w:name="_Toc13649"/>
      <w:bookmarkStart w:id="6" w:name="_Toc14610"/>
      <w:bookmarkStart w:id="7" w:name="_Toc19203991"/>
      <w:bookmarkStart w:id="8" w:name="_Toc49436521"/>
      <w:bookmarkStart w:id="9" w:name="_Toc247513933"/>
      <w:bookmarkStart w:id="10" w:name="_Toc5347"/>
      <w:bookmarkStart w:id="11" w:name="_Toc45640621"/>
      <w:bookmarkStart w:id="12" w:name="_Toc152042287"/>
      <w:bookmarkStart w:id="13" w:name="_Toc144974479"/>
      <w:bookmarkStart w:id="14" w:name="_Toc247527534"/>
      <w:bookmarkStart w:id="15" w:name="_Toc152045511"/>
      <w:bookmarkStart w:id="16" w:name="_Toc8629"/>
      <w:bookmarkStart w:id="17" w:name="_Toc14507"/>
      <w:r>
        <w:rPr>
          <w:rFonts w:hint="eastAsia" w:ascii="宋体" w:hAnsi="宋体" w:eastAsia="宋体" w:cs="宋体"/>
          <w:color w:val="auto"/>
          <w:highlight w:val="none"/>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51C8E78">
      <w:pPr>
        <w:wordWrap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广州发展广州市区域小微分布式光伏设备集成及开发移交一体化服务</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企业自筹资金</w:t>
      </w:r>
      <w:r>
        <w:rPr>
          <w:rFonts w:hint="eastAsia" w:ascii="宋体" w:hAnsi="宋体" w:cs="宋体"/>
          <w:color w:val="auto"/>
          <w:sz w:val="24"/>
          <w:highlight w:val="none"/>
        </w:rPr>
        <w:t>，招标单位为</w:t>
      </w:r>
      <w:r>
        <w:rPr>
          <w:rFonts w:hint="eastAsia" w:ascii="宋体" w:hAnsi="宋体" w:cs="宋体"/>
          <w:color w:val="auto"/>
          <w:sz w:val="24"/>
          <w:highlight w:val="none"/>
          <w:u w:val="single"/>
          <w:lang w:eastAsia="zh"/>
        </w:rPr>
        <w:t>广州发展新能源集团股份有限公司</w:t>
      </w:r>
      <w:r>
        <w:rPr>
          <w:rFonts w:hint="eastAsia" w:ascii="宋体" w:hAnsi="宋体" w:cs="宋体"/>
          <w:color w:val="auto"/>
          <w:sz w:val="24"/>
          <w:highlight w:val="none"/>
        </w:rPr>
        <w:t>。本项目已具备招标条件，现对该项目进行公开招标。欢迎合格的投标人参加投标</w:t>
      </w:r>
      <w:r>
        <w:rPr>
          <w:rFonts w:hint="eastAsia" w:ascii="宋体" w:hAnsi="宋体" w:cs="宋体"/>
          <w:color w:val="auto"/>
          <w:sz w:val="24"/>
          <w:szCs w:val="22"/>
          <w:highlight w:val="none"/>
        </w:rPr>
        <w:t>。</w:t>
      </w:r>
    </w:p>
    <w:p w14:paraId="195161AE">
      <w:pPr>
        <w:numPr>
          <w:ilvl w:val="0"/>
          <w:numId w:val="0"/>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一、项目名称：</w:t>
      </w:r>
      <w:r>
        <w:rPr>
          <w:rFonts w:hint="eastAsia" w:ascii="宋体" w:hAnsi="宋体" w:cs="宋体"/>
          <w:color w:val="auto"/>
          <w:sz w:val="24"/>
          <w:highlight w:val="none"/>
          <w:u w:val="single"/>
          <w:lang w:eastAsia="zh-CN"/>
        </w:rPr>
        <w:t>广州发展广州市区域小微分布式光伏设备集成及开发移交一体化服务</w:t>
      </w:r>
    </w:p>
    <w:p w14:paraId="33582D8B">
      <w:pPr>
        <w:tabs>
          <w:tab w:val="center" w:pos="4415"/>
        </w:tabs>
        <w:spacing w:line="360" w:lineRule="auto"/>
        <w:ind w:firstLine="480" w:firstLineChars="200"/>
        <w:rPr>
          <w:rFonts w:ascii="宋体" w:hAnsi="宋体" w:cs="宋体"/>
          <w:color w:val="auto"/>
          <w:sz w:val="24"/>
          <w:szCs w:val="22"/>
          <w:highlight w:val="none"/>
          <w:lang w:eastAsia="zh"/>
        </w:rPr>
      </w:pPr>
      <w:r>
        <w:rPr>
          <w:rFonts w:hint="eastAsia" w:ascii="宋体" w:hAnsi="宋体" w:cs="宋体"/>
          <w:color w:val="auto"/>
          <w:sz w:val="24"/>
          <w:highlight w:val="none"/>
        </w:rPr>
        <w:t>二、</w:t>
      </w:r>
      <w:r>
        <w:rPr>
          <w:rFonts w:hint="eastAsia" w:ascii="宋体" w:hAnsi="宋体" w:cs="宋体"/>
          <w:color w:val="auto"/>
          <w:sz w:val="24"/>
          <w:szCs w:val="22"/>
          <w:highlight w:val="none"/>
        </w:rPr>
        <w:t>项目编号：（以广州公共资源交易中心的项目编号为准）</w:t>
      </w:r>
    </w:p>
    <w:p w14:paraId="6B3AAA40">
      <w:pPr>
        <w:numPr>
          <w:ilvl w:val="0"/>
          <w:numId w:val="0"/>
        </w:numPr>
        <w:spacing w:line="360" w:lineRule="auto"/>
        <w:ind w:firstLine="480" w:firstLineChars="200"/>
        <w:rPr>
          <w:rFonts w:ascii="宋体" w:hAnsi="宋体" w:cs="宋体"/>
          <w:color w:val="auto"/>
          <w:sz w:val="24"/>
          <w:highlight w:val="none"/>
          <w:u w:val="single"/>
          <w:lang w:eastAsia="zh"/>
        </w:rPr>
      </w:pPr>
      <w:r>
        <w:rPr>
          <w:rFonts w:hint="eastAsia" w:ascii="宋体" w:hAnsi="宋体" w:cs="宋体"/>
          <w:color w:val="auto"/>
          <w:sz w:val="24"/>
          <w:highlight w:val="none"/>
        </w:rPr>
        <w:t>三、招标单位：</w:t>
      </w:r>
      <w:r>
        <w:rPr>
          <w:rFonts w:hint="eastAsia" w:ascii="宋体" w:hAnsi="宋体" w:cs="宋体"/>
          <w:color w:val="auto"/>
          <w:sz w:val="24"/>
          <w:szCs w:val="22"/>
          <w:highlight w:val="none"/>
          <w:u w:val="single"/>
          <w:lang w:eastAsia="zh"/>
        </w:rPr>
        <w:t>广州发展新能源集团股份有限公司</w:t>
      </w:r>
    </w:p>
    <w:p w14:paraId="3C4050E1">
      <w:pPr>
        <w:tabs>
          <w:tab w:val="center" w:pos="4415"/>
        </w:tabs>
        <w:spacing w:line="360" w:lineRule="auto"/>
        <w:ind w:firstLine="960" w:firstLineChars="4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联系人：</w:t>
      </w:r>
      <w:r>
        <w:rPr>
          <w:rFonts w:hint="eastAsia" w:ascii="宋体" w:hAnsi="宋体" w:cs="宋体"/>
          <w:color w:val="auto"/>
          <w:sz w:val="24"/>
          <w:highlight w:val="none"/>
          <w:u w:val="single"/>
          <w:lang w:eastAsia="zh"/>
        </w:rPr>
        <w:t>陈工</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eastAsia="zh"/>
        </w:rPr>
        <w:t xml:space="preserve">           </w:t>
      </w:r>
      <w:r>
        <w:rPr>
          <w:rFonts w:hint="eastAsia" w:ascii="宋体" w:hAnsi="宋体" w:cs="宋体"/>
          <w:color w:val="auto"/>
          <w:sz w:val="24"/>
          <w:szCs w:val="22"/>
          <w:highlight w:val="none"/>
        </w:rPr>
        <w:t>联系电话：</w:t>
      </w:r>
      <w:r>
        <w:rPr>
          <w:rFonts w:hint="eastAsia" w:ascii="宋体" w:hAnsi="宋体" w:cs="宋体"/>
          <w:color w:val="auto"/>
          <w:sz w:val="24"/>
          <w:szCs w:val="22"/>
          <w:highlight w:val="none"/>
          <w:lang w:eastAsia="zh-CN"/>
        </w:rPr>
        <w:t>020-87571846</w:t>
      </w:r>
    </w:p>
    <w:p w14:paraId="59F417B5">
      <w:pPr>
        <w:tabs>
          <w:tab w:val="center" w:pos="4415"/>
        </w:tabs>
        <w:spacing w:line="360" w:lineRule="auto"/>
        <w:ind w:firstLine="960" w:firstLineChars="400"/>
        <w:rPr>
          <w:rFonts w:ascii="宋体" w:hAnsi="宋体" w:cs="宋体"/>
          <w:color w:val="auto"/>
          <w:sz w:val="24"/>
          <w:szCs w:val="22"/>
          <w:highlight w:val="none"/>
          <w:u w:val="single"/>
          <w:lang w:eastAsia="zh"/>
        </w:rPr>
      </w:pPr>
      <w:r>
        <w:rPr>
          <w:rFonts w:hint="eastAsia" w:ascii="宋体" w:hAnsi="宋体" w:cs="宋体"/>
          <w:color w:val="auto"/>
          <w:sz w:val="24"/>
          <w:szCs w:val="22"/>
          <w:highlight w:val="none"/>
        </w:rPr>
        <w:t>招标监督机构：</w:t>
      </w:r>
      <w:r>
        <w:rPr>
          <w:rFonts w:hint="eastAsia" w:ascii="宋体" w:hAnsi="宋体" w:cs="宋体"/>
          <w:color w:val="auto"/>
          <w:sz w:val="24"/>
          <w:szCs w:val="22"/>
          <w:highlight w:val="none"/>
          <w:u w:val="single"/>
          <w:lang w:eastAsia="zh"/>
        </w:rPr>
        <w:t>广州发展集团股份有限公司招标管理部</w:t>
      </w:r>
    </w:p>
    <w:p w14:paraId="0A16429D">
      <w:pPr>
        <w:tabs>
          <w:tab w:val="center" w:pos="4415"/>
        </w:tabs>
        <w:spacing w:line="360" w:lineRule="auto"/>
        <w:ind w:firstLine="960" w:firstLineChars="400"/>
        <w:rPr>
          <w:rFonts w:ascii="宋体" w:hAnsi="宋体" w:cs="宋体"/>
          <w:color w:val="auto"/>
          <w:sz w:val="24"/>
          <w:szCs w:val="22"/>
          <w:highlight w:val="none"/>
          <w:lang w:eastAsia="zh"/>
        </w:rPr>
      </w:pPr>
      <w:r>
        <w:rPr>
          <w:rFonts w:hint="eastAsia" w:ascii="宋体" w:hAnsi="宋体" w:cs="宋体"/>
          <w:color w:val="auto"/>
          <w:sz w:val="24"/>
          <w:szCs w:val="22"/>
          <w:highlight w:val="none"/>
        </w:rPr>
        <w:t>监督电话：</w:t>
      </w:r>
      <w:r>
        <w:rPr>
          <w:rFonts w:hint="eastAsia" w:ascii="宋体" w:hAnsi="宋体" w:cs="宋体"/>
          <w:color w:val="auto"/>
          <w:sz w:val="24"/>
          <w:szCs w:val="22"/>
          <w:highlight w:val="none"/>
          <w:lang w:eastAsia="zh"/>
        </w:rPr>
        <w:t>020-37850890</w:t>
      </w:r>
    </w:p>
    <w:p w14:paraId="2B210137">
      <w:pPr>
        <w:tabs>
          <w:tab w:val="center" w:pos="4415"/>
        </w:tabs>
        <w:spacing w:line="360" w:lineRule="auto"/>
        <w:ind w:firstLine="960" w:firstLineChars="4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招标代理机构：</w:t>
      </w:r>
      <w:r>
        <w:rPr>
          <w:rFonts w:hint="eastAsia" w:ascii="宋体" w:hAnsi="宋体" w:cs="宋体"/>
          <w:color w:val="auto"/>
          <w:sz w:val="24"/>
          <w:szCs w:val="22"/>
          <w:highlight w:val="none"/>
          <w:u w:val="single"/>
          <w:lang w:eastAsia="zh-CN"/>
        </w:rPr>
        <w:t>北京中交建设工程咨询有限公司</w:t>
      </w:r>
    </w:p>
    <w:p w14:paraId="309C755F">
      <w:pPr>
        <w:tabs>
          <w:tab w:val="center" w:pos="4415"/>
        </w:tabs>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szCs w:val="22"/>
          <w:highlight w:val="none"/>
        </w:rPr>
        <w:t>联系人：</w:t>
      </w:r>
      <w:r>
        <w:rPr>
          <w:rFonts w:hint="eastAsia" w:ascii="宋体" w:hAnsi="宋体" w:cs="宋体"/>
          <w:color w:val="auto"/>
          <w:sz w:val="24"/>
          <w:szCs w:val="22"/>
          <w:highlight w:val="none"/>
          <w:lang w:val="en-US" w:eastAsia="zh-CN"/>
        </w:rPr>
        <w:t>方</w:t>
      </w:r>
      <w:r>
        <w:rPr>
          <w:rFonts w:hint="eastAsia" w:ascii="宋体" w:hAnsi="宋体" w:cs="宋体"/>
          <w:color w:val="auto"/>
          <w:sz w:val="24"/>
          <w:szCs w:val="22"/>
          <w:highlight w:val="none"/>
        </w:rPr>
        <w:t xml:space="preserve">工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联系电话：020-</w:t>
      </w:r>
      <w:r>
        <w:rPr>
          <w:rFonts w:hint="eastAsia" w:ascii="宋体" w:hAnsi="宋体" w:cs="宋体"/>
          <w:color w:val="auto"/>
          <w:sz w:val="24"/>
          <w:szCs w:val="22"/>
          <w:highlight w:val="none"/>
          <w:lang w:val="en-US" w:eastAsia="zh-CN"/>
        </w:rPr>
        <w:t>87575800-838</w:t>
      </w:r>
      <w:r>
        <w:rPr>
          <w:rFonts w:hint="eastAsia" w:ascii="宋体" w:hAnsi="宋体" w:cs="宋体"/>
          <w:color w:val="auto"/>
          <w:sz w:val="24"/>
          <w:szCs w:val="22"/>
          <w:highlight w:val="none"/>
        </w:rPr>
        <w:t xml:space="preserve"> </w:t>
      </w:r>
    </w:p>
    <w:p w14:paraId="18724121">
      <w:pPr>
        <w:tabs>
          <w:tab w:val="center" w:pos="4415"/>
        </w:tabs>
        <w:spacing w:line="360" w:lineRule="auto"/>
        <w:ind w:firstLine="480" w:firstLineChars="200"/>
        <w:rPr>
          <w:rFonts w:ascii="宋体" w:hAnsi="宋体" w:cs="宋体"/>
          <w:b/>
          <w:bCs/>
          <w:color w:val="auto"/>
          <w:szCs w:val="32"/>
          <w:highlight w:val="none"/>
        </w:rPr>
      </w:pPr>
      <w:r>
        <w:rPr>
          <w:rFonts w:hint="eastAsia" w:ascii="宋体" w:hAnsi="宋体" w:cs="宋体"/>
          <w:color w:val="auto"/>
          <w:sz w:val="24"/>
          <w:highlight w:val="none"/>
        </w:rPr>
        <w:t>四、建设（服务）地点：</w:t>
      </w:r>
    </w:p>
    <w:p w14:paraId="02512C3F">
      <w:pPr>
        <w:pStyle w:val="2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ascii="宋体" w:hAnsi="宋体" w:cs="宋体"/>
          <w:color w:val="auto"/>
          <w:szCs w:val="22"/>
          <w:highlight w:val="none"/>
        </w:rPr>
      </w:pPr>
      <w:r>
        <w:rPr>
          <w:rFonts w:hint="eastAsia" w:ascii="宋体" w:hAnsi="宋体" w:cs="宋体"/>
          <w:color w:val="auto"/>
          <w:szCs w:val="24"/>
          <w:highlight w:val="none"/>
          <w:u w:val="single"/>
        </w:rPr>
        <w:t>具体建设地址由中标人中标后负责选择，并报招标人审批通过后根据实际情况协商确定</w:t>
      </w:r>
      <w:r>
        <w:rPr>
          <w:rFonts w:hint="eastAsia" w:ascii="宋体" w:hAnsi="宋体" w:cs="宋体"/>
          <w:color w:val="auto"/>
          <w:szCs w:val="22"/>
          <w:highlight w:val="none"/>
        </w:rPr>
        <w:t>。</w:t>
      </w:r>
    </w:p>
    <w:p w14:paraId="715E106E">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highlight w:val="none"/>
        </w:rPr>
        <w:t>五、</w:t>
      </w:r>
      <w:r>
        <w:rPr>
          <w:rFonts w:hint="eastAsia" w:ascii="宋体" w:hAnsi="宋体" w:cs="宋体"/>
          <w:color w:val="auto"/>
          <w:sz w:val="24"/>
          <w:szCs w:val="22"/>
          <w:highlight w:val="none"/>
        </w:rPr>
        <w:t>协议（合同）有效期：</w:t>
      </w:r>
    </w:p>
    <w:p w14:paraId="521E7CC9">
      <w:pPr>
        <w:spacing w:line="360" w:lineRule="auto"/>
        <w:ind w:firstLine="482" w:firstLineChars="200"/>
        <w:rPr>
          <w:rFonts w:ascii="宋体" w:hAnsi="宋体" w:cs="宋体"/>
          <w:color w:val="auto"/>
          <w:sz w:val="24"/>
          <w:szCs w:val="22"/>
          <w:highlight w:val="none"/>
          <w:u w:val="single"/>
        </w:rPr>
      </w:pPr>
      <w:r>
        <w:rPr>
          <w:rFonts w:hint="eastAsia" w:ascii="宋体" w:hAnsi="宋体" w:cs="宋体"/>
          <w:b/>
          <w:bCs/>
          <w:color w:val="auto"/>
          <w:sz w:val="24"/>
          <w:szCs w:val="22"/>
          <w:highlight w:val="none"/>
          <w:u w:val="single"/>
        </w:rPr>
        <w:t>框架协议有效期：自框架协议签订之日起</w:t>
      </w:r>
      <w:r>
        <w:rPr>
          <w:rFonts w:hint="eastAsia" w:ascii="宋体" w:hAnsi="宋体" w:cs="宋体"/>
          <w:b/>
          <w:bCs/>
          <w:color w:val="auto"/>
          <w:sz w:val="24"/>
          <w:szCs w:val="22"/>
          <w:highlight w:val="none"/>
          <w:u w:val="single"/>
          <w:lang w:val="en-US" w:eastAsia="zh-CN"/>
        </w:rPr>
        <w:t>18个月</w:t>
      </w:r>
      <w:r>
        <w:rPr>
          <w:rFonts w:hint="eastAsia" w:ascii="宋体" w:hAnsi="宋体" w:cs="宋体"/>
          <w:color w:val="auto"/>
          <w:sz w:val="24"/>
          <w:szCs w:val="22"/>
          <w:highlight w:val="none"/>
          <w:u w:val="single"/>
        </w:rPr>
        <w:t>。</w:t>
      </w:r>
    </w:p>
    <w:p w14:paraId="445E3B14">
      <w:pPr>
        <w:pStyle w:val="5"/>
        <w:widowControl/>
        <w:spacing w:line="360" w:lineRule="auto"/>
        <w:ind w:firstLine="482"/>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运维合同有效期：自验收合格移交给甲方（或甲方指定的单位）之日起</w:t>
      </w:r>
      <w:r>
        <w:rPr>
          <w:rFonts w:hint="eastAsia" w:ascii="宋体" w:hAnsi="宋体" w:cs="宋体"/>
          <w:b/>
          <w:bCs/>
          <w:color w:val="auto"/>
          <w:sz w:val="24"/>
          <w:szCs w:val="24"/>
          <w:highlight w:val="none"/>
          <w:u w:val="single"/>
          <w:lang w:val="en-US" w:eastAsia="zh-CN"/>
        </w:rPr>
        <w:t>一</w:t>
      </w:r>
      <w:r>
        <w:rPr>
          <w:rFonts w:hint="eastAsia" w:ascii="宋体" w:hAnsi="宋体" w:cs="宋体"/>
          <w:b/>
          <w:bCs/>
          <w:color w:val="auto"/>
          <w:sz w:val="24"/>
          <w:szCs w:val="24"/>
          <w:highlight w:val="none"/>
          <w:u w:val="single"/>
        </w:rPr>
        <w:t>年。</w:t>
      </w:r>
    </w:p>
    <w:p w14:paraId="70C46A4D">
      <w:pPr>
        <w:spacing w:line="360" w:lineRule="auto"/>
        <w:ind w:firstLine="482" w:firstLineChars="200"/>
        <w:rPr>
          <w:rFonts w:ascii="宋体" w:hAnsi="宋体" w:cs="宋体"/>
          <w:b/>
          <w:bCs/>
          <w:color w:val="auto"/>
          <w:sz w:val="24"/>
          <w:highlight w:val="none"/>
          <w:u w:val="single"/>
          <w:lang w:bidi="ar"/>
        </w:rPr>
      </w:pPr>
      <w:r>
        <w:rPr>
          <w:rFonts w:hint="eastAsia" w:ascii="宋体" w:hAnsi="宋体" w:cs="宋体"/>
          <w:b/>
          <w:bCs/>
          <w:color w:val="auto"/>
          <w:sz w:val="24"/>
          <w:highlight w:val="none"/>
          <w:u w:val="single"/>
          <w:lang w:bidi="ar"/>
        </w:rPr>
        <w:t>注：招标人不保证框架协议内所有包含的</w:t>
      </w:r>
      <w:r>
        <w:rPr>
          <w:rFonts w:hint="eastAsia" w:hAnsi="宋体" w:cs="宋体"/>
          <w:b/>
          <w:bCs/>
          <w:color w:val="auto"/>
          <w:sz w:val="24"/>
          <w:highlight w:val="none"/>
        </w:rPr>
        <w:t>装机</w:t>
      </w:r>
      <w:r>
        <w:rPr>
          <w:rFonts w:hint="eastAsia" w:ascii="宋体" w:hAnsi="宋体" w:cs="宋体"/>
          <w:b/>
          <w:bCs/>
          <w:color w:val="auto"/>
          <w:sz w:val="24"/>
          <w:highlight w:val="none"/>
          <w:u w:val="single"/>
          <w:lang w:val="en-US" w:eastAsia="zh-CN" w:bidi="ar"/>
        </w:rPr>
        <w:t>容量</w:t>
      </w:r>
      <w:r>
        <w:rPr>
          <w:rFonts w:hint="eastAsia" w:ascii="宋体" w:hAnsi="宋体" w:cs="宋体"/>
          <w:b/>
          <w:bCs/>
          <w:color w:val="auto"/>
          <w:sz w:val="24"/>
          <w:highlight w:val="none"/>
          <w:u w:val="single"/>
          <w:lang w:bidi="ar"/>
        </w:rPr>
        <w:t>全部实施。要求自</w:t>
      </w:r>
      <w:r>
        <w:rPr>
          <w:rFonts w:hint="eastAsia" w:ascii="宋体" w:hAnsi="宋体" w:cs="宋体"/>
          <w:b/>
          <w:bCs/>
          <w:color w:val="auto"/>
          <w:sz w:val="24"/>
          <w:highlight w:val="none"/>
          <w:u w:val="single"/>
          <w:lang w:eastAsia="zh" w:bidi="ar"/>
        </w:rPr>
        <w:t>合同生效之日起</w:t>
      </w:r>
      <w:r>
        <w:rPr>
          <w:rFonts w:hint="eastAsia" w:ascii="宋体" w:hAnsi="宋体" w:cs="宋体"/>
          <w:b/>
          <w:bCs/>
          <w:color w:val="auto"/>
          <w:sz w:val="24"/>
          <w:highlight w:val="none"/>
          <w:u w:val="single"/>
          <w:lang w:val="en-US" w:eastAsia="zh-CN" w:bidi="ar"/>
        </w:rPr>
        <w:t>六</w:t>
      </w:r>
      <w:r>
        <w:rPr>
          <w:rFonts w:hint="eastAsia" w:ascii="宋体" w:hAnsi="宋体" w:cs="宋体"/>
          <w:b/>
          <w:bCs/>
          <w:color w:val="auto"/>
          <w:sz w:val="24"/>
          <w:highlight w:val="none"/>
          <w:u w:val="single"/>
          <w:lang w:eastAsia="zh" w:bidi="ar"/>
        </w:rPr>
        <w:t>个月内</w:t>
      </w:r>
      <w:r>
        <w:rPr>
          <w:rFonts w:hint="eastAsia" w:ascii="宋体" w:hAnsi="宋体" w:cs="宋体"/>
          <w:b/>
          <w:bCs/>
          <w:color w:val="auto"/>
          <w:sz w:val="24"/>
          <w:highlight w:val="none"/>
          <w:u w:val="single"/>
          <w:lang w:bidi="ar"/>
        </w:rPr>
        <w:t>，乙方</w:t>
      </w:r>
      <w:r>
        <w:rPr>
          <w:rFonts w:hint="eastAsia" w:ascii="宋体" w:hAnsi="宋体" w:cs="宋体"/>
          <w:b/>
          <w:bCs/>
          <w:color w:val="auto"/>
          <w:sz w:val="24"/>
          <w:highlight w:val="none"/>
          <w:u w:val="single"/>
          <w:lang w:eastAsia="zh" w:bidi="ar"/>
        </w:rPr>
        <w:t>应按</w:t>
      </w:r>
      <w:r>
        <w:rPr>
          <w:rFonts w:hint="eastAsia" w:ascii="宋体" w:hAnsi="宋体" w:cs="宋体"/>
          <w:b/>
          <w:bCs/>
          <w:color w:val="auto"/>
          <w:sz w:val="24"/>
          <w:highlight w:val="none"/>
          <w:u w:val="single"/>
          <w:lang w:bidi="ar"/>
        </w:rPr>
        <w:t>甲方</w:t>
      </w:r>
      <w:r>
        <w:rPr>
          <w:rFonts w:hint="eastAsia" w:ascii="宋体" w:hAnsi="宋体" w:cs="宋体"/>
          <w:b/>
          <w:bCs/>
          <w:color w:val="auto"/>
          <w:sz w:val="24"/>
          <w:highlight w:val="none"/>
          <w:u w:val="single"/>
          <w:lang w:eastAsia="zh" w:bidi="ar"/>
        </w:rPr>
        <w:t>要求保质保量建成且移交规模合计不低于</w:t>
      </w:r>
      <w:r>
        <w:rPr>
          <w:rFonts w:hint="eastAsia" w:ascii="宋体" w:hAnsi="宋体" w:cs="宋体"/>
          <w:b/>
          <w:bCs/>
          <w:color w:val="auto"/>
          <w:sz w:val="24"/>
          <w:highlight w:val="none"/>
          <w:u w:val="single"/>
          <w:lang w:eastAsia="zh-CN" w:bidi="ar"/>
        </w:rPr>
        <w:t>2</w:t>
      </w:r>
      <w:r>
        <w:rPr>
          <w:rFonts w:hint="eastAsia" w:ascii="宋体" w:hAnsi="宋体" w:cs="宋体"/>
          <w:b/>
          <w:bCs/>
          <w:color w:val="auto"/>
          <w:sz w:val="24"/>
          <w:highlight w:val="none"/>
          <w:u w:val="single"/>
          <w:lang w:val="en-US" w:eastAsia="zh-CN" w:bidi="ar"/>
        </w:rPr>
        <w:t>0</w:t>
      </w:r>
      <w:r>
        <w:rPr>
          <w:rFonts w:hint="eastAsia" w:ascii="宋体" w:hAnsi="宋体" w:cs="宋体"/>
          <w:b/>
          <w:bCs/>
          <w:color w:val="auto"/>
          <w:sz w:val="24"/>
          <w:highlight w:val="none"/>
          <w:u w:val="single"/>
          <w:lang w:eastAsia="zh" w:bidi="ar"/>
        </w:rPr>
        <w:t>MWp容量的光伏设备集成；合同生效之日起</w:t>
      </w:r>
      <w:r>
        <w:rPr>
          <w:rFonts w:hint="eastAsia" w:ascii="宋体" w:hAnsi="宋体" w:cs="宋体"/>
          <w:b/>
          <w:bCs/>
          <w:color w:val="auto"/>
          <w:sz w:val="24"/>
          <w:highlight w:val="none"/>
          <w:u w:val="single"/>
          <w:lang w:val="en-US" w:eastAsia="zh-CN" w:bidi="ar"/>
        </w:rPr>
        <w:t>九</w:t>
      </w:r>
      <w:r>
        <w:rPr>
          <w:rFonts w:hint="eastAsia" w:ascii="宋体" w:hAnsi="宋体" w:cs="宋体"/>
          <w:b/>
          <w:bCs/>
          <w:color w:val="auto"/>
          <w:sz w:val="24"/>
          <w:highlight w:val="none"/>
          <w:u w:val="single"/>
          <w:lang w:eastAsia="zh" w:bidi="ar"/>
        </w:rPr>
        <w:t>个月内，</w:t>
      </w:r>
      <w:r>
        <w:rPr>
          <w:rFonts w:hint="eastAsia" w:ascii="宋体" w:hAnsi="宋体" w:cs="宋体"/>
          <w:b/>
          <w:bCs/>
          <w:color w:val="auto"/>
          <w:sz w:val="24"/>
          <w:highlight w:val="none"/>
          <w:u w:val="single"/>
          <w:lang w:bidi="ar"/>
        </w:rPr>
        <w:t>乙方</w:t>
      </w:r>
      <w:r>
        <w:rPr>
          <w:rFonts w:hint="eastAsia" w:ascii="宋体" w:hAnsi="宋体" w:cs="宋体"/>
          <w:b/>
          <w:bCs/>
          <w:color w:val="auto"/>
          <w:sz w:val="24"/>
          <w:highlight w:val="none"/>
          <w:u w:val="single"/>
          <w:lang w:eastAsia="zh" w:bidi="ar"/>
        </w:rPr>
        <w:t>应按</w:t>
      </w:r>
      <w:r>
        <w:rPr>
          <w:rFonts w:hint="eastAsia" w:ascii="宋体" w:hAnsi="宋体" w:cs="宋体"/>
          <w:b/>
          <w:bCs/>
          <w:color w:val="auto"/>
          <w:sz w:val="24"/>
          <w:highlight w:val="none"/>
          <w:u w:val="single"/>
          <w:lang w:bidi="ar"/>
        </w:rPr>
        <w:t>甲方</w:t>
      </w:r>
      <w:r>
        <w:rPr>
          <w:rFonts w:hint="eastAsia" w:ascii="宋体" w:hAnsi="宋体" w:cs="宋体"/>
          <w:b/>
          <w:bCs/>
          <w:color w:val="auto"/>
          <w:sz w:val="24"/>
          <w:highlight w:val="none"/>
          <w:u w:val="single"/>
          <w:lang w:eastAsia="zh" w:bidi="ar"/>
        </w:rPr>
        <w:t>要求保质保量建成且移交规模合计不低于</w:t>
      </w:r>
      <w:r>
        <w:rPr>
          <w:rFonts w:hint="eastAsia" w:ascii="宋体" w:hAnsi="宋体" w:cs="宋体"/>
          <w:b/>
          <w:bCs/>
          <w:color w:val="auto"/>
          <w:sz w:val="24"/>
          <w:highlight w:val="none"/>
          <w:u w:val="single"/>
          <w:lang w:eastAsia="zh-CN" w:bidi="ar"/>
        </w:rPr>
        <w:t>5</w:t>
      </w:r>
      <w:r>
        <w:rPr>
          <w:rFonts w:hint="eastAsia" w:ascii="宋体" w:hAnsi="宋体" w:cs="宋体"/>
          <w:b/>
          <w:bCs/>
          <w:color w:val="auto"/>
          <w:sz w:val="24"/>
          <w:highlight w:val="none"/>
          <w:u w:val="single"/>
          <w:lang w:val="en-US" w:eastAsia="zh-CN" w:bidi="ar"/>
        </w:rPr>
        <w:t>0</w:t>
      </w:r>
      <w:r>
        <w:rPr>
          <w:rFonts w:hint="eastAsia" w:ascii="宋体" w:hAnsi="宋体" w:cs="宋体"/>
          <w:b/>
          <w:bCs/>
          <w:color w:val="auto"/>
          <w:sz w:val="24"/>
          <w:highlight w:val="none"/>
          <w:u w:val="single"/>
          <w:lang w:eastAsia="zh" w:bidi="ar"/>
        </w:rPr>
        <w:t>MWp容量的光伏设备集成</w:t>
      </w:r>
      <w:r>
        <w:rPr>
          <w:rFonts w:hint="eastAsia" w:ascii="宋体" w:hAnsi="宋体" w:cs="宋体"/>
          <w:b/>
          <w:bCs/>
          <w:color w:val="auto"/>
          <w:sz w:val="24"/>
          <w:highlight w:val="none"/>
          <w:u w:val="single"/>
          <w:lang w:bidi="ar"/>
        </w:rPr>
        <w:t>，否则甲方有权</w:t>
      </w:r>
      <w:r>
        <w:rPr>
          <w:rFonts w:hint="eastAsia" w:ascii="宋体" w:hAnsi="宋体" w:cs="宋体"/>
          <w:b/>
          <w:bCs/>
          <w:color w:val="auto"/>
          <w:sz w:val="24"/>
          <w:highlight w:val="none"/>
          <w:u w:val="single"/>
          <w:lang w:val="en-US" w:eastAsia="zh-CN" w:bidi="ar"/>
        </w:rPr>
        <w:t>终止</w:t>
      </w:r>
      <w:r>
        <w:rPr>
          <w:rFonts w:hint="eastAsia" w:ascii="宋体" w:hAnsi="宋体" w:cs="宋体"/>
          <w:b/>
          <w:bCs/>
          <w:color w:val="auto"/>
          <w:sz w:val="24"/>
          <w:highlight w:val="none"/>
          <w:u w:val="single"/>
          <w:lang w:bidi="ar"/>
        </w:rPr>
        <w:t>该标段</w:t>
      </w:r>
      <w:r>
        <w:rPr>
          <w:rFonts w:hint="eastAsia" w:ascii="宋体" w:hAnsi="宋体" w:cs="宋体"/>
          <w:b/>
          <w:bCs/>
          <w:color w:val="auto"/>
          <w:sz w:val="24"/>
          <w:highlight w:val="none"/>
          <w:u w:val="single"/>
          <w:lang w:val="en-US" w:eastAsia="zh-CN" w:bidi="ar"/>
        </w:rPr>
        <w:t>合同</w:t>
      </w:r>
      <w:r>
        <w:rPr>
          <w:rFonts w:hint="eastAsia" w:ascii="宋体" w:hAnsi="宋体" w:cs="宋体"/>
          <w:b/>
          <w:bCs/>
          <w:color w:val="auto"/>
          <w:sz w:val="24"/>
          <w:highlight w:val="none"/>
          <w:u w:val="single"/>
          <w:lang w:bidi="ar"/>
        </w:rPr>
        <w:t>。</w:t>
      </w:r>
    </w:p>
    <w:p w14:paraId="17A5EFA8">
      <w:pPr>
        <w:tabs>
          <w:tab w:val="left" w:pos="567"/>
          <w:tab w:val="left" w:pos="735"/>
          <w:tab w:val="left" w:pos="216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rPr>
        <w:t>六、</w:t>
      </w:r>
      <w:r>
        <w:rPr>
          <w:rFonts w:hint="eastAsia" w:ascii="宋体" w:hAnsi="宋体" w:cs="宋体"/>
          <w:color w:val="auto"/>
          <w:sz w:val="24"/>
          <w:highlight w:val="none"/>
        </w:rPr>
        <w:t>标段划分及各标段招标范围、规模：</w:t>
      </w:r>
    </w:p>
    <w:p w14:paraId="4CFD6582">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1.本项目按工程量划分为</w:t>
      </w:r>
      <w:r>
        <w:rPr>
          <w:rFonts w:hint="eastAsia" w:ascii="宋体" w:hAnsi="宋体" w:cs="宋体"/>
          <w:b/>
          <w:bCs/>
          <w:color w:val="auto"/>
          <w:sz w:val="24"/>
          <w:highlight w:val="none"/>
          <w:u w:val="single"/>
          <w:lang w:val="en-US" w:eastAsia="zh-CN"/>
        </w:rPr>
        <w:t>5</w:t>
      </w:r>
      <w:r>
        <w:rPr>
          <w:rFonts w:hint="eastAsia" w:ascii="宋体" w:hAnsi="宋体" w:cs="宋体"/>
          <w:color w:val="auto"/>
          <w:sz w:val="24"/>
          <w:highlight w:val="none"/>
        </w:rPr>
        <w:t>个标段，标段具体划分如下</w:t>
      </w:r>
      <w:r>
        <w:rPr>
          <w:rFonts w:hint="eastAsia" w:ascii="宋体" w:hAnsi="宋体" w:cs="宋体"/>
          <w:b/>
          <w:bCs/>
          <w:color w:val="auto"/>
          <w:sz w:val="24"/>
          <w:highlight w:val="none"/>
        </w:rPr>
        <w:t>：</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3787"/>
        <w:gridCol w:w="2375"/>
      </w:tblGrid>
      <w:tr w14:paraId="687C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5168ECD3">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标段号</w:t>
            </w:r>
          </w:p>
        </w:tc>
        <w:tc>
          <w:tcPr>
            <w:tcW w:w="2049" w:type="pct"/>
            <w:shd w:val="clear" w:color="auto" w:fill="auto"/>
            <w:vAlign w:val="center"/>
          </w:tcPr>
          <w:p w14:paraId="2C64F36B">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预估容量（MW）</w:t>
            </w:r>
          </w:p>
        </w:tc>
        <w:tc>
          <w:tcPr>
            <w:tcW w:w="1285" w:type="pct"/>
            <w:vAlign w:val="center"/>
          </w:tcPr>
          <w:p w14:paraId="0BDA0B99">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备注</w:t>
            </w:r>
          </w:p>
        </w:tc>
      </w:tr>
      <w:tr w14:paraId="27B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0E3E5FE6">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标段一</w:t>
            </w:r>
          </w:p>
        </w:tc>
        <w:tc>
          <w:tcPr>
            <w:tcW w:w="2049" w:type="pct"/>
            <w:vAlign w:val="center"/>
          </w:tcPr>
          <w:p w14:paraId="4C096F61">
            <w:pPr>
              <w:keepNext w:val="0"/>
              <w:keepLines w:val="0"/>
              <w:suppressLineNumbers w:val="0"/>
              <w:snapToGrid w:val="0"/>
              <w:spacing w:before="0" w:beforeAutospacing="0" w:after="0" w:afterAutospacing="0" w:line="240" w:lineRule="auto"/>
              <w:ind w:left="0" w:right="0"/>
              <w:jc w:val="center"/>
              <w:rPr>
                <w:rFonts w:hint="default"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100</w:t>
            </w:r>
          </w:p>
        </w:tc>
        <w:tc>
          <w:tcPr>
            <w:tcW w:w="1285" w:type="pct"/>
          </w:tcPr>
          <w:p w14:paraId="1FC59505">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p>
        </w:tc>
      </w:tr>
      <w:tr w14:paraId="5D3C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6FFC38C9">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rPr>
            </w:pPr>
            <w:r>
              <w:rPr>
                <w:rFonts w:hint="eastAsia" w:ascii="宋体" w:hAnsi="宋体" w:cs="宋体"/>
                <w:b/>
                <w:bCs/>
                <w:color w:val="auto"/>
                <w:sz w:val="24"/>
                <w:highlight w:val="none"/>
                <w:vertAlign w:val="baseline"/>
                <w:lang w:val="en-US" w:eastAsia="zh-CN"/>
              </w:rPr>
              <w:t>标段二</w:t>
            </w:r>
          </w:p>
        </w:tc>
        <w:tc>
          <w:tcPr>
            <w:tcW w:w="3805" w:type="dxa"/>
            <w:vAlign w:val="center"/>
          </w:tcPr>
          <w:p w14:paraId="14CDC969">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100</w:t>
            </w:r>
          </w:p>
        </w:tc>
        <w:tc>
          <w:tcPr>
            <w:tcW w:w="1285" w:type="pct"/>
          </w:tcPr>
          <w:p w14:paraId="22E87405">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p>
        </w:tc>
      </w:tr>
      <w:tr w14:paraId="4091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14A110C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标段三</w:t>
            </w:r>
          </w:p>
        </w:tc>
        <w:tc>
          <w:tcPr>
            <w:tcW w:w="3805" w:type="dxa"/>
            <w:vAlign w:val="center"/>
          </w:tcPr>
          <w:p w14:paraId="2B9AABA3">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100</w:t>
            </w:r>
          </w:p>
        </w:tc>
        <w:tc>
          <w:tcPr>
            <w:tcW w:w="1285" w:type="pct"/>
          </w:tcPr>
          <w:p w14:paraId="3A50E231">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p>
        </w:tc>
      </w:tr>
      <w:tr w14:paraId="153E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3CE5A176">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rPr>
            </w:pPr>
            <w:r>
              <w:rPr>
                <w:rFonts w:hint="eastAsia" w:ascii="宋体" w:hAnsi="宋体" w:cs="宋体"/>
                <w:b/>
                <w:bCs/>
                <w:color w:val="auto"/>
                <w:sz w:val="24"/>
                <w:highlight w:val="none"/>
                <w:vertAlign w:val="baseline"/>
                <w:lang w:val="en-US" w:eastAsia="zh-CN"/>
              </w:rPr>
              <w:t>标段四</w:t>
            </w:r>
          </w:p>
        </w:tc>
        <w:tc>
          <w:tcPr>
            <w:tcW w:w="3805" w:type="dxa"/>
            <w:vAlign w:val="center"/>
          </w:tcPr>
          <w:p w14:paraId="57868FCC">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100</w:t>
            </w:r>
          </w:p>
        </w:tc>
        <w:tc>
          <w:tcPr>
            <w:tcW w:w="1285" w:type="pct"/>
          </w:tcPr>
          <w:p w14:paraId="33530656">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p>
        </w:tc>
      </w:tr>
      <w:tr w14:paraId="407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5" w:type="pct"/>
            <w:vAlign w:val="center"/>
          </w:tcPr>
          <w:p w14:paraId="56827D19">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rPr>
            </w:pPr>
            <w:r>
              <w:rPr>
                <w:rFonts w:hint="eastAsia" w:ascii="宋体" w:hAnsi="宋体" w:cs="宋体"/>
                <w:b/>
                <w:bCs/>
                <w:color w:val="auto"/>
                <w:sz w:val="24"/>
                <w:highlight w:val="none"/>
                <w:vertAlign w:val="baseline"/>
                <w:lang w:val="en-US" w:eastAsia="zh-CN"/>
              </w:rPr>
              <w:t>标段五</w:t>
            </w:r>
          </w:p>
        </w:tc>
        <w:tc>
          <w:tcPr>
            <w:tcW w:w="3805" w:type="dxa"/>
            <w:vAlign w:val="center"/>
          </w:tcPr>
          <w:p w14:paraId="6531822A">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100</w:t>
            </w:r>
          </w:p>
        </w:tc>
        <w:tc>
          <w:tcPr>
            <w:tcW w:w="1285" w:type="pct"/>
          </w:tcPr>
          <w:p w14:paraId="7F60A696">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sz w:val="24"/>
                <w:highlight w:val="none"/>
                <w:vertAlign w:val="baseline"/>
                <w:lang w:val="en-US" w:eastAsia="zh-CN"/>
              </w:rPr>
            </w:pPr>
          </w:p>
        </w:tc>
      </w:tr>
    </w:tbl>
    <w:p w14:paraId="51BE3EB9">
      <w:pPr>
        <w:pStyle w:val="11"/>
        <w:spacing w:line="360" w:lineRule="auto"/>
        <w:ind w:firstLine="480" w:firstLineChars="0"/>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注：</w:t>
      </w:r>
      <w:r>
        <w:rPr>
          <w:rFonts w:hint="eastAsia" w:hAnsi="宋体" w:cs="宋体"/>
          <w:b/>
          <w:bCs/>
          <w:color w:val="auto"/>
          <w:sz w:val="24"/>
          <w:highlight w:val="none"/>
          <w:lang w:val="en-US" w:eastAsia="zh"/>
        </w:rPr>
        <w:t>①</w:t>
      </w:r>
      <w:r>
        <w:rPr>
          <w:rFonts w:hint="eastAsia" w:hAnsi="宋体" w:cs="宋体"/>
          <w:b/>
          <w:bCs/>
          <w:color w:val="auto"/>
          <w:sz w:val="24"/>
          <w:highlight w:val="none"/>
          <w:lang w:val="en-US" w:eastAsia="zh-CN"/>
        </w:rPr>
        <w:t>框架协议期届满或</w:t>
      </w:r>
      <w:r>
        <w:rPr>
          <w:rFonts w:hint="eastAsia" w:hAnsi="宋体" w:cs="宋体"/>
          <w:b/>
          <w:bCs/>
          <w:color w:val="auto"/>
          <w:sz w:val="24"/>
          <w:highlight w:val="none"/>
          <w:lang w:val="en-US" w:eastAsia="zh"/>
        </w:rPr>
        <w:t>框架协议期内各标</w:t>
      </w:r>
      <w:r>
        <w:rPr>
          <w:rFonts w:hint="eastAsia" w:hAnsi="宋体" w:cs="宋体"/>
          <w:b/>
          <w:bCs/>
          <w:color w:val="auto"/>
          <w:sz w:val="24"/>
          <w:highlight w:val="none"/>
          <w:lang w:val="en-US" w:eastAsia="zh-CN"/>
        </w:rPr>
        <w:t>段</w:t>
      </w:r>
      <w:r>
        <w:rPr>
          <w:rFonts w:hint="eastAsia" w:hAnsi="宋体" w:cs="宋体"/>
          <w:b/>
          <w:bCs/>
          <w:color w:val="auto"/>
          <w:sz w:val="24"/>
          <w:highlight w:val="none"/>
          <w:lang w:val="en-US" w:eastAsia="zh"/>
        </w:rPr>
        <w:t>中标人实际工程量达到标包预估容量时，即终止该</w:t>
      </w:r>
      <w:r>
        <w:rPr>
          <w:rFonts w:hint="eastAsia" w:hAnsi="宋体" w:cs="宋体"/>
          <w:b/>
          <w:bCs/>
          <w:color w:val="auto"/>
          <w:sz w:val="24"/>
          <w:highlight w:val="none"/>
          <w:lang w:val="en-US" w:eastAsia="zh-CN"/>
        </w:rPr>
        <w:t>标段</w:t>
      </w:r>
      <w:r>
        <w:rPr>
          <w:rFonts w:hint="eastAsia" w:hAnsi="宋体" w:cs="宋体"/>
          <w:b/>
          <w:bCs/>
          <w:color w:val="auto"/>
          <w:sz w:val="24"/>
          <w:highlight w:val="none"/>
          <w:lang w:val="en-US" w:eastAsia="zh"/>
        </w:rPr>
        <w:t>中标人的框架协议。</w:t>
      </w:r>
    </w:p>
    <w:p w14:paraId="1AF8AA5A">
      <w:pPr>
        <w:pStyle w:val="11"/>
        <w:spacing w:line="360" w:lineRule="auto"/>
        <w:ind w:firstLine="480" w:firstLineChars="0"/>
        <w:rPr>
          <w:rFonts w:hint="eastAsia" w:hAnsi="宋体" w:cs="宋体"/>
          <w:b/>
          <w:bCs/>
          <w:color w:val="auto"/>
          <w:sz w:val="24"/>
          <w:highlight w:val="none"/>
          <w:lang w:val="en-US" w:eastAsia="zh-CN"/>
        </w:rPr>
      </w:pPr>
      <w:r>
        <w:rPr>
          <w:rFonts w:hint="eastAsia" w:hAnsi="宋体" w:cs="宋体"/>
          <w:b/>
          <w:bCs/>
          <w:color w:val="auto"/>
          <w:sz w:val="24"/>
          <w:highlight w:val="none"/>
          <w:lang w:val="en-US" w:eastAsia="zh"/>
        </w:rPr>
        <w:t>②</w:t>
      </w:r>
      <w:r>
        <w:rPr>
          <w:rFonts w:hint="eastAsia" w:hAnsi="宋体" w:cs="宋体"/>
          <w:b/>
          <w:bCs/>
          <w:color w:val="auto"/>
          <w:sz w:val="24"/>
          <w:highlight w:val="none"/>
          <w:lang w:val="en-US" w:eastAsia="zh-CN"/>
        </w:rPr>
        <w:t>本项目共五个标段，允许同一个投标人最多中标其中1个标段（除某标段第一中标候选人放弃或被取消中标资格的情形外），即同一个投标人按标段顺序最多仅能被推荐为本项目1个标段的第一中标候选人，具体详见评标办法。</w:t>
      </w:r>
    </w:p>
    <w:p w14:paraId="760E29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2.招标范围、规模：</w:t>
      </w:r>
    </w:p>
    <w:p w14:paraId="681CC209">
      <w:pPr>
        <w:pStyle w:val="22"/>
        <w:numPr>
          <w:ilvl w:val="0"/>
          <w:numId w:val="0"/>
        </w:numPr>
        <w:spacing w:line="360" w:lineRule="auto"/>
        <w:ind w:left="0" w:leftChars="0" w:firstLine="480" w:firstLineChars="200"/>
        <w:rPr>
          <w:rFonts w:ascii="宋体" w:hAnsi="宋体" w:cs="宋体"/>
          <w:color w:val="auto"/>
          <w:highlight w:val="none"/>
        </w:rPr>
      </w:pPr>
      <w:r>
        <w:rPr>
          <w:rFonts w:ascii="宋体" w:hAnsi="宋体" w:cs="宋体"/>
          <w:color w:val="auto"/>
          <w:highlight w:val="none"/>
        </w:rPr>
        <w:t>2.1.1招标范围：</w:t>
      </w:r>
    </w:p>
    <w:p w14:paraId="2F061D72">
      <w:pPr>
        <w:pStyle w:val="22"/>
        <w:numPr>
          <w:ilvl w:val="0"/>
          <w:numId w:val="0"/>
        </w:numPr>
        <w:spacing w:line="360" w:lineRule="auto"/>
        <w:ind w:left="0" w:leftChars="0" w:firstLine="480" w:firstLineChars="200"/>
        <w:rPr>
          <w:rFonts w:ascii="宋体" w:hAnsi="宋体" w:cs="宋体"/>
          <w:b w:val="0"/>
          <w:bCs w:val="0"/>
          <w:color w:val="auto"/>
          <w:highlight w:val="none"/>
        </w:rPr>
      </w:pPr>
      <w:r>
        <w:rPr>
          <w:rFonts w:hint="eastAsia" w:ascii="宋体" w:hAnsi="宋体" w:cs="宋体"/>
          <w:b w:val="0"/>
          <w:bCs w:val="0"/>
          <w:color w:val="auto"/>
          <w:highlight w:val="none"/>
        </w:rPr>
        <w:t>包括但不限于光伏组件、逆变器、支架、电缆、配电设备采购、设备安装、调试及试运行及相关服务（相关服务包含但不限于：中标人负责收集项目信息并报招标人审核确定、协助招标人与农户</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工商业厂房</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rPr>
        <w:t>公共建筑物</w:t>
      </w:r>
      <w:r>
        <w:rPr>
          <w:rFonts w:hint="eastAsia" w:ascii="宋体" w:hAnsi="宋体" w:cs="宋体"/>
          <w:b w:val="0"/>
          <w:bCs w:val="0"/>
          <w:color w:val="auto"/>
          <w:sz w:val="24"/>
          <w:szCs w:val="28"/>
          <w:highlight w:val="none"/>
        </w:rPr>
        <w:t>及闲置公共场地</w:t>
      </w:r>
      <w:r>
        <w:rPr>
          <w:rFonts w:hint="eastAsia" w:ascii="宋体" w:hAnsi="宋体" w:cs="宋体"/>
          <w:b w:val="0"/>
          <w:bCs w:val="0"/>
          <w:color w:val="auto"/>
          <w:highlight w:val="none"/>
        </w:rPr>
        <w:t>产权人签订租赁协议、项目落地后设备的生产、运输、保管、装卸、安装调试、验收及为保证具体项目能正常投运发电所必须的其他相关的一切服务等）等以及首年运维工作</w:t>
      </w:r>
      <w:r>
        <w:rPr>
          <w:rFonts w:hint="eastAsia" w:ascii="宋体" w:hAnsi="宋体" w:cs="宋体"/>
          <w:b w:val="0"/>
          <w:bCs w:val="0"/>
          <w:color w:val="auto"/>
          <w:highlight w:val="none"/>
          <w:lang w:eastAsia="zh"/>
        </w:rPr>
        <w:t>，并承担全部相关费用</w:t>
      </w:r>
      <w:r>
        <w:rPr>
          <w:rFonts w:hint="eastAsia" w:ascii="宋体" w:hAnsi="宋体" w:cs="宋体"/>
          <w:b w:val="0"/>
          <w:bCs w:val="0"/>
          <w:color w:val="auto"/>
          <w:highlight w:val="none"/>
        </w:rPr>
        <w:t>。</w:t>
      </w:r>
    </w:p>
    <w:p w14:paraId="23C461F3">
      <w:pPr>
        <w:pStyle w:val="22"/>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highlight w:val="none"/>
        </w:rPr>
        <w:t>具体要求详见招标文件附件。</w:t>
      </w:r>
    </w:p>
    <w:p w14:paraId="0BEC2263">
      <w:pPr>
        <w:pStyle w:val="22"/>
        <w:spacing w:line="360" w:lineRule="auto"/>
        <w:ind w:firstLine="482" w:firstLineChars="200"/>
        <w:rPr>
          <w:rFonts w:ascii="宋体" w:hAnsi="宋体" w:cs="宋体"/>
          <w:b/>
          <w:bCs/>
          <w:color w:val="auto"/>
          <w:sz w:val="24"/>
          <w:highlight w:val="none"/>
        </w:rPr>
      </w:pPr>
      <w:r>
        <w:rPr>
          <w:rFonts w:ascii="宋体" w:hAnsi="宋体" w:cs="宋体"/>
          <w:b/>
          <w:bCs/>
          <w:color w:val="auto"/>
          <w:highlight w:val="none"/>
        </w:rPr>
        <w:t>2.1.2招标规模：</w:t>
      </w:r>
    </w:p>
    <w:p w14:paraId="0C549A7C">
      <w:pPr>
        <w:pStyle w:val="22"/>
        <w:numPr>
          <w:ilvl w:val="0"/>
          <w:numId w:val="0"/>
        </w:numPr>
        <w:ind w:firstLine="482"/>
        <w:rPr>
          <w:rFonts w:ascii="宋体" w:hAnsi="宋体" w:cs="宋体"/>
          <w:color w:val="auto"/>
          <w:highlight w:val="none"/>
        </w:rPr>
      </w:pPr>
      <w:r>
        <w:rPr>
          <w:rFonts w:hint="eastAsia" w:ascii="宋体" w:hAnsi="宋体" w:cs="宋体"/>
          <w:b w:val="0"/>
          <w:bCs w:val="0"/>
          <w:color w:val="auto"/>
          <w:highlight w:val="none"/>
          <w:lang w:eastAsia="zh"/>
        </w:rPr>
        <w:t>广州发展新能源集团股份有限公司</w:t>
      </w:r>
      <w:r>
        <w:rPr>
          <w:rFonts w:hint="eastAsia" w:ascii="宋体" w:hAnsi="宋体" w:cs="宋体"/>
          <w:b w:val="0"/>
          <w:bCs w:val="0"/>
          <w:color w:val="auto"/>
          <w:highlight w:val="none"/>
        </w:rPr>
        <w:t>及其下属公司开发的广州市内区域的</w:t>
      </w:r>
      <w:r>
        <w:rPr>
          <w:rFonts w:hint="eastAsia" w:ascii="宋体" w:hAnsi="宋体" w:cs="宋体"/>
          <w:b w:val="0"/>
          <w:bCs w:val="0"/>
          <w:color w:val="auto"/>
          <w:highlight w:val="none"/>
          <w:lang w:val="en-US" w:eastAsia="zh-CN"/>
        </w:rPr>
        <w:t>小微</w:t>
      </w:r>
      <w:r>
        <w:rPr>
          <w:rFonts w:hint="eastAsia" w:ascii="宋体" w:hAnsi="宋体" w:cs="宋体"/>
          <w:b w:val="0"/>
          <w:bCs w:val="0"/>
          <w:color w:val="auto"/>
          <w:highlight w:val="none"/>
        </w:rPr>
        <w:t>分布式光伏项目</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单个项目1MWp以下规模</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rPr>
        <w:t>的</w:t>
      </w:r>
      <w:r>
        <w:rPr>
          <w:rFonts w:hint="eastAsia" w:ascii="宋体" w:hAnsi="宋体" w:cs="宋体"/>
          <w:color w:val="auto"/>
          <w:highlight w:val="none"/>
        </w:rPr>
        <w:t>设备采购、安装及运维服务，利用以上所辖区域现有农户屋顶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工商业厂房</w:t>
      </w:r>
      <w:r>
        <w:rPr>
          <w:rFonts w:hint="eastAsia" w:ascii="宋体" w:hAnsi="宋体" w:cs="宋体"/>
          <w:color w:val="auto"/>
          <w:highlight w:val="none"/>
          <w:lang w:eastAsia="zh-CN"/>
        </w:rPr>
        <w:t>、</w:t>
      </w:r>
      <w:r>
        <w:rPr>
          <w:rFonts w:hint="eastAsia" w:ascii="宋体" w:hAnsi="宋体" w:cs="宋体"/>
          <w:color w:val="auto"/>
          <w:highlight w:val="none"/>
        </w:rPr>
        <w:t>公共建筑物</w:t>
      </w:r>
      <w:r>
        <w:rPr>
          <w:rFonts w:hint="eastAsia" w:ascii="宋体" w:hAnsi="宋体" w:cs="宋体"/>
          <w:b w:val="0"/>
          <w:bCs w:val="0"/>
          <w:color w:val="auto"/>
          <w:sz w:val="24"/>
          <w:szCs w:val="28"/>
          <w:highlight w:val="none"/>
        </w:rPr>
        <w:t>及闲置公共场地</w:t>
      </w:r>
      <w:r>
        <w:rPr>
          <w:rFonts w:hint="eastAsia" w:ascii="宋体" w:hAnsi="宋体" w:cs="宋体"/>
          <w:color w:val="auto"/>
          <w:highlight w:val="none"/>
        </w:rPr>
        <w:t>开发</w:t>
      </w:r>
      <w:r>
        <w:rPr>
          <w:rFonts w:hint="eastAsia" w:ascii="宋体" w:hAnsi="宋体" w:cs="宋体"/>
          <w:color w:val="auto"/>
          <w:highlight w:val="none"/>
          <w:lang w:val="en-US" w:eastAsia="zh-CN"/>
        </w:rPr>
        <w:t>小微</w:t>
      </w:r>
      <w:r>
        <w:rPr>
          <w:rFonts w:hint="eastAsia" w:ascii="宋体" w:hAnsi="宋体" w:cs="宋体"/>
          <w:color w:val="auto"/>
          <w:highlight w:val="none"/>
        </w:rPr>
        <w:t>分布式光伏项目。</w:t>
      </w:r>
    </w:p>
    <w:p w14:paraId="7C17F06D">
      <w:pPr>
        <w:numPr>
          <w:ilvl w:val="0"/>
          <w:numId w:val="1"/>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计划工期：</w:t>
      </w:r>
    </w:p>
    <w:p w14:paraId="75EBE580">
      <w:pPr>
        <w:numPr>
          <w:ilvl w:val="0"/>
          <w:numId w:val="0"/>
        </w:numPr>
        <w:spacing w:line="360" w:lineRule="auto"/>
        <w:ind w:left="466"/>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由中标人根据项目实际建设期限需要设定</w:t>
      </w:r>
      <w:r>
        <w:rPr>
          <w:rFonts w:hint="eastAsia" w:ascii="宋体" w:hAnsi="宋体" w:cs="宋体"/>
          <w:b/>
          <w:bCs/>
          <w:color w:val="auto"/>
          <w:sz w:val="24"/>
          <w:highlight w:val="none"/>
          <w:lang w:eastAsia="zh-CN"/>
        </w:rPr>
        <w:t>。</w:t>
      </w:r>
    </w:p>
    <w:p w14:paraId="4F0E2E08">
      <w:pPr>
        <w:numPr>
          <w:ilvl w:val="0"/>
          <w:numId w:val="2"/>
        </w:numPr>
        <w:tabs>
          <w:tab w:val="clear" w:pos="312"/>
        </w:tabs>
        <w:adjustRightInd w:val="0"/>
        <w:snapToGrid w:val="0"/>
        <w:spacing w:line="360"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其他要求：</w:t>
      </w:r>
    </w:p>
    <w:p w14:paraId="6E6FAB2C">
      <w:pPr>
        <w:numPr>
          <w:ilvl w:val="0"/>
          <w:numId w:val="0"/>
        </w:numPr>
        <w:adjustRightInd w:val="0"/>
        <w:snapToGrid w:val="0"/>
        <w:spacing w:line="36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4.1.1本次招标为框架协议招标。各投标人因招投标过程中，产生的各项成本由各投标人自行承担，若各投标人参与本次招投标活动，视为已承诺自愿承担本次招投标过程中产生的各项费用。</w:t>
      </w:r>
    </w:p>
    <w:p w14:paraId="530BC9FC">
      <w:pPr>
        <w:numPr>
          <w:ilvl w:val="0"/>
          <w:numId w:val="0"/>
        </w:numPr>
        <w:adjustRightInd w:val="0"/>
        <w:snapToGrid w:val="0"/>
        <w:spacing w:line="36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4.1.2中标人需保证承租的农户屋顶、</w:t>
      </w:r>
      <w:r>
        <w:rPr>
          <w:rFonts w:hint="eastAsia" w:ascii="宋体" w:hAnsi="宋体" w:cs="宋体"/>
          <w:b/>
          <w:bCs/>
          <w:color w:val="auto"/>
          <w:sz w:val="24"/>
          <w:szCs w:val="22"/>
          <w:highlight w:val="none"/>
          <w:lang w:val="en-US" w:eastAsia="zh-CN"/>
        </w:rPr>
        <w:t>工商业厂房</w:t>
      </w: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rPr>
        <w:t>公共建筑物及闲置公共场地不存在任何权属纠纷，未出售、出租给第三人、未设置抵押等第三方权利且未与任何第三人签订任何有损发包人使用权或任何影响发包人正常经营的协议。保证发包人合法使用农户屋顶</w:t>
      </w:r>
      <w:r>
        <w:rPr>
          <w:rFonts w:hint="eastAsia" w:ascii="宋体" w:hAnsi="宋体" w:cs="宋体"/>
          <w:b/>
          <w:bCs/>
          <w:color w:val="auto"/>
          <w:sz w:val="24"/>
          <w:szCs w:val="22"/>
          <w:highlight w:val="none"/>
          <w:lang w:eastAsia="zh"/>
        </w:rPr>
        <w:t>、</w:t>
      </w:r>
      <w:r>
        <w:rPr>
          <w:rFonts w:hint="eastAsia" w:ascii="宋体" w:hAnsi="宋体" w:cs="宋体"/>
          <w:b/>
          <w:bCs/>
          <w:color w:val="auto"/>
          <w:sz w:val="24"/>
          <w:szCs w:val="22"/>
          <w:highlight w:val="none"/>
          <w:lang w:val="en-US" w:eastAsia="zh-CN"/>
        </w:rPr>
        <w:t>工商业厂房</w:t>
      </w: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eastAsia="zh"/>
        </w:rPr>
        <w:t>公共建筑物</w:t>
      </w:r>
      <w:r>
        <w:rPr>
          <w:rFonts w:hint="eastAsia" w:ascii="宋体" w:hAnsi="宋体" w:cs="宋体"/>
          <w:b/>
          <w:bCs/>
          <w:color w:val="auto"/>
          <w:sz w:val="24"/>
          <w:szCs w:val="22"/>
          <w:highlight w:val="none"/>
        </w:rPr>
        <w:t>及闲置公共场地，因农户屋顶</w:t>
      </w:r>
      <w:r>
        <w:rPr>
          <w:rFonts w:hint="eastAsia" w:ascii="宋体" w:hAnsi="宋体" w:cs="宋体"/>
          <w:b/>
          <w:bCs/>
          <w:color w:val="auto"/>
          <w:sz w:val="24"/>
          <w:szCs w:val="22"/>
          <w:highlight w:val="none"/>
          <w:lang w:eastAsia="zh"/>
        </w:rPr>
        <w:t>、</w:t>
      </w:r>
      <w:r>
        <w:rPr>
          <w:rFonts w:hint="eastAsia" w:ascii="宋体" w:hAnsi="宋体" w:cs="宋体"/>
          <w:b/>
          <w:bCs/>
          <w:color w:val="auto"/>
          <w:sz w:val="24"/>
          <w:szCs w:val="22"/>
          <w:highlight w:val="none"/>
          <w:lang w:val="en-US" w:eastAsia="zh-CN"/>
        </w:rPr>
        <w:t>工商业厂房</w:t>
      </w: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eastAsia="zh"/>
        </w:rPr>
        <w:t>公共建筑物</w:t>
      </w:r>
      <w:r>
        <w:rPr>
          <w:rFonts w:hint="eastAsia" w:ascii="宋体" w:hAnsi="宋体" w:cs="宋体"/>
          <w:b/>
          <w:bCs/>
          <w:color w:val="auto"/>
          <w:sz w:val="24"/>
          <w:szCs w:val="22"/>
          <w:highlight w:val="none"/>
        </w:rPr>
        <w:t>及闲置公共场地出现问题影响发包人开发建设</w:t>
      </w:r>
      <w:r>
        <w:rPr>
          <w:rFonts w:hint="eastAsia" w:ascii="宋体" w:hAnsi="宋体" w:cs="宋体"/>
          <w:b/>
          <w:bCs/>
          <w:color w:val="auto"/>
          <w:sz w:val="24"/>
          <w:szCs w:val="22"/>
          <w:highlight w:val="none"/>
          <w:lang w:val="en-US" w:eastAsia="zh-CN"/>
        </w:rPr>
        <w:t>小微</w:t>
      </w:r>
      <w:r>
        <w:rPr>
          <w:rFonts w:hint="eastAsia" w:ascii="宋体" w:hAnsi="宋体" w:cs="宋体"/>
          <w:b/>
          <w:bCs/>
          <w:color w:val="auto"/>
          <w:sz w:val="24"/>
          <w:szCs w:val="22"/>
          <w:highlight w:val="none"/>
        </w:rPr>
        <w:t>分布式光伏项目的，由中标人承担全部责任。</w:t>
      </w:r>
    </w:p>
    <w:p w14:paraId="4E1CBB78">
      <w:pPr>
        <w:pStyle w:val="16"/>
        <w:spacing w:line="360" w:lineRule="auto"/>
        <w:rPr>
          <w:rFonts w:ascii="宋体" w:hAnsi="宋体" w:cs="宋体"/>
          <w:color w:val="auto"/>
          <w:highlight w:val="none"/>
        </w:rPr>
      </w:pPr>
      <w:r>
        <w:rPr>
          <w:rFonts w:hint="eastAsia" w:ascii="宋体" w:hAnsi="宋体" w:cs="宋体"/>
          <w:b/>
          <w:bCs/>
          <w:color w:val="auto"/>
          <w:sz w:val="24"/>
          <w:highlight w:val="none"/>
        </w:rPr>
        <w:t>具体要求详见招标文件附件。</w:t>
      </w:r>
    </w:p>
    <w:p w14:paraId="5661A232">
      <w:pPr>
        <w:numPr>
          <w:ilvl w:val="0"/>
          <w:numId w:val="3"/>
        </w:numPr>
        <w:adjustRightInd w:val="0"/>
        <w:snapToGrid w:val="0"/>
        <w:spacing w:line="360" w:lineRule="auto"/>
        <w:ind w:firstLine="482" w:firstLineChars="200"/>
        <w:rPr>
          <w:rFonts w:ascii="宋体" w:hAnsi="宋体" w:cs="宋体"/>
          <w:color w:val="auto"/>
          <w:highlight w:val="none"/>
        </w:rPr>
      </w:pPr>
      <w:r>
        <w:rPr>
          <w:rFonts w:hint="eastAsia" w:ascii="宋体" w:hAnsi="宋体" w:cs="宋体"/>
          <w:b/>
          <w:bCs/>
          <w:color w:val="auto"/>
          <w:sz w:val="24"/>
          <w:szCs w:val="22"/>
          <w:highlight w:val="none"/>
        </w:rPr>
        <w:t>投标人资格要求（所有标段均适用）：</w:t>
      </w:r>
    </w:p>
    <w:p w14:paraId="03F74541">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1.投标人参加投标的意思表达清楚，投标人代表被授权有效。</w:t>
      </w:r>
    </w:p>
    <w:p w14:paraId="167DA20C">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2.投标人为依法设立的法人或其他组织，持有工商行政（市场监督）管理部门核发的法人营业执照，按国家法律经营。</w:t>
      </w:r>
    </w:p>
    <w:p w14:paraId="4AFDD0A5">
      <w:pPr>
        <w:widowControl/>
        <w:snapToGrid w:val="0"/>
        <w:spacing w:line="360" w:lineRule="auto"/>
        <w:ind w:firstLine="480" w:firstLineChars="200"/>
        <w:jc w:val="left"/>
        <w:rPr>
          <w:rFonts w:hint="eastAsia" w:ascii="宋体" w:hAnsi="宋体" w:eastAsia="宋体" w:cs="宋体"/>
          <w:color w:val="auto"/>
          <w:sz w:val="24"/>
          <w:szCs w:val="22"/>
          <w:highlight w:val="none"/>
          <w:lang w:val="en-US" w:eastAsia="zh-CN" w:bidi="ar"/>
        </w:rPr>
      </w:pPr>
      <w:r>
        <w:rPr>
          <w:rFonts w:hint="eastAsia" w:ascii="宋体" w:hAnsi="宋体" w:cs="宋体"/>
          <w:color w:val="auto"/>
          <w:sz w:val="24"/>
          <w:szCs w:val="22"/>
          <w:highlight w:val="none"/>
          <w:lang w:bidi="ar"/>
        </w:rPr>
        <w:t>3.</w:t>
      </w:r>
      <w:r>
        <w:rPr>
          <w:rFonts w:hint="eastAsia" w:ascii="宋体" w:hAnsi="宋体" w:cs="宋体"/>
          <w:color w:val="auto"/>
          <w:sz w:val="24"/>
          <w:szCs w:val="22"/>
          <w:highlight w:val="none"/>
          <w:lang w:val="en-US" w:eastAsia="zh-CN" w:bidi="ar"/>
        </w:rPr>
        <w:t>投标人</w:t>
      </w:r>
      <w:r>
        <w:rPr>
          <w:rFonts w:hint="eastAsia" w:ascii="宋体" w:hAnsi="宋体" w:cs="宋体"/>
          <w:color w:val="auto"/>
          <w:sz w:val="24"/>
          <w:szCs w:val="22"/>
          <w:highlight w:val="none"/>
          <w:lang w:bidi="ar"/>
        </w:rPr>
        <w:t>（若为联合体投标，指联合体</w:t>
      </w:r>
      <w:r>
        <w:rPr>
          <w:rFonts w:hint="eastAsia" w:ascii="宋体" w:hAnsi="宋体" w:cs="宋体"/>
          <w:color w:val="auto"/>
          <w:sz w:val="24"/>
          <w:szCs w:val="22"/>
          <w:highlight w:val="none"/>
          <w:lang w:val="en-US" w:eastAsia="zh-CN" w:bidi="ar"/>
        </w:rPr>
        <w:t>中承担设计任务方</w:t>
      </w:r>
      <w:r>
        <w:rPr>
          <w:rFonts w:hint="eastAsia" w:ascii="宋体" w:hAnsi="宋体" w:cs="宋体"/>
          <w:color w:val="auto"/>
          <w:sz w:val="24"/>
          <w:szCs w:val="22"/>
          <w:highlight w:val="none"/>
          <w:lang w:bidi="ar"/>
        </w:rPr>
        <w:t>）具有工程设计综合甲级资质，或工程设计电力行业乙级或以上资质，或工程设计电力行业（新能源）专业乙级</w:t>
      </w:r>
      <w:r>
        <w:rPr>
          <w:rFonts w:hint="eastAsia" w:ascii="宋体" w:hAnsi="宋体" w:cs="宋体"/>
          <w:color w:val="auto"/>
          <w:sz w:val="24"/>
          <w:szCs w:val="22"/>
          <w:highlight w:val="none"/>
          <w:lang w:eastAsia="zh-CN" w:bidi="ar"/>
        </w:rPr>
        <w:t>。</w:t>
      </w:r>
    </w:p>
    <w:p w14:paraId="1A90EAEA">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4.投标人</w:t>
      </w:r>
      <w:r>
        <w:rPr>
          <w:rFonts w:hint="eastAsia" w:ascii="宋体" w:hAnsi="宋体" w:cs="宋体"/>
          <w:color w:val="auto"/>
          <w:sz w:val="24"/>
          <w:szCs w:val="22"/>
          <w:highlight w:val="none"/>
          <w:lang w:bidi="ar"/>
        </w:rPr>
        <w:t>（若为联合体投标，指联合体</w:t>
      </w:r>
      <w:r>
        <w:rPr>
          <w:rFonts w:hint="eastAsia" w:ascii="宋体" w:hAnsi="宋体" w:cs="宋体"/>
          <w:color w:val="auto"/>
          <w:sz w:val="24"/>
          <w:szCs w:val="22"/>
          <w:highlight w:val="none"/>
          <w:lang w:val="en-US" w:eastAsia="zh-CN" w:bidi="ar"/>
        </w:rPr>
        <w:t>中任何一方</w:t>
      </w:r>
      <w:r>
        <w:rPr>
          <w:rFonts w:hint="eastAsia" w:ascii="宋体" w:hAnsi="宋体" w:cs="宋体"/>
          <w:color w:val="auto"/>
          <w:sz w:val="24"/>
          <w:szCs w:val="22"/>
          <w:highlight w:val="none"/>
          <w:lang w:bidi="ar"/>
        </w:rPr>
        <w:t>）自2021年1月1日起至投标截止日期前，至少有一个国内已投运的单项</w:t>
      </w:r>
      <w:r>
        <w:rPr>
          <w:rFonts w:hint="eastAsia" w:ascii="宋体" w:hAnsi="宋体" w:cs="宋体"/>
          <w:color w:val="auto"/>
          <w:sz w:val="24"/>
          <w:szCs w:val="22"/>
          <w:highlight w:val="none"/>
          <w:lang w:val="en-US" w:eastAsia="zh-CN" w:bidi="ar"/>
        </w:rPr>
        <w:t>合同</w:t>
      </w:r>
      <w:r>
        <w:rPr>
          <w:rFonts w:hint="eastAsia" w:ascii="宋体" w:hAnsi="宋体" w:cs="宋体"/>
          <w:color w:val="auto"/>
          <w:sz w:val="24"/>
          <w:szCs w:val="22"/>
          <w:highlight w:val="none"/>
          <w:lang w:eastAsia="zh" w:bidi="ar"/>
        </w:rPr>
        <w:t>装机</w:t>
      </w:r>
      <w:r>
        <w:rPr>
          <w:rFonts w:hint="eastAsia" w:ascii="宋体" w:hAnsi="宋体" w:cs="宋体"/>
          <w:color w:val="auto"/>
          <w:sz w:val="24"/>
          <w:szCs w:val="22"/>
          <w:highlight w:val="none"/>
          <w:lang w:bidi="ar"/>
        </w:rPr>
        <w:t>容量不低于</w:t>
      </w:r>
      <w:r>
        <w:rPr>
          <w:rFonts w:hint="default" w:ascii="宋体" w:hAnsi="宋体" w:cs="宋体"/>
          <w:color w:val="auto"/>
          <w:sz w:val="24"/>
          <w:szCs w:val="22"/>
          <w:highlight w:val="none"/>
          <w:lang w:val="en-US" w:bidi="ar"/>
        </w:rPr>
        <w:t>12</w:t>
      </w:r>
      <w:r>
        <w:rPr>
          <w:rFonts w:hint="eastAsia" w:ascii="宋体" w:hAnsi="宋体" w:cs="宋体"/>
          <w:color w:val="auto"/>
          <w:sz w:val="24"/>
          <w:szCs w:val="22"/>
          <w:highlight w:val="none"/>
          <w:lang w:bidi="ar"/>
        </w:rPr>
        <w:t>MWp的类似光伏发电系统设备集成业绩，设备集成业绩包括：光伏项目工程总承包（至少包括光伏组件和逆变器的供货内容）或光伏项目设备供货（至少包括光伏组件和逆变器）。</w:t>
      </w:r>
    </w:p>
    <w:p w14:paraId="4E37FF39">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注：上述业绩需提供业绩合同[需提供：合同关键页复印件，合同关键页包括合同首页、签字盖章页和主要内容页]及项目已投运证明材料。其中，①工商业分布式及集中式光伏项目已投运证明包括仅限于以下之一：国家电监会文件、供电文件、工程启动移交签收书、移交鉴定书、投产证明、验收（竣工）报告；②户用类分布式光伏项目已投运证明须提供以下材料：业主方（或项目运营单位）加盖公章的验收文件或</w:t>
      </w:r>
      <w:r>
        <w:rPr>
          <w:rFonts w:hint="eastAsia" w:ascii="宋体" w:hAnsi="宋体" w:cs="宋体"/>
          <w:color w:val="auto"/>
          <w:sz w:val="24"/>
          <w:szCs w:val="22"/>
          <w:highlight w:val="none"/>
          <w:lang w:eastAsia="zh" w:bidi="ar"/>
        </w:rPr>
        <w:t>其他足以支撑判断业绩内容及装机容量的证明文件</w:t>
      </w:r>
      <w:r>
        <w:rPr>
          <w:rFonts w:hint="eastAsia" w:ascii="宋体" w:hAnsi="宋体" w:cs="宋体"/>
          <w:color w:val="auto"/>
          <w:sz w:val="24"/>
          <w:szCs w:val="22"/>
          <w:highlight w:val="none"/>
          <w:lang w:bidi="ar"/>
        </w:rPr>
        <w:t>（包括但不限于相关结算证明等）。</w:t>
      </w:r>
    </w:p>
    <w:p w14:paraId="56079FC5">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5</w:t>
      </w:r>
      <w:r>
        <w:rPr>
          <w:rFonts w:hint="eastAsia" w:ascii="宋体" w:hAnsi="宋体" w:cs="宋体"/>
          <w:color w:val="auto"/>
          <w:sz w:val="24"/>
          <w:szCs w:val="22"/>
          <w:highlight w:val="none"/>
          <w:lang w:bidi="ar"/>
        </w:rPr>
        <w:t>.投标人已按第六章投标文件格式6的内容和格式签署盖章《投标人声明》。</w:t>
      </w:r>
    </w:p>
    <w:p w14:paraId="7521EC32">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6</w:t>
      </w:r>
      <w:r>
        <w:rPr>
          <w:rFonts w:hint="eastAsia" w:ascii="宋体" w:hAnsi="宋体" w:cs="宋体"/>
          <w:color w:val="auto"/>
          <w:sz w:val="24"/>
          <w:szCs w:val="22"/>
          <w:highlight w:val="none"/>
          <w:lang w:bidi="ar"/>
        </w:rPr>
        <w:t>.投标人未出现以下情形：与其它投标人的单位负责人为同一人或者存在控股、管理关系的（按投标人提供的《投标人声明》第七条内容进行评审）。如不同投标申请人出现单位负责人为同一人或者存在控股、管理关系的情形，则不通过资格审查。</w:t>
      </w:r>
    </w:p>
    <w:p w14:paraId="6868B91F">
      <w:pPr>
        <w:widowControl/>
        <w:snapToGrid w:val="0"/>
        <w:spacing w:line="360" w:lineRule="auto"/>
        <w:ind w:firstLine="480" w:firstLineChars="200"/>
        <w:jc w:val="left"/>
        <w:rPr>
          <w:rFonts w:hint="eastAsia" w:ascii="宋体" w:hAnsi="宋体" w:cs="宋体"/>
          <w:color w:val="auto"/>
          <w:sz w:val="24"/>
          <w:szCs w:val="22"/>
          <w:highlight w:val="none"/>
          <w:lang w:bidi="ar"/>
        </w:rPr>
      </w:pPr>
      <w:r>
        <w:rPr>
          <w:rFonts w:hint="eastAsia" w:ascii="宋体" w:hAnsi="宋体" w:cs="宋体"/>
          <w:color w:val="auto"/>
          <w:sz w:val="24"/>
          <w:szCs w:val="22"/>
          <w:highlight w:val="none"/>
          <w:lang w:val="en-US" w:eastAsia="zh-CN" w:bidi="ar"/>
        </w:rPr>
        <w:t>7</w:t>
      </w:r>
      <w:r>
        <w:rPr>
          <w:rFonts w:hint="eastAsia" w:ascii="宋体" w:hAnsi="宋体" w:cs="宋体"/>
          <w:color w:val="auto"/>
          <w:sz w:val="24"/>
          <w:szCs w:val="22"/>
          <w:highlight w:val="none"/>
          <w:lang w:bidi="ar"/>
        </w:rPr>
        <w:t>.本次招标接受联合体投标。只接受不多于2家单位组成的联合体，承担设计任务的联合体成员1家，承担集成及开发任务的联合体成员1家，</w:t>
      </w:r>
      <w:r>
        <w:rPr>
          <w:rFonts w:hint="eastAsia" w:ascii="宋体" w:hAnsi="宋体" w:cs="宋体"/>
          <w:color w:val="auto"/>
          <w:sz w:val="24"/>
          <w:szCs w:val="22"/>
          <w:highlight w:val="none"/>
          <w:lang w:val="en-US" w:eastAsia="zh-CN" w:bidi="ar"/>
        </w:rPr>
        <w:t>且以</w:t>
      </w:r>
      <w:r>
        <w:rPr>
          <w:rFonts w:hint="eastAsia" w:ascii="宋体" w:hAnsi="宋体" w:cs="宋体"/>
          <w:color w:val="auto"/>
          <w:sz w:val="24"/>
          <w:szCs w:val="22"/>
          <w:highlight w:val="none"/>
          <w:lang w:bidi="ar"/>
        </w:rPr>
        <w:t>承担集成及开发任务</w:t>
      </w:r>
      <w:r>
        <w:rPr>
          <w:rFonts w:hint="eastAsia" w:ascii="宋体" w:hAnsi="宋体" w:cs="宋体"/>
          <w:color w:val="auto"/>
          <w:sz w:val="24"/>
          <w:szCs w:val="22"/>
          <w:highlight w:val="none"/>
          <w:lang w:val="en-US" w:eastAsia="zh-CN" w:bidi="ar"/>
        </w:rPr>
        <w:t>方为联合体主办方，</w:t>
      </w:r>
      <w:r>
        <w:rPr>
          <w:rFonts w:hint="eastAsia" w:ascii="宋体" w:hAnsi="宋体" w:cs="宋体"/>
          <w:color w:val="auto"/>
          <w:sz w:val="24"/>
          <w:szCs w:val="22"/>
          <w:highlight w:val="none"/>
          <w:lang w:bidi="ar"/>
        </w:rPr>
        <w:t xml:space="preserve">并签定联合体协议书。联合体协议书应明确约定各方拟承担的工作和责任。 </w:t>
      </w:r>
    </w:p>
    <w:p w14:paraId="219BE2E0">
      <w:pPr>
        <w:widowControl/>
        <w:snapToGrid w:val="0"/>
        <w:spacing w:line="360" w:lineRule="auto"/>
        <w:ind w:firstLine="480" w:firstLineChars="200"/>
        <w:jc w:val="left"/>
        <w:rPr>
          <w:rFonts w:hint="eastAsia" w:ascii="宋体" w:hAnsi="宋体" w:cs="宋体"/>
          <w:color w:val="auto"/>
          <w:sz w:val="24"/>
          <w:szCs w:val="22"/>
          <w:highlight w:val="none"/>
          <w:lang w:bidi="ar"/>
        </w:rPr>
      </w:pPr>
      <w:r>
        <w:rPr>
          <w:rFonts w:hint="eastAsia" w:ascii="宋体" w:hAnsi="宋体" w:cs="宋体"/>
          <w:color w:val="auto"/>
          <w:sz w:val="24"/>
          <w:szCs w:val="22"/>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14:paraId="43325AC4">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2）组成联合体的投标人，应在联合体协议中明确承接的工作任务（设计任务或集成及开发任务）的成员单位。</w:t>
      </w:r>
    </w:p>
    <w:p w14:paraId="6EDB7B19">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八、公告发布日期、递交投标文件时间与开标时间：</w:t>
      </w:r>
    </w:p>
    <w:p w14:paraId="31F298A7">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1、公告发布日期（含本日）：202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分至202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17</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1A0A6C8F">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凡有意参加投标者，请登录广州交易集团有限公司（广州公共资源交易中心）交易平台网站下载电子招标文件。</w:t>
      </w:r>
    </w:p>
    <w:p w14:paraId="1C80A2AE">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注：发布招标公告的时间为招标公告发出之日起至递交投标文件截止时间止。</w:t>
      </w:r>
    </w:p>
    <w:p w14:paraId="3BBBEF22">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①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p>
    <w:p w14:paraId="26962EB7">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②投标人通过广州交易集团有限公司（广州公共资源交易中心）交易平台递交电子投标文件。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w:t>
      </w:r>
    </w:p>
    <w:p w14:paraId="03679296">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③本次招标要求投标人办理网上投标登记前，须在广州交易集团有限公司（广州公共资源交易中心）</w:t>
      </w:r>
      <w:r>
        <w:rPr>
          <w:rFonts w:hint="eastAsia" w:ascii="宋体" w:hAnsi="宋体" w:cs="宋体"/>
          <w:color w:val="auto"/>
          <w:sz w:val="24"/>
          <w:szCs w:val="22"/>
          <w:highlight w:val="none"/>
          <w:lang w:val="en-US" w:eastAsia="zh-CN"/>
        </w:rPr>
        <w:t>交易平台</w:t>
      </w:r>
      <w:r>
        <w:rPr>
          <w:rFonts w:hint="eastAsia" w:ascii="宋体" w:hAnsi="宋体" w:cs="宋体"/>
          <w:color w:val="auto"/>
          <w:sz w:val="24"/>
          <w:szCs w:val="22"/>
          <w:highlight w:val="none"/>
        </w:rPr>
        <w:t>完成企业信息登记。企业信息登记应按照广州交易集团有限公司（广州公共资源交易中心）关于企业信息登记的相关指南进行操作。</w:t>
      </w:r>
    </w:p>
    <w:p w14:paraId="14FF7ACF">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2、递交投标文件起始时间：202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5F167F79">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截止时间：202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9</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64619510">
      <w:pPr>
        <w:adjustRightInd w:val="0"/>
        <w:snapToGrid w:val="0"/>
        <w:spacing w:line="360" w:lineRule="auto"/>
        <w:ind w:left="239" w:leftChars="114" w:firstLine="240" w:firstLineChars="1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eastAsia="宋体" w:cs="宋体"/>
          <w:color w:val="auto"/>
          <w:kern w:val="0"/>
          <w:sz w:val="24"/>
          <w:highlight w:val="none"/>
          <w:shd w:val="clear" w:color="auto" w:fill="FFFFFF"/>
          <w:lang w:bidi="ar"/>
        </w:rPr>
        <w:t>递交电子投标文件备用光盘或U盘时间：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，递交地点：</w:t>
      </w:r>
      <w:r>
        <w:rPr>
          <w:rFonts w:hint="eastAsia" w:ascii="宋体" w:hAnsi="宋体" w:cs="宋体"/>
          <w:color w:val="auto"/>
          <w:sz w:val="24"/>
          <w:szCs w:val="22"/>
          <w:highlight w:val="none"/>
        </w:rPr>
        <w:t>广州交易集团有限公司（广州公共资源交易中心）</w:t>
      </w:r>
      <w:r>
        <w:rPr>
          <w:rFonts w:hint="eastAsia" w:ascii="宋体" w:hAnsi="宋体" w:eastAsia="宋体" w:cs="宋体"/>
          <w:color w:val="auto"/>
          <w:kern w:val="0"/>
          <w:sz w:val="24"/>
          <w:highlight w:val="none"/>
          <w:shd w:val="clear" w:color="auto" w:fill="FFFFFF"/>
          <w:lang w:bidi="ar"/>
        </w:rPr>
        <w:t>（广州市天河区天润路333号）</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w:t>
      </w:r>
      <w:r>
        <w:rPr>
          <w:rFonts w:hint="eastAsia" w:ascii="宋体" w:hAnsi="宋体" w:cs="宋体"/>
          <w:color w:val="auto"/>
          <w:sz w:val="24"/>
          <w:szCs w:val="22"/>
          <w:highlight w:val="none"/>
        </w:rPr>
        <w:t>广州交易集团有限公司（广州公共资源交易中心）</w:t>
      </w:r>
      <w:r>
        <w:rPr>
          <w:rFonts w:hint="eastAsia" w:ascii="宋体" w:hAnsi="宋体" w:eastAsia="宋体" w:cs="宋体"/>
          <w:color w:val="auto"/>
          <w:kern w:val="0"/>
          <w:sz w:val="24"/>
          <w:highlight w:val="none"/>
          <w:u w:val="single"/>
          <w:shd w:val="clear" w:color="auto" w:fill="FFFFFF"/>
          <w:lang w:bidi="ar"/>
        </w:rPr>
        <w:t>网站中“建设工程”→“项目查询（日程安排、答疑纪要）”公布的为准</w:t>
      </w:r>
      <w:r>
        <w:rPr>
          <w:rFonts w:hint="eastAsia" w:ascii="宋体" w:hAnsi="宋体" w:eastAsia="宋体" w:cs="宋体"/>
          <w:color w:val="auto"/>
          <w:kern w:val="0"/>
          <w:sz w:val="24"/>
          <w:highlight w:val="none"/>
          <w:shd w:val="clear" w:color="auto" w:fill="FFFFFF"/>
          <w:lang w:bidi="ar"/>
        </w:rPr>
        <w:t>。电子光盘或U盘需按规定封装。投标人在将数据刻录到光盘或U盘之后，投标前自行检查文件是否可以读取。</w:t>
      </w:r>
    </w:p>
    <w:p w14:paraId="3058E6BF">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rPr>
        <w:t>开标开始时间：202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分。</w:t>
      </w:r>
    </w:p>
    <w:p w14:paraId="4F56745C">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6B0525C">
      <w:pPr>
        <w:widowControl/>
        <w:shd w:val="clear" w:color="auto" w:fill="auto"/>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投标人通过广州交易集团有限公司（广州公共资源交易中心）交易平台递交电子投标文件。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w:t>
      </w:r>
    </w:p>
    <w:p w14:paraId="2622E263">
      <w:pPr>
        <w:widowControl/>
        <w:shd w:val="clear" w:color="auto" w:fill="auto"/>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sz w:val="24"/>
          <w:szCs w:val="22"/>
          <w:highlight w:val="none"/>
        </w:rPr>
        <w:t>八、</w:t>
      </w:r>
      <w:r>
        <w:rPr>
          <w:rFonts w:hint="eastAsia" w:ascii="宋体" w:hAnsi="宋体" w:cs="宋体"/>
          <w:color w:val="auto"/>
          <w:kern w:val="2"/>
          <w:sz w:val="24"/>
          <w:szCs w:val="22"/>
          <w:highlight w:val="none"/>
        </w:rPr>
        <w:t>招标文件获取方式：</w:t>
      </w:r>
    </w:p>
    <w:p w14:paraId="03DAC0BD">
      <w:pPr>
        <w:pStyle w:val="17"/>
        <w:wordWrap w:val="0"/>
        <w:spacing w:beforeLines="0" w:after="0" w:afterLines="0"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在广州公共资源交易中心业务系统完成了线上投标登记的投标人须在</w:t>
      </w:r>
      <w:r>
        <w:rPr>
          <w:rFonts w:hint="eastAsia" w:ascii="宋体" w:hAnsi="宋体" w:eastAsia="宋体" w:cs="宋体"/>
          <w:color w:val="auto"/>
          <w:kern w:val="0"/>
          <w:sz w:val="24"/>
          <w:highlight w:val="none"/>
          <w:u w:val="single"/>
          <w:shd w:val="clear" w:color="auto" w:fill="FFFFFF"/>
          <w:lang w:bidi="ar"/>
        </w:rPr>
        <w:t>202</w:t>
      </w:r>
      <w:r>
        <w:rPr>
          <w:rFonts w:hint="eastAsia" w:ascii="宋体" w:hAnsi="宋体" w:eastAsia="宋体" w:cs="宋体"/>
          <w:color w:val="auto"/>
          <w:kern w:val="0"/>
          <w:sz w:val="24"/>
          <w:highlight w:val="none"/>
          <w:u w:val="single"/>
          <w:shd w:val="clear" w:color="auto" w:fill="FFFFFF"/>
          <w:lang w:val="en-US" w:eastAsia="zh-CN" w:bidi="ar"/>
        </w:rPr>
        <w:t>5</w:t>
      </w:r>
      <w:r>
        <w:rPr>
          <w:rFonts w:hint="eastAsia" w:ascii="宋体" w:hAnsi="宋体" w:eastAsia="宋体" w:cs="宋体"/>
          <w:color w:val="auto"/>
          <w:kern w:val="0"/>
          <w:sz w:val="24"/>
          <w:highlight w:val="none"/>
          <w:u w:val="single"/>
          <w:shd w:val="clear" w:color="auto" w:fill="FFFFFF"/>
          <w:lang w:bidi="ar"/>
        </w:rPr>
        <w:t>年</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cs="宋体"/>
          <w:color w:val="auto"/>
          <w:sz w:val="24"/>
          <w:highlight w:val="none"/>
        </w:rPr>
        <w:t>至</w:t>
      </w:r>
      <w:r>
        <w:rPr>
          <w:rFonts w:hint="eastAsia" w:ascii="宋体" w:hAnsi="宋体" w:eastAsia="宋体" w:cs="宋体"/>
          <w:color w:val="auto"/>
          <w:kern w:val="0"/>
          <w:sz w:val="24"/>
          <w:highlight w:val="none"/>
          <w:u w:val="single"/>
          <w:shd w:val="clear" w:color="auto" w:fill="FFFFFF"/>
          <w:lang w:bidi="ar"/>
        </w:rPr>
        <w:t>202</w:t>
      </w:r>
      <w:r>
        <w:rPr>
          <w:rFonts w:hint="eastAsia" w:ascii="宋体" w:hAnsi="宋体" w:eastAsia="宋体" w:cs="宋体"/>
          <w:color w:val="auto"/>
          <w:kern w:val="0"/>
          <w:sz w:val="24"/>
          <w:highlight w:val="none"/>
          <w:u w:val="single"/>
          <w:shd w:val="clear" w:color="auto" w:fill="FFFFFF"/>
          <w:lang w:val="en-US" w:eastAsia="zh-CN" w:bidi="ar"/>
        </w:rPr>
        <w:t>5</w:t>
      </w:r>
      <w:r>
        <w:rPr>
          <w:rFonts w:hint="eastAsia" w:ascii="宋体" w:hAnsi="宋体" w:eastAsia="宋体" w:cs="宋体"/>
          <w:color w:val="auto"/>
          <w:kern w:val="0"/>
          <w:sz w:val="24"/>
          <w:highlight w:val="none"/>
          <w:u w:val="single"/>
          <w:shd w:val="clear" w:color="auto" w:fill="FFFFFF"/>
          <w:lang w:bidi="ar"/>
        </w:rPr>
        <w:t>年</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cs="宋体"/>
          <w:color w:val="auto"/>
          <w:kern w:val="0"/>
          <w:sz w:val="24"/>
          <w:highlight w:val="none"/>
          <w:u w:val="single"/>
          <w:shd w:val="clear" w:color="auto" w:fill="FFFFFF"/>
          <w:lang w:val="en-US" w:eastAsia="zh-CN" w:bidi="ar"/>
        </w:rPr>
        <w:t>17</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rPr>
        <w:t>联系招标代理机构（</w:t>
      </w:r>
      <w:r>
        <w:rPr>
          <w:rFonts w:hint="eastAsia" w:ascii="宋体" w:hAnsi="宋体" w:cs="宋体"/>
          <w:b w:val="0"/>
          <w:bCs w:val="0"/>
          <w:color w:val="auto"/>
          <w:sz w:val="24"/>
          <w:highlight w:val="none"/>
        </w:rPr>
        <w:t>联系人：</w:t>
      </w:r>
      <w:r>
        <w:rPr>
          <w:rFonts w:hint="eastAsia" w:ascii="宋体" w:hAnsi="宋体" w:cs="宋体"/>
          <w:b w:val="0"/>
          <w:bCs w:val="0"/>
          <w:color w:val="auto"/>
          <w:kern w:val="0"/>
          <w:sz w:val="24"/>
          <w:highlight w:val="none"/>
          <w:shd w:val="clear" w:color="auto" w:fill="FFFFFF"/>
          <w:lang w:val="en-US" w:eastAsia="zh-CN" w:bidi="ar"/>
        </w:rPr>
        <w:t>唐</w:t>
      </w:r>
      <w:r>
        <w:rPr>
          <w:rFonts w:hint="eastAsia" w:ascii="宋体" w:hAnsi="宋体" w:eastAsia="宋体" w:cs="宋体"/>
          <w:b w:val="0"/>
          <w:bCs w:val="0"/>
          <w:color w:val="auto"/>
          <w:kern w:val="0"/>
          <w:sz w:val="24"/>
          <w:highlight w:val="none"/>
          <w:shd w:val="clear" w:color="auto" w:fill="FFFFFF"/>
          <w:lang w:bidi="ar"/>
        </w:rPr>
        <w:t>工</w:t>
      </w:r>
      <w:r>
        <w:rPr>
          <w:rFonts w:hint="eastAsia" w:ascii="宋体" w:hAnsi="宋体" w:cs="宋体"/>
          <w:b w:val="0"/>
          <w:bCs w:val="0"/>
          <w:color w:val="auto"/>
          <w:sz w:val="24"/>
          <w:highlight w:val="none"/>
        </w:rPr>
        <w:t>，电话：</w:t>
      </w:r>
      <w:r>
        <w:rPr>
          <w:rFonts w:hint="eastAsia" w:ascii="宋体" w:hAnsi="宋体" w:cs="宋体"/>
          <w:b w:val="0"/>
          <w:bCs w:val="0"/>
          <w:color w:val="auto"/>
          <w:sz w:val="24"/>
          <w:highlight w:val="none"/>
          <w:lang w:val="en-US" w:eastAsia="zh-CN"/>
        </w:rPr>
        <w:t>020-87575800-835</w:t>
      </w:r>
      <w:r>
        <w:rPr>
          <w:rFonts w:hint="eastAsia" w:ascii="宋体" w:hAnsi="宋体" w:cs="宋体"/>
          <w:color w:val="auto"/>
          <w:sz w:val="24"/>
          <w:highlight w:val="none"/>
        </w:rPr>
        <w:t>）办理招标文件购买，招标文件每套售价500元，（</w:t>
      </w:r>
      <w:r>
        <w:rPr>
          <w:rFonts w:hint="eastAsia" w:ascii="宋体" w:hAnsi="宋体" w:cs="宋体"/>
          <w:color w:val="auto"/>
          <w:sz w:val="24"/>
          <w:highlight w:val="none"/>
          <w:lang w:val="en-US" w:eastAsia="zh-CN"/>
        </w:rPr>
        <w:t>公对公转账，</w:t>
      </w:r>
      <w:r>
        <w:rPr>
          <w:rFonts w:hint="eastAsia" w:ascii="宋体" w:hAnsi="宋体" w:cs="宋体"/>
          <w:color w:val="auto"/>
          <w:sz w:val="24"/>
          <w:highlight w:val="none"/>
        </w:rPr>
        <w:t>售后不退）（收款账户名称：</w:t>
      </w:r>
      <w:r>
        <w:rPr>
          <w:rFonts w:hint="eastAsia" w:ascii="宋体" w:hAnsi="宋体" w:cs="宋体"/>
          <w:color w:val="auto"/>
          <w:sz w:val="24"/>
          <w:highlight w:val="none"/>
          <w:u w:val="single"/>
        </w:rPr>
        <w:t>北京中交建设工程咨询有限公司广州分公司</w:t>
      </w:r>
      <w:r>
        <w:rPr>
          <w:rFonts w:hint="eastAsia" w:ascii="宋体" w:hAnsi="宋体" w:cs="宋体"/>
          <w:color w:val="auto"/>
          <w:sz w:val="24"/>
          <w:highlight w:val="none"/>
        </w:rPr>
        <w:t>；开户行：</w:t>
      </w:r>
      <w:r>
        <w:rPr>
          <w:rFonts w:hint="default" w:ascii="宋体" w:hAnsi="宋体" w:cs="宋体"/>
          <w:color w:val="auto"/>
          <w:sz w:val="24"/>
          <w:highlight w:val="none"/>
          <w:u w:val="single"/>
          <w:lang w:val="en-US"/>
        </w:rPr>
        <w:t>中国建设银行股份有限公司广州育蕾支行</w:t>
      </w:r>
      <w:r>
        <w:rPr>
          <w:rFonts w:hint="eastAsia" w:ascii="宋体" w:hAnsi="宋体" w:cs="宋体"/>
          <w:color w:val="auto"/>
          <w:sz w:val="24"/>
          <w:highlight w:val="none"/>
        </w:rPr>
        <w:t>；收款账号：</w:t>
      </w:r>
      <w:r>
        <w:rPr>
          <w:rFonts w:hint="default" w:ascii="宋体" w:hAnsi="宋体" w:cs="宋体"/>
          <w:color w:val="auto"/>
          <w:sz w:val="24"/>
          <w:highlight w:val="none"/>
          <w:u w:val="single"/>
          <w:lang w:val="en-US"/>
        </w:rPr>
        <w:t>44001609710059000077</w:t>
      </w:r>
      <w:r>
        <w:rPr>
          <w:rFonts w:hint="eastAsia" w:ascii="宋体" w:hAnsi="宋体" w:cs="宋体"/>
          <w:color w:val="auto"/>
          <w:sz w:val="24"/>
          <w:highlight w:val="none"/>
          <w:u w:val="single"/>
        </w:rPr>
        <w:t>）</w:t>
      </w:r>
      <w:r>
        <w:rPr>
          <w:rFonts w:hint="eastAsia" w:ascii="宋体" w:hAnsi="宋体" w:cs="宋体"/>
          <w:color w:val="auto"/>
          <w:sz w:val="24"/>
          <w:highlight w:val="none"/>
        </w:rPr>
        <w:t>，招标代理机构只开具对应金额电子增值税普通发票，投标登记时间结束后统一发至所留邮箱，请自行下载。</w:t>
      </w:r>
    </w:p>
    <w:p w14:paraId="42F08982">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sz w:val="24"/>
          <w:highlight w:val="none"/>
        </w:rPr>
        <w:t>注：上述费用在获取招标文件后不予退还。</w:t>
      </w:r>
    </w:p>
    <w:p w14:paraId="05417E02">
      <w:pPr>
        <w:widowControl/>
        <w:shd w:val="clear" w:color="auto" w:fill="auto"/>
        <w:adjustRightInd/>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九、资格审查方式：</w:t>
      </w:r>
    </w:p>
    <w:p w14:paraId="40A87F6E">
      <w:pPr>
        <w:widowControl/>
        <w:shd w:val="clear" w:color="auto" w:fill="auto"/>
        <w:adjustRightInd/>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本</w:t>
      </w:r>
      <w:r>
        <w:rPr>
          <w:rFonts w:hint="eastAsia" w:ascii="宋体" w:hAnsi="宋体" w:cs="宋体"/>
          <w:color w:val="auto"/>
          <w:sz w:val="24"/>
          <w:szCs w:val="22"/>
          <w:highlight w:val="none"/>
          <w:lang w:eastAsia="zh-CN"/>
        </w:rPr>
        <w:t>项目</w:t>
      </w:r>
      <w:r>
        <w:rPr>
          <w:rFonts w:hint="eastAsia" w:ascii="宋体" w:hAnsi="宋体" w:cs="宋体"/>
          <w:color w:val="auto"/>
          <w:sz w:val="24"/>
          <w:szCs w:val="22"/>
          <w:highlight w:val="none"/>
        </w:rPr>
        <w:t>采用资格后审方式，由评标委员会负责资格审查。</w:t>
      </w:r>
    </w:p>
    <w:p w14:paraId="4CEE42BF">
      <w:pPr>
        <w:numPr>
          <w:ilvl w:val="0"/>
          <w:numId w:val="4"/>
        </w:num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本项目设置最高投标限价，具体要求如下：</w:t>
      </w:r>
    </w:p>
    <w:p w14:paraId="03550D5C">
      <w:pPr>
        <w:numPr>
          <w:ilvl w:val="0"/>
          <w:numId w:val="0"/>
        </w:num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一体化服务综合单价采用费率报价，</w:t>
      </w:r>
      <w:r>
        <w:rPr>
          <w:rFonts w:hint="eastAsia" w:ascii="宋体" w:hAnsi="宋体" w:cs="宋体"/>
          <w:color w:val="auto"/>
          <w:sz w:val="24"/>
          <w:highlight w:val="none"/>
          <w:lang w:val="en-US" w:eastAsia="zh-CN"/>
        </w:rPr>
        <w:t>最高</w:t>
      </w:r>
      <w:r>
        <w:rPr>
          <w:rFonts w:hint="eastAsia" w:ascii="宋体" w:hAnsi="宋体" w:cs="宋体"/>
          <w:color w:val="auto"/>
          <w:sz w:val="24"/>
          <w:highlight w:val="none"/>
        </w:rPr>
        <w:t>投标费率</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p>
    <w:p w14:paraId="72886B18">
      <w:pPr>
        <w:snapToGrid w:val="0"/>
        <w:spacing w:before="160" w:beforeLines="50"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kern w:val="2"/>
          <w:sz w:val="24"/>
          <w:szCs w:val="24"/>
          <w:highlight w:val="none"/>
          <w:lang w:val="en-US" w:eastAsia="zh-CN" w:bidi="ar-SA"/>
        </w:rPr>
        <w:t>首年运维综合单价最高投标限价</w:t>
      </w:r>
      <w:r>
        <w:rPr>
          <w:rFonts w:hint="eastAsia" w:ascii="宋体" w:hAnsi="宋体" w:cs="宋体"/>
          <w:color w:val="auto"/>
          <w:kern w:val="2"/>
          <w:sz w:val="24"/>
          <w:szCs w:val="24"/>
          <w:highlight w:val="none"/>
          <w:u w:val="single"/>
          <w:lang w:val="en-US" w:eastAsia="zh-CN" w:bidi="ar-SA"/>
        </w:rPr>
        <w:t>0.05</w:t>
      </w:r>
      <w:r>
        <w:rPr>
          <w:rFonts w:hint="eastAsia" w:ascii="宋体" w:hAnsi="宋体" w:eastAsia="宋体" w:cs="宋体"/>
          <w:color w:val="auto"/>
          <w:kern w:val="2"/>
          <w:sz w:val="24"/>
          <w:szCs w:val="24"/>
          <w:highlight w:val="none"/>
          <w:lang w:val="en-US" w:eastAsia="zh-CN" w:bidi="ar-SA"/>
        </w:rPr>
        <w:t>元/Wp，首年运维综合单价成本警戒价</w:t>
      </w:r>
      <w:r>
        <w:rPr>
          <w:rFonts w:hint="eastAsia" w:ascii="宋体" w:hAnsi="宋体" w:cs="宋体"/>
          <w:color w:val="auto"/>
          <w:kern w:val="2"/>
          <w:sz w:val="24"/>
          <w:szCs w:val="24"/>
          <w:highlight w:val="none"/>
          <w:u w:val="single"/>
          <w:lang w:val="en-US" w:eastAsia="zh-CN" w:bidi="ar-SA"/>
        </w:rPr>
        <w:t>0.03</w:t>
      </w:r>
      <w:r>
        <w:rPr>
          <w:rFonts w:hint="eastAsia" w:ascii="宋体" w:hAnsi="宋体" w:eastAsia="宋体" w:cs="宋体"/>
          <w:color w:val="auto"/>
          <w:kern w:val="2"/>
          <w:sz w:val="24"/>
          <w:szCs w:val="24"/>
          <w:highlight w:val="none"/>
          <w:lang w:val="en-US" w:eastAsia="zh-CN" w:bidi="ar-SA"/>
        </w:rPr>
        <w:t>元/Wp</w:t>
      </w:r>
      <w:r>
        <w:rPr>
          <w:rFonts w:hint="eastAsia" w:ascii="宋体" w:hAnsi="宋体" w:cs="宋体"/>
          <w:color w:val="auto"/>
          <w:sz w:val="24"/>
          <w:highlight w:val="none"/>
        </w:rPr>
        <w:t>。</w:t>
      </w:r>
    </w:p>
    <w:p w14:paraId="797409C4">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一</w:t>
      </w:r>
      <w:r>
        <w:rPr>
          <w:rFonts w:hint="eastAsia" w:ascii="宋体" w:hAnsi="宋体" w:cs="宋体"/>
          <w:color w:val="auto"/>
          <w:sz w:val="24"/>
          <w:szCs w:val="22"/>
          <w:highlight w:val="none"/>
        </w:rPr>
        <w:t>、投标文件全部采用电子文档，投标人按招标文件要求提交投标文件。若投标文件中的部分内容要求取自广州交易集团有限公司（广州公共资源交易中心）企业信息库的，则投标人选择企业信息库中记录的该部分上传件将被视为投标人递交投标文件的一部分，不需重复提交。评标委员会对该部分资料的审查将以递交投标文件截止时间在广州交易集团有限公司（广州公共资源交易中心）企业信息库内上传件为依据。若招标人延长递交投标文件截止时间，以上资料的评审时点也相应延长。投标人应及时维护其在广州交易集团有限公司（广州公共资源交易中心）企业信息库登记的信息及上传件，确保各项信息及上传件在有效期内。</w:t>
      </w:r>
    </w:p>
    <w:p w14:paraId="1FEF20F8">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二</w:t>
      </w:r>
      <w:r>
        <w:rPr>
          <w:rFonts w:hint="eastAsia" w:ascii="宋体" w:hAnsi="宋体" w:cs="宋体"/>
          <w:color w:val="auto"/>
          <w:sz w:val="24"/>
          <w:szCs w:val="22"/>
          <w:highlight w:val="none"/>
        </w:rPr>
        <w:t>、潜在投标人或利害关系人对本招标公告及招标文件有异议的，应当在投标截止时间10日前向招标人书面提出。</w:t>
      </w:r>
    </w:p>
    <w:p w14:paraId="1C46CAF2">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异议受理部门：广州发展新能源集团股份有限公司</w:t>
      </w:r>
    </w:p>
    <w:p w14:paraId="7B295113">
      <w:pPr>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异议受理电话：</w:t>
      </w:r>
      <w:r>
        <w:rPr>
          <w:rFonts w:hint="eastAsia" w:ascii="宋体" w:hAnsi="宋体" w:cs="宋体"/>
          <w:color w:val="auto"/>
          <w:sz w:val="24"/>
          <w:szCs w:val="22"/>
          <w:highlight w:val="none"/>
          <w:lang w:eastAsia="zh-CN"/>
        </w:rPr>
        <w:t>020-87571846</w:t>
      </w:r>
    </w:p>
    <w:p w14:paraId="47E53384">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地址：广州市天河区临江大道3号发展中心29楼</w:t>
      </w:r>
    </w:p>
    <w:p w14:paraId="76712D0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三</w:t>
      </w:r>
      <w:r>
        <w:rPr>
          <w:rFonts w:hint="eastAsia" w:ascii="宋体" w:hAnsi="宋体" w:cs="宋体"/>
          <w:color w:val="auto"/>
          <w:sz w:val="24"/>
          <w:szCs w:val="22"/>
          <w:highlight w:val="none"/>
        </w:rPr>
        <w:t>、本公告在广州交易集团有限公司（广州公共资源交易中心）网（网址：http://www.gzggzy.cn）、中国招标投标公共服务平台（网址：http://www.cebpubservice.com）、广州国企阳光采购信息发布平台（网址：http://ygcg.gzggzy.cn）及广州发展电子采购平台（网址：https://eps.gdg.com.cn）发布，本公告的修改、补充，在广州交易集团有限公司（广州公共资源交易中心）网发布</w:t>
      </w:r>
      <w:r>
        <w:rPr>
          <w:rFonts w:hint="eastAsia" w:ascii="宋体" w:hAnsi="宋体" w:cs="宋体"/>
          <w:color w:val="auto"/>
          <w:sz w:val="24"/>
          <w:szCs w:val="32"/>
          <w:highlight w:val="none"/>
        </w:rPr>
        <w:t>。</w:t>
      </w:r>
    </w:p>
    <w:p w14:paraId="4BF7ED76">
      <w:pPr>
        <w:spacing w:line="360" w:lineRule="auto"/>
        <w:ind w:firstLine="480" w:firstLineChars="200"/>
        <w:rPr>
          <w:rFonts w:ascii="宋体" w:hAnsi="宋体" w:cs="宋体"/>
          <w:color w:val="auto"/>
          <w:sz w:val="24"/>
          <w:highlight w:val="none"/>
        </w:rPr>
      </w:pPr>
    </w:p>
    <w:p w14:paraId="34A9A60F">
      <w:pPr>
        <w:widowControl/>
        <w:wordWrap w:val="0"/>
        <w:spacing w:line="360" w:lineRule="auto"/>
        <w:ind w:right="26" w:firstLine="4320" w:firstLineChars="1800"/>
        <w:jc w:val="right"/>
        <w:rPr>
          <w:rFonts w:ascii="宋体" w:hAnsi="宋体" w:cs="宋体"/>
          <w:color w:val="auto"/>
          <w:sz w:val="24"/>
          <w:szCs w:val="22"/>
          <w:highlight w:val="none"/>
          <w:u w:val="none"/>
          <w:lang w:eastAsia="zh"/>
        </w:rPr>
      </w:pPr>
      <w:r>
        <w:rPr>
          <w:rFonts w:hint="eastAsia" w:ascii="宋体" w:hAnsi="宋体" w:cs="宋体"/>
          <w:color w:val="auto"/>
          <w:sz w:val="24"/>
          <w:szCs w:val="22"/>
          <w:highlight w:val="none"/>
        </w:rPr>
        <w:t>招标人：</w:t>
      </w:r>
      <w:r>
        <w:rPr>
          <w:rFonts w:hint="eastAsia" w:ascii="宋体" w:hAnsi="宋体" w:cs="宋体"/>
          <w:color w:val="auto"/>
          <w:sz w:val="24"/>
          <w:szCs w:val="22"/>
          <w:highlight w:val="none"/>
          <w:u w:val="none"/>
          <w:lang w:eastAsia="zh"/>
        </w:rPr>
        <w:t>广州发展新能源集团股份有限公司</w:t>
      </w:r>
    </w:p>
    <w:p w14:paraId="0141969E">
      <w:pPr>
        <w:widowControl/>
        <w:spacing w:line="360" w:lineRule="auto"/>
        <w:ind w:right="26"/>
        <w:jc w:val="right"/>
        <w:rPr>
          <w:rFonts w:ascii="宋体" w:hAnsi="宋体" w:cs="宋体"/>
          <w:color w:val="auto"/>
          <w:sz w:val="24"/>
          <w:szCs w:val="22"/>
          <w:highlight w:val="none"/>
          <w:u w:val="single"/>
        </w:rPr>
      </w:pPr>
      <w:r>
        <w:rPr>
          <w:rFonts w:hint="eastAsia" w:ascii="宋体" w:hAnsi="宋体" w:cs="宋体"/>
          <w:color w:val="auto"/>
          <w:sz w:val="24"/>
          <w:szCs w:val="22"/>
          <w:highlight w:val="none"/>
        </w:rPr>
        <w:t>招标代理单位：</w:t>
      </w:r>
      <w:r>
        <w:rPr>
          <w:rFonts w:hint="eastAsia" w:ascii="宋体" w:hAnsi="宋体" w:cs="宋体"/>
          <w:color w:val="auto"/>
          <w:sz w:val="24"/>
          <w:szCs w:val="22"/>
          <w:highlight w:val="none"/>
          <w:lang w:eastAsia="zh-CN"/>
        </w:rPr>
        <w:t>北京中交建设工程咨询有限公司</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u w:val="single"/>
          <w:lang w:eastAsia="zh-CN"/>
        </w:rPr>
        <w:t xml:space="preserve">        </w:t>
      </w:r>
      <w:r>
        <w:rPr>
          <w:rFonts w:hint="eastAsia" w:ascii="宋体" w:hAnsi="宋体" w:cs="宋体"/>
          <w:color w:val="auto"/>
          <w:sz w:val="24"/>
          <w:szCs w:val="22"/>
          <w:highlight w:val="none"/>
          <w:u w:val="single"/>
        </w:rPr>
        <w:t xml:space="preserve"> </w:t>
      </w:r>
    </w:p>
    <w:p w14:paraId="51BF9CA2">
      <w:pPr>
        <w:widowControl/>
        <w:spacing w:line="360" w:lineRule="auto"/>
        <w:ind w:right="26"/>
        <w:jc w:val="right"/>
        <w:rPr>
          <w:rFonts w:ascii="宋体" w:hAnsi="宋体" w:cs="宋体"/>
          <w:b/>
          <w:color w:val="auto"/>
          <w:sz w:val="28"/>
          <w:szCs w:val="28"/>
          <w:highlight w:val="none"/>
        </w:rPr>
      </w:pPr>
      <w:r>
        <w:rPr>
          <w:rFonts w:hint="eastAsia" w:ascii="宋体" w:hAnsi="宋体" w:cs="宋体"/>
          <w:color w:val="auto"/>
          <w:sz w:val="24"/>
          <w:szCs w:val="22"/>
          <w:highlight w:val="none"/>
        </w:rPr>
        <w:t>日期：202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19</w:t>
      </w:r>
      <w:r>
        <w:rPr>
          <w:rFonts w:hint="eastAsia" w:ascii="宋体" w:hAnsi="宋体" w:cs="宋体"/>
          <w:color w:val="auto"/>
          <w:sz w:val="24"/>
          <w:szCs w:val="22"/>
          <w:highlight w:val="none"/>
        </w:rPr>
        <w:t>日</w:t>
      </w:r>
    </w:p>
    <w:p w14:paraId="4B77E48B">
      <w:pPr>
        <w:wordWrap w:val="0"/>
        <w:spacing w:before="200" w:after="200"/>
        <w:jc w:val="both"/>
      </w:pPr>
    </w:p>
    <w:sectPr>
      <w:headerReference r:id="rId7" w:type="default"/>
      <w:footerReference r:id="rId8" w:type="default"/>
      <w:pgSz w:w="11906" w:h="16838"/>
      <w:pgMar w:top="1440" w:right="1440" w:bottom="1440" w:left="144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2DF9">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28"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05236C2">
                          <w:pPr>
                            <w:pStyle w:val="12"/>
                            <w:jc w:val="both"/>
                          </w:pP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w7yeNxECAAATBAAADgAAAAAAAAABACAA&#10;AAAfAQAAZHJzL2Uyb0RvYy54bWxQSwUGAAAAAAYABgBZAQAAogUAAAAA&#10;">
              <v:fill on="f" focussize="0,0"/>
              <v:stroke on="f"/>
              <v:imagedata o:title=""/>
              <o:lock v:ext="edit" aspectratio="f"/>
              <v:textbox inset="0mm,0mm,0mm,0mm" style="mso-fit-shape-to-text:t;">
                <w:txbxContent>
                  <w:p w14:paraId="605236C2">
                    <w:pPr>
                      <w:pStyle w:val="12"/>
                      <w:jc w:val="both"/>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7659">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2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8B2BF6F">
                          <w:pPr>
                            <w:pStyle w:val="12"/>
                          </w:pP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d5EeUxECAAATBAAADgAAAAAAAAABACAA&#10;AAAfAQAAZHJzL2Uyb0RvYy54bWxQSwUGAAAAAAYABgBZAQAAogUAAAAA&#10;">
              <v:fill on="f" focussize="0,0"/>
              <v:stroke on="f"/>
              <v:imagedata o:title=""/>
              <o:lock v:ext="edit" aspectratio="f"/>
              <v:textbox inset="0mm,0mm,0mm,0mm" style="mso-fit-shape-to-text:t;">
                <w:txbxContent>
                  <w:p w14:paraId="58B2BF6F">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745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27DC029">
                          <w:pPr>
                            <w:pStyle w:val="12"/>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grliu+cB&#10;AADNAwAADgAAAAAAAAABACAAAAAiAQAAZHJzL2Uyb0RvYy54bWxQSwUGAAAAAAYABgBZAQAAewUA&#10;AAAA&#10;">
              <v:fill on="f" focussize="0,0"/>
              <v:stroke on="f" weight="1.25pt"/>
              <v:imagedata o:title=""/>
              <o:lock v:ext="edit" aspectratio="f"/>
              <v:textbox inset="0mm,0mm,0mm,0mm" style="mso-fit-shape-to-text:t;">
                <w:txbxContent>
                  <w:p w14:paraId="627DC02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5438">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05BA6">
    <w:pPr>
      <w:pStyle w:val="13"/>
      <w:pBdr>
        <w:bottom w:val="none" w:color="auto" w:sz="0" w:space="0"/>
      </w:pBdr>
      <w:jc w:val="right"/>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513B">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6CEB6"/>
    <w:multiLevelType w:val="singleLevel"/>
    <w:tmpl w:val="A3D6CEB6"/>
    <w:lvl w:ilvl="0" w:tentative="0">
      <w:start w:val="4"/>
      <w:numFmt w:val="decimal"/>
      <w:lvlText w:val="%1."/>
      <w:lvlJc w:val="left"/>
      <w:pPr>
        <w:tabs>
          <w:tab w:val="left" w:pos="312"/>
        </w:tabs>
        <w:ind w:left="480" w:firstLine="0"/>
      </w:pPr>
    </w:lvl>
  </w:abstractNum>
  <w:abstractNum w:abstractNumId="1">
    <w:nsid w:val="A4C54746"/>
    <w:multiLevelType w:val="singleLevel"/>
    <w:tmpl w:val="A4C54746"/>
    <w:lvl w:ilvl="0" w:tentative="0">
      <w:start w:val="3"/>
      <w:numFmt w:val="decimal"/>
      <w:lvlText w:val="%1."/>
      <w:lvlJc w:val="left"/>
      <w:pPr>
        <w:tabs>
          <w:tab w:val="left" w:pos="312"/>
        </w:tabs>
        <w:ind w:left="466" w:firstLine="0"/>
      </w:pPr>
    </w:lvl>
  </w:abstractNum>
  <w:abstractNum w:abstractNumId="2">
    <w:nsid w:val="E9E7F0A8"/>
    <w:multiLevelType w:val="singleLevel"/>
    <w:tmpl w:val="E9E7F0A8"/>
    <w:lvl w:ilvl="0" w:tentative="0">
      <w:start w:val="7"/>
      <w:numFmt w:val="chineseCounting"/>
      <w:suff w:val="nothing"/>
      <w:lvlText w:val="%1、"/>
      <w:lvlJc w:val="left"/>
      <w:rPr>
        <w:rFonts w:hint="eastAsia" w:ascii="宋体" w:hAnsi="宋体" w:eastAsia="宋体" w:cs="宋体"/>
        <w:sz w:val="24"/>
        <w:szCs w:val="24"/>
      </w:rPr>
    </w:lvl>
  </w:abstractNum>
  <w:abstractNum w:abstractNumId="3">
    <w:nsid w:val="2226AB45"/>
    <w:multiLevelType w:val="singleLevel"/>
    <w:tmpl w:val="2226AB45"/>
    <w:lvl w:ilvl="0" w:tentative="0">
      <w:start w:val="10"/>
      <w:numFmt w:val="chineseCounting"/>
      <w:suff w:val="nothing"/>
      <w:lvlText w:val="%1、"/>
      <w:lvlJc w:val="left"/>
      <w:rPr>
        <w:rFonts w:hint="eastAsia" w:ascii="宋体" w:hAnsi="宋体" w:eastAsia="宋体" w:cs="宋体"/>
        <w:sz w:val="24"/>
        <w:szCs w:val="24"/>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236A1"/>
    <w:rsid w:val="2E295250"/>
    <w:rsid w:val="4102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
    <w:name w:val="Normal Indent"/>
    <w:basedOn w:val="1"/>
    <w:next w:val="1"/>
    <w:qFormat/>
    <w:uiPriority w:val="0"/>
    <w:pPr>
      <w:ind w:firstLine="420" w:firstLineChars="200"/>
    </w:pPr>
    <w:rPr>
      <w:szCs w:val="21"/>
    </w:rPr>
  </w:style>
  <w:style w:type="paragraph" w:styleId="6">
    <w:name w:val="Body Text"/>
    <w:basedOn w:val="1"/>
    <w:next w:val="7"/>
    <w:unhideWhenUsed/>
    <w:qFormat/>
    <w:uiPriority w:val="0"/>
    <w:pPr>
      <w:spacing w:after="120"/>
    </w:pPr>
    <w:rPr>
      <w:kern w:val="0"/>
      <w:sz w:val="20"/>
    </w:rPr>
  </w:style>
  <w:style w:type="paragraph" w:styleId="7">
    <w:name w:val="Body Text 2"/>
    <w:basedOn w:val="1"/>
    <w:unhideWhenUsed/>
    <w:qFormat/>
    <w:uiPriority w:val="0"/>
    <w:pPr>
      <w:adjustRightInd w:val="0"/>
      <w:snapToGrid w:val="0"/>
    </w:pPr>
    <w:rPr>
      <w:rFonts w:ascii="宋体"/>
      <w:kern w:val="0"/>
      <w:position w:val="-6"/>
      <w:sz w:val="24"/>
      <w:szCs w:val="20"/>
    </w:rPr>
  </w:style>
  <w:style w:type="paragraph" w:styleId="8">
    <w:name w:val="Body Text Indent"/>
    <w:basedOn w:val="1"/>
    <w:next w:val="9"/>
    <w:qFormat/>
    <w:uiPriority w:val="0"/>
    <w:pPr>
      <w:spacing w:after="120"/>
      <w:ind w:left="420" w:leftChars="200"/>
    </w:pPr>
    <w:rPr>
      <w:kern w:val="0"/>
      <w:sz w:val="20"/>
    </w:rPr>
  </w:style>
  <w:style w:type="paragraph" w:styleId="9">
    <w:name w:val="toc 9"/>
    <w:basedOn w:val="1"/>
    <w:next w:val="1"/>
    <w:qFormat/>
    <w:uiPriority w:val="39"/>
    <w:pPr>
      <w:ind w:left="1680"/>
      <w:jc w:val="left"/>
    </w:pPr>
    <w:rPr>
      <w:sz w:val="18"/>
      <w:szCs w:val="18"/>
    </w:rPr>
  </w:style>
  <w:style w:type="paragraph" w:styleId="10">
    <w:name w:val="toc 3"/>
    <w:basedOn w:val="1"/>
    <w:next w:val="1"/>
    <w:qFormat/>
    <w:uiPriority w:val="39"/>
    <w:pPr>
      <w:ind w:left="420"/>
      <w:jc w:val="left"/>
    </w:pPr>
    <w:rPr>
      <w:iCs/>
      <w:sz w:val="20"/>
      <w:szCs w:val="20"/>
    </w:rPr>
  </w:style>
  <w:style w:type="paragraph" w:styleId="11">
    <w:name w:val="Plain Text"/>
    <w:basedOn w:val="1"/>
    <w:unhideWhenUsed/>
    <w:qFormat/>
    <w:uiPriority w:val="99"/>
    <w:rPr>
      <w:rFonts w:ascii="宋体" w:hAnsi="Courier New"/>
      <w:szCs w:val="21"/>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next w:val="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First Indent"/>
    <w:basedOn w:val="6"/>
    <w:qFormat/>
    <w:uiPriority w:val="0"/>
    <w:pPr>
      <w:spacing w:line="312" w:lineRule="auto"/>
      <w:ind w:firstLine="420"/>
    </w:pPr>
  </w:style>
  <w:style w:type="paragraph" w:styleId="17">
    <w:name w:val="Body Text First Indent 2"/>
    <w:basedOn w:val="8"/>
    <w:next w:val="1"/>
    <w:qFormat/>
    <w:uiPriority w:val="0"/>
    <w:pPr>
      <w:ind w:firstLine="420" w:firstLineChars="200"/>
    </w:pPr>
    <w:rPr>
      <w:kern w:val="2"/>
      <w:sz w:val="21"/>
    </w:rPr>
  </w:style>
  <w:style w:type="table" w:styleId="19">
    <w:name w:val="Table Grid"/>
    <w:basedOn w:val="18"/>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格式"/>
    <w:basedOn w:val="1"/>
    <w:qFormat/>
    <w:uiPriority w:val="0"/>
    <w:pPr>
      <w:topLinePunct/>
      <w:ind w:firstLine="420" w:firstLineChars="200"/>
    </w:pPr>
    <w:rPr>
      <w:rFonts w:ascii="宋体" w:hAnsi="宋体"/>
      <w:bCs/>
      <w:kern w:val="0"/>
      <w:sz w:val="20"/>
      <w:szCs w:val="21"/>
    </w:rPr>
  </w:style>
  <w:style w:type="paragraph" w:customStyle="1" w:styleId="22">
    <w:name w:val="A正文"/>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4319</Words>
  <Characters>4607</Characters>
  <Lines>0</Lines>
  <Paragraphs>0</Paragraphs>
  <TotalTime>1</TotalTime>
  <ScaleCrop>false</ScaleCrop>
  <LinksUpToDate>false</LinksUpToDate>
  <CharactersWithSpaces>4703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2025-08-19T09:50:00Z</dcterms:created>
  <dc:creator>Zeo干到周五</dc:creator>
  <cp:lastModifiedBy>Zeo干到周五</cp:lastModifiedBy>
  <dcterms:modified xsi:type="dcterms:W3CDTF">2025-08-19T09:56:42Z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97B9CABE483E494CAFB000DECE798037_11</vt:lpwstr>
  </property>
  <property fmtid="{D5CDD505-2E9C-101B-9397-08002B2CF9AE}" pid="4" name="KSOTemplateDocerSaveRecord">
    <vt:lpwstr>eyJoZGlkIjoiMzcwOGEwZjRmMTA1M2NhOTIwMDEyNWJiOTlmZjBhYjYiLCJ1c2VySWQiOiIxNjAyMTY2NDQ1In0=</vt:lpwstr>
  </property>
</Properties>
</file>