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479DA">
      <w:pPr>
        <w:keepNext w:val="0"/>
        <w:keepLines w:val="0"/>
        <w:pageBreakBefore w:val="0"/>
        <w:widowControl w:val="0"/>
        <w:kinsoku/>
        <w:wordWrap/>
        <w:overflowPunct/>
        <w:topLinePunct w:val="0"/>
        <w:autoSpaceDE/>
        <w:autoSpaceDN/>
        <w:bidi w:val="0"/>
        <w:adjustRightInd/>
        <w:snapToGrid/>
        <w:spacing w:before="3120" w:beforeLines="1000" w:line="360" w:lineRule="auto"/>
        <w:jc w:val="center"/>
        <w:textAlignment w:val="auto"/>
        <w:rPr>
          <w:rFonts w:hint="default" w:ascii="仿宋" w:hAnsi="仿宋" w:eastAsia="仿宋" w:cs="仿宋"/>
          <w:b/>
          <w:color w:val="auto"/>
          <w:kern w:val="2"/>
          <w:sz w:val="28"/>
          <w:szCs w:val="48"/>
          <w:highlight w:val="none"/>
          <w:lang w:val="en-US" w:eastAsia="zh-CN"/>
        </w:rPr>
      </w:pPr>
      <w:r>
        <w:rPr>
          <w:rFonts w:hint="eastAsia" w:ascii="仿宋" w:hAnsi="仿宋" w:eastAsia="仿宋" w:cs="仿宋"/>
          <w:b/>
          <w:color w:val="auto"/>
          <w:sz w:val="48"/>
          <w:szCs w:val="48"/>
          <w:highlight w:val="none"/>
          <w:lang w:eastAsia="zh-CN"/>
        </w:rPr>
        <w:t>广东省财经职业技术学校新校区建设项目监理</w:t>
      </w:r>
      <w:r>
        <w:rPr>
          <w:rFonts w:hint="eastAsia" w:ascii="仿宋" w:hAnsi="仿宋" w:eastAsia="仿宋" w:cs="仿宋"/>
          <w:b/>
          <w:color w:val="auto"/>
          <w:sz w:val="48"/>
          <w:szCs w:val="48"/>
          <w:highlight w:val="none"/>
          <w:lang w:val="en-US" w:eastAsia="zh-CN"/>
        </w:rPr>
        <w:t>服务</w:t>
      </w:r>
    </w:p>
    <w:p w14:paraId="4067529F">
      <w:pPr>
        <w:keepNext w:val="0"/>
        <w:keepLines w:val="0"/>
        <w:pageBreakBefore w:val="0"/>
        <w:widowControl w:val="0"/>
        <w:kinsoku/>
        <w:wordWrap/>
        <w:overflowPunct/>
        <w:topLinePunct w:val="0"/>
        <w:autoSpaceDE/>
        <w:autoSpaceDN/>
        <w:bidi w:val="0"/>
        <w:adjustRightInd/>
        <w:snapToGrid/>
        <w:spacing w:before="2496" w:beforeLines="800" w:after="3120" w:afterLines="1000" w:line="360" w:lineRule="auto"/>
        <w:jc w:val="center"/>
        <w:textAlignment w:val="auto"/>
        <w:rPr>
          <w:rFonts w:hint="eastAsia" w:ascii="仿宋" w:hAnsi="仿宋" w:eastAsia="仿宋" w:cs="仿宋"/>
          <w:b/>
          <w:color w:val="auto"/>
          <w:kern w:val="2"/>
          <w:sz w:val="96"/>
          <w:szCs w:val="84"/>
          <w:highlight w:val="none"/>
          <w:lang w:eastAsia="zh-CN"/>
        </w:rPr>
      </w:pPr>
      <w:r>
        <w:rPr>
          <w:rFonts w:hint="eastAsia" w:ascii="仿宋" w:hAnsi="仿宋" w:eastAsia="仿宋" w:cs="仿宋"/>
          <w:b/>
          <w:color w:val="auto"/>
          <w:kern w:val="2"/>
          <w:sz w:val="96"/>
          <w:szCs w:val="84"/>
          <w:highlight w:val="none"/>
          <w:lang w:eastAsia="zh-CN"/>
        </w:rPr>
        <w:t>招标</w:t>
      </w:r>
      <w:r>
        <w:rPr>
          <w:rFonts w:hint="eastAsia" w:ascii="仿宋" w:hAnsi="仿宋" w:eastAsia="仿宋" w:cs="仿宋"/>
          <w:b/>
          <w:color w:val="auto"/>
          <w:kern w:val="2"/>
          <w:sz w:val="96"/>
          <w:szCs w:val="84"/>
          <w:highlight w:val="none"/>
          <w:lang w:val="en-US" w:eastAsia="zh-CN"/>
        </w:rPr>
        <w:t>公告</w:t>
      </w:r>
    </w:p>
    <w:p w14:paraId="13E270FC">
      <w:pPr>
        <w:spacing w:line="360" w:lineRule="auto"/>
        <w:ind w:left="0" w:leftChars="0" w:firstLine="0" w:firstLineChars="0"/>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t>招标人：</w:t>
      </w:r>
      <w:r>
        <w:rPr>
          <w:rFonts w:hint="eastAsia" w:ascii="仿宋" w:hAnsi="仿宋" w:eastAsia="仿宋" w:cs="仿宋"/>
          <w:b/>
          <w:color w:val="auto"/>
          <w:sz w:val="32"/>
          <w:szCs w:val="32"/>
          <w:highlight w:val="none"/>
          <w:u w:val="single"/>
          <w:lang w:eastAsia="zh-CN"/>
        </w:rPr>
        <w:t>广东省财经职业技术学校</w:t>
      </w:r>
    </w:p>
    <w:p w14:paraId="50CB916D">
      <w:pPr>
        <w:spacing w:line="360" w:lineRule="auto"/>
        <w:ind w:left="0" w:leftChars="0" w:firstLine="0" w:firstLineChars="0"/>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t>招标代理机构：</w:t>
      </w:r>
      <w:r>
        <w:rPr>
          <w:rFonts w:hint="eastAsia" w:ascii="仿宋" w:hAnsi="仿宋" w:eastAsia="仿宋" w:cs="仿宋"/>
          <w:b/>
          <w:color w:val="auto"/>
          <w:sz w:val="32"/>
          <w:highlight w:val="none"/>
          <w:u w:val="single"/>
          <w:lang w:eastAsia="zh-CN"/>
        </w:rPr>
        <w:t>中捷通信有限公司</w:t>
      </w:r>
    </w:p>
    <w:p w14:paraId="7A6A0201">
      <w:pPr>
        <w:pStyle w:val="3"/>
        <w:ind w:left="0" w:leftChars="0" w:firstLine="0" w:firstLineChars="0"/>
        <w:jc w:val="center"/>
        <w:rPr>
          <w:rFonts w:hint="eastAsia" w:ascii="仿宋" w:hAnsi="仿宋" w:eastAsia="仿宋" w:cs="仿宋"/>
          <w:color w:val="auto"/>
          <w:highlight w:val="none"/>
        </w:rPr>
        <w:sectPr>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pPr>
      <w:r>
        <w:rPr>
          <w:rFonts w:hint="eastAsia" w:ascii="仿宋" w:hAnsi="仿宋" w:eastAsia="仿宋" w:cs="仿宋"/>
          <w:b/>
          <w:color w:val="auto"/>
          <w:sz w:val="32"/>
          <w:szCs w:val="32"/>
          <w:highlight w:val="none"/>
          <w:lang w:eastAsia="zh-CN"/>
        </w:rPr>
        <w:t>日期：202</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lang w:eastAsia="zh-CN"/>
        </w:rPr>
        <w:t>年</w:t>
      </w: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lang w:eastAsia="zh-CN"/>
        </w:rPr>
        <w:t>月</w:t>
      </w:r>
    </w:p>
    <w:p w14:paraId="65808705">
      <w:pPr>
        <w:spacing w:line="440" w:lineRule="exact"/>
        <w:jc w:val="center"/>
        <w:rPr>
          <w:rFonts w:hint="default" w:ascii="仿宋" w:hAnsi="仿宋" w:eastAsia="仿宋" w:cs="仿宋"/>
          <w:color w:val="auto"/>
          <w:sz w:val="36"/>
          <w:szCs w:val="32"/>
          <w:highlight w:val="none"/>
          <w:lang w:val="en-US" w:eastAsia="zh-CN"/>
        </w:rPr>
      </w:pPr>
      <w:r>
        <w:rPr>
          <w:rFonts w:hint="eastAsia" w:ascii="仿宋" w:hAnsi="仿宋" w:eastAsia="仿宋" w:cs="仿宋"/>
          <w:color w:val="auto"/>
          <w:sz w:val="36"/>
          <w:szCs w:val="32"/>
          <w:highlight w:val="none"/>
          <w:lang w:eastAsia="zh-CN"/>
        </w:rPr>
        <w:t>广东省财经职业技术学校新校区建设项目监理</w:t>
      </w:r>
      <w:r>
        <w:rPr>
          <w:rFonts w:hint="eastAsia" w:ascii="仿宋" w:hAnsi="仿宋" w:eastAsia="仿宋" w:cs="仿宋"/>
          <w:color w:val="auto"/>
          <w:sz w:val="36"/>
          <w:szCs w:val="32"/>
          <w:highlight w:val="none"/>
          <w:lang w:val="en-US" w:eastAsia="zh-CN"/>
        </w:rPr>
        <w:t>服务</w:t>
      </w:r>
    </w:p>
    <w:p w14:paraId="44013A72">
      <w:pPr>
        <w:spacing w:line="440" w:lineRule="exact"/>
        <w:jc w:val="center"/>
        <w:rPr>
          <w:rFonts w:hint="eastAsia" w:ascii="仿宋" w:hAnsi="仿宋" w:eastAsia="仿宋" w:cs="仿宋"/>
          <w:color w:val="auto"/>
          <w:sz w:val="36"/>
          <w:szCs w:val="32"/>
          <w:highlight w:val="none"/>
        </w:rPr>
      </w:pPr>
      <w:r>
        <w:rPr>
          <w:rFonts w:hint="eastAsia" w:ascii="仿宋" w:hAnsi="仿宋" w:eastAsia="仿宋" w:cs="仿宋"/>
          <w:color w:val="auto"/>
          <w:sz w:val="36"/>
          <w:szCs w:val="32"/>
          <w:highlight w:val="none"/>
        </w:rPr>
        <w:t>招标公告</w:t>
      </w:r>
    </w:p>
    <w:p w14:paraId="2BBF49D6">
      <w:pPr>
        <w:pStyle w:val="2"/>
        <w:keepNext w:val="0"/>
        <w:keepLines w:val="0"/>
        <w:spacing w:before="0" w:after="0" w:line="360" w:lineRule="auto"/>
        <w:rPr>
          <w:rFonts w:hint="eastAsia" w:ascii="仿宋" w:hAnsi="仿宋" w:eastAsia="仿宋" w:cs="仿宋"/>
          <w:color w:val="auto"/>
          <w:highlight w:val="none"/>
        </w:rPr>
      </w:pPr>
      <w:bookmarkStart w:id="0" w:name="_Toc511557025"/>
      <w:bookmarkStart w:id="1" w:name="_Toc514099623"/>
      <w:r>
        <w:rPr>
          <w:rFonts w:hint="eastAsia" w:ascii="仿宋" w:hAnsi="仿宋" w:eastAsia="仿宋" w:cs="仿宋"/>
          <w:color w:val="auto"/>
          <w:highlight w:val="none"/>
        </w:rPr>
        <w:t>1. 招标条件</w:t>
      </w:r>
      <w:bookmarkEnd w:id="0"/>
      <w:bookmarkEnd w:id="1"/>
    </w:p>
    <w:p w14:paraId="4477D237">
      <w:pPr>
        <w:spacing w:line="360" w:lineRule="auto"/>
        <w:ind w:firstLine="48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24"/>
          <w:szCs w:val="24"/>
          <w:highlight w:val="none"/>
        </w:rPr>
        <w:t>本招标项目</w:t>
      </w:r>
      <w:r>
        <w:rPr>
          <w:rFonts w:hint="eastAsia" w:ascii="仿宋" w:hAnsi="仿宋" w:eastAsia="仿宋" w:cs="仿宋"/>
          <w:color w:val="auto"/>
          <w:sz w:val="24"/>
          <w:szCs w:val="24"/>
          <w:highlight w:val="none"/>
          <w:u w:val="single"/>
          <w:lang w:eastAsia="zh-CN"/>
        </w:rPr>
        <w:t>广东省财经职业技术学校新校区建设项目</w:t>
      </w:r>
      <w:r>
        <w:rPr>
          <w:rFonts w:hint="eastAsia" w:ascii="仿宋" w:hAnsi="仿宋" w:eastAsia="仿宋" w:cs="仿宋"/>
          <w:color w:val="auto"/>
          <w:sz w:val="24"/>
          <w:szCs w:val="24"/>
          <w:highlight w:val="none"/>
        </w:rPr>
        <w:t>已由</w:t>
      </w:r>
      <w:r>
        <w:rPr>
          <w:rFonts w:hint="eastAsia" w:ascii="仿宋" w:hAnsi="仿宋" w:eastAsia="仿宋" w:cs="仿宋"/>
          <w:color w:val="auto"/>
          <w:sz w:val="24"/>
          <w:szCs w:val="24"/>
          <w:highlight w:val="none"/>
          <w:u w:val="single"/>
        </w:rPr>
        <w:t>广东省发展和改革委员会</w:t>
      </w:r>
      <w:r>
        <w:rPr>
          <w:rFonts w:hint="eastAsia" w:ascii="仿宋" w:hAnsi="仿宋" w:eastAsia="仿宋" w:cs="仿宋"/>
          <w:color w:val="auto"/>
          <w:sz w:val="24"/>
          <w:szCs w:val="24"/>
          <w:highlight w:val="none"/>
        </w:rPr>
        <w:t>以</w:t>
      </w:r>
      <w:r>
        <w:rPr>
          <w:rFonts w:hint="eastAsia" w:ascii="仿宋" w:hAnsi="仿宋" w:eastAsia="仿宋" w:cs="仿宋"/>
          <w:color w:val="auto"/>
          <w:sz w:val="24"/>
          <w:szCs w:val="24"/>
          <w:highlight w:val="none"/>
          <w:u w:val="single"/>
        </w:rPr>
        <w:t>粤发改投审〔2025〕42号</w:t>
      </w:r>
      <w:r>
        <w:rPr>
          <w:rFonts w:hint="eastAsia" w:ascii="仿宋" w:hAnsi="仿宋" w:eastAsia="仿宋" w:cs="仿宋"/>
          <w:color w:val="auto"/>
          <w:sz w:val="24"/>
          <w:szCs w:val="24"/>
          <w:highlight w:val="none"/>
        </w:rPr>
        <w:t>批准建设，建设资金来自</w:t>
      </w:r>
      <w:r>
        <w:rPr>
          <w:rFonts w:hint="eastAsia" w:ascii="仿宋" w:hAnsi="仿宋" w:eastAsia="仿宋" w:cs="仿宋"/>
          <w:color w:val="auto"/>
          <w:sz w:val="24"/>
          <w:szCs w:val="24"/>
          <w:highlight w:val="none"/>
          <w:u w:val="single"/>
        </w:rPr>
        <w:t>学校自筹资金，同时积极申请专项债等</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项目出资比例为100%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招标人为</w:t>
      </w:r>
      <w:r>
        <w:rPr>
          <w:rFonts w:hint="eastAsia" w:ascii="仿宋" w:hAnsi="仿宋" w:eastAsia="仿宋" w:cs="仿宋"/>
          <w:color w:val="auto"/>
          <w:sz w:val="24"/>
          <w:szCs w:val="24"/>
          <w:highlight w:val="none"/>
          <w:u w:val="single"/>
          <w:lang w:eastAsia="zh-CN"/>
        </w:rPr>
        <w:t>广东省财经职业技术学校</w:t>
      </w:r>
      <w:r>
        <w:rPr>
          <w:rFonts w:hint="eastAsia" w:ascii="仿宋" w:hAnsi="仿宋" w:eastAsia="仿宋" w:cs="仿宋"/>
          <w:color w:val="auto"/>
          <w:sz w:val="24"/>
          <w:szCs w:val="24"/>
          <w:highlight w:val="none"/>
        </w:rPr>
        <w:t>。项目已具备招标条件，现对该项目的</w:t>
      </w:r>
      <w:r>
        <w:rPr>
          <w:rFonts w:hint="eastAsia" w:ascii="仿宋" w:hAnsi="仿宋" w:eastAsia="仿宋" w:cs="仿宋"/>
          <w:color w:val="auto"/>
          <w:sz w:val="24"/>
          <w:szCs w:val="24"/>
          <w:highlight w:val="none"/>
          <w:u w:val="single"/>
        </w:rPr>
        <w:t>监理</w:t>
      </w:r>
      <w:r>
        <w:rPr>
          <w:rFonts w:hint="eastAsia" w:ascii="仿宋" w:hAnsi="仿宋" w:eastAsia="仿宋" w:cs="仿宋"/>
          <w:color w:val="auto"/>
          <w:sz w:val="24"/>
          <w:szCs w:val="24"/>
          <w:highlight w:val="none"/>
          <w:u w:val="single"/>
          <w:lang w:val="en-US" w:eastAsia="zh-CN"/>
        </w:rPr>
        <w:t>服务</w:t>
      </w:r>
      <w:r>
        <w:rPr>
          <w:rFonts w:hint="eastAsia" w:ascii="仿宋" w:hAnsi="仿宋" w:eastAsia="仿宋" w:cs="仿宋"/>
          <w:color w:val="auto"/>
          <w:sz w:val="24"/>
          <w:szCs w:val="24"/>
          <w:highlight w:val="none"/>
        </w:rPr>
        <w:t>进行公开招标。</w:t>
      </w:r>
    </w:p>
    <w:p w14:paraId="59F10C9F">
      <w:pPr>
        <w:pStyle w:val="2"/>
        <w:keepNext w:val="0"/>
        <w:keepLines w:val="0"/>
        <w:spacing w:before="0" w:after="0" w:line="360" w:lineRule="auto"/>
        <w:rPr>
          <w:rFonts w:hint="eastAsia" w:ascii="仿宋" w:hAnsi="仿宋" w:eastAsia="仿宋" w:cs="仿宋"/>
          <w:color w:val="auto"/>
          <w:highlight w:val="none"/>
        </w:rPr>
      </w:pPr>
      <w:bookmarkStart w:id="2" w:name="_Toc511557026"/>
      <w:bookmarkStart w:id="3" w:name="_Toc514099624"/>
      <w:r>
        <w:rPr>
          <w:rFonts w:hint="eastAsia" w:ascii="仿宋" w:hAnsi="仿宋" w:eastAsia="仿宋" w:cs="仿宋"/>
          <w:color w:val="auto"/>
          <w:highlight w:val="none"/>
        </w:rPr>
        <w:t>2. 项目概况与招标范围</w:t>
      </w:r>
      <w:bookmarkEnd w:id="2"/>
      <w:bookmarkEnd w:id="3"/>
    </w:p>
    <w:p w14:paraId="541D9CF1">
      <w:pPr>
        <w:tabs>
          <w:tab w:val="left" w:pos="7513"/>
        </w:tabs>
        <w:spacing w:line="360" w:lineRule="auto"/>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2.1招标项目概况</w:t>
      </w:r>
    </w:p>
    <w:p w14:paraId="5B566FC8">
      <w:pPr>
        <w:tabs>
          <w:tab w:val="left" w:pos="7513"/>
        </w:tabs>
        <w:spacing w:line="360" w:lineRule="auto"/>
        <w:ind w:firstLine="424" w:firstLineChars="177"/>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2.1.1招标项目名称：</w:t>
      </w:r>
      <w:r>
        <w:rPr>
          <w:rFonts w:hint="eastAsia" w:ascii="仿宋" w:hAnsi="仿宋" w:eastAsia="仿宋" w:cs="仿宋"/>
          <w:color w:val="auto"/>
          <w:sz w:val="24"/>
          <w:szCs w:val="24"/>
          <w:highlight w:val="none"/>
          <w:u w:val="single"/>
          <w:lang w:eastAsia="zh-CN"/>
        </w:rPr>
        <w:t>广东省财经职业技术学校新校区建设项目监理</w:t>
      </w:r>
      <w:r>
        <w:rPr>
          <w:rFonts w:hint="eastAsia" w:ascii="仿宋" w:hAnsi="仿宋" w:eastAsia="仿宋" w:cs="仿宋"/>
          <w:color w:val="auto"/>
          <w:sz w:val="24"/>
          <w:szCs w:val="24"/>
          <w:highlight w:val="none"/>
          <w:u w:val="single"/>
          <w:lang w:val="en-US" w:eastAsia="zh-CN"/>
        </w:rPr>
        <w:t>服务</w:t>
      </w:r>
      <w:r>
        <w:rPr>
          <w:rFonts w:hint="eastAsia" w:ascii="仿宋" w:hAnsi="仿宋" w:eastAsia="仿宋" w:cs="仿宋"/>
          <w:color w:val="auto"/>
          <w:sz w:val="24"/>
          <w:szCs w:val="24"/>
          <w:highlight w:val="none"/>
          <w:u w:val="single"/>
        </w:rPr>
        <w:t>。</w:t>
      </w:r>
    </w:p>
    <w:p w14:paraId="6E99D7E8">
      <w:pPr>
        <w:tabs>
          <w:tab w:val="left" w:pos="7513"/>
        </w:tabs>
        <w:spacing w:line="360" w:lineRule="auto"/>
        <w:ind w:firstLine="424" w:firstLineChars="177"/>
        <w:rPr>
          <w:rFonts w:hint="eastAsia" w:ascii="仿宋" w:hAnsi="仿宋" w:eastAsia="仿宋" w:cs="仿宋"/>
          <w:color w:val="auto"/>
          <w:sz w:val="24"/>
          <w:highlight w:val="none"/>
          <w:u w:val="single"/>
        </w:rPr>
      </w:pPr>
      <w:r>
        <w:rPr>
          <w:rFonts w:hint="eastAsia" w:ascii="仿宋" w:hAnsi="仿宋" w:eastAsia="仿宋" w:cs="仿宋"/>
          <w:color w:val="auto"/>
          <w:sz w:val="24"/>
          <w:szCs w:val="24"/>
          <w:highlight w:val="none"/>
        </w:rPr>
        <w:t>2.1.2工程建设地点：</w:t>
      </w:r>
      <w:r>
        <w:rPr>
          <w:rFonts w:hint="eastAsia" w:ascii="仿宋" w:hAnsi="仿宋" w:eastAsia="仿宋" w:cs="仿宋"/>
          <w:color w:val="auto"/>
          <w:sz w:val="24"/>
          <w:szCs w:val="24"/>
          <w:highlight w:val="none"/>
          <w:u w:val="single"/>
        </w:rPr>
        <w:t>广州市增城区中新镇五联村</w:t>
      </w:r>
      <w:r>
        <w:rPr>
          <w:rFonts w:hint="eastAsia" w:ascii="仿宋" w:hAnsi="仿宋" w:eastAsia="仿宋" w:cs="仿宋"/>
          <w:color w:val="auto"/>
          <w:sz w:val="24"/>
          <w:szCs w:val="24"/>
          <w:highlight w:val="none"/>
          <w:u w:val="single"/>
          <w:lang w:eastAsia="zh-CN"/>
        </w:rPr>
        <w:t>。</w:t>
      </w:r>
    </w:p>
    <w:p w14:paraId="5121456B">
      <w:pPr>
        <w:shd w:val="clear" w:color="auto" w:fill="FFFFFF"/>
        <w:adjustRightInd w:val="0"/>
        <w:spacing w:line="360" w:lineRule="auto"/>
        <w:ind w:firstLine="420" w:firstLineChars="175"/>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2.1.3工程建设规模：</w:t>
      </w:r>
      <w:r>
        <w:rPr>
          <w:rFonts w:hint="eastAsia" w:ascii="仿宋" w:hAnsi="仿宋" w:eastAsia="仿宋" w:cs="仿宋"/>
          <w:color w:val="auto"/>
          <w:sz w:val="24"/>
          <w:szCs w:val="24"/>
          <w:highlight w:val="none"/>
          <w:u w:val="single"/>
        </w:rPr>
        <w:t>本项目占地面积约300亩（不含留用地），总建筑面积为242953㎡，其中地上建筑面积225038㎡，地下建筑面积17915㎡。建设内容包括1#行政综合楼地上建筑面积22440㎡；2#专业教室及实训用房地上建筑面积63500㎡；3#综合实训楼建筑面积15190㎡；4#图书馆建筑面积11650㎡；5#食堂1及大学生活动中心建筑面积15000㎡；6#食堂2及后勤用房建筑面积10500㎡；7#高职学生宿舍及教师公寓建筑面积60100㎡；8#中职学生宿舍建筑面积15750㎡；9#室内体育用房建筑面积8810㎡；风雨连廊建筑面积2098㎡；地下室（含人防）建筑面积17915㎡，配套建设室外运动场、室外停车场、道路广场、绿地、挡土墙及护坡、截洪沟、外电工程、充电桩、围墙、校门、标识等工程（教学设备及家具教具不包含在内）。其中最大单体建筑面积为63500㎡，最高建筑为地上10层、地下1层，建筑高度为42.8米。（最终以规划行政部门和报批报建批复为准）</w:t>
      </w:r>
      <w:r>
        <w:rPr>
          <w:rFonts w:hint="eastAsia" w:ascii="仿宋" w:hAnsi="仿宋" w:eastAsia="仿宋" w:cs="仿宋"/>
          <w:color w:val="auto"/>
          <w:sz w:val="24"/>
          <w:szCs w:val="24"/>
          <w:highlight w:val="none"/>
          <w:u w:val="single"/>
          <w:lang w:eastAsia="zh-CN"/>
        </w:rPr>
        <w:t>。</w:t>
      </w:r>
    </w:p>
    <w:p w14:paraId="45AACA4C">
      <w:pPr>
        <w:shd w:val="clear" w:color="auto" w:fill="FFFFFF"/>
        <w:adjustRightInd w:val="0"/>
        <w:spacing w:line="360" w:lineRule="auto"/>
        <w:ind w:firstLine="420" w:firstLineChars="175"/>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2.1.4</w:t>
      </w:r>
      <w:bookmarkStart w:id="4" w:name="_Hlk35723109"/>
      <w:r>
        <w:rPr>
          <w:rFonts w:hint="eastAsia" w:ascii="仿宋" w:hAnsi="仿宋" w:eastAsia="仿宋" w:cs="仿宋"/>
          <w:color w:val="auto"/>
          <w:sz w:val="24"/>
          <w:highlight w:val="none"/>
        </w:rPr>
        <w:t>工程总投资：</w:t>
      </w:r>
      <w:bookmarkEnd w:id="4"/>
      <w:r>
        <w:rPr>
          <w:rFonts w:hint="eastAsia" w:ascii="仿宋" w:hAnsi="仿宋" w:eastAsia="仿宋" w:cs="仿宋"/>
          <w:color w:val="auto"/>
          <w:sz w:val="24"/>
          <w:highlight w:val="none"/>
          <w:u w:val="single"/>
          <w:lang w:val="en-US" w:eastAsia="zh-CN"/>
        </w:rPr>
        <w:t>人民币约136280.69万元。</w:t>
      </w:r>
      <w:r>
        <w:rPr>
          <w:rFonts w:hint="eastAsia" w:ascii="仿宋" w:hAnsi="仿宋" w:eastAsia="仿宋" w:cs="仿宋"/>
          <w:color w:val="auto"/>
          <w:sz w:val="24"/>
          <w:highlight w:val="none"/>
          <w:u w:val="single"/>
        </w:rPr>
        <w:t>其中，工程费用104175.57万元</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（最终以批复概算为准）</w:t>
      </w:r>
    </w:p>
    <w:p w14:paraId="24A94AA1">
      <w:pPr>
        <w:tabs>
          <w:tab w:val="left" w:pos="7513"/>
        </w:tabs>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2.2招标范围：</w:t>
      </w:r>
    </w:p>
    <w:p w14:paraId="770B6A09">
      <w:pPr>
        <w:shd w:val="clear" w:color="auto" w:fill="FFFFFF"/>
        <w:adjustRightInd w:val="0"/>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highlight w:val="none"/>
        </w:rPr>
        <w:t>2.2.1标段划分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本项目设1个标段。</w:t>
      </w:r>
    </w:p>
    <w:p w14:paraId="00CA3F62">
      <w:pPr>
        <w:adjustRightInd w:val="0"/>
        <w:snapToGrid w:val="0"/>
        <w:spacing w:line="360" w:lineRule="auto"/>
        <w:ind w:firstLine="480" w:firstLineChars="200"/>
        <w:rPr>
          <w:rFonts w:hint="eastAsia" w:ascii="仿宋" w:hAnsi="仿宋" w:eastAsia="仿宋" w:cs="仿宋"/>
          <w:snapToGrid w:val="0"/>
          <w:color w:val="auto"/>
          <w:kern w:val="0"/>
          <w:sz w:val="24"/>
          <w:szCs w:val="24"/>
          <w:highlight w:val="none"/>
          <w:u w:val="single"/>
        </w:rPr>
      </w:pPr>
      <w:r>
        <w:rPr>
          <w:rFonts w:hint="eastAsia" w:ascii="仿宋" w:hAnsi="仿宋" w:eastAsia="仿宋" w:cs="仿宋"/>
          <w:color w:val="auto"/>
          <w:sz w:val="24"/>
          <w:highlight w:val="none"/>
        </w:rPr>
        <w:t>2.2.2监理范围：</w:t>
      </w:r>
      <w:bookmarkStart w:id="5" w:name="_Hlk156314783"/>
      <w:bookmarkStart w:id="6" w:name="OLE_LINK4"/>
      <w:r>
        <w:rPr>
          <w:rFonts w:hint="eastAsia" w:ascii="仿宋" w:hAnsi="仿宋" w:eastAsia="仿宋" w:cs="仿宋"/>
          <w:snapToGrid w:val="0"/>
          <w:color w:val="auto"/>
          <w:kern w:val="0"/>
          <w:sz w:val="24"/>
          <w:szCs w:val="24"/>
          <w:highlight w:val="none"/>
          <w:u w:val="single"/>
        </w:rPr>
        <w:t>负责本项目立项（含可研）范围内所有工程内容前期阶段[</w:t>
      </w:r>
      <w:r>
        <w:rPr>
          <w:rFonts w:hint="eastAsia" w:ascii="仿宋" w:hAnsi="仿宋" w:eastAsia="仿宋" w:cs="仿宋"/>
          <w:snapToGrid w:val="0"/>
          <w:color w:val="auto"/>
          <w:kern w:val="0"/>
          <w:sz w:val="24"/>
          <w:szCs w:val="24"/>
          <w:highlight w:val="none"/>
          <w:u w:val="single"/>
          <w:lang w:eastAsia="zh-CN"/>
        </w:rPr>
        <w:t>含</w:t>
      </w:r>
      <w:r>
        <w:rPr>
          <w:rFonts w:hint="eastAsia" w:ascii="仿宋" w:hAnsi="仿宋" w:eastAsia="仿宋" w:cs="仿宋"/>
          <w:snapToGrid w:val="0"/>
          <w:color w:val="auto"/>
          <w:kern w:val="0"/>
          <w:sz w:val="24"/>
          <w:szCs w:val="24"/>
          <w:highlight w:val="none"/>
          <w:u w:val="single"/>
        </w:rPr>
        <w:t>绿化及管线设施迁移的监理工作</w:t>
      </w:r>
      <w:r>
        <w:rPr>
          <w:rFonts w:hint="eastAsia" w:ascii="仿宋" w:hAnsi="仿宋" w:eastAsia="仿宋" w:cs="仿宋"/>
          <w:snapToGrid w:val="0"/>
          <w:color w:val="auto"/>
          <w:kern w:val="0"/>
          <w:sz w:val="24"/>
          <w:szCs w:val="24"/>
          <w:highlight w:val="none"/>
          <w:u w:val="single"/>
          <w:lang w:eastAsia="zh-CN"/>
        </w:rPr>
        <w:t>（如有）</w:t>
      </w:r>
      <w:r>
        <w:rPr>
          <w:rFonts w:hint="eastAsia" w:ascii="仿宋" w:hAnsi="仿宋" w:eastAsia="仿宋" w:cs="仿宋"/>
          <w:snapToGrid w:val="0"/>
          <w:color w:val="auto"/>
          <w:kern w:val="0"/>
          <w:sz w:val="24"/>
          <w:szCs w:val="24"/>
          <w:highlight w:val="none"/>
          <w:u w:val="single"/>
        </w:rPr>
        <w:t>等]、施工准备阶段（包含临时用水、临时用电）、施工阶段(包含永久用水、永久用电、工程勘察旁站、超前钻（如有）、燃气工程</w:t>
      </w:r>
      <w:r>
        <w:rPr>
          <w:rFonts w:hint="eastAsia" w:ascii="仿宋" w:hAnsi="仿宋" w:eastAsia="仿宋" w:cs="仿宋"/>
          <w:snapToGrid w:val="0"/>
          <w:color w:val="auto"/>
          <w:kern w:val="0"/>
          <w:sz w:val="24"/>
          <w:szCs w:val="24"/>
          <w:highlight w:val="none"/>
          <w:u w:val="single"/>
          <w:lang w:eastAsia="zh-CN"/>
        </w:rPr>
        <w:t>、</w:t>
      </w:r>
      <w:r>
        <w:rPr>
          <w:rFonts w:hint="eastAsia" w:ascii="仿宋" w:hAnsi="仿宋" w:eastAsia="仿宋" w:cs="仿宋"/>
          <w:snapToGrid w:val="0"/>
          <w:color w:val="auto"/>
          <w:kern w:val="0"/>
          <w:sz w:val="24"/>
          <w:szCs w:val="24"/>
          <w:highlight w:val="none"/>
          <w:u w:val="single"/>
        </w:rPr>
        <w:t>工程变更、工程签证)、工程收尾阶段（包括竣工验收、竣工验收资料移交城建档案</w:t>
      </w:r>
      <w:r>
        <w:rPr>
          <w:rFonts w:hint="eastAsia" w:ascii="仿宋" w:hAnsi="仿宋" w:eastAsia="仿宋" w:cs="仿宋"/>
          <w:snapToGrid w:val="0"/>
          <w:color w:val="auto"/>
          <w:kern w:val="0"/>
          <w:sz w:val="24"/>
          <w:szCs w:val="24"/>
          <w:highlight w:val="none"/>
          <w:u w:val="single"/>
          <w:lang w:eastAsia="zh-CN"/>
        </w:rPr>
        <w:t>、</w:t>
      </w:r>
      <w:r>
        <w:rPr>
          <w:rFonts w:hint="eastAsia" w:ascii="仿宋" w:hAnsi="仿宋" w:eastAsia="仿宋" w:cs="仿宋"/>
          <w:snapToGrid w:val="0"/>
          <w:color w:val="auto"/>
          <w:kern w:val="0"/>
          <w:sz w:val="24"/>
          <w:szCs w:val="24"/>
          <w:highlight w:val="none"/>
          <w:u w:val="single"/>
        </w:rPr>
        <w:t>整改、工程移交、实物移交</w:t>
      </w:r>
      <w:r>
        <w:rPr>
          <w:rFonts w:hint="eastAsia" w:ascii="仿宋" w:hAnsi="仿宋" w:eastAsia="仿宋" w:cs="仿宋"/>
          <w:snapToGrid w:val="0"/>
          <w:color w:val="auto"/>
          <w:kern w:val="0"/>
          <w:sz w:val="24"/>
          <w:szCs w:val="24"/>
          <w:highlight w:val="none"/>
          <w:u w:val="single"/>
          <w:lang w:eastAsia="zh-CN"/>
        </w:rPr>
        <w:t>、</w:t>
      </w:r>
      <w:r>
        <w:rPr>
          <w:rFonts w:hint="eastAsia" w:ascii="仿宋" w:hAnsi="仿宋" w:eastAsia="仿宋" w:cs="仿宋"/>
          <w:snapToGrid w:val="0"/>
          <w:color w:val="auto"/>
          <w:kern w:val="0"/>
          <w:sz w:val="24"/>
          <w:szCs w:val="24"/>
          <w:highlight w:val="none"/>
          <w:u w:val="single"/>
        </w:rPr>
        <w:t>工程结算、竣工备案等）</w:t>
      </w:r>
      <w:r>
        <w:rPr>
          <w:rFonts w:hint="eastAsia" w:ascii="仿宋" w:hAnsi="仿宋" w:eastAsia="仿宋" w:cs="仿宋"/>
          <w:snapToGrid w:val="0"/>
          <w:color w:val="auto"/>
          <w:kern w:val="0"/>
          <w:sz w:val="24"/>
          <w:szCs w:val="24"/>
          <w:highlight w:val="none"/>
          <w:u w:val="single"/>
          <w:lang w:eastAsia="zh-CN"/>
        </w:rPr>
        <w:t>、</w:t>
      </w:r>
      <w:r>
        <w:rPr>
          <w:rFonts w:hint="eastAsia" w:ascii="仿宋" w:hAnsi="仿宋" w:eastAsia="仿宋" w:cs="仿宋"/>
          <w:snapToGrid w:val="0"/>
          <w:color w:val="auto"/>
          <w:kern w:val="0"/>
          <w:sz w:val="24"/>
          <w:szCs w:val="24"/>
          <w:highlight w:val="none"/>
          <w:u w:val="single"/>
        </w:rPr>
        <w:t>及工程质量保修期阶段的质量控制、职业健康安全</w:t>
      </w:r>
      <w:r>
        <w:rPr>
          <w:rFonts w:hint="eastAsia" w:ascii="仿宋" w:hAnsi="仿宋" w:eastAsia="仿宋" w:cs="仿宋"/>
          <w:snapToGrid w:val="0"/>
          <w:color w:val="auto"/>
          <w:kern w:val="0"/>
          <w:sz w:val="24"/>
          <w:szCs w:val="24"/>
          <w:highlight w:val="none"/>
          <w:u w:val="single"/>
          <w:lang w:val="en-US" w:eastAsia="zh-CN"/>
        </w:rPr>
        <w:t>管理</w:t>
      </w:r>
      <w:r>
        <w:rPr>
          <w:rFonts w:hint="eastAsia" w:ascii="仿宋" w:hAnsi="仿宋" w:eastAsia="仿宋" w:cs="仿宋"/>
          <w:snapToGrid w:val="0"/>
          <w:color w:val="auto"/>
          <w:kern w:val="0"/>
          <w:sz w:val="24"/>
          <w:szCs w:val="24"/>
          <w:highlight w:val="none"/>
          <w:u w:val="single"/>
          <w:lang w:eastAsia="zh-CN"/>
        </w:rPr>
        <w:t>、</w:t>
      </w:r>
      <w:r>
        <w:rPr>
          <w:rFonts w:hint="eastAsia" w:ascii="仿宋" w:hAnsi="仿宋" w:eastAsia="仿宋" w:cs="仿宋"/>
          <w:snapToGrid w:val="0"/>
          <w:color w:val="auto"/>
          <w:kern w:val="0"/>
          <w:sz w:val="24"/>
          <w:szCs w:val="24"/>
          <w:highlight w:val="none"/>
          <w:u w:val="single"/>
        </w:rPr>
        <w:t>环境监督管理</w:t>
      </w:r>
      <w:r>
        <w:rPr>
          <w:rFonts w:hint="eastAsia" w:ascii="仿宋" w:hAnsi="仿宋" w:eastAsia="仿宋" w:cs="仿宋"/>
          <w:snapToGrid w:val="0"/>
          <w:color w:val="auto"/>
          <w:kern w:val="0"/>
          <w:sz w:val="24"/>
          <w:szCs w:val="24"/>
          <w:highlight w:val="none"/>
          <w:u w:val="single"/>
          <w:lang w:eastAsia="zh-CN"/>
        </w:rPr>
        <w:t>、</w:t>
      </w:r>
      <w:r>
        <w:rPr>
          <w:rFonts w:hint="eastAsia" w:ascii="仿宋" w:hAnsi="仿宋" w:eastAsia="仿宋" w:cs="仿宋"/>
          <w:snapToGrid w:val="0"/>
          <w:color w:val="auto"/>
          <w:kern w:val="0"/>
          <w:sz w:val="24"/>
          <w:szCs w:val="24"/>
          <w:highlight w:val="none"/>
          <w:u w:val="single"/>
        </w:rPr>
        <w:t>安全生产监督管理、投资控制、进度控制、合同管理、信息收集管理、组织协调、工程创优（如有）</w:t>
      </w:r>
      <w:r>
        <w:rPr>
          <w:rFonts w:hint="eastAsia" w:ascii="仿宋" w:hAnsi="仿宋" w:eastAsia="仿宋" w:cs="仿宋"/>
          <w:snapToGrid w:val="0"/>
          <w:color w:val="auto"/>
          <w:kern w:val="0"/>
          <w:sz w:val="24"/>
          <w:szCs w:val="24"/>
          <w:highlight w:val="none"/>
          <w:u w:val="single"/>
          <w:lang w:eastAsia="zh-CN"/>
        </w:rPr>
        <w:t>、因工程建设所需的红线外永久、临时工程、红线内外的代建道路、红线外与北侧地块的地下通道及绿化</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各项检测的见证、监督</w:t>
      </w:r>
      <w:r>
        <w:rPr>
          <w:rFonts w:hint="eastAsia" w:ascii="仿宋" w:hAnsi="仿宋" w:eastAsia="仿宋" w:cs="仿宋"/>
          <w:snapToGrid w:val="0"/>
          <w:color w:val="auto"/>
          <w:kern w:val="0"/>
          <w:sz w:val="24"/>
          <w:szCs w:val="24"/>
          <w:highlight w:val="none"/>
          <w:u w:val="single"/>
        </w:rPr>
        <w:t>等全过程监理工作，招标人可根据项目实际情况，对监理范围作调整，包括但不限于：</w:t>
      </w:r>
      <w:bookmarkEnd w:id="5"/>
    </w:p>
    <w:bookmarkEnd w:id="6"/>
    <w:p w14:paraId="06219C76">
      <w:pPr>
        <w:adjustRightInd w:val="0"/>
        <w:snapToGrid w:val="0"/>
        <w:spacing w:line="360" w:lineRule="auto"/>
        <w:ind w:firstLine="480" w:firstLineChars="200"/>
        <w:rPr>
          <w:rFonts w:hint="eastAsia" w:ascii="仿宋" w:hAnsi="仿宋" w:eastAsia="仿宋" w:cs="仿宋"/>
          <w:snapToGrid w:val="0"/>
          <w:color w:val="auto"/>
          <w:kern w:val="0"/>
          <w:sz w:val="24"/>
          <w:szCs w:val="24"/>
          <w:highlight w:val="none"/>
          <w:u w:val="single"/>
          <w:lang w:eastAsia="zh-CN"/>
        </w:rPr>
      </w:pPr>
      <w:bookmarkStart w:id="7" w:name="_Hlk156314806"/>
      <w:bookmarkStart w:id="8" w:name="OLE_LINK5"/>
      <w:r>
        <w:rPr>
          <w:rFonts w:hint="eastAsia" w:ascii="仿宋" w:hAnsi="仿宋" w:eastAsia="仿宋" w:cs="仿宋"/>
          <w:snapToGrid w:val="0"/>
          <w:color w:val="auto"/>
          <w:kern w:val="0"/>
          <w:sz w:val="24"/>
          <w:szCs w:val="24"/>
          <w:highlight w:val="none"/>
          <w:u w:val="single"/>
        </w:rPr>
        <w:t>（1）施工监理：对工程建设各项内容提供监理服务，包括但不限于以下内容：</w:t>
      </w:r>
      <w:bookmarkStart w:id="9" w:name="_Hlk156736425"/>
      <w:r>
        <w:rPr>
          <w:rFonts w:hint="eastAsia" w:ascii="仿宋" w:hAnsi="仿宋" w:eastAsia="仿宋" w:cs="仿宋"/>
          <w:snapToGrid w:val="0"/>
          <w:color w:val="auto"/>
          <w:kern w:val="0"/>
          <w:sz w:val="24"/>
          <w:szCs w:val="24"/>
          <w:highlight w:val="none"/>
          <w:u w:val="single"/>
        </w:rPr>
        <w:t>原建（构）筑物拆除工程（如有）、树木迁移（如有）</w:t>
      </w:r>
      <w:bookmarkEnd w:id="9"/>
      <w:r>
        <w:rPr>
          <w:rFonts w:hint="eastAsia" w:ascii="仿宋" w:hAnsi="仿宋" w:eastAsia="仿宋" w:cs="仿宋"/>
          <w:snapToGrid w:val="0"/>
          <w:color w:val="auto"/>
          <w:kern w:val="0"/>
          <w:sz w:val="24"/>
          <w:szCs w:val="24"/>
          <w:highlight w:val="none"/>
          <w:u w:val="single"/>
        </w:rPr>
        <w:t>，施工准备阶段（包含临时用水、临时用电）、施工阶段(包含永久用水、永久用电、超前钻（如有）、燃气工程</w:t>
      </w:r>
      <w:r>
        <w:rPr>
          <w:rFonts w:hint="eastAsia" w:ascii="仿宋" w:hAnsi="仿宋" w:eastAsia="仿宋" w:cs="仿宋"/>
          <w:snapToGrid w:val="0"/>
          <w:color w:val="auto"/>
          <w:kern w:val="0"/>
          <w:sz w:val="24"/>
          <w:szCs w:val="24"/>
          <w:highlight w:val="none"/>
          <w:u w:val="single"/>
          <w:lang w:eastAsia="zh-CN"/>
        </w:rPr>
        <w:t>、</w:t>
      </w:r>
      <w:r>
        <w:rPr>
          <w:rFonts w:hint="eastAsia" w:ascii="仿宋" w:hAnsi="仿宋" w:eastAsia="仿宋" w:cs="仿宋"/>
          <w:snapToGrid w:val="0"/>
          <w:color w:val="auto"/>
          <w:kern w:val="0"/>
          <w:sz w:val="24"/>
          <w:szCs w:val="24"/>
          <w:highlight w:val="none"/>
          <w:u w:val="single"/>
        </w:rPr>
        <w:t>工程勘察旁站)、工程收尾阶段（包括但不限于竣工验收、竣工验收资料移交城建档案</w:t>
      </w:r>
      <w:r>
        <w:rPr>
          <w:rFonts w:hint="eastAsia" w:ascii="仿宋" w:hAnsi="仿宋" w:eastAsia="仿宋" w:cs="仿宋"/>
          <w:snapToGrid w:val="0"/>
          <w:color w:val="auto"/>
          <w:kern w:val="0"/>
          <w:sz w:val="24"/>
          <w:szCs w:val="24"/>
          <w:highlight w:val="none"/>
          <w:u w:val="single"/>
          <w:lang w:eastAsia="zh-CN"/>
        </w:rPr>
        <w:t>、</w:t>
      </w:r>
      <w:r>
        <w:rPr>
          <w:rFonts w:hint="eastAsia" w:ascii="仿宋" w:hAnsi="仿宋" w:eastAsia="仿宋" w:cs="仿宋"/>
          <w:snapToGrid w:val="0"/>
          <w:color w:val="auto"/>
          <w:kern w:val="0"/>
          <w:sz w:val="24"/>
          <w:szCs w:val="24"/>
          <w:highlight w:val="none"/>
          <w:u w:val="single"/>
        </w:rPr>
        <w:t>整改、工程移交、实物移交</w:t>
      </w:r>
      <w:r>
        <w:rPr>
          <w:rFonts w:hint="eastAsia" w:ascii="仿宋" w:hAnsi="仿宋" w:eastAsia="仿宋" w:cs="仿宋"/>
          <w:snapToGrid w:val="0"/>
          <w:color w:val="auto"/>
          <w:kern w:val="0"/>
          <w:sz w:val="24"/>
          <w:szCs w:val="24"/>
          <w:highlight w:val="none"/>
          <w:u w:val="single"/>
          <w:lang w:eastAsia="zh-CN"/>
        </w:rPr>
        <w:t>、</w:t>
      </w:r>
      <w:r>
        <w:rPr>
          <w:rFonts w:hint="eastAsia" w:ascii="仿宋" w:hAnsi="仿宋" w:eastAsia="仿宋" w:cs="仿宋"/>
          <w:snapToGrid w:val="0"/>
          <w:color w:val="auto"/>
          <w:kern w:val="0"/>
          <w:sz w:val="24"/>
          <w:szCs w:val="24"/>
          <w:highlight w:val="none"/>
          <w:u w:val="single"/>
        </w:rPr>
        <w:t>工程结算、竣工备案等）、工程质量保修阶段的质量控制、安全生产监督管理、投资控制（包括但不限于投标清单复核（清标）、工</w:t>
      </w:r>
      <w:r>
        <w:rPr>
          <w:rFonts w:hint="eastAsia" w:ascii="仿宋" w:hAnsi="仿宋" w:eastAsia="仿宋" w:cs="仿宋"/>
          <w:snapToGrid w:val="0"/>
          <w:color w:val="auto"/>
          <w:kern w:val="0"/>
          <w:sz w:val="24"/>
          <w:szCs w:val="24"/>
          <w:highlight w:val="none"/>
          <w:u w:val="single"/>
          <w:lang w:eastAsia="zh-CN"/>
        </w:rPr>
        <w:t>程</w:t>
      </w:r>
      <w:r>
        <w:rPr>
          <w:rFonts w:hint="eastAsia" w:ascii="仿宋" w:hAnsi="仿宋" w:eastAsia="仿宋" w:cs="仿宋"/>
          <w:snapToGrid w:val="0"/>
          <w:color w:val="auto"/>
          <w:kern w:val="0"/>
          <w:sz w:val="24"/>
          <w:szCs w:val="24"/>
          <w:highlight w:val="none"/>
          <w:u w:val="single"/>
        </w:rPr>
        <w:t>款、设计变更、现场签证等）、进度控制、合同管理、信息管理、组织协调、设备监造、会同承包人编制检测（监测）方案以及协调委托人和工程建设有关各方的工作关系等，具体以实际实施的监理范围为准。按委托人的要求提前进场参与开工前期的准备和筹划工作，协助委托人制定各项工程管理办法及制度。</w:t>
      </w:r>
      <w:bookmarkStart w:id="10" w:name="auto_fouce_1"/>
      <w:r>
        <w:rPr>
          <w:rFonts w:hint="eastAsia" w:ascii="仿宋" w:hAnsi="仿宋" w:eastAsia="仿宋" w:cs="仿宋"/>
          <w:snapToGrid w:val="0"/>
          <w:color w:val="auto"/>
          <w:kern w:val="0"/>
          <w:sz w:val="24"/>
          <w:szCs w:val="24"/>
          <w:highlight w:val="none"/>
          <w:u w:val="single"/>
        </w:rPr>
        <w:t>监理人需严格执行委托人现行的设计变更管理办法和签证管理办法等，否则监理人</w:t>
      </w:r>
      <w:r>
        <w:rPr>
          <w:rFonts w:hint="eastAsia" w:ascii="仿宋" w:hAnsi="仿宋" w:eastAsia="仿宋" w:cs="仿宋"/>
          <w:snapToGrid w:val="0"/>
          <w:color w:val="auto"/>
          <w:kern w:val="0"/>
          <w:sz w:val="24"/>
          <w:szCs w:val="24"/>
          <w:highlight w:val="none"/>
          <w:u w:val="single"/>
          <w:lang w:eastAsia="zh-CN"/>
        </w:rPr>
        <w:t>需</w:t>
      </w:r>
      <w:r>
        <w:rPr>
          <w:rFonts w:hint="eastAsia" w:ascii="仿宋" w:hAnsi="仿宋" w:eastAsia="仿宋" w:cs="仿宋"/>
          <w:snapToGrid w:val="0"/>
          <w:color w:val="auto"/>
          <w:kern w:val="0"/>
          <w:sz w:val="24"/>
          <w:szCs w:val="24"/>
          <w:highlight w:val="none"/>
          <w:u w:val="single"/>
        </w:rPr>
        <w:t>按本</w:t>
      </w:r>
      <w:r>
        <w:rPr>
          <w:rFonts w:hint="eastAsia" w:ascii="仿宋" w:hAnsi="仿宋" w:eastAsia="仿宋" w:cs="仿宋"/>
          <w:snapToGrid w:val="0"/>
          <w:color w:val="auto"/>
          <w:kern w:val="0"/>
          <w:sz w:val="24"/>
          <w:szCs w:val="24"/>
          <w:highlight w:val="none"/>
          <w:u w:val="single"/>
          <w:lang w:val="en-US" w:eastAsia="zh-CN"/>
        </w:rPr>
        <w:t>项目</w:t>
      </w:r>
      <w:r>
        <w:rPr>
          <w:rFonts w:hint="eastAsia" w:ascii="仿宋" w:hAnsi="仿宋" w:eastAsia="仿宋" w:cs="仿宋"/>
          <w:snapToGrid w:val="0"/>
          <w:color w:val="auto"/>
          <w:kern w:val="0"/>
          <w:sz w:val="24"/>
          <w:szCs w:val="24"/>
          <w:highlight w:val="none"/>
          <w:u w:val="single"/>
        </w:rPr>
        <w:t>合同的约定承担违约责任。</w:t>
      </w:r>
      <w:bookmarkStart w:id="11" w:name="auto_fouce_3"/>
    </w:p>
    <w:bookmarkEnd w:id="10"/>
    <w:bookmarkEnd w:id="11"/>
    <w:p w14:paraId="3197AEC0">
      <w:pPr>
        <w:adjustRightInd w:val="0"/>
        <w:snapToGrid w:val="0"/>
        <w:spacing w:line="360" w:lineRule="auto"/>
        <w:ind w:firstLine="480" w:firstLineChars="200"/>
        <w:rPr>
          <w:rFonts w:hint="eastAsia" w:ascii="仿宋" w:hAnsi="仿宋" w:eastAsia="仿宋" w:cs="仿宋"/>
          <w:snapToGrid w:val="0"/>
          <w:color w:val="auto"/>
          <w:kern w:val="0"/>
          <w:sz w:val="24"/>
          <w:szCs w:val="24"/>
          <w:highlight w:val="none"/>
          <w:u w:val="single"/>
          <w:lang w:eastAsia="zh-CN"/>
        </w:rPr>
      </w:pPr>
      <w:r>
        <w:rPr>
          <w:rFonts w:hint="eastAsia" w:ascii="仿宋" w:hAnsi="仿宋" w:eastAsia="仿宋" w:cs="仿宋"/>
          <w:snapToGrid w:val="0"/>
          <w:color w:val="auto"/>
          <w:kern w:val="0"/>
          <w:sz w:val="24"/>
          <w:szCs w:val="24"/>
          <w:highlight w:val="none"/>
          <w:u w:val="single"/>
        </w:rPr>
        <w:t>对项目的建设条件进行分析，了解场地周边情况如交通、临时设施、施工条件，向承包人</w:t>
      </w:r>
      <w:r>
        <w:rPr>
          <w:rFonts w:hint="eastAsia" w:ascii="仿宋" w:hAnsi="仿宋" w:eastAsia="仿宋" w:cs="仿宋"/>
          <w:snapToGrid w:val="0"/>
          <w:color w:val="auto"/>
          <w:kern w:val="0"/>
          <w:sz w:val="24"/>
          <w:szCs w:val="24"/>
          <w:highlight w:val="none"/>
          <w:u w:val="single"/>
          <w:lang w:eastAsia="zh-CN"/>
        </w:rPr>
        <w:t>做</w:t>
      </w:r>
      <w:r>
        <w:rPr>
          <w:rFonts w:hint="eastAsia" w:ascii="仿宋" w:hAnsi="仿宋" w:eastAsia="仿宋" w:cs="仿宋"/>
          <w:snapToGrid w:val="0"/>
          <w:color w:val="auto"/>
          <w:kern w:val="0"/>
          <w:sz w:val="24"/>
          <w:szCs w:val="24"/>
          <w:highlight w:val="none"/>
          <w:u w:val="single"/>
        </w:rPr>
        <w:t>好交底工作，会同承包人共同研究施工组织方案的可行性。</w:t>
      </w:r>
      <w:bookmarkStart w:id="12" w:name="auto_fouce_2"/>
      <w:r>
        <w:rPr>
          <w:rFonts w:hint="eastAsia" w:ascii="仿宋" w:hAnsi="仿宋" w:eastAsia="仿宋" w:cs="仿宋"/>
          <w:snapToGrid w:val="0"/>
          <w:color w:val="auto"/>
          <w:kern w:val="0"/>
          <w:sz w:val="24"/>
          <w:szCs w:val="24"/>
          <w:highlight w:val="none"/>
          <w:u w:val="single"/>
        </w:rPr>
        <w:t>组织施工总承包单位完成工程开工及验收所需的各项报监、报建、报验手续，做好报批报建管理工作。</w:t>
      </w:r>
      <w:r>
        <w:rPr>
          <w:rFonts w:hint="eastAsia" w:ascii="仿宋" w:hAnsi="仿宋" w:eastAsia="仿宋" w:cs="仿宋"/>
          <w:snapToGrid w:val="0"/>
          <w:color w:val="auto"/>
          <w:kern w:val="0"/>
          <w:sz w:val="24"/>
          <w:szCs w:val="24"/>
          <w:highlight w:val="none"/>
          <w:u w:val="single"/>
          <w:lang w:eastAsia="zh-CN"/>
        </w:rPr>
        <w:t>监理人仅承担协助义务，报批报建的主责由承包人或相关单位承担，因承包人或主管部门原因导致的延误，监理人不承担责任。</w:t>
      </w:r>
      <w:bookmarkEnd w:id="12"/>
    </w:p>
    <w:p w14:paraId="3992B0E1">
      <w:pPr>
        <w:adjustRightInd w:val="0"/>
        <w:snapToGrid w:val="0"/>
        <w:spacing w:line="360" w:lineRule="auto"/>
        <w:ind w:firstLine="480" w:firstLineChars="200"/>
        <w:rPr>
          <w:rFonts w:hint="eastAsia" w:ascii="仿宋" w:hAnsi="仿宋" w:eastAsia="仿宋" w:cs="仿宋"/>
          <w:snapToGrid w:val="0"/>
          <w:color w:val="auto"/>
          <w:kern w:val="0"/>
          <w:sz w:val="24"/>
          <w:szCs w:val="24"/>
          <w:highlight w:val="none"/>
          <w:u w:val="single"/>
        </w:rPr>
      </w:pPr>
      <w:r>
        <w:rPr>
          <w:rFonts w:hint="eastAsia" w:ascii="仿宋" w:hAnsi="仿宋" w:eastAsia="仿宋" w:cs="仿宋"/>
          <w:snapToGrid w:val="0"/>
          <w:color w:val="auto"/>
          <w:kern w:val="0"/>
          <w:sz w:val="24"/>
          <w:szCs w:val="24"/>
          <w:highlight w:val="none"/>
          <w:u w:val="single"/>
        </w:rPr>
        <w:t>（2）</w:t>
      </w:r>
      <w:bookmarkStart w:id="13" w:name="auto_fouce_5"/>
      <w:r>
        <w:rPr>
          <w:rFonts w:hint="eastAsia" w:ascii="仿宋" w:hAnsi="仿宋" w:eastAsia="仿宋" w:cs="仿宋"/>
          <w:color w:val="auto"/>
          <w:sz w:val="24"/>
          <w:szCs w:val="24"/>
          <w:highlight w:val="none"/>
          <w:u w:val="single"/>
        </w:rPr>
        <w:t>监理人应负责本项目工程竣工结算审核工作，收集和整理工程结算资料，并在收到承包人报送的结算文件后7日内提交结算审核计划，（☑30日、□60日）内向委托人出具结算审核报告，</w:t>
      </w:r>
      <w:r>
        <w:rPr>
          <w:rFonts w:hint="eastAsia" w:ascii="仿宋" w:hAnsi="仿宋" w:eastAsia="仿宋" w:cs="仿宋"/>
          <w:color w:val="auto"/>
          <w:sz w:val="24"/>
          <w:szCs w:val="24"/>
          <w:highlight w:val="none"/>
          <w:u w:val="single"/>
          <w:lang w:eastAsia="zh-CN"/>
        </w:rPr>
        <w:t>积极主动、充分地</w:t>
      </w:r>
      <w:r>
        <w:rPr>
          <w:rFonts w:hint="eastAsia" w:ascii="仿宋" w:hAnsi="仿宋" w:eastAsia="仿宋" w:cs="仿宋"/>
          <w:color w:val="auto"/>
          <w:sz w:val="24"/>
          <w:szCs w:val="24"/>
          <w:highlight w:val="none"/>
          <w:u w:val="single"/>
        </w:rPr>
        <w:t>配合有权审核部门开展结算评审工作</w:t>
      </w:r>
      <w:r>
        <w:rPr>
          <w:rFonts w:hint="eastAsia" w:ascii="仿宋" w:hAnsi="仿宋" w:eastAsia="仿宋" w:cs="仿宋"/>
          <w:color w:val="auto"/>
          <w:sz w:val="24"/>
          <w:szCs w:val="24"/>
          <w:highlight w:val="none"/>
          <w:u w:val="single"/>
          <w:lang w:eastAsia="zh-CN"/>
        </w:rPr>
        <w:t>，包括但不限于在收到相关通知后2个工作日内响应并提交所需全部资料、解释和说明，按审核部门要求参与现场核查、对账及答辩</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不配合或消极配合导致结算进度延误或影响委托人利益的，视为违约，委托人有权追究相应违约责任。</w:t>
      </w:r>
      <w:r>
        <w:rPr>
          <w:rFonts w:hint="eastAsia" w:ascii="仿宋" w:hAnsi="仿宋" w:eastAsia="仿宋" w:cs="仿宋"/>
          <w:color w:val="auto"/>
          <w:sz w:val="24"/>
          <w:szCs w:val="24"/>
          <w:highlight w:val="none"/>
          <w:u w:val="single"/>
        </w:rPr>
        <w:t>委托人将保留监理酬金</w:t>
      </w:r>
      <w:r>
        <w:rPr>
          <w:rFonts w:hint="eastAsia" w:ascii="仿宋" w:hAnsi="仿宋" w:eastAsia="仿宋" w:cs="仿宋"/>
          <w:color w:val="auto"/>
          <w:sz w:val="24"/>
          <w:szCs w:val="24"/>
          <w:highlight w:val="none"/>
          <w:u w:val="single"/>
          <w:lang w:eastAsia="zh-CN"/>
        </w:rPr>
        <w:t>的</w:t>
      </w:r>
      <w:r>
        <w:rPr>
          <w:rFonts w:hint="eastAsia" w:ascii="仿宋" w:hAnsi="仿宋" w:eastAsia="仿宋" w:cs="仿宋"/>
          <w:color w:val="auto"/>
          <w:sz w:val="24"/>
          <w:szCs w:val="24"/>
          <w:highlight w:val="none"/>
          <w:u w:val="single"/>
        </w:rPr>
        <w:t>支配权，由委托人视监理人结算审核工作质量情况在竣工结算阶段予以支付。监理人应确保本项目工程竣工结算审核工作质量，如监理人达不到结算审核能力，委托人有权要求监理人选择相应的造价咨询服务单位协助其完成本项目工程竣工结算审核工作，所需结算审核费用由监理人承担；监理人须无条件配合，且仍需对本项目工程竣工结算审核工作承担主要责任</w:t>
      </w:r>
      <w:bookmarkEnd w:id="13"/>
      <w:bookmarkStart w:id="14" w:name="auto_fouce_7"/>
      <w:r>
        <w:rPr>
          <w:rFonts w:hint="eastAsia" w:ascii="仿宋" w:hAnsi="仿宋" w:eastAsia="仿宋" w:cs="仿宋"/>
          <w:snapToGrid w:val="0"/>
          <w:color w:val="auto"/>
          <w:kern w:val="0"/>
          <w:sz w:val="24"/>
          <w:szCs w:val="24"/>
          <w:highlight w:val="none"/>
          <w:u w:val="single"/>
        </w:rPr>
        <w:t>。</w:t>
      </w:r>
      <w:bookmarkEnd w:id="14"/>
    </w:p>
    <w:p w14:paraId="2C9C5014">
      <w:pPr>
        <w:adjustRightInd w:val="0"/>
        <w:snapToGrid w:val="0"/>
        <w:spacing w:line="360" w:lineRule="auto"/>
        <w:ind w:firstLine="480" w:firstLineChars="200"/>
        <w:rPr>
          <w:rFonts w:hint="eastAsia" w:ascii="仿宋" w:hAnsi="仿宋" w:eastAsia="仿宋" w:cs="仿宋"/>
          <w:snapToGrid w:val="0"/>
          <w:color w:val="auto"/>
          <w:kern w:val="0"/>
          <w:sz w:val="24"/>
          <w:szCs w:val="24"/>
          <w:highlight w:val="none"/>
          <w:u w:val="single"/>
        </w:rPr>
      </w:pPr>
      <w:r>
        <w:rPr>
          <w:rFonts w:hint="eastAsia" w:ascii="仿宋" w:hAnsi="仿宋" w:eastAsia="仿宋" w:cs="仿宋"/>
          <w:snapToGrid w:val="0"/>
          <w:color w:val="auto"/>
          <w:kern w:val="0"/>
          <w:sz w:val="24"/>
          <w:szCs w:val="24"/>
          <w:highlight w:val="none"/>
          <w:u w:val="single"/>
        </w:rPr>
        <w:t>（3）</w:t>
      </w:r>
      <w:bookmarkStart w:id="15" w:name="auto_fouce_13"/>
      <w:r>
        <w:rPr>
          <w:rFonts w:hint="eastAsia" w:ascii="仿宋" w:hAnsi="仿宋" w:eastAsia="仿宋" w:cs="仿宋"/>
          <w:color w:val="auto"/>
          <w:sz w:val="24"/>
          <w:szCs w:val="24"/>
          <w:highlight w:val="none"/>
          <w:u w:val="single"/>
        </w:rPr>
        <w:t>监理人应</w:t>
      </w:r>
      <w:bookmarkStart w:id="16" w:name="auto_fouce_32"/>
      <w:r>
        <w:rPr>
          <w:rFonts w:hint="eastAsia" w:ascii="仿宋" w:hAnsi="仿宋" w:eastAsia="仿宋" w:cs="仿宋"/>
          <w:color w:val="auto"/>
          <w:sz w:val="24"/>
          <w:szCs w:val="24"/>
          <w:highlight w:val="none"/>
          <w:u w:val="single"/>
        </w:rPr>
        <w:t>对本项目涉及的所有检测（监测）事项进行梳理、分类合并，并于委托人下发施工图纸（☑30日、□60日）内编制本项目相关具体检测（监测）项目清单及费用估算的工作方案，报委托人审核。</w:t>
      </w:r>
      <w:r>
        <w:rPr>
          <w:rFonts w:hint="eastAsia" w:ascii="仿宋" w:hAnsi="仿宋" w:eastAsia="仿宋" w:cs="仿宋"/>
          <w:color w:val="auto"/>
          <w:sz w:val="24"/>
          <w:szCs w:val="24"/>
          <w:highlight w:val="none"/>
          <w:u w:val="single"/>
          <w:lang w:eastAsia="zh-CN"/>
        </w:rPr>
        <w:t>监理人不得以委托人未提供资料、未配合等为由主张免责或减轻自身责任，除非有充分证据证明委托人存在重大违约行为且已书面通知委托人并限期整改。</w:t>
      </w:r>
      <w:bookmarkEnd w:id="16"/>
      <w:r>
        <w:rPr>
          <w:rFonts w:hint="eastAsia" w:ascii="仿宋" w:hAnsi="仿宋" w:eastAsia="仿宋" w:cs="仿宋"/>
          <w:color w:val="auto"/>
          <w:sz w:val="24"/>
          <w:szCs w:val="24"/>
          <w:highlight w:val="none"/>
          <w:u w:val="single"/>
        </w:rPr>
        <w:t>监理人需严格审核防雷、检测、监测、白蚁防治、施工等单位提交的请款资料（含完成工作等），并出具书面的审核意见。开工前，监理人必须组织参建各方梳理图纸深化、材料定版、样板引路的计划清单，并对深化的图纸进行审核，出具书面的意见。施工过程中，监理人需根据工程进度及计划清单组织参建各方开展材料定版、样板引路工作，做到样板先行，稳步推进。项目完成竣工验收后，监理人应在14天内向委托人报审质保期间的维保工作方案</w:t>
      </w:r>
      <w:bookmarkEnd w:id="15"/>
      <w:r>
        <w:rPr>
          <w:rFonts w:hint="eastAsia" w:ascii="仿宋" w:hAnsi="仿宋" w:eastAsia="仿宋" w:cs="仿宋"/>
          <w:snapToGrid w:val="0"/>
          <w:color w:val="auto"/>
          <w:kern w:val="0"/>
          <w:sz w:val="24"/>
          <w:szCs w:val="24"/>
          <w:highlight w:val="none"/>
          <w:u w:val="single"/>
        </w:rPr>
        <w:t>。</w:t>
      </w:r>
    </w:p>
    <w:p w14:paraId="4FEFE890">
      <w:pPr>
        <w:shd w:val="clear" w:color="auto" w:fill="FFFFFF"/>
        <w:adjustRightInd w:val="0"/>
        <w:spacing w:line="360" w:lineRule="auto"/>
        <w:ind w:firstLine="420" w:firstLineChars="175"/>
        <w:jc w:val="left"/>
        <w:rPr>
          <w:rFonts w:hint="eastAsia" w:ascii="仿宋" w:hAnsi="仿宋" w:eastAsia="仿宋" w:cs="仿宋"/>
          <w:snapToGrid w:val="0"/>
          <w:color w:val="auto"/>
          <w:kern w:val="0"/>
          <w:sz w:val="24"/>
          <w:szCs w:val="24"/>
          <w:highlight w:val="none"/>
          <w:u w:val="single"/>
        </w:rPr>
      </w:pPr>
      <w:r>
        <w:rPr>
          <w:rFonts w:hint="eastAsia" w:ascii="仿宋" w:hAnsi="仿宋" w:eastAsia="仿宋" w:cs="仿宋"/>
          <w:snapToGrid w:val="0"/>
          <w:color w:val="auto"/>
          <w:kern w:val="0"/>
          <w:sz w:val="24"/>
          <w:szCs w:val="24"/>
          <w:highlight w:val="none"/>
          <w:u w:val="single"/>
        </w:rPr>
        <w:t>（4）</w:t>
      </w:r>
      <w:bookmarkStart w:id="17" w:name="auto_fouce_18"/>
      <w:r>
        <w:rPr>
          <w:rFonts w:hint="eastAsia" w:ascii="仿宋" w:hAnsi="仿宋" w:eastAsia="仿宋" w:cs="仿宋"/>
          <w:snapToGrid w:val="0"/>
          <w:color w:val="auto"/>
          <w:kern w:val="0"/>
          <w:sz w:val="24"/>
          <w:szCs w:val="24"/>
          <w:highlight w:val="none"/>
          <w:u w:val="single"/>
        </w:rPr>
        <w:t>监理人需根据服务范围及项目的实际情况，严格落实本项目监理合同附件中各阶段工作成果文件的要求。</w:t>
      </w:r>
      <w:bookmarkStart w:id="18" w:name="auto_fouce_20"/>
      <w:r>
        <w:rPr>
          <w:rFonts w:hint="eastAsia" w:ascii="仿宋" w:hAnsi="仿宋" w:eastAsia="仿宋" w:cs="仿宋"/>
          <w:color w:val="auto"/>
          <w:sz w:val="24"/>
          <w:szCs w:val="24"/>
          <w:highlight w:val="none"/>
          <w:u w:val="single"/>
          <w:lang w:eastAsia="zh-CN"/>
        </w:rPr>
        <w:t>因监理人自身原因导致项目损失、延误、质量问题等，监理人应承担全部赔偿责任，包括但不限于直接损失、间接损失及由此产生的相关费用。</w:t>
      </w:r>
      <w:bookmarkEnd w:id="17"/>
      <w:bookmarkEnd w:id="18"/>
      <w:r>
        <w:rPr>
          <w:rFonts w:hint="eastAsia" w:ascii="仿宋" w:hAnsi="仿宋" w:eastAsia="仿宋" w:cs="仿宋"/>
          <w:snapToGrid w:val="0"/>
          <w:color w:val="auto"/>
          <w:kern w:val="0"/>
          <w:sz w:val="24"/>
          <w:szCs w:val="24"/>
          <w:highlight w:val="none"/>
          <w:u w:val="single"/>
        </w:rPr>
        <w:t>监理人如未根据合同及现场实际情况及时提供给委托人，委托人有权拒绝支付监理费。</w:t>
      </w:r>
    </w:p>
    <w:p w14:paraId="5D7304BF">
      <w:pPr>
        <w:shd w:val="clear" w:color="auto" w:fill="FFFFFF"/>
        <w:adjustRightInd w:val="0"/>
        <w:spacing w:line="360" w:lineRule="auto"/>
        <w:ind w:firstLine="420" w:firstLineChars="175"/>
        <w:jc w:val="left"/>
        <w:rPr>
          <w:rFonts w:hint="eastAsia" w:ascii="仿宋" w:hAnsi="仿宋" w:eastAsia="仿宋" w:cs="仿宋"/>
          <w:snapToGrid w:val="0"/>
          <w:color w:val="auto"/>
          <w:kern w:val="0"/>
          <w:sz w:val="24"/>
          <w:szCs w:val="24"/>
          <w:highlight w:val="none"/>
          <w:u w:val="single"/>
          <w:lang w:eastAsia="zh-CN"/>
        </w:rPr>
      </w:pPr>
      <w:r>
        <w:rPr>
          <w:rFonts w:hint="eastAsia" w:ascii="仿宋" w:hAnsi="仿宋" w:eastAsia="仿宋" w:cs="仿宋"/>
          <w:snapToGrid w:val="0"/>
          <w:color w:val="auto"/>
          <w:kern w:val="0"/>
          <w:sz w:val="24"/>
          <w:szCs w:val="24"/>
          <w:highlight w:val="none"/>
          <w:u w:val="single"/>
        </w:rPr>
        <w:t>（5）</w:t>
      </w:r>
      <w:bookmarkStart w:id="19" w:name="auto_fouce_22"/>
      <w:r>
        <w:rPr>
          <w:rFonts w:hint="eastAsia" w:ascii="仿宋" w:hAnsi="仿宋" w:eastAsia="仿宋" w:cs="仿宋"/>
          <w:snapToGrid w:val="0"/>
          <w:color w:val="auto"/>
          <w:kern w:val="0"/>
          <w:sz w:val="24"/>
          <w:szCs w:val="24"/>
          <w:highlight w:val="none"/>
          <w:u w:val="single"/>
        </w:rPr>
        <w:t>监理人按照委托人要求对项目资金进行工程资金监管，具体监管方式和流程以委托人相关规定为准。</w:t>
      </w:r>
      <w:bookmarkEnd w:id="7"/>
      <w:bookmarkStart w:id="20" w:name="auto_fouce_24"/>
    </w:p>
    <w:bookmarkEnd w:id="8"/>
    <w:bookmarkEnd w:id="19"/>
    <w:bookmarkEnd w:id="20"/>
    <w:p w14:paraId="44B7553A">
      <w:pPr>
        <w:tabs>
          <w:tab w:val="left" w:pos="7513"/>
        </w:tabs>
        <w:spacing w:line="360" w:lineRule="auto"/>
        <w:ind w:firstLine="480" w:firstLineChars="200"/>
        <w:rPr>
          <w:rFonts w:hint="eastAsia" w:ascii="仿宋" w:hAnsi="仿宋" w:eastAsia="仿宋" w:cs="仿宋"/>
          <w:color w:val="auto"/>
          <w:sz w:val="24"/>
          <w:szCs w:val="24"/>
          <w:highlight w:val="none"/>
          <w:u w:val="single"/>
          <w:lang w:eastAsia="zh-CN"/>
        </w:rPr>
      </w:pPr>
      <w:bookmarkStart w:id="21" w:name="auto_fouce_25"/>
      <w:r>
        <w:rPr>
          <w:rFonts w:hint="eastAsia" w:ascii="仿宋" w:hAnsi="仿宋" w:eastAsia="仿宋" w:cs="仿宋"/>
          <w:color w:val="auto"/>
          <w:sz w:val="24"/>
          <w:szCs w:val="24"/>
          <w:highlight w:val="none"/>
          <w:u w:val="single"/>
        </w:rPr>
        <w:t>2.2.3监理服务期：</w:t>
      </w:r>
      <w:bookmarkStart w:id="22" w:name="_Hlk149494421"/>
      <w:bookmarkStart w:id="23" w:name="OLE_LINK6"/>
      <w:r>
        <w:rPr>
          <w:rFonts w:hint="eastAsia" w:ascii="仿宋" w:hAnsi="仿宋" w:eastAsia="仿宋" w:cs="仿宋"/>
          <w:color w:val="auto"/>
          <w:sz w:val="24"/>
          <w:szCs w:val="24"/>
          <w:highlight w:val="none"/>
          <w:u w:val="single"/>
        </w:rPr>
        <w:t>自监理人收到中标通知书或签订监理合同（以时间最早发生的为准）之日起，至本合同工程保修期结束且本合同工程结算经终审部门审定之日止。</w:t>
      </w:r>
      <w:bookmarkEnd w:id="22"/>
      <w:bookmarkStart w:id="24" w:name="auto_fouce_26"/>
    </w:p>
    <w:bookmarkEnd w:id="21"/>
    <w:bookmarkEnd w:id="23"/>
    <w:bookmarkEnd w:id="24"/>
    <w:p w14:paraId="7FBD50E9">
      <w:pPr>
        <w:tabs>
          <w:tab w:val="left" w:pos="7513"/>
        </w:tabs>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2.2.4监理目标：</w:t>
      </w:r>
    </w:p>
    <w:p w14:paraId="2F887385">
      <w:pPr>
        <w:tabs>
          <w:tab w:val="left" w:pos="7513"/>
        </w:tabs>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（1）质量控制目标：</w:t>
      </w:r>
      <w:bookmarkStart w:id="25" w:name="OLE_LINK8"/>
      <w:r>
        <w:rPr>
          <w:rFonts w:hint="eastAsia" w:ascii="仿宋" w:hAnsi="仿宋" w:eastAsia="仿宋" w:cs="仿宋"/>
          <w:color w:val="auto"/>
          <w:sz w:val="24"/>
          <w:szCs w:val="24"/>
          <w:highlight w:val="none"/>
          <w:u w:val="single"/>
          <w:lang w:eastAsia="zh-CN"/>
        </w:rPr>
        <w:t>按照国家最新颁布《建筑工程施工质量验收统一标准》</w:t>
      </w:r>
      <w:r>
        <w:rPr>
          <w:rFonts w:hint="eastAsia" w:ascii="仿宋" w:hAnsi="仿宋" w:eastAsia="仿宋" w:cs="仿宋"/>
          <w:color w:val="auto"/>
          <w:sz w:val="24"/>
          <w:szCs w:val="24"/>
          <w:highlight w:val="none"/>
          <w:u w:val="single"/>
          <w:lang w:val="en-US" w:eastAsia="zh-CN"/>
        </w:rPr>
        <w:t>等法律法规</w:t>
      </w:r>
      <w:r>
        <w:rPr>
          <w:rFonts w:hint="eastAsia" w:ascii="仿宋" w:hAnsi="仿宋" w:eastAsia="仿宋" w:cs="仿宋"/>
          <w:color w:val="auto"/>
          <w:sz w:val="24"/>
          <w:szCs w:val="24"/>
          <w:highlight w:val="none"/>
          <w:u w:val="single"/>
          <w:lang w:eastAsia="zh-CN"/>
        </w:rPr>
        <w:t>及相应配套的各专业验收规范，</w:t>
      </w:r>
      <w:r>
        <w:rPr>
          <w:rFonts w:hint="eastAsia" w:ascii="仿宋" w:hAnsi="仿宋" w:eastAsia="仿宋" w:cs="仿宋"/>
          <w:color w:val="auto"/>
          <w:sz w:val="24"/>
          <w:szCs w:val="24"/>
          <w:highlight w:val="none"/>
          <w:u w:val="single"/>
          <w:lang w:val="en-US" w:eastAsia="zh-CN"/>
        </w:rPr>
        <w:t>确保工程</w:t>
      </w:r>
      <w:r>
        <w:rPr>
          <w:rFonts w:hint="eastAsia" w:ascii="仿宋" w:hAnsi="仿宋" w:eastAsia="仿宋" w:cs="仿宋"/>
          <w:color w:val="auto"/>
          <w:sz w:val="24"/>
          <w:szCs w:val="24"/>
          <w:highlight w:val="none"/>
          <w:u w:val="single"/>
          <w:lang w:eastAsia="zh-CN"/>
        </w:rPr>
        <w:t>一次验收合格</w:t>
      </w:r>
      <w:r>
        <w:rPr>
          <w:rFonts w:hint="eastAsia" w:ascii="仿宋" w:hAnsi="仿宋" w:eastAsia="仿宋" w:cs="仿宋"/>
          <w:color w:val="auto"/>
          <w:sz w:val="24"/>
          <w:szCs w:val="24"/>
          <w:highlight w:val="none"/>
          <w:u w:val="single"/>
        </w:rPr>
        <w:t>。</w:t>
      </w:r>
    </w:p>
    <w:bookmarkEnd w:id="25"/>
    <w:p w14:paraId="4341F183">
      <w:pPr>
        <w:tabs>
          <w:tab w:val="left" w:pos="7513"/>
        </w:tabs>
        <w:spacing w:line="360" w:lineRule="auto"/>
        <w:ind w:firstLine="480" w:firstLineChars="200"/>
        <w:rPr>
          <w:rFonts w:hint="eastAsia" w:ascii="仿宋" w:hAnsi="仿宋" w:eastAsia="仿宋" w:cs="仿宋"/>
          <w:color w:val="auto"/>
          <w:sz w:val="24"/>
          <w:szCs w:val="24"/>
          <w:highlight w:val="none"/>
          <w:u w:val="single"/>
        </w:rPr>
      </w:pPr>
      <w:bookmarkStart w:id="26" w:name="auto_fouce_27"/>
      <w:r>
        <w:rPr>
          <w:rFonts w:hint="eastAsia" w:ascii="仿宋" w:hAnsi="仿宋" w:eastAsia="仿宋" w:cs="仿宋"/>
          <w:color w:val="auto"/>
          <w:sz w:val="24"/>
          <w:szCs w:val="24"/>
          <w:highlight w:val="none"/>
          <w:u w:val="single"/>
        </w:rPr>
        <w:t>（2）进度控制目标：</w:t>
      </w:r>
      <w:bookmarkStart w:id="27" w:name="OLE_LINK9"/>
      <w:r>
        <w:rPr>
          <w:rFonts w:hint="eastAsia" w:ascii="仿宋" w:hAnsi="仿宋" w:eastAsia="仿宋" w:cs="仿宋"/>
          <w:color w:val="auto"/>
          <w:sz w:val="24"/>
          <w:szCs w:val="24"/>
          <w:highlight w:val="none"/>
          <w:u w:val="single"/>
        </w:rPr>
        <w:t>进度控制</w:t>
      </w:r>
      <w:bookmarkEnd w:id="27"/>
      <w:r>
        <w:rPr>
          <w:rFonts w:hint="eastAsia" w:ascii="仿宋" w:hAnsi="仿宋" w:eastAsia="仿宋" w:cs="仿宋"/>
          <w:color w:val="auto"/>
          <w:sz w:val="24"/>
          <w:szCs w:val="24"/>
          <w:highlight w:val="none"/>
          <w:u w:val="single"/>
          <w:lang w:eastAsia="zh-CN"/>
        </w:rPr>
        <w:t>应以招标人</w:t>
      </w:r>
      <w:r>
        <w:rPr>
          <w:rFonts w:hint="eastAsia" w:ascii="仿宋" w:hAnsi="仿宋" w:eastAsia="仿宋" w:cs="仿宋"/>
          <w:color w:val="auto"/>
          <w:sz w:val="24"/>
          <w:szCs w:val="24"/>
          <w:highlight w:val="none"/>
          <w:u w:val="single"/>
          <w:lang w:val="en-US" w:eastAsia="zh-CN"/>
        </w:rPr>
        <w:t>依规</w:t>
      </w:r>
      <w:r>
        <w:rPr>
          <w:rFonts w:hint="eastAsia" w:ascii="仿宋" w:hAnsi="仿宋" w:eastAsia="仿宋" w:cs="仿宋"/>
          <w:color w:val="auto"/>
          <w:sz w:val="24"/>
          <w:szCs w:val="24"/>
          <w:highlight w:val="none"/>
          <w:u w:val="single"/>
          <w:lang w:eastAsia="zh-CN"/>
        </w:rPr>
        <w:t>书面确认的里程碑节点为准</w:t>
      </w:r>
      <w:r>
        <w:rPr>
          <w:rFonts w:hint="eastAsia" w:ascii="仿宋" w:hAnsi="仿宋" w:eastAsia="仿宋" w:cs="仿宋"/>
          <w:color w:val="auto"/>
          <w:sz w:val="24"/>
          <w:szCs w:val="24"/>
          <w:highlight w:val="none"/>
          <w:u w:val="single"/>
        </w:rPr>
        <w:t>。</w:t>
      </w:r>
      <w:bookmarkEnd w:id="26"/>
    </w:p>
    <w:p w14:paraId="07118BE4">
      <w:pPr>
        <w:tabs>
          <w:tab w:val="left" w:pos="7513"/>
        </w:tabs>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（3）</w:t>
      </w:r>
      <w:bookmarkStart w:id="28" w:name="OLE_LINK3"/>
      <w:r>
        <w:rPr>
          <w:rFonts w:hint="eastAsia" w:ascii="仿宋" w:hAnsi="仿宋" w:eastAsia="仿宋" w:cs="仿宋"/>
          <w:color w:val="auto"/>
          <w:sz w:val="24"/>
          <w:szCs w:val="24"/>
          <w:highlight w:val="none"/>
          <w:u w:val="single"/>
        </w:rPr>
        <w:t>投资控制目标：</w:t>
      </w:r>
      <w:bookmarkEnd w:id="28"/>
      <w:bookmarkStart w:id="29" w:name="OLE_LINK11"/>
      <w:r>
        <w:rPr>
          <w:rFonts w:hint="eastAsia" w:ascii="仿宋" w:hAnsi="仿宋" w:eastAsia="仿宋" w:cs="仿宋"/>
          <w:color w:val="auto"/>
          <w:sz w:val="24"/>
          <w:szCs w:val="24"/>
          <w:highlight w:val="none"/>
          <w:u w:val="single"/>
          <w:lang w:eastAsia="zh-CN"/>
        </w:rPr>
        <w:t>工程造价控制在经委托人审批的工程概算中的建筑安装工程费总造价范围内</w:t>
      </w:r>
      <w:r>
        <w:rPr>
          <w:rFonts w:hint="eastAsia" w:ascii="仿宋" w:hAnsi="仿宋" w:eastAsia="仿宋" w:cs="仿宋"/>
          <w:color w:val="auto"/>
          <w:sz w:val="24"/>
          <w:szCs w:val="24"/>
          <w:highlight w:val="none"/>
          <w:u w:val="single"/>
        </w:rPr>
        <w:t>。</w:t>
      </w:r>
      <w:bookmarkEnd w:id="29"/>
    </w:p>
    <w:p w14:paraId="308F6A62">
      <w:pPr>
        <w:tabs>
          <w:tab w:val="left" w:pos="7513"/>
        </w:tabs>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（4）安全生产文明施工控制目标：</w:t>
      </w:r>
      <w:bookmarkStart w:id="30" w:name="OLE_LINK12"/>
      <w:bookmarkStart w:id="31" w:name="auto_fouce_28"/>
      <w:r>
        <w:rPr>
          <w:rFonts w:hint="eastAsia" w:ascii="仿宋" w:hAnsi="仿宋" w:eastAsia="仿宋" w:cs="仿宋"/>
          <w:color w:val="auto"/>
          <w:sz w:val="24"/>
          <w:szCs w:val="24"/>
          <w:highlight w:val="none"/>
          <w:u w:val="single"/>
        </w:rPr>
        <w:t>确保工程无人员死亡事故</w:t>
      </w:r>
      <w:r>
        <w:rPr>
          <w:rFonts w:hint="eastAsia" w:ascii="仿宋" w:hAnsi="仿宋" w:eastAsia="仿宋" w:cs="仿宋"/>
          <w:color w:val="auto"/>
          <w:sz w:val="24"/>
          <w:szCs w:val="24"/>
          <w:highlight w:val="none"/>
          <w:u w:val="single"/>
          <w:lang w:eastAsia="zh-CN"/>
        </w:rPr>
        <w:t>，且单次事故直接经济损失不超过50万元</w:t>
      </w:r>
      <w:r>
        <w:rPr>
          <w:rFonts w:hint="eastAsia" w:ascii="仿宋" w:hAnsi="仿宋" w:eastAsia="仿宋" w:cs="仿宋"/>
          <w:color w:val="auto"/>
          <w:sz w:val="24"/>
          <w:szCs w:val="24"/>
          <w:highlight w:val="none"/>
          <w:u w:val="single"/>
        </w:rPr>
        <w:t>；确保实施期内有关建设人员不违反委托人安全监管规定；现场安全文明施工管理达到国家、广东省、广州市以及</w:t>
      </w:r>
      <w:r>
        <w:rPr>
          <w:rFonts w:hint="eastAsia" w:ascii="仿宋" w:hAnsi="仿宋" w:eastAsia="仿宋" w:cs="仿宋"/>
          <w:color w:val="auto"/>
          <w:sz w:val="24"/>
          <w:szCs w:val="24"/>
          <w:highlight w:val="none"/>
          <w:u w:val="single"/>
          <w:lang w:val="en-US" w:eastAsia="zh-CN"/>
        </w:rPr>
        <w:t>增城</w:t>
      </w:r>
      <w:r>
        <w:rPr>
          <w:rFonts w:hint="eastAsia" w:ascii="仿宋" w:hAnsi="仿宋" w:eastAsia="仿宋" w:cs="仿宋"/>
          <w:color w:val="auto"/>
          <w:sz w:val="24"/>
          <w:szCs w:val="24"/>
          <w:highlight w:val="none"/>
          <w:u w:val="single"/>
        </w:rPr>
        <w:t>区相关规定要求。</w:t>
      </w:r>
      <w:bookmarkEnd w:id="30"/>
      <w:bookmarkEnd w:id="31"/>
    </w:p>
    <w:p w14:paraId="15EBA1CF">
      <w:pPr>
        <w:tabs>
          <w:tab w:val="left" w:pos="751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（5）职业健康安全管理目标：</w:t>
      </w:r>
      <w:bookmarkStart w:id="32" w:name="OLE_LINK13"/>
      <w:r>
        <w:rPr>
          <w:rFonts w:hint="eastAsia" w:ascii="仿宋" w:hAnsi="仿宋" w:eastAsia="仿宋" w:cs="仿宋"/>
          <w:color w:val="auto"/>
          <w:sz w:val="24"/>
          <w:szCs w:val="24"/>
          <w:highlight w:val="none"/>
          <w:u w:val="single"/>
        </w:rPr>
        <w:t>杜绝一般事故等级以上的伤亡事故且工伤责任事故</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死亡人数为零。</w:t>
      </w:r>
      <w:bookmarkEnd w:id="32"/>
    </w:p>
    <w:p w14:paraId="7EDBC8BC">
      <w:pPr>
        <w:tabs>
          <w:tab w:val="left" w:pos="7513"/>
        </w:tabs>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2.2.5监理服务费最高投标限价：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highlight w:val="none"/>
          <w:u w:val="single"/>
        </w:rPr>
        <w:t>545.18</w:t>
      </w:r>
      <w:r>
        <w:rPr>
          <w:rFonts w:hint="eastAsia" w:ascii="仿宋" w:hAnsi="仿宋" w:eastAsia="仿宋" w:cs="仿宋"/>
          <w:color w:val="auto"/>
          <w:sz w:val="24"/>
          <w:szCs w:val="24"/>
          <w:highlight w:val="none"/>
          <w:u w:val="single"/>
          <w:lang w:val="en-US" w:eastAsia="zh-CN"/>
        </w:rPr>
        <w:t>万元</w:t>
      </w:r>
      <w:r>
        <w:rPr>
          <w:rFonts w:hint="eastAsia" w:ascii="仿宋" w:hAnsi="仿宋" w:eastAsia="仿宋" w:cs="仿宋"/>
          <w:color w:val="auto"/>
          <w:sz w:val="24"/>
          <w:szCs w:val="24"/>
          <w:highlight w:val="none"/>
        </w:rPr>
        <w:t>。</w:t>
      </w:r>
      <w:bookmarkStart w:id="33" w:name="auto_fouce_29"/>
    </w:p>
    <w:bookmarkEnd w:id="33"/>
    <w:p w14:paraId="10615436">
      <w:pPr>
        <w:pStyle w:val="2"/>
        <w:keepNext w:val="0"/>
        <w:keepLines w:val="0"/>
        <w:spacing w:before="0" w:after="0" w:line="360" w:lineRule="auto"/>
        <w:rPr>
          <w:rFonts w:hint="eastAsia" w:ascii="仿宋" w:hAnsi="仿宋" w:eastAsia="仿宋" w:cs="仿宋"/>
          <w:color w:val="auto"/>
          <w:highlight w:val="none"/>
        </w:rPr>
      </w:pPr>
      <w:bookmarkStart w:id="34" w:name="_Toc514099625"/>
      <w:bookmarkStart w:id="35" w:name="_Toc511557027"/>
      <w:r>
        <w:rPr>
          <w:rFonts w:hint="eastAsia" w:ascii="仿宋" w:hAnsi="仿宋" w:eastAsia="仿宋" w:cs="仿宋"/>
          <w:color w:val="auto"/>
          <w:highlight w:val="none"/>
        </w:rPr>
        <w:t>3. 投标人资格要求</w:t>
      </w:r>
      <w:bookmarkEnd w:id="34"/>
      <w:bookmarkEnd w:id="35"/>
    </w:p>
    <w:p w14:paraId="6C86062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  本次招标要求投标人须具备相应资质，具备相应业绩。 </w:t>
      </w:r>
    </w:p>
    <w:p w14:paraId="4A23E1AD">
      <w:pPr>
        <w:pStyle w:val="4"/>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3.1.1投标人须具备建设行政主管部门颁发的有效期内的工程监理综合资质或房屋建筑工程监理甲级资质。</w:t>
      </w:r>
    </w:p>
    <w:p w14:paraId="756D5E0E">
      <w:pPr>
        <w:spacing w:line="360" w:lineRule="auto"/>
        <w:ind w:firstLine="480" w:firstLineChars="200"/>
        <w:rPr>
          <w:rFonts w:hint="eastAsia" w:ascii="仿宋" w:hAnsi="仿宋" w:eastAsia="仿宋" w:cs="仿宋"/>
          <w:color w:val="auto"/>
          <w:kern w:val="0"/>
          <w:sz w:val="24"/>
          <w:highlight w:val="none"/>
          <w:u w:val="single"/>
        </w:rPr>
      </w:pPr>
      <w:bookmarkStart w:id="36" w:name="auto_fouce_30"/>
      <w:r>
        <w:rPr>
          <w:rFonts w:hint="eastAsia" w:ascii="仿宋" w:hAnsi="仿宋" w:eastAsia="仿宋" w:cs="仿宋"/>
          <w:color w:val="auto"/>
          <w:kern w:val="0"/>
          <w:sz w:val="24"/>
          <w:highlight w:val="none"/>
          <w:u w:val="single"/>
        </w:rPr>
        <w:t>香港企业参加投标的，须在广东省住房和城乡建设主管部门备案且备案的业务范围满足本项目招标文件要求。</w:t>
      </w:r>
      <w:bookmarkEnd w:id="36"/>
    </w:p>
    <w:p w14:paraId="7A44099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rPr>
        <w:t>注：</w:t>
      </w:r>
      <w:r>
        <w:rPr>
          <w:rFonts w:hint="eastAsia" w:ascii="仿宋" w:hAnsi="仿宋" w:eastAsia="仿宋" w:cs="仿宋"/>
          <w:color w:val="auto"/>
          <w:sz w:val="24"/>
          <w:szCs w:val="24"/>
          <w:highlight w:val="none"/>
          <w:u w:val="single"/>
        </w:rPr>
        <w:t>①</w:t>
      </w:r>
      <w:r>
        <w:rPr>
          <w:rFonts w:hint="eastAsia" w:ascii="仿宋" w:hAnsi="仿宋" w:eastAsia="仿宋" w:cs="仿宋"/>
          <w:color w:val="auto"/>
          <w:kern w:val="0"/>
          <w:sz w:val="24"/>
          <w:szCs w:val="24"/>
          <w:highlight w:val="none"/>
          <w:u w:val="single"/>
        </w:rPr>
        <w:t>依据《广东省住房和城乡建设厅关于印发香港工程建设咨询企业和专业人士在粤港澳大湾区内地城市开业执业试点管理暂行办法的通知》（粤建规范〔2020〕1号）规定。</w:t>
      </w:r>
      <w:r>
        <w:rPr>
          <w:rFonts w:hint="eastAsia" w:ascii="仿宋" w:hAnsi="仿宋" w:eastAsia="仿宋" w:cs="仿宋"/>
          <w:color w:val="auto"/>
          <w:sz w:val="24"/>
          <w:szCs w:val="24"/>
          <w:highlight w:val="none"/>
          <w:u w:val="single"/>
        </w:rPr>
        <w:t>②</w:t>
      </w:r>
      <w:r>
        <w:rPr>
          <w:rFonts w:hint="eastAsia" w:ascii="仿宋" w:hAnsi="仿宋" w:eastAsia="仿宋" w:cs="仿宋"/>
          <w:color w:val="auto"/>
          <w:kern w:val="0"/>
          <w:sz w:val="24"/>
          <w:szCs w:val="24"/>
          <w:highlight w:val="none"/>
          <w:u w:val="single"/>
        </w:rPr>
        <w:t>工程监理企业资质证书有效期按《住房和城乡建设部办公厅关于做好建筑业“证照分离”改革衔接有关工作的通知》（建办市〔2021〕30号）、</w:t>
      </w:r>
      <w:r>
        <w:rPr>
          <w:rFonts w:hint="eastAsia" w:ascii="仿宋" w:hAnsi="仿宋" w:eastAsia="仿宋" w:cs="仿宋"/>
          <w:color w:val="auto"/>
          <w:sz w:val="24"/>
          <w:szCs w:val="24"/>
          <w:highlight w:val="none"/>
          <w:u w:val="single"/>
        </w:rPr>
        <w:t>《住房和城乡建设部办公厅关于建设工程企业资质有关事宜的通知》（建办市函〔2022〕361号）、</w:t>
      </w:r>
      <w:r>
        <w:rPr>
          <w:rFonts w:hint="eastAsia" w:ascii="仿宋" w:hAnsi="仿宋" w:eastAsia="仿宋" w:cs="仿宋"/>
          <w:color w:val="auto"/>
          <w:sz w:val="24"/>
          <w:highlight w:val="none"/>
          <w:u w:val="single"/>
          <w:lang w:bidi="ar"/>
        </w:rPr>
        <w:t>《广东省住房和城乡建设厅关于建设工程企业资质有关事宜的通知》（粤建许函〔2022〕846号）</w:t>
      </w:r>
      <w:r>
        <w:rPr>
          <w:rFonts w:hint="eastAsia" w:ascii="仿宋" w:hAnsi="仿宋" w:eastAsia="仿宋" w:cs="仿宋"/>
          <w:color w:val="auto"/>
          <w:kern w:val="0"/>
          <w:sz w:val="24"/>
          <w:szCs w:val="24"/>
          <w:highlight w:val="none"/>
          <w:u w:val="single"/>
        </w:rPr>
        <w:t>、</w:t>
      </w:r>
      <w:r>
        <w:rPr>
          <w:rFonts w:hint="eastAsia" w:ascii="仿宋" w:hAnsi="仿宋" w:eastAsia="仿宋" w:cs="仿宋"/>
          <w:bCs/>
          <w:color w:val="auto"/>
          <w:kern w:val="0"/>
          <w:sz w:val="24"/>
          <w:szCs w:val="24"/>
          <w:highlight w:val="none"/>
          <w:u w:val="single"/>
        </w:rPr>
        <w:t>《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1B29F4F1">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u w:val="single"/>
        </w:rPr>
        <w:t>3.1.2</w:t>
      </w:r>
      <w:r>
        <w:rPr>
          <w:rFonts w:hint="eastAsia" w:ascii="仿宋" w:hAnsi="仿宋" w:eastAsia="仿宋" w:cs="仿宋"/>
          <w:color w:val="auto"/>
          <w:sz w:val="24"/>
          <w:highlight w:val="none"/>
          <w:u w:val="single"/>
        </w:rPr>
        <w:t>投标人自</w:t>
      </w:r>
      <w:r>
        <w:rPr>
          <w:rFonts w:hint="eastAsia" w:ascii="仿宋" w:hAnsi="仿宋" w:eastAsia="仿宋" w:cs="仿宋"/>
          <w:color w:val="auto"/>
          <w:sz w:val="24"/>
          <w:szCs w:val="24"/>
          <w:highlight w:val="none"/>
          <w:u w:val="single"/>
        </w:rPr>
        <w:t>20</w:t>
      </w:r>
      <w:r>
        <w:rPr>
          <w:rFonts w:hint="eastAsia" w:ascii="仿宋" w:hAnsi="仿宋" w:eastAsia="仿宋" w:cs="仿宋"/>
          <w:color w:val="auto"/>
          <w:sz w:val="24"/>
          <w:szCs w:val="24"/>
          <w:highlight w:val="none"/>
          <w:u w:val="single"/>
          <w:lang w:val="en-US" w:eastAsia="zh-CN"/>
        </w:rPr>
        <w:t>22</w:t>
      </w:r>
      <w:r>
        <w:rPr>
          <w:rFonts w:hint="eastAsia" w:ascii="仿宋" w:hAnsi="仿宋" w:eastAsia="仿宋" w:cs="仿宋"/>
          <w:color w:val="auto"/>
          <w:sz w:val="24"/>
          <w:highlight w:val="none"/>
          <w:u w:val="single"/>
        </w:rPr>
        <w:t>年1月1日至今完成过质量合格的类似工程监理业绩（类似工程是指第3.1.1点所述资质方能承接的建筑工程）。需提供中标通知书或免招标的相关证明、施工监理合同或竣工验收报告（竣工验收证明）等有效业绩证明，业绩时间以竣工验收报告或竣工验收证明出具时间为准</w:t>
      </w:r>
      <w:r>
        <w:rPr>
          <w:rFonts w:hint="eastAsia" w:ascii="仿宋" w:hAnsi="仿宋" w:eastAsia="仿宋" w:cs="仿宋"/>
          <w:color w:val="auto"/>
          <w:sz w:val="24"/>
          <w:szCs w:val="24"/>
          <w:highlight w:val="none"/>
          <w:u w:val="single"/>
        </w:rPr>
        <w:t>。</w:t>
      </w:r>
    </w:p>
    <w:p w14:paraId="7AE8D377">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3.2 本次招标</w:t>
      </w:r>
      <w:r>
        <w:rPr>
          <w:rFonts w:hint="eastAsia" w:ascii="仿宋" w:hAnsi="仿宋" w:eastAsia="仿宋" w:cs="仿宋"/>
          <w:b/>
          <w:bCs/>
          <w:color w:val="auto"/>
          <w:sz w:val="24"/>
          <w:szCs w:val="24"/>
          <w:highlight w:val="none"/>
          <w:u w:val="single"/>
        </w:rPr>
        <w:t>不接受</w:t>
      </w:r>
      <w:r>
        <w:rPr>
          <w:rFonts w:hint="eastAsia" w:ascii="仿宋" w:hAnsi="仿宋" w:eastAsia="仿宋" w:cs="仿宋"/>
          <w:color w:val="auto"/>
          <w:sz w:val="24"/>
          <w:szCs w:val="24"/>
          <w:highlight w:val="none"/>
        </w:rPr>
        <w:t>联合体投标。</w:t>
      </w:r>
    </w:p>
    <w:p w14:paraId="090E4CE6">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szCs w:val="24"/>
          <w:highlight w:val="none"/>
        </w:rPr>
        <w:t>3.3拟派总监理工程师须具备</w:t>
      </w:r>
      <w:r>
        <w:rPr>
          <w:rFonts w:hint="eastAsia" w:ascii="仿宋" w:hAnsi="仿宋" w:eastAsia="仿宋" w:cs="仿宋"/>
          <w:color w:val="auto"/>
          <w:sz w:val="24"/>
          <w:szCs w:val="24"/>
          <w:highlight w:val="none"/>
          <w:u w:val="single"/>
        </w:rPr>
        <w:t>建设部2006年4月1日后颁发的中华人民共和国注册监理工程师注册执业证书，且其注册证书专业为</w:t>
      </w:r>
      <w:r>
        <w:rPr>
          <w:rFonts w:hint="eastAsia" w:ascii="仿宋" w:hAnsi="仿宋" w:eastAsia="仿宋" w:cs="仿宋"/>
          <w:color w:val="auto"/>
          <w:kern w:val="0"/>
          <w:sz w:val="24"/>
          <w:highlight w:val="none"/>
          <w:u w:val="single"/>
        </w:rPr>
        <w:t>房屋建筑工程</w:t>
      </w:r>
      <w:r>
        <w:rPr>
          <w:rFonts w:hint="eastAsia" w:ascii="仿宋" w:hAnsi="仿宋" w:eastAsia="仿宋" w:cs="仿宋"/>
          <w:color w:val="auto"/>
          <w:sz w:val="24"/>
          <w:szCs w:val="24"/>
          <w:highlight w:val="none"/>
          <w:u w:val="single"/>
        </w:rPr>
        <w:t>（注册执业单位为本公司，注册企业以注册监理工程师注册执业证书上的注册单位为准,</w:t>
      </w:r>
      <w:r>
        <w:rPr>
          <w:rFonts w:hint="eastAsia" w:ascii="仿宋" w:hAnsi="仿宋" w:eastAsia="仿宋" w:cs="仿宋"/>
          <w:color w:val="auto"/>
          <w:highlight w:val="none"/>
          <w:u w:val="single"/>
        </w:rPr>
        <w:t xml:space="preserve"> </w:t>
      </w:r>
      <w:r>
        <w:rPr>
          <w:rFonts w:hint="eastAsia" w:ascii="仿宋" w:hAnsi="仿宋" w:eastAsia="仿宋" w:cs="仿宋"/>
          <w:color w:val="auto"/>
          <w:sz w:val="24"/>
          <w:szCs w:val="24"/>
          <w:highlight w:val="none"/>
          <w:u w:val="single"/>
        </w:rPr>
        <w:t>拟派总监理工程师注册执业专业以注册执业证书上的注册专业为准），</w:t>
      </w:r>
      <w:bookmarkStart w:id="37" w:name="auto_fouce_31"/>
      <w:r>
        <w:rPr>
          <w:rFonts w:hint="eastAsia" w:ascii="仿宋" w:hAnsi="仿宋" w:eastAsia="仿宋" w:cs="仿宋"/>
          <w:color w:val="auto"/>
          <w:sz w:val="24"/>
          <w:szCs w:val="24"/>
          <w:highlight w:val="none"/>
          <w:u w:val="single"/>
        </w:rPr>
        <w:t>并具有本科或以上的学历。</w:t>
      </w:r>
      <w:bookmarkEnd w:id="37"/>
      <w:r>
        <w:rPr>
          <w:rFonts w:hint="eastAsia" w:ascii="仿宋" w:hAnsi="仿宋" w:eastAsia="仿宋" w:cs="仿宋"/>
          <w:color w:val="auto"/>
          <w:sz w:val="24"/>
          <w:szCs w:val="24"/>
          <w:highlight w:val="none"/>
          <w:u w:val="single"/>
        </w:rPr>
        <w:t>或在广东省住房和城乡建设主管部门备案且备案的资格满足本项目总监理工程师的资格要求的香港专业人士。</w:t>
      </w:r>
    </w:p>
    <w:p w14:paraId="6A6FAB75">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highlight w:val="none"/>
          <w:u w:val="single"/>
        </w:rPr>
        <w:t>注：依据《广东省住房和城乡建设厅关于印发香港工程建设咨询企业和专业人士在粤港澳大湾区内地城市开业执业试点管理暂行办法的通知》（粤建规范</w:t>
      </w:r>
      <w:r>
        <w:rPr>
          <w:rFonts w:hint="eastAsia" w:ascii="仿宋" w:hAnsi="仿宋" w:eastAsia="仿宋" w:cs="仿宋"/>
          <w:color w:val="auto"/>
          <w:kern w:val="0"/>
          <w:sz w:val="24"/>
          <w:szCs w:val="24"/>
          <w:highlight w:val="none"/>
          <w:u w:val="single"/>
        </w:rPr>
        <w:t>〔2020〕</w:t>
      </w:r>
      <w:r>
        <w:rPr>
          <w:rFonts w:hint="eastAsia" w:ascii="仿宋" w:hAnsi="仿宋" w:eastAsia="仿宋" w:cs="仿宋"/>
          <w:color w:val="auto"/>
          <w:kern w:val="0"/>
          <w:sz w:val="24"/>
          <w:highlight w:val="none"/>
          <w:u w:val="single"/>
        </w:rPr>
        <w:t>1号）规定。</w:t>
      </w:r>
    </w:p>
    <w:p w14:paraId="6FBFC092">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3.4 其他要求：</w:t>
      </w:r>
    </w:p>
    <w:p w14:paraId="367237E1">
      <w:pPr>
        <w:spacing w:line="360" w:lineRule="auto"/>
        <w:ind w:firstLine="480" w:firstLineChars="200"/>
        <w:rPr>
          <w:rFonts w:hint="eastAsia" w:ascii="仿宋" w:hAnsi="仿宋" w:eastAsia="仿宋" w:cs="仿宋"/>
          <w:color w:val="auto"/>
          <w:sz w:val="24"/>
          <w:szCs w:val="24"/>
          <w:highlight w:val="none"/>
          <w:u w:val="single"/>
        </w:rPr>
      </w:pPr>
      <w:bookmarkStart w:id="38" w:name="_Toc511557028"/>
      <w:bookmarkStart w:id="39" w:name="_Toc514099626"/>
      <w:r>
        <w:rPr>
          <w:rFonts w:hint="eastAsia" w:ascii="仿宋" w:hAnsi="仿宋" w:eastAsia="仿宋" w:cs="仿宋"/>
          <w:color w:val="auto"/>
          <w:sz w:val="24"/>
          <w:szCs w:val="24"/>
          <w:highlight w:val="none"/>
          <w:u w:val="single"/>
        </w:rPr>
        <w:t>① 投标人参加投标的意思表达清楚，投标人代表被授权有效。</w:t>
      </w:r>
    </w:p>
    <w:p w14:paraId="2494E456">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② 投标人均具有独立法人资格，持有有效的工商行政（市场监督）管理部门核发的法人营业执照，按国家法律经营。</w:t>
      </w:r>
    </w:p>
    <w:p w14:paraId="10E09104">
      <w:pPr>
        <w:spacing w:line="360" w:lineRule="auto"/>
        <w:ind w:firstLine="480" w:firstLineChars="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rPr>
        <w:t>③投标人已按规定格式签名盖章《投标人声明》（格式见招标文件第六章投标文件格式）。</w:t>
      </w:r>
    </w:p>
    <w:p w14:paraId="375768C4">
      <w:pPr>
        <w:spacing w:line="360" w:lineRule="auto"/>
        <w:ind w:firstLine="480" w:firstLineChars="200"/>
        <w:rPr>
          <w:rFonts w:hint="eastAsia" w:ascii="仿宋" w:hAnsi="仿宋" w:eastAsia="仿宋" w:cs="仿宋"/>
          <w:color w:val="auto"/>
          <w:kern w:val="0"/>
          <w:sz w:val="24"/>
          <w:highlight w:val="none"/>
          <w:u w:val="single"/>
        </w:rPr>
      </w:pPr>
      <w:bookmarkStart w:id="40" w:name="auto_fouce_34"/>
      <w:r>
        <w:rPr>
          <w:rFonts w:hint="eastAsia" w:ascii="仿宋" w:hAnsi="仿宋" w:eastAsia="仿宋" w:cs="仿宋"/>
          <w:color w:val="auto"/>
          <w:kern w:val="0"/>
          <w:sz w:val="24"/>
          <w:highlight w:val="none"/>
          <w:u w:val="single"/>
        </w:rPr>
        <w:t>④资格审查</w:t>
      </w:r>
      <w:r>
        <w:rPr>
          <w:rFonts w:hint="eastAsia" w:ascii="仿宋" w:hAnsi="仿宋" w:eastAsia="仿宋" w:cs="仿宋"/>
          <w:color w:val="auto"/>
          <w:sz w:val="24"/>
          <w:highlight w:val="none"/>
          <w:u w:val="single"/>
        </w:rPr>
        <w:t>前，投标人须在广州市住建行业信用管理平台建立了企业信用档案及拟担任本工程总监理工程师须是本企业信用档案中的在册人员</w:t>
      </w:r>
      <w:r>
        <w:rPr>
          <w:rFonts w:hint="eastAsia" w:ascii="仿宋" w:hAnsi="仿宋" w:eastAsia="仿宋" w:cs="仿宋"/>
          <w:color w:val="auto"/>
          <w:kern w:val="0"/>
          <w:sz w:val="24"/>
          <w:highlight w:val="none"/>
          <w:u w:val="single"/>
        </w:rPr>
        <w:t>。</w:t>
      </w:r>
      <w:bookmarkEnd w:id="40"/>
      <w:r>
        <w:rPr>
          <w:rFonts w:hint="eastAsia" w:ascii="仿宋" w:hAnsi="仿宋" w:eastAsia="仿宋" w:cs="仿宋"/>
          <w:color w:val="auto"/>
          <w:kern w:val="0"/>
          <w:sz w:val="24"/>
          <w:highlight w:val="none"/>
          <w:u w:val="single"/>
        </w:rPr>
        <w:t>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r>
        <w:fldChar w:fldCharType="begin"/>
      </w:r>
      <w:r>
        <w:instrText xml:space="preserve"> HYPERLINK "http://zfcj.gz.gov.cn/zwgk/zsdwxxgkzl/gzsjzyglfwzx/bszy/content/post_8073953.html" </w:instrText>
      </w:r>
      <w:r>
        <w:fldChar w:fldCharType="separate"/>
      </w:r>
      <w:r>
        <w:rPr>
          <w:rStyle w:val="22"/>
          <w:rFonts w:hint="eastAsia" w:ascii="仿宋" w:hAnsi="仿宋" w:eastAsia="仿宋" w:cs="仿宋"/>
          <w:color w:val="auto"/>
          <w:kern w:val="0"/>
          <w:sz w:val="24"/>
          <w:highlight w:val="none"/>
        </w:rPr>
        <w:t>http://zfcj.gz.gov.cn/zwgk/zsdwxxgkzl/gzsjzyglfwzx/bszy/content/post_8073953.html</w:t>
      </w:r>
      <w:r>
        <w:rPr>
          <w:rStyle w:val="22"/>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w:t>
      </w:r>
    </w:p>
    <w:p w14:paraId="2E25EB8E">
      <w:pPr>
        <w:spacing w:line="360" w:lineRule="auto"/>
        <w:ind w:firstLine="480" w:firstLineChars="200"/>
        <w:rPr>
          <w:rFonts w:hint="eastAsia" w:ascii="仿宋" w:hAnsi="仿宋" w:eastAsia="仿宋" w:cs="仿宋"/>
          <w:color w:val="auto"/>
          <w:kern w:val="0"/>
          <w:sz w:val="24"/>
          <w:highlight w:val="none"/>
          <w:u w:val="single"/>
        </w:rPr>
      </w:pPr>
      <w:r>
        <w:rPr>
          <w:rFonts w:hint="eastAsia" w:ascii="仿宋" w:hAnsi="仿宋" w:eastAsia="仿宋" w:cs="仿宋"/>
          <w:color w:val="auto"/>
          <w:sz w:val="24"/>
          <w:szCs w:val="24"/>
          <w:highlight w:val="none"/>
          <w:u w:val="single"/>
        </w:rPr>
        <w:t>⑤</w:t>
      </w:r>
      <w:r>
        <w:rPr>
          <w:rFonts w:hint="eastAsia" w:ascii="仿宋" w:hAnsi="仿宋" w:eastAsia="仿宋" w:cs="仿宋"/>
          <w:color w:val="auto"/>
          <w:sz w:val="24"/>
          <w:highlight w:val="none"/>
          <w:u w:val="single"/>
        </w:rPr>
        <w:t>未被列入拖欠农民工工资失信联合惩戒对象名单</w:t>
      </w:r>
      <w:r>
        <w:rPr>
          <w:rFonts w:hint="eastAsia" w:ascii="仿宋" w:hAnsi="仿宋" w:eastAsia="仿宋" w:cs="仿宋"/>
          <w:color w:val="auto"/>
          <w:kern w:val="0"/>
          <w:sz w:val="24"/>
          <w:highlight w:val="none"/>
          <w:u w:val="single"/>
        </w:rPr>
        <w:t>。</w:t>
      </w:r>
    </w:p>
    <w:p w14:paraId="5EF15EFC">
      <w:pPr>
        <w:spacing w:line="360" w:lineRule="auto"/>
        <w:ind w:firstLine="480" w:firstLineChars="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rPr>
        <w:t>⑥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7D827367">
      <w:pPr>
        <w:spacing w:line="360" w:lineRule="auto"/>
        <w:ind w:firstLine="480" w:firstLineChars="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rPr>
        <w:t>注：未在招标公告第3条单列的投标人资格要求条件，不作为资审不合格的依据。</w:t>
      </w:r>
    </w:p>
    <w:p w14:paraId="43363F75">
      <w:pPr>
        <w:pStyle w:val="2"/>
        <w:keepNext w:val="0"/>
        <w:keepLines w:val="0"/>
        <w:spacing w:before="0" w:after="0" w:line="360" w:lineRule="auto"/>
        <w:rPr>
          <w:rFonts w:hint="eastAsia" w:ascii="仿宋" w:hAnsi="仿宋" w:eastAsia="仿宋" w:cs="仿宋"/>
          <w:color w:val="auto"/>
          <w:highlight w:val="none"/>
        </w:rPr>
      </w:pPr>
      <w:r>
        <w:rPr>
          <w:rFonts w:hint="eastAsia" w:ascii="仿宋" w:hAnsi="仿宋" w:eastAsia="仿宋" w:cs="仿宋"/>
          <w:color w:val="auto"/>
          <w:highlight w:val="none"/>
        </w:rPr>
        <w:t>4. 招标文件的获取</w:t>
      </w:r>
      <w:bookmarkEnd w:id="38"/>
      <w:bookmarkEnd w:id="39"/>
    </w:p>
    <w:p w14:paraId="3474BB66">
      <w:pPr>
        <w:widowControl/>
        <w:shd w:val="clear" w:color="auto" w:fill="FFFFFF"/>
        <w:spacing w:line="360" w:lineRule="auto"/>
        <w:ind w:left="210" w:leftChars="100" w:firstLine="297" w:firstLineChars="124"/>
        <w:jc w:val="left"/>
        <w:rPr>
          <w:rFonts w:hint="eastAsia" w:ascii="仿宋" w:hAnsi="仿宋" w:eastAsia="仿宋" w:cs="仿宋"/>
          <w:color w:val="auto"/>
          <w:sz w:val="24"/>
          <w:szCs w:val="24"/>
          <w:highlight w:val="none"/>
          <w:lang w:eastAsia="zh-CN"/>
        </w:rPr>
      </w:pPr>
      <w:bookmarkStart w:id="41" w:name="_Toc514099627"/>
      <w:bookmarkStart w:id="42" w:name="_Toc511557029"/>
      <w:r>
        <w:rPr>
          <w:rFonts w:hint="eastAsia" w:ascii="仿宋" w:hAnsi="仿宋" w:eastAsia="仿宋" w:cs="仿宋"/>
          <w:color w:val="auto"/>
          <w:sz w:val="24"/>
          <w:szCs w:val="24"/>
          <w:highlight w:val="none"/>
        </w:rPr>
        <w:t>4.1凡有意参加投标者，请于</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 xml:space="preserve">时 </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分至202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日 </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 xml:space="preserve">时 </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w:t>
      </w:r>
      <w:r>
        <w:rPr>
          <w:rFonts w:hint="eastAsia" w:ascii="仿宋" w:hAnsi="仿宋" w:eastAsia="仿宋" w:cs="仿宋"/>
          <w:color w:val="auto"/>
          <w:sz w:val="24"/>
          <w:szCs w:val="24"/>
          <w:highlight w:val="none"/>
        </w:rPr>
        <w:t>(北京时间，下同)，登录</w:t>
      </w:r>
      <w:r>
        <w:rPr>
          <w:rFonts w:hint="eastAsia" w:ascii="仿宋" w:hAnsi="仿宋" w:eastAsia="仿宋" w:cs="仿宋"/>
          <w:color w:val="auto"/>
          <w:sz w:val="24"/>
          <w:szCs w:val="24"/>
          <w:highlight w:val="none"/>
          <w:u w:val="single"/>
        </w:rPr>
        <w:t>广州公共资源交易中心网（网址：http://www.gzggzy.cn）</w:t>
      </w:r>
      <w:r>
        <w:rPr>
          <w:rFonts w:hint="eastAsia" w:ascii="仿宋" w:hAnsi="仿宋" w:eastAsia="仿宋" w:cs="仿宋"/>
          <w:color w:val="auto"/>
          <w:sz w:val="24"/>
          <w:szCs w:val="24"/>
          <w:highlight w:val="none"/>
        </w:rPr>
        <w:t>下载电子招标文件。</w:t>
      </w:r>
      <w:bookmarkStart w:id="43" w:name="auto_fouce_35"/>
    </w:p>
    <w:bookmarkEnd w:id="43"/>
    <w:p w14:paraId="13CFFC49">
      <w:pPr>
        <w:widowControl/>
        <w:shd w:val="clear" w:color="auto" w:fill="FFFFFF"/>
        <w:spacing w:line="360" w:lineRule="auto"/>
        <w:ind w:firstLine="537" w:firstLineChars="22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4.2</w:t>
      </w:r>
      <w:r>
        <w:rPr>
          <w:rFonts w:hint="eastAsia" w:ascii="仿宋" w:hAnsi="仿宋" w:eastAsia="仿宋" w:cs="仿宋"/>
          <w:color w:val="auto"/>
          <w:sz w:val="24"/>
          <w:szCs w:val="24"/>
          <w:highlight w:val="none"/>
          <w:u w:val="single"/>
        </w:rPr>
        <w:t>本项目设立投标登记环节，采取广州公共资源交易中心网上投标登记方式进行投标登记，不接受现场投标登记（参加投标登记之前，投标人应查询本企业在广州公共资源交易中心的信息登记的状态，确保一切信息都是真实的、在有效期内的，以免出现相关信息不能被使用。上述情况有可能导致投标信息无法录入广州公共资源交易中心信息系统。如出现上述情况，投标人有可能失去投标机会，因其可能所引起的一切后果由投标人承担。电子招投标操作流程详见广州公共资源交易中心网站发布的最新版操作指引）。</w:t>
      </w:r>
    </w:p>
    <w:p w14:paraId="2A6ED6BA">
      <w:pPr>
        <w:widowControl/>
        <w:shd w:val="clear" w:color="auto" w:fill="FFFFFF"/>
        <w:spacing w:line="360" w:lineRule="auto"/>
        <w:ind w:firstLine="537" w:firstLineChars="22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 投标登记时间：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时</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分至202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时</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w:t>
      </w:r>
      <w:r>
        <w:rPr>
          <w:rFonts w:hint="eastAsia" w:ascii="仿宋" w:hAnsi="仿宋" w:eastAsia="仿宋" w:cs="仿宋"/>
          <w:color w:val="auto"/>
          <w:sz w:val="24"/>
          <w:szCs w:val="24"/>
          <w:highlight w:val="none"/>
        </w:rPr>
        <w:t>。</w:t>
      </w:r>
    </w:p>
    <w:p w14:paraId="32B76E66">
      <w:pPr>
        <w:widowControl/>
        <w:shd w:val="clear" w:color="auto" w:fill="FFFFFF"/>
        <w:spacing w:line="360" w:lineRule="auto"/>
        <w:ind w:firstLine="537" w:firstLineChars="224"/>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4.3 本项目采用资格后审方式。</w:t>
      </w:r>
      <w:r>
        <w:rPr>
          <w:rFonts w:hint="eastAsia" w:ascii="仿宋" w:hAnsi="仿宋" w:eastAsia="仿宋" w:cs="仿宋"/>
          <w:color w:val="auto"/>
          <w:sz w:val="24"/>
          <w:szCs w:val="24"/>
          <w:highlight w:val="none"/>
          <w:u w:val="single"/>
        </w:rPr>
        <w:t>满足资格审查合格条件或通过初步评审的投标人不足3名时为招标失败。</w:t>
      </w:r>
      <w:bookmarkStart w:id="44" w:name="auto_fouce_36"/>
    </w:p>
    <w:bookmarkEnd w:id="44"/>
    <w:p w14:paraId="1B2520C9">
      <w:pPr>
        <w:widowControl/>
        <w:shd w:val="clear" w:color="auto" w:fill="FFFFFF"/>
        <w:spacing w:line="360" w:lineRule="auto"/>
        <w:ind w:firstLine="537" w:firstLineChars="22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招标人分析招标失败原因，修正招标方案，报有关管理部门核准后，重新组织招标。</w:t>
      </w:r>
    </w:p>
    <w:p w14:paraId="28B0322E">
      <w:pPr>
        <w:widowControl/>
        <w:shd w:val="clear" w:color="auto" w:fill="FFFFFF"/>
        <w:spacing w:line="360" w:lineRule="auto"/>
        <w:ind w:firstLine="537" w:firstLineChars="22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注：（1）电子招投标操作流程详见广州公共资源交易中心网站发布的最新版操作指引。</w:t>
      </w:r>
    </w:p>
    <w:p w14:paraId="03F0411B">
      <w:pPr>
        <w:widowControl/>
        <w:shd w:val="clear" w:color="auto" w:fill="FFFFFF"/>
        <w:spacing w:line="360" w:lineRule="auto"/>
        <w:ind w:firstLine="537" w:firstLineChars="22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（2）本公告发布之日起开始投标登记，并从发本公告发布之日起开始计算备标时间。</w:t>
      </w:r>
    </w:p>
    <w:p w14:paraId="1DCC4DBD">
      <w:pPr>
        <w:widowControl/>
        <w:shd w:val="clear" w:color="auto" w:fill="FFFFFF"/>
        <w:spacing w:line="360" w:lineRule="auto"/>
        <w:rPr>
          <w:rFonts w:hint="eastAsia" w:ascii="仿宋" w:hAnsi="仿宋" w:eastAsia="仿宋" w:cs="仿宋"/>
          <w:b/>
          <w:color w:val="auto"/>
          <w:kern w:val="0"/>
          <w:sz w:val="32"/>
          <w:szCs w:val="20"/>
          <w:highlight w:val="none"/>
        </w:rPr>
      </w:pPr>
      <w:r>
        <w:rPr>
          <w:rFonts w:hint="eastAsia" w:ascii="仿宋" w:hAnsi="仿宋" w:eastAsia="仿宋" w:cs="仿宋"/>
          <w:b/>
          <w:color w:val="auto"/>
          <w:kern w:val="0"/>
          <w:sz w:val="32"/>
          <w:szCs w:val="20"/>
          <w:highlight w:val="none"/>
        </w:rPr>
        <w:t>5. 投标文件的递交</w:t>
      </w:r>
      <w:bookmarkEnd w:id="41"/>
      <w:bookmarkEnd w:id="42"/>
      <w:bookmarkStart w:id="45" w:name="_Toc514099628"/>
      <w:bookmarkStart w:id="46" w:name="_Toc511557030"/>
    </w:p>
    <w:p w14:paraId="2D8C3D91">
      <w:pPr>
        <w:widowControl/>
        <w:shd w:val="clear" w:color="auto" w:fill="FFFFFF"/>
        <w:spacing w:line="360" w:lineRule="auto"/>
        <w:ind w:firstLine="537" w:firstLineChars="22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发布招标公告时间（含本日）：</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时</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分至202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时</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w:t>
      </w:r>
      <w:r>
        <w:rPr>
          <w:rFonts w:hint="eastAsia" w:ascii="仿宋" w:hAnsi="仿宋" w:eastAsia="仿宋" w:cs="仿宋"/>
          <w:color w:val="auto"/>
          <w:sz w:val="24"/>
          <w:szCs w:val="24"/>
          <w:highlight w:val="none"/>
        </w:rPr>
        <w:t>。</w:t>
      </w:r>
    </w:p>
    <w:p w14:paraId="445A04E4">
      <w:pPr>
        <w:widowControl/>
        <w:shd w:val="clear" w:color="auto" w:fill="FFFFFF"/>
        <w:spacing w:line="360" w:lineRule="auto"/>
        <w:ind w:firstLine="537" w:firstLineChars="22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注：发布招标公告的时间为招标公告发出之日起至递交投标文件截止时间止。</w:t>
      </w:r>
    </w:p>
    <w:p w14:paraId="7E31C127">
      <w:pPr>
        <w:widowControl/>
        <w:shd w:val="clear" w:color="auto" w:fill="FFFFFF"/>
        <w:spacing w:line="360" w:lineRule="auto"/>
        <w:ind w:firstLine="537" w:firstLineChars="22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递交电子投标文件时间：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时</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分至202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时</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w:t>
      </w:r>
      <w:r>
        <w:rPr>
          <w:rFonts w:hint="eastAsia" w:ascii="仿宋" w:hAnsi="仿宋" w:eastAsia="仿宋" w:cs="仿宋"/>
          <w:color w:val="auto"/>
          <w:sz w:val="24"/>
          <w:szCs w:val="24"/>
          <w:highlight w:val="none"/>
        </w:rPr>
        <w:t>。投标人通过广州公共资源交易中心网站（网址：http://www.gzggzy.cn/）交易平台递交电子投标文件。投标人应在递交投标文件截止时间前，登录广州公共资源交易中心网站交易平台网站办理网上投标登记手续。按照交易平台关于全流程电子化项目的相关指南进行操作。详见：广州公共资源交易中心网站首页-服务指南。</w:t>
      </w:r>
    </w:p>
    <w:p w14:paraId="7D09B369">
      <w:pPr>
        <w:widowControl/>
        <w:shd w:val="clear" w:color="auto" w:fill="FFFFFF"/>
        <w:spacing w:line="360" w:lineRule="auto"/>
        <w:ind w:firstLine="537" w:firstLineChars="22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5.3递交备用投标文件电子光盘时间为： </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u w:val="single"/>
        </w:rPr>
        <w:t>时</w:t>
      </w:r>
      <w:r>
        <w:rPr>
          <w:rFonts w:hint="eastAsia" w:ascii="仿宋" w:hAnsi="仿宋" w:eastAsia="仿宋" w:cs="仿宋"/>
          <w:color w:val="auto"/>
          <w:sz w:val="24"/>
          <w:szCs w:val="24"/>
          <w:highlight w:val="none"/>
          <w:u w:val="single"/>
          <w:lang w:val="en-US" w:eastAsia="zh-CN"/>
        </w:rPr>
        <w:t>45</w:t>
      </w:r>
      <w:r>
        <w:rPr>
          <w:rFonts w:hint="eastAsia" w:ascii="仿宋" w:hAnsi="仿宋" w:eastAsia="仿宋" w:cs="仿宋"/>
          <w:color w:val="auto"/>
          <w:sz w:val="24"/>
          <w:szCs w:val="24"/>
          <w:highlight w:val="none"/>
          <w:u w:val="single"/>
        </w:rPr>
        <w:t>分至 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时</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w:t>
      </w:r>
      <w:r>
        <w:rPr>
          <w:rFonts w:hint="eastAsia" w:ascii="仿宋" w:hAnsi="仿宋" w:eastAsia="仿宋" w:cs="仿宋"/>
          <w:color w:val="auto"/>
          <w:sz w:val="24"/>
          <w:szCs w:val="24"/>
          <w:highlight w:val="none"/>
        </w:rPr>
        <w:t>；地点：广州公共资源交易中心第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开标室。（电子光盘需按规定封装。投标人在将数据刻录到光盘之后，投标前自行检查文件是否可以读取）。</w:t>
      </w:r>
    </w:p>
    <w:p w14:paraId="2A2EF0A3">
      <w:pPr>
        <w:widowControl/>
        <w:shd w:val="clear" w:color="auto" w:fill="FFFFFF"/>
        <w:spacing w:line="360" w:lineRule="auto"/>
        <w:ind w:firstLine="537" w:firstLineChars="22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 逾期送达的投标文件，电子招标投标交易平台将予以拒收。逾期未上传成功的电子投标文件，招标人拒绝接收。逾期或未在指定地点递交投标文件光盘的,招标人拒绝接收其投标文件光盘。</w:t>
      </w:r>
    </w:p>
    <w:p w14:paraId="3FC1A9EA">
      <w:pPr>
        <w:widowControl/>
        <w:shd w:val="clear" w:color="auto" w:fill="FFFFFF"/>
        <w:spacing w:line="360" w:lineRule="auto"/>
        <w:ind w:firstLine="537" w:firstLineChars="224"/>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5.5 开标时间： </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时</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w:t>
      </w:r>
      <w:r>
        <w:rPr>
          <w:rFonts w:hint="eastAsia" w:ascii="仿宋" w:hAnsi="仿宋" w:eastAsia="仿宋" w:cs="仿宋"/>
          <w:color w:val="auto"/>
          <w:sz w:val="24"/>
          <w:szCs w:val="24"/>
          <w:highlight w:val="none"/>
        </w:rPr>
        <w:t>。地点：广州公共资源交易中心第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开标室。</w:t>
      </w:r>
      <w:bookmarkStart w:id="47" w:name="auto_fouce_37"/>
    </w:p>
    <w:bookmarkEnd w:id="47"/>
    <w:p w14:paraId="458A3EE6">
      <w:pPr>
        <w:widowControl/>
        <w:shd w:val="clear" w:color="auto" w:fill="FFFFFF"/>
        <w:spacing w:line="360" w:lineRule="auto"/>
        <w:ind w:firstLine="537" w:firstLineChars="224"/>
        <w:jc w:val="left"/>
        <w:rPr>
          <w:rFonts w:hint="eastAsia" w:ascii="仿宋" w:hAnsi="仿宋" w:eastAsia="仿宋" w:cs="仿宋"/>
          <w:color w:val="auto"/>
          <w:sz w:val="24"/>
          <w:szCs w:val="24"/>
          <w:highlight w:val="none"/>
          <w:u w:val="single"/>
          <w:lang w:eastAsia="zh-CN"/>
        </w:rPr>
      </w:pPr>
      <w:bookmarkStart w:id="48" w:name="auto_fouce_38"/>
      <w:r>
        <w:rPr>
          <w:rFonts w:hint="eastAsia" w:ascii="仿宋" w:hAnsi="仿宋" w:eastAsia="仿宋" w:cs="仿宋"/>
          <w:color w:val="auto"/>
          <w:sz w:val="24"/>
          <w:szCs w:val="24"/>
          <w:highlight w:val="none"/>
          <w:u w:val="single"/>
        </w:rPr>
        <w:t>在投标截止时间后</w:t>
      </w:r>
      <w:r>
        <w:rPr>
          <w:rFonts w:hint="eastAsia" w:ascii="仿宋" w:hAnsi="仿宋" w:eastAsia="仿宋" w:cs="仿宋"/>
          <w:b/>
          <w:bCs/>
          <w:color w:val="auto"/>
          <w:sz w:val="24"/>
          <w:szCs w:val="24"/>
          <w:highlight w:val="none"/>
          <w:u w:val="single"/>
        </w:rPr>
        <w:t>半小时内</w:t>
      </w:r>
      <w:r>
        <w:rPr>
          <w:rFonts w:hint="eastAsia" w:ascii="仿宋" w:hAnsi="仿宋" w:eastAsia="仿宋" w:cs="仿宋"/>
          <w:color w:val="auto"/>
          <w:sz w:val="24"/>
          <w:szCs w:val="24"/>
          <w:highlight w:val="none"/>
          <w:u w:val="single"/>
        </w:rPr>
        <w:t>为投标人投标文件解密时间，投标人通过广州公共资源交易平台对已递交的电子投标文件进行解密。</w:t>
      </w:r>
      <w:bookmarkEnd w:id="48"/>
    </w:p>
    <w:p w14:paraId="386DA6A3">
      <w:pPr>
        <w:pStyle w:val="2"/>
        <w:keepNext w:val="0"/>
        <w:keepLines w:val="0"/>
        <w:spacing w:before="0" w:after="0" w:line="360" w:lineRule="auto"/>
        <w:rPr>
          <w:rFonts w:hint="eastAsia" w:ascii="仿宋" w:hAnsi="仿宋" w:eastAsia="仿宋" w:cs="仿宋"/>
          <w:color w:val="auto"/>
          <w:highlight w:val="none"/>
        </w:rPr>
      </w:pPr>
      <w:r>
        <w:rPr>
          <w:rFonts w:hint="eastAsia" w:ascii="仿宋" w:hAnsi="仿宋" w:eastAsia="仿宋" w:cs="仿宋"/>
          <w:color w:val="auto"/>
          <w:highlight w:val="none"/>
        </w:rPr>
        <w:t>6. 发布公告的媒介</w:t>
      </w:r>
      <w:bookmarkEnd w:id="45"/>
      <w:bookmarkEnd w:id="46"/>
    </w:p>
    <w:p w14:paraId="2C25E42E">
      <w:pPr>
        <w:spacing w:line="360" w:lineRule="auto"/>
        <w:ind w:firstLine="480" w:firstLineChars="200"/>
        <w:rPr>
          <w:rFonts w:hint="eastAsia" w:ascii="仿宋" w:hAnsi="仿宋" w:eastAsia="仿宋" w:cs="仿宋"/>
          <w:strike/>
          <w:color w:val="auto"/>
          <w:kern w:val="0"/>
          <w:sz w:val="24"/>
          <w:highlight w:val="none"/>
          <w:u w:val="single"/>
        </w:rPr>
      </w:pPr>
      <w:r>
        <w:rPr>
          <w:rFonts w:hint="eastAsia" w:ascii="仿宋" w:hAnsi="仿宋" w:eastAsia="仿宋" w:cs="仿宋"/>
          <w:color w:val="auto"/>
          <w:sz w:val="24"/>
          <w:szCs w:val="24"/>
          <w:highlight w:val="none"/>
        </w:rPr>
        <w:t>本次招标公告同时在</w:t>
      </w:r>
      <w:r>
        <w:rPr>
          <w:rFonts w:hint="eastAsia" w:ascii="仿宋" w:hAnsi="仿宋" w:eastAsia="仿宋" w:cs="仿宋"/>
          <w:color w:val="auto"/>
          <w:sz w:val="24"/>
          <w:szCs w:val="24"/>
          <w:highlight w:val="none"/>
          <w:u w:val="single"/>
        </w:rPr>
        <w:t>广州公共资源交易网（网址：http://www.gzggzy.cn）、广东省招标投标监管网（网址：http://www.zbtb.gd.gov.cn/）和中国招标投标公共服务平台（网址：http://www.cebpubservice.com/）发布，本公告的修改、</w:t>
      </w:r>
      <w:r>
        <w:rPr>
          <w:rFonts w:hint="eastAsia" w:ascii="仿宋" w:hAnsi="仿宋" w:eastAsia="仿宋" w:cs="仿宋"/>
          <w:color w:val="auto"/>
          <w:sz w:val="24"/>
          <w:szCs w:val="24"/>
          <w:highlight w:val="none"/>
          <w:u w:val="single"/>
          <w:lang w:val="en-US" w:eastAsia="zh-CN"/>
        </w:rPr>
        <w:t>澄清、</w:t>
      </w:r>
      <w:r>
        <w:rPr>
          <w:rFonts w:hint="eastAsia" w:ascii="仿宋" w:hAnsi="仿宋" w:eastAsia="仿宋" w:cs="仿宋"/>
          <w:color w:val="auto"/>
          <w:sz w:val="24"/>
          <w:szCs w:val="24"/>
          <w:highlight w:val="none"/>
          <w:u w:val="single"/>
        </w:rPr>
        <w:t>补充，在广州公共资源交易中心网站</w:t>
      </w:r>
      <w:r>
        <w:rPr>
          <w:rFonts w:hint="eastAsia" w:ascii="仿宋" w:hAnsi="仿宋" w:eastAsia="仿宋" w:cs="仿宋"/>
          <w:color w:val="auto"/>
          <w:sz w:val="24"/>
          <w:szCs w:val="24"/>
          <w:highlight w:val="none"/>
        </w:rPr>
        <w:t>上发布。</w:t>
      </w:r>
    </w:p>
    <w:p w14:paraId="32CAC142">
      <w:pPr>
        <w:pStyle w:val="2"/>
        <w:keepNext w:val="0"/>
        <w:keepLines w:val="0"/>
        <w:spacing w:before="0" w:after="0" w:line="360" w:lineRule="auto"/>
        <w:rPr>
          <w:rFonts w:hint="eastAsia" w:ascii="仿宋" w:hAnsi="仿宋" w:eastAsia="仿宋" w:cs="仿宋"/>
          <w:color w:val="auto"/>
          <w:highlight w:val="none"/>
        </w:rPr>
      </w:pPr>
      <w:bookmarkStart w:id="49" w:name="_Toc511557031"/>
      <w:bookmarkStart w:id="50" w:name="_Toc514099629"/>
      <w:r>
        <w:rPr>
          <w:rFonts w:hint="eastAsia" w:ascii="仿宋" w:hAnsi="仿宋" w:eastAsia="仿宋" w:cs="仿宋"/>
          <w:color w:val="auto"/>
          <w:highlight w:val="none"/>
        </w:rPr>
        <w:t>7. 联系方式</w:t>
      </w:r>
      <w:bookmarkEnd w:id="49"/>
      <w:bookmarkEnd w:id="50"/>
    </w:p>
    <w:p w14:paraId="205BAB5D">
      <w:pPr>
        <w:topLinePunct/>
        <w:spacing w:line="360" w:lineRule="auto"/>
        <w:ind w:left="120" w:right="360" w:hanging="120" w:hangingChars="50"/>
        <w:jc w:val="left"/>
        <w:rPr>
          <w:rFonts w:hint="eastAsia" w:ascii="仿宋" w:hAnsi="仿宋" w:eastAsia="仿宋" w:cs="仿宋"/>
          <w:color w:val="auto"/>
          <w:sz w:val="24"/>
          <w:szCs w:val="24"/>
          <w:highlight w:val="none"/>
          <w:lang w:eastAsia="zh-CN"/>
        </w:rPr>
      </w:pPr>
      <w:bookmarkStart w:id="51" w:name="_Toc352691455"/>
      <w:bookmarkEnd w:id="51"/>
      <w:bookmarkStart w:id="52" w:name="_Toc247527536"/>
      <w:bookmarkEnd w:id="52"/>
      <w:bookmarkStart w:id="53" w:name="_Toc300834927"/>
      <w:bookmarkEnd w:id="53"/>
      <w:bookmarkStart w:id="54" w:name="_Toc352691453"/>
      <w:bookmarkEnd w:id="54"/>
      <w:bookmarkStart w:id="55" w:name="_Toc361508562"/>
      <w:bookmarkEnd w:id="55"/>
      <w:bookmarkStart w:id="56" w:name="_Toc152045512"/>
      <w:bookmarkEnd w:id="56"/>
      <w:bookmarkStart w:id="57" w:name="_Toc384308185"/>
      <w:bookmarkEnd w:id="57"/>
      <w:bookmarkStart w:id="58" w:name="_Toc352691456"/>
      <w:bookmarkEnd w:id="58"/>
      <w:bookmarkStart w:id="59" w:name="_Toc152045513"/>
      <w:bookmarkEnd w:id="59"/>
      <w:bookmarkStart w:id="60" w:name="_Toc247513935"/>
      <w:bookmarkEnd w:id="60"/>
      <w:bookmarkStart w:id="61" w:name="_Toc247527535"/>
      <w:bookmarkEnd w:id="61"/>
      <w:bookmarkStart w:id="62" w:name="_Toc152042289"/>
      <w:bookmarkEnd w:id="62"/>
      <w:bookmarkStart w:id="63" w:name="_Toc369531498"/>
      <w:bookmarkEnd w:id="63"/>
      <w:bookmarkStart w:id="64" w:name="_Toc361508563"/>
      <w:bookmarkEnd w:id="64"/>
      <w:bookmarkStart w:id="65" w:name="_Toc247513934"/>
      <w:bookmarkEnd w:id="65"/>
      <w:bookmarkStart w:id="66" w:name="_Toc384308188"/>
      <w:bookmarkEnd w:id="66"/>
      <w:bookmarkStart w:id="67" w:name="_Toc17972"/>
      <w:bookmarkEnd w:id="67"/>
      <w:bookmarkStart w:id="68" w:name="_Toc361508560"/>
      <w:bookmarkEnd w:id="68"/>
      <w:bookmarkStart w:id="69" w:name="_Toc10785"/>
      <w:bookmarkEnd w:id="69"/>
      <w:bookmarkStart w:id="70" w:name="_Toc30817"/>
      <w:bookmarkEnd w:id="70"/>
      <w:bookmarkStart w:id="71" w:name="_Toc369531497"/>
      <w:bookmarkEnd w:id="71"/>
      <w:bookmarkStart w:id="72" w:name="_Toc144974480"/>
      <w:bookmarkEnd w:id="72"/>
      <w:bookmarkStart w:id="73" w:name="_Toc144974481"/>
      <w:bookmarkEnd w:id="73"/>
      <w:bookmarkStart w:id="74" w:name="_Toc384308187"/>
      <w:bookmarkEnd w:id="74"/>
      <w:bookmarkStart w:id="75" w:name="_Toc300834929"/>
      <w:bookmarkEnd w:id="75"/>
      <w:bookmarkStart w:id="76" w:name="_Toc300834930"/>
      <w:bookmarkEnd w:id="76"/>
      <w:bookmarkStart w:id="77" w:name="_Toc369531495"/>
      <w:bookmarkEnd w:id="77"/>
      <w:bookmarkStart w:id="78" w:name="_Toc152042288"/>
      <w:bookmarkEnd w:id="78"/>
      <w:r>
        <w:rPr>
          <w:rFonts w:hint="eastAsia" w:ascii="仿宋" w:hAnsi="仿宋" w:eastAsia="仿宋" w:cs="仿宋"/>
          <w:color w:val="auto"/>
          <w:sz w:val="24"/>
          <w:szCs w:val="24"/>
          <w:highlight w:val="none"/>
        </w:rPr>
        <w:t>招标人名称：</w:t>
      </w:r>
      <w:r>
        <w:rPr>
          <w:rFonts w:hint="eastAsia" w:ascii="仿宋" w:hAnsi="仿宋" w:eastAsia="仿宋" w:cs="仿宋"/>
          <w:color w:val="auto"/>
          <w:sz w:val="24"/>
          <w:szCs w:val="24"/>
          <w:highlight w:val="none"/>
          <w:u w:val="single"/>
          <w:lang w:eastAsia="zh-CN"/>
        </w:rPr>
        <w:t>广东省财经职业技术学校</w:t>
      </w:r>
    </w:p>
    <w:p w14:paraId="412476B1">
      <w:pPr>
        <w:topLinePunct/>
        <w:spacing w:line="360" w:lineRule="auto"/>
        <w:ind w:left="120" w:right="360" w:hanging="120" w:hanging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bCs/>
          <w:color w:val="auto"/>
          <w:sz w:val="24"/>
          <w:szCs w:val="24"/>
          <w:highlight w:val="none"/>
          <w:u w:val="single"/>
        </w:rPr>
        <w:t>广东省佛山市南海区大沥镇金贸大道23号</w:t>
      </w:r>
    </w:p>
    <w:p w14:paraId="74EA05F8">
      <w:pPr>
        <w:topLinePunct/>
        <w:spacing w:line="360" w:lineRule="auto"/>
        <w:ind w:left="7198" w:right="480" w:hanging="7197" w:hangingChars="2999"/>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r>
        <w:rPr>
          <w:rFonts w:hint="eastAsia" w:ascii="仿宋" w:hAnsi="仿宋" w:eastAsia="仿宋" w:cs="仿宋"/>
          <w:color w:val="auto"/>
          <w:sz w:val="24"/>
          <w:szCs w:val="24"/>
          <w:highlight w:val="none"/>
          <w:u w:val="single"/>
          <w:lang w:val="en-US" w:eastAsia="zh-CN"/>
        </w:rPr>
        <w:t xml:space="preserve"> 钟老师 </w:t>
      </w:r>
      <w:r>
        <w:rPr>
          <w:rFonts w:hint="eastAsia" w:ascii="仿宋" w:hAnsi="仿宋" w:eastAsia="仿宋" w:cs="仿宋"/>
          <w:color w:val="auto"/>
          <w:sz w:val="24"/>
          <w:szCs w:val="24"/>
          <w:highlight w:val="none"/>
        </w:rPr>
        <w:t xml:space="preserve">    </w:t>
      </w:r>
    </w:p>
    <w:p w14:paraId="39665459">
      <w:pPr>
        <w:topLinePunct/>
        <w:spacing w:line="360" w:lineRule="auto"/>
        <w:ind w:left="7198" w:right="480" w:hanging="7197" w:hangingChars="2999"/>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bCs/>
          <w:color w:val="auto"/>
          <w:sz w:val="24"/>
          <w:szCs w:val="24"/>
          <w:highlight w:val="none"/>
          <w:u w:val="single"/>
          <w:lang w:val="en-US" w:eastAsia="zh-CN"/>
        </w:rPr>
        <w:t xml:space="preserve"> 0757-85553137 </w:t>
      </w:r>
    </w:p>
    <w:p w14:paraId="47F4F9B4">
      <w:pPr>
        <w:spacing w:line="360" w:lineRule="auto"/>
        <w:ind w:right="360"/>
        <w:jc w:val="left"/>
        <w:rPr>
          <w:rFonts w:hint="eastAsia" w:ascii="仿宋" w:hAnsi="仿宋" w:eastAsia="仿宋" w:cs="仿宋"/>
          <w:color w:val="auto"/>
          <w:sz w:val="24"/>
          <w:szCs w:val="24"/>
          <w:highlight w:val="none"/>
        </w:rPr>
      </w:pPr>
    </w:p>
    <w:p w14:paraId="35511CE3">
      <w:pPr>
        <w:spacing w:line="360" w:lineRule="auto"/>
        <w:ind w:right="36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招标代理机构：</w:t>
      </w:r>
      <w:r>
        <w:rPr>
          <w:rFonts w:hint="eastAsia" w:ascii="仿宋" w:hAnsi="仿宋" w:eastAsia="仿宋" w:cs="仿宋"/>
          <w:bCs/>
          <w:color w:val="auto"/>
          <w:sz w:val="24"/>
          <w:szCs w:val="24"/>
          <w:highlight w:val="none"/>
          <w:u w:val="single"/>
          <w:lang w:eastAsia="zh-CN"/>
        </w:rPr>
        <w:t>中捷通信有限公司</w:t>
      </w:r>
    </w:p>
    <w:p w14:paraId="47F89BA9">
      <w:pPr>
        <w:topLinePunct/>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bCs/>
          <w:color w:val="auto"/>
          <w:sz w:val="24"/>
          <w:szCs w:val="24"/>
          <w:highlight w:val="none"/>
          <w:u w:val="single"/>
        </w:rPr>
        <w:t>广州市越秀区较场西路21号大院二栋首层（仅限办公）</w:t>
      </w:r>
    </w:p>
    <w:p w14:paraId="401AB3C8">
      <w:pPr>
        <w:topLinePunct/>
        <w:spacing w:line="360" w:lineRule="auto"/>
        <w:ind w:left="7486" w:hanging="7485" w:hangingChars="3119"/>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r>
        <w:rPr>
          <w:rFonts w:hint="eastAsia" w:ascii="仿宋" w:hAnsi="仿宋" w:eastAsia="仿宋" w:cs="仿宋"/>
          <w:color w:val="auto"/>
          <w:sz w:val="24"/>
          <w:szCs w:val="24"/>
          <w:highlight w:val="none"/>
          <w:u w:val="single"/>
          <w:lang w:val="en-US" w:eastAsia="zh-CN"/>
        </w:rPr>
        <w:t>熊超、梁力恒、林晓</w:t>
      </w:r>
      <w:r>
        <w:rPr>
          <w:rFonts w:hint="eastAsia" w:ascii="仿宋" w:hAnsi="仿宋" w:eastAsia="仿宋" w:cs="仿宋"/>
          <w:color w:val="auto"/>
          <w:sz w:val="24"/>
          <w:szCs w:val="24"/>
          <w:highlight w:val="none"/>
        </w:rPr>
        <w:t xml:space="preserve">   </w:t>
      </w:r>
    </w:p>
    <w:p w14:paraId="152869D4">
      <w:pPr>
        <w:topLinePunct/>
        <w:spacing w:line="360" w:lineRule="auto"/>
        <w:ind w:left="7486" w:hanging="7485" w:hangingChars="3119"/>
        <w:jc w:val="left"/>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lang w:val="en-US" w:eastAsia="zh-CN"/>
        </w:rPr>
        <w:t>15360591916</w:t>
      </w:r>
    </w:p>
    <w:p w14:paraId="1A1EBC2B">
      <w:pPr>
        <w:topLinePunct/>
        <w:spacing w:line="360" w:lineRule="auto"/>
        <w:ind w:left="120" w:right="360" w:hanging="120" w:hanging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u w:val="single"/>
          <w:lang w:val="en-US" w:eastAsia="zh-CN"/>
        </w:rPr>
        <w:t>xiongchao.gyl@chinaccs.cn</w:t>
      </w:r>
      <w:r>
        <w:rPr>
          <w:rFonts w:hint="eastAsia" w:ascii="仿宋" w:hAnsi="仿宋" w:eastAsia="仿宋" w:cs="仿宋"/>
          <w:color w:val="auto"/>
          <w:sz w:val="24"/>
          <w:szCs w:val="24"/>
          <w:highlight w:val="none"/>
        </w:rPr>
        <w:t xml:space="preserve">     </w:t>
      </w:r>
    </w:p>
    <w:p w14:paraId="3D3573E5">
      <w:pPr>
        <w:spacing w:line="360" w:lineRule="auto"/>
        <w:ind w:right="360"/>
        <w:jc w:val="left"/>
        <w:rPr>
          <w:rFonts w:hint="eastAsia" w:ascii="仿宋" w:hAnsi="仿宋" w:eastAsia="仿宋" w:cs="仿宋"/>
          <w:color w:val="auto"/>
          <w:sz w:val="24"/>
          <w:szCs w:val="24"/>
          <w:highlight w:val="none"/>
        </w:rPr>
      </w:pPr>
    </w:p>
    <w:p w14:paraId="1E01282F">
      <w:pPr>
        <w:topLinePunct/>
        <w:spacing w:line="360" w:lineRule="auto"/>
        <w:ind w:left="120" w:right="360" w:hanging="120" w:hangingChars="5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招标人名称：</w:t>
      </w:r>
      <w:r>
        <w:rPr>
          <w:rFonts w:hint="eastAsia" w:ascii="仿宋" w:hAnsi="仿宋" w:eastAsia="仿宋" w:cs="仿宋"/>
          <w:color w:val="auto"/>
          <w:sz w:val="24"/>
          <w:szCs w:val="24"/>
          <w:highlight w:val="none"/>
          <w:u w:val="single"/>
          <w:lang w:eastAsia="zh-CN"/>
        </w:rPr>
        <w:t>广东省财经职业技术学校</w:t>
      </w:r>
    </w:p>
    <w:p w14:paraId="0C2DF6E0">
      <w:pPr>
        <w:topLinePunct/>
        <w:spacing w:line="360" w:lineRule="auto"/>
        <w:ind w:left="120" w:right="360" w:hanging="120" w:hanging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bCs/>
          <w:color w:val="auto"/>
          <w:sz w:val="24"/>
          <w:szCs w:val="24"/>
          <w:highlight w:val="none"/>
          <w:u w:val="single"/>
        </w:rPr>
        <w:t>广东省佛山市南海区大沥镇金贸大道23号</w:t>
      </w:r>
    </w:p>
    <w:p w14:paraId="246A6E7E">
      <w:pPr>
        <w:topLinePunct/>
        <w:spacing w:line="360" w:lineRule="auto"/>
        <w:ind w:left="7198" w:right="480" w:hanging="7197" w:hangingChars="2999"/>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r>
        <w:rPr>
          <w:rFonts w:hint="eastAsia" w:ascii="仿宋" w:hAnsi="仿宋" w:eastAsia="仿宋" w:cs="仿宋"/>
          <w:color w:val="auto"/>
          <w:sz w:val="24"/>
          <w:szCs w:val="24"/>
          <w:highlight w:val="none"/>
          <w:u w:val="single"/>
          <w:lang w:val="en-US" w:eastAsia="zh-CN"/>
        </w:rPr>
        <w:t xml:space="preserve"> 钟老师 </w:t>
      </w:r>
      <w:r>
        <w:rPr>
          <w:rFonts w:hint="eastAsia" w:ascii="仿宋" w:hAnsi="仿宋" w:eastAsia="仿宋" w:cs="仿宋"/>
          <w:color w:val="auto"/>
          <w:sz w:val="24"/>
          <w:szCs w:val="24"/>
          <w:highlight w:val="none"/>
        </w:rPr>
        <w:t xml:space="preserve">    </w:t>
      </w:r>
    </w:p>
    <w:p w14:paraId="0ECA5491">
      <w:pPr>
        <w:spacing w:line="360" w:lineRule="auto"/>
        <w:ind w:right="36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bCs/>
          <w:color w:val="auto"/>
          <w:sz w:val="24"/>
          <w:szCs w:val="24"/>
          <w:highlight w:val="none"/>
          <w:u w:val="single"/>
          <w:lang w:val="en-US" w:eastAsia="zh-CN"/>
        </w:rPr>
        <w:t xml:space="preserve"> 0757-85553137</w:t>
      </w:r>
      <w:bookmarkStart w:id="80" w:name="_GoBack"/>
      <w:bookmarkEnd w:id="80"/>
      <w:r>
        <w:rPr>
          <w:rFonts w:hint="eastAsia" w:ascii="仿宋" w:hAnsi="仿宋" w:eastAsia="仿宋" w:cs="仿宋"/>
          <w:bCs/>
          <w:color w:val="auto"/>
          <w:sz w:val="24"/>
          <w:szCs w:val="24"/>
          <w:highlight w:val="none"/>
          <w:u w:val="single"/>
          <w:lang w:val="en-US" w:eastAsia="zh-CN"/>
        </w:rPr>
        <w:t xml:space="preserve"> </w:t>
      </w:r>
    </w:p>
    <w:p w14:paraId="278D585B">
      <w:pPr>
        <w:topLinePunct/>
        <w:spacing w:line="360" w:lineRule="auto"/>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招标监督机构：</w:t>
      </w:r>
      <w:r>
        <w:rPr>
          <w:rFonts w:hint="eastAsia" w:ascii="仿宋" w:hAnsi="仿宋" w:eastAsia="仿宋" w:cs="仿宋"/>
          <w:color w:val="auto"/>
          <w:sz w:val="24"/>
          <w:szCs w:val="24"/>
          <w:highlight w:val="none"/>
          <w:u w:val="single"/>
        </w:rPr>
        <w:t>广州市建设工程招标管理办公室</w:t>
      </w:r>
      <w:bookmarkStart w:id="79" w:name="auto_fouce_39"/>
    </w:p>
    <w:bookmarkEnd w:id="79"/>
    <w:p w14:paraId="3F483901">
      <w:pPr>
        <w:topLinePunct/>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监管电话：</w:t>
      </w:r>
      <w:r>
        <w:rPr>
          <w:rFonts w:hint="eastAsia" w:ascii="仿宋" w:hAnsi="仿宋" w:eastAsia="仿宋" w:cs="仿宋"/>
          <w:color w:val="auto"/>
          <w:sz w:val="24"/>
          <w:szCs w:val="24"/>
          <w:highlight w:val="none"/>
          <w:u w:val="single"/>
        </w:rPr>
        <w:t>020-28866220</w:t>
      </w:r>
    </w:p>
    <w:p w14:paraId="04AD2F46">
      <w:pPr>
        <w:pStyle w:val="15"/>
        <w:ind w:firstLine="0"/>
        <w:rPr>
          <w:rFonts w:hint="eastAsia" w:ascii="仿宋" w:hAnsi="仿宋" w:eastAsia="仿宋" w:cs="仿宋"/>
          <w:color w:val="auto"/>
          <w:sz w:val="24"/>
          <w:highlight w:val="none"/>
          <w:u w:val="single"/>
        </w:rPr>
      </w:pPr>
      <w:r>
        <w:rPr>
          <w:rFonts w:hint="eastAsia" w:ascii="仿宋" w:hAnsi="仿宋" w:eastAsia="仿宋" w:cs="仿宋"/>
          <w:bCs/>
          <w:color w:val="auto"/>
          <w:sz w:val="24"/>
          <w:highlight w:val="none"/>
        </w:rPr>
        <w:t>地址：</w:t>
      </w:r>
      <w:r>
        <w:rPr>
          <w:rFonts w:hint="eastAsia" w:ascii="仿宋" w:hAnsi="仿宋" w:eastAsia="仿宋" w:cs="仿宋"/>
          <w:color w:val="auto"/>
          <w:sz w:val="24"/>
          <w:highlight w:val="none"/>
          <w:u w:val="single"/>
        </w:rPr>
        <w:t>广州市天河区天润路333号</w:t>
      </w: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744E4">
    <w:pPr>
      <w:pStyle w:val="10"/>
      <w:jc w:val="center"/>
    </w:pPr>
  </w:p>
  <w:p w14:paraId="5261A36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E548D">
    <w:pPr>
      <w:pStyle w:val="10"/>
      <w:jc w:val="center"/>
    </w:pPr>
    <w:r>
      <w:fldChar w:fldCharType="begin"/>
    </w:r>
    <w:r>
      <w:instrText xml:space="preserve"> PAGE   \* MERGEFORMAT </w:instrText>
    </w:r>
    <w:r>
      <w:fldChar w:fldCharType="separate"/>
    </w:r>
    <w:r>
      <w:rPr>
        <w:lang w:val="zh-CN"/>
      </w:rPr>
      <w:t>3</w:t>
    </w:r>
    <w:r>
      <w:fldChar w:fldCharType="end"/>
    </w:r>
  </w:p>
  <w:p w14:paraId="7403453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33312">
    <w:pPr>
      <w:pStyle w:val="12"/>
      <w:ind w:left="420"/>
      <w:jc w:val="right"/>
      <w:rPr>
        <w:rFonts w:hint="eastAsia"/>
        <w:b/>
        <w:bCs/>
        <w:sz w:val="24"/>
        <w:szCs w:val="24"/>
      </w:rPr>
    </w:pPr>
  </w:p>
  <w:p w14:paraId="40E0FAB1">
    <w:pPr>
      <w:pStyle w:val="12"/>
      <w:ind w:left="420"/>
      <w:jc w:val="right"/>
      <w:rPr>
        <w:rFonts w:hint="eastAsia"/>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zYmI1MzA1YTMyZTBmY2M5NThjZWZlYThhMjBmZDAifQ=="/>
    <w:docVar w:name="KSO_WPS_MARK_KEY" w:val="a2ca31ef-5e2d-48d8-92b8-a48d4335b384"/>
  </w:docVars>
  <w:rsids>
    <w:rsidRoot w:val="00A65B08"/>
    <w:rsid w:val="00015668"/>
    <w:rsid w:val="00022B18"/>
    <w:rsid w:val="000242B3"/>
    <w:rsid w:val="000261BD"/>
    <w:rsid w:val="00035801"/>
    <w:rsid w:val="0003591B"/>
    <w:rsid w:val="00041142"/>
    <w:rsid w:val="000428F4"/>
    <w:rsid w:val="00052C55"/>
    <w:rsid w:val="00052DAA"/>
    <w:rsid w:val="00056DE2"/>
    <w:rsid w:val="00064E33"/>
    <w:rsid w:val="00071D45"/>
    <w:rsid w:val="00076AE6"/>
    <w:rsid w:val="000856AC"/>
    <w:rsid w:val="000922D6"/>
    <w:rsid w:val="000954E6"/>
    <w:rsid w:val="00095C9F"/>
    <w:rsid w:val="000A31BC"/>
    <w:rsid w:val="000C370A"/>
    <w:rsid w:val="000C3FF2"/>
    <w:rsid w:val="000E26DB"/>
    <w:rsid w:val="000E3FC3"/>
    <w:rsid w:val="000E4FF2"/>
    <w:rsid w:val="000F1CC7"/>
    <w:rsid w:val="000F75FF"/>
    <w:rsid w:val="000F7A4A"/>
    <w:rsid w:val="0010165E"/>
    <w:rsid w:val="00102E44"/>
    <w:rsid w:val="00107283"/>
    <w:rsid w:val="0010789A"/>
    <w:rsid w:val="00115C49"/>
    <w:rsid w:val="00117807"/>
    <w:rsid w:val="00117A35"/>
    <w:rsid w:val="00124F7F"/>
    <w:rsid w:val="00126331"/>
    <w:rsid w:val="001276C0"/>
    <w:rsid w:val="00132849"/>
    <w:rsid w:val="00136153"/>
    <w:rsid w:val="001449BE"/>
    <w:rsid w:val="00145480"/>
    <w:rsid w:val="00145538"/>
    <w:rsid w:val="00147BC5"/>
    <w:rsid w:val="0015274A"/>
    <w:rsid w:val="00152FF2"/>
    <w:rsid w:val="00156C7F"/>
    <w:rsid w:val="0015752F"/>
    <w:rsid w:val="00161771"/>
    <w:rsid w:val="00161AB2"/>
    <w:rsid w:val="00171B3C"/>
    <w:rsid w:val="001752BA"/>
    <w:rsid w:val="00182475"/>
    <w:rsid w:val="001857C7"/>
    <w:rsid w:val="001A3982"/>
    <w:rsid w:val="001A5FFF"/>
    <w:rsid w:val="001B157B"/>
    <w:rsid w:val="001B6F23"/>
    <w:rsid w:val="001C2409"/>
    <w:rsid w:val="001C6580"/>
    <w:rsid w:val="001D0216"/>
    <w:rsid w:val="001D3753"/>
    <w:rsid w:val="001D6199"/>
    <w:rsid w:val="001E24A5"/>
    <w:rsid w:val="001E3F91"/>
    <w:rsid w:val="001E5C89"/>
    <w:rsid w:val="001E6481"/>
    <w:rsid w:val="001F3F79"/>
    <w:rsid w:val="00202EFC"/>
    <w:rsid w:val="00211E60"/>
    <w:rsid w:val="00214D01"/>
    <w:rsid w:val="00215E54"/>
    <w:rsid w:val="002208C2"/>
    <w:rsid w:val="00224ACD"/>
    <w:rsid w:val="002345EA"/>
    <w:rsid w:val="00240C82"/>
    <w:rsid w:val="00240EBE"/>
    <w:rsid w:val="00241C5C"/>
    <w:rsid w:val="00241CA9"/>
    <w:rsid w:val="00244D05"/>
    <w:rsid w:val="0024746D"/>
    <w:rsid w:val="00251C01"/>
    <w:rsid w:val="0025396E"/>
    <w:rsid w:val="002552EB"/>
    <w:rsid w:val="00260663"/>
    <w:rsid w:val="002636B2"/>
    <w:rsid w:val="00264AAB"/>
    <w:rsid w:val="0026686D"/>
    <w:rsid w:val="00267DFE"/>
    <w:rsid w:val="0027264A"/>
    <w:rsid w:val="0027310B"/>
    <w:rsid w:val="00275260"/>
    <w:rsid w:val="0028060F"/>
    <w:rsid w:val="00281D61"/>
    <w:rsid w:val="0028537C"/>
    <w:rsid w:val="00287FAC"/>
    <w:rsid w:val="002B4881"/>
    <w:rsid w:val="002C7235"/>
    <w:rsid w:val="002D0789"/>
    <w:rsid w:val="002D2148"/>
    <w:rsid w:val="002D2DE5"/>
    <w:rsid w:val="002E621A"/>
    <w:rsid w:val="002E7B42"/>
    <w:rsid w:val="002F06C0"/>
    <w:rsid w:val="00316C93"/>
    <w:rsid w:val="00323CE7"/>
    <w:rsid w:val="003240D6"/>
    <w:rsid w:val="00324CDB"/>
    <w:rsid w:val="00326099"/>
    <w:rsid w:val="00335DAA"/>
    <w:rsid w:val="00341BD0"/>
    <w:rsid w:val="00342F05"/>
    <w:rsid w:val="00351200"/>
    <w:rsid w:val="0035359E"/>
    <w:rsid w:val="00364221"/>
    <w:rsid w:val="00371D16"/>
    <w:rsid w:val="00375AF0"/>
    <w:rsid w:val="003778BF"/>
    <w:rsid w:val="00382A39"/>
    <w:rsid w:val="0039051B"/>
    <w:rsid w:val="00391CBB"/>
    <w:rsid w:val="00393BF7"/>
    <w:rsid w:val="0039413E"/>
    <w:rsid w:val="003A20D0"/>
    <w:rsid w:val="003A20D1"/>
    <w:rsid w:val="003A4223"/>
    <w:rsid w:val="003C0F86"/>
    <w:rsid w:val="003C3FD3"/>
    <w:rsid w:val="003C69E6"/>
    <w:rsid w:val="003C75EC"/>
    <w:rsid w:val="003E5D52"/>
    <w:rsid w:val="003F2174"/>
    <w:rsid w:val="003F4839"/>
    <w:rsid w:val="003F5993"/>
    <w:rsid w:val="00413B2F"/>
    <w:rsid w:val="004144AD"/>
    <w:rsid w:val="00415405"/>
    <w:rsid w:val="004175F4"/>
    <w:rsid w:val="004212A4"/>
    <w:rsid w:val="0042587A"/>
    <w:rsid w:val="0043048C"/>
    <w:rsid w:val="00433C6C"/>
    <w:rsid w:val="00463FA9"/>
    <w:rsid w:val="00466FB0"/>
    <w:rsid w:val="00467B58"/>
    <w:rsid w:val="004717EF"/>
    <w:rsid w:val="00491A98"/>
    <w:rsid w:val="004932C9"/>
    <w:rsid w:val="00494B8E"/>
    <w:rsid w:val="004A44A1"/>
    <w:rsid w:val="004B204D"/>
    <w:rsid w:val="004B28C7"/>
    <w:rsid w:val="004B5DA9"/>
    <w:rsid w:val="004B6B1E"/>
    <w:rsid w:val="004B7E88"/>
    <w:rsid w:val="004C3683"/>
    <w:rsid w:val="004C429A"/>
    <w:rsid w:val="004C4918"/>
    <w:rsid w:val="004C5EB6"/>
    <w:rsid w:val="004D241E"/>
    <w:rsid w:val="004D2C74"/>
    <w:rsid w:val="004D66EA"/>
    <w:rsid w:val="004D7A3D"/>
    <w:rsid w:val="004E1965"/>
    <w:rsid w:val="004E383B"/>
    <w:rsid w:val="004E3E53"/>
    <w:rsid w:val="004E40C6"/>
    <w:rsid w:val="004E4AC8"/>
    <w:rsid w:val="004E5183"/>
    <w:rsid w:val="004E7131"/>
    <w:rsid w:val="004F3CC9"/>
    <w:rsid w:val="00500DB9"/>
    <w:rsid w:val="00501A7F"/>
    <w:rsid w:val="00506D48"/>
    <w:rsid w:val="00514A53"/>
    <w:rsid w:val="005155F1"/>
    <w:rsid w:val="00522013"/>
    <w:rsid w:val="00536153"/>
    <w:rsid w:val="00542A63"/>
    <w:rsid w:val="005455BB"/>
    <w:rsid w:val="005467FA"/>
    <w:rsid w:val="00550715"/>
    <w:rsid w:val="0055134B"/>
    <w:rsid w:val="00554388"/>
    <w:rsid w:val="00555607"/>
    <w:rsid w:val="00557CB7"/>
    <w:rsid w:val="005703C0"/>
    <w:rsid w:val="00576B1B"/>
    <w:rsid w:val="005771F6"/>
    <w:rsid w:val="00584974"/>
    <w:rsid w:val="0058559D"/>
    <w:rsid w:val="00586E38"/>
    <w:rsid w:val="005A0CE5"/>
    <w:rsid w:val="005A37B2"/>
    <w:rsid w:val="005C1014"/>
    <w:rsid w:val="005C2ED8"/>
    <w:rsid w:val="005C5178"/>
    <w:rsid w:val="005C5FE3"/>
    <w:rsid w:val="005C6791"/>
    <w:rsid w:val="005C6B21"/>
    <w:rsid w:val="005E4D5F"/>
    <w:rsid w:val="005E710C"/>
    <w:rsid w:val="005F1D74"/>
    <w:rsid w:val="00600361"/>
    <w:rsid w:val="0062034C"/>
    <w:rsid w:val="00622FD4"/>
    <w:rsid w:val="0063272F"/>
    <w:rsid w:val="00632B01"/>
    <w:rsid w:val="00653494"/>
    <w:rsid w:val="00655292"/>
    <w:rsid w:val="00656385"/>
    <w:rsid w:val="0066441E"/>
    <w:rsid w:val="00666F25"/>
    <w:rsid w:val="0066723F"/>
    <w:rsid w:val="0067244B"/>
    <w:rsid w:val="00675694"/>
    <w:rsid w:val="00675E92"/>
    <w:rsid w:val="00684D0C"/>
    <w:rsid w:val="0069043A"/>
    <w:rsid w:val="006906CC"/>
    <w:rsid w:val="006925EE"/>
    <w:rsid w:val="006B6CF7"/>
    <w:rsid w:val="006C491A"/>
    <w:rsid w:val="006C76A3"/>
    <w:rsid w:val="006D1583"/>
    <w:rsid w:val="006E54B5"/>
    <w:rsid w:val="006F1F25"/>
    <w:rsid w:val="006F3728"/>
    <w:rsid w:val="006F5C89"/>
    <w:rsid w:val="00700F29"/>
    <w:rsid w:val="0070485E"/>
    <w:rsid w:val="00723980"/>
    <w:rsid w:val="007261DC"/>
    <w:rsid w:val="00726B61"/>
    <w:rsid w:val="0074693C"/>
    <w:rsid w:val="00746EB5"/>
    <w:rsid w:val="00753611"/>
    <w:rsid w:val="00754037"/>
    <w:rsid w:val="00761CBF"/>
    <w:rsid w:val="00762927"/>
    <w:rsid w:val="007705E7"/>
    <w:rsid w:val="00771BAB"/>
    <w:rsid w:val="007749E7"/>
    <w:rsid w:val="00777743"/>
    <w:rsid w:val="00777864"/>
    <w:rsid w:val="007852DA"/>
    <w:rsid w:val="00791F81"/>
    <w:rsid w:val="007972A5"/>
    <w:rsid w:val="007A2281"/>
    <w:rsid w:val="007B07D4"/>
    <w:rsid w:val="007B4D27"/>
    <w:rsid w:val="007C325B"/>
    <w:rsid w:val="007D2978"/>
    <w:rsid w:val="007E2CE6"/>
    <w:rsid w:val="007E7689"/>
    <w:rsid w:val="007F08BE"/>
    <w:rsid w:val="007F1412"/>
    <w:rsid w:val="007F758D"/>
    <w:rsid w:val="0080354A"/>
    <w:rsid w:val="008049DF"/>
    <w:rsid w:val="008052B8"/>
    <w:rsid w:val="00814B17"/>
    <w:rsid w:val="00817EED"/>
    <w:rsid w:val="00824801"/>
    <w:rsid w:val="00830E3D"/>
    <w:rsid w:val="0084609F"/>
    <w:rsid w:val="00850E21"/>
    <w:rsid w:val="00856DC0"/>
    <w:rsid w:val="00865900"/>
    <w:rsid w:val="0086763F"/>
    <w:rsid w:val="00870844"/>
    <w:rsid w:val="0087457A"/>
    <w:rsid w:val="0087773D"/>
    <w:rsid w:val="008A0DD8"/>
    <w:rsid w:val="008A3278"/>
    <w:rsid w:val="008A5DB4"/>
    <w:rsid w:val="008B1775"/>
    <w:rsid w:val="008B4303"/>
    <w:rsid w:val="008C7251"/>
    <w:rsid w:val="008C7E43"/>
    <w:rsid w:val="008D2280"/>
    <w:rsid w:val="008E0D4C"/>
    <w:rsid w:val="008E0FDD"/>
    <w:rsid w:val="008E5559"/>
    <w:rsid w:val="008E5E30"/>
    <w:rsid w:val="008F1F4C"/>
    <w:rsid w:val="008F4A0D"/>
    <w:rsid w:val="00900314"/>
    <w:rsid w:val="009015D0"/>
    <w:rsid w:val="0090269A"/>
    <w:rsid w:val="0090488B"/>
    <w:rsid w:val="00905A01"/>
    <w:rsid w:val="009120F8"/>
    <w:rsid w:val="00913CB4"/>
    <w:rsid w:val="00915FF4"/>
    <w:rsid w:val="00920023"/>
    <w:rsid w:val="00933D61"/>
    <w:rsid w:val="009412C5"/>
    <w:rsid w:val="00942D1E"/>
    <w:rsid w:val="009441E2"/>
    <w:rsid w:val="00944A11"/>
    <w:rsid w:val="00951517"/>
    <w:rsid w:val="00952475"/>
    <w:rsid w:val="009640A7"/>
    <w:rsid w:val="0097140A"/>
    <w:rsid w:val="00972E49"/>
    <w:rsid w:val="009821C3"/>
    <w:rsid w:val="00987403"/>
    <w:rsid w:val="00992BEE"/>
    <w:rsid w:val="009A19DA"/>
    <w:rsid w:val="009A1E39"/>
    <w:rsid w:val="009A2479"/>
    <w:rsid w:val="009A42ED"/>
    <w:rsid w:val="009A49D2"/>
    <w:rsid w:val="009C0E16"/>
    <w:rsid w:val="009C35C3"/>
    <w:rsid w:val="009C49C1"/>
    <w:rsid w:val="009C5AA1"/>
    <w:rsid w:val="009C7AD3"/>
    <w:rsid w:val="009D2377"/>
    <w:rsid w:val="009E3173"/>
    <w:rsid w:val="009E342C"/>
    <w:rsid w:val="009F4CB3"/>
    <w:rsid w:val="00A01993"/>
    <w:rsid w:val="00A145CA"/>
    <w:rsid w:val="00A14A40"/>
    <w:rsid w:val="00A21CC0"/>
    <w:rsid w:val="00A22FBB"/>
    <w:rsid w:val="00A32B77"/>
    <w:rsid w:val="00A32C3C"/>
    <w:rsid w:val="00A352EC"/>
    <w:rsid w:val="00A37CA4"/>
    <w:rsid w:val="00A41252"/>
    <w:rsid w:val="00A42FB4"/>
    <w:rsid w:val="00A431EC"/>
    <w:rsid w:val="00A46310"/>
    <w:rsid w:val="00A463EB"/>
    <w:rsid w:val="00A56F65"/>
    <w:rsid w:val="00A604EC"/>
    <w:rsid w:val="00A65B08"/>
    <w:rsid w:val="00A74A0A"/>
    <w:rsid w:val="00A83B67"/>
    <w:rsid w:val="00A8760F"/>
    <w:rsid w:val="00A9571E"/>
    <w:rsid w:val="00AA0559"/>
    <w:rsid w:val="00AA2326"/>
    <w:rsid w:val="00AA5846"/>
    <w:rsid w:val="00AA5A2A"/>
    <w:rsid w:val="00AA7F2E"/>
    <w:rsid w:val="00AB3918"/>
    <w:rsid w:val="00AC4966"/>
    <w:rsid w:val="00AC6C72"/>
    <w:rsid w:val="00AE7538"/>
    <w:rsid w:val="00AF057A"/>
    <w:rsid w:val="00B14270"/>
    <w:rsid w:val="00B2049F"/>
    <w:rsid w:val="00B20EA7"/>
    <w:rsid w:val="00B23A76"/>
    <w:rsid w:val="00B2508F"/>
    <w:rsid w:val="00B3108F"/>
    <w:rsid w:val="00B40A89"/>
    <w:rsid w:val="00B548EB"/>
    <w:rsid w:val="00B706C9"/>
    <w:rsid w:val="00B83BA3"/>
    <w:rsid w:val="00BA44A2"/>
    <w:rsid w:val="00BA7BE7"/>
    <w:rsid w:val="00BB1810"/>
    <w:rsid w:val="00BB2B65"/>
    <w:rsid w:val="00BB7F55"/>
    <w:rsid w:val="00BC552C"/>
    <w:rsid w:val="00BD29E4"/>
    <w:rsid w:val="00BD4335"/>
    <w:rsid w:val="00BD49C9"/>
    <w:rsid w:val="00BD7364"/>
    <w:rsid w:val="00BE22DE"/>
    <w:rsid w:val="00BE2CB7"/>
    <w:rsid w:val="00BE3A4E"/>
    <w:rsid w:val="00BE7DB1"/>
    <w:rsid w:val="00BF2108"/>
    <w:rsid w:val="00C06B8A"/>
    <w:rsid w:val="00C138B6"/>
    <w:rsid w:val="00C20FDA"/>
    <w:rsid w:val="00C2219B"/>
    <w:rsid w:val="00C23CFC"/>
    <w:rsid w:val="00C246EE"/>
    <w:rsid w:val="00C2626A"/>
    <w:rsid w:val="00C4318A"/>
    <w:rsid w:val="00C44C7F"/>
    <w:rsid w:val="00C4645A"/>
    <w:rsid w:val="00C47A5F"/>
    <w:rsid w:val="00C523DF"/>
    <w:rsid w:val="00C56F8F"/>
    <w:rsid w:val="00C57848"/>
    <w:rsid w:val="00C6021B"/>
    <w:rsid w:val="00C6592A"/>
    <w:rsid w:val="00C72CEC"/>
    <w:rsid w:val="00C752FA"/>
    <w:rsid w:val="00C8138E"/>
    <w:rsid w:val="00C853EC"/>
    <w:rsid w:val="00C932A0"/>
    <w:rsid w:val="00C945C0"/>
    <w:rsid w:val="00CA0E1E"/>
    <w:rsid w:val="00CA3C60"/>
    <w:rsid w:val="00CA71CE"/>
    <w:rsid w:val="00CB749A"/>
    <w:rsid w:val="00CC0626"/>
    <w:rsid w:val="00CC37FC"/>
    <w:rsid w:val="00CD6A64"/>
    <w:rsid w:val="00CE24AF"/>
    <w:rsid w:val="00CE489F"/>
    <w:rsid w:val="00CE566C"/>
    <w:rsid w:val="00CE77F0"/>
    <w:rsid w:val="00CF2B40"/>
    <w:rsid w:val="00CF3549"/>
    <w:rsid w:val="00CF4FA9"/>
    <w:rsid w:val="00D03767"/>
    <w:rsid w:val="00D040A1"/>
    <w:rsid w:val="00D11231"/>
    <w:rsid w:val="00D164B6"/>
    <w:rsid w:val="00D2178F"/>
    <w:rsid w:val="00D21D53"/>
    <w:rsid w:val="00D22E81"/>
    <w:rsid w:val="00D45802"/>
    <w:rsid w:val="00D459A6"/>
    <w:rsid w:val="00D53AD5"/>
    <w:rsid w:val="00D57D12"/>
    <w:rsid w:val="00D6447B"/>
    <w:rsid w:val="00D655E8"/>
    <w:rsid w:val="00D73FD2"/>
    <w:rsid w:val="00D74B74"/>
    <w:rsid w:val="00D8019F"/>
    <w:rsid w:val="00D86345"/>
    <w:rsid w:val="00D87157"/>
    <w:rsid w:val="00D94123"/>
    <w:rsid w:val="00DA0856"/>
    <w:rsid w:val="00DA3004"/>
    <w:rsid w:val="00DA69EA"/>
    <w:rsid w:val="00DA7456"/>
    <w:rsid w:val="00DB7FEF"/>
    <w:rsid w:val="00DC7826"/>
    <w:rsid w:val="00DC7FB1"/>
    <w:rsid w:val="00DD1700"/>
    <w:rsid w:val="00DE6C93"/>
    <w:rsid w:val="00E00236"/>
    <w:rsid w:val="00E13623"/>
    <w:rsid w:val="00E17E15"/>
    <w:rsid w:val="00E22967"/>
    <w:rsid w:val="00E23A80"/>
    <w:rsid w:val="00E2621C"/>
    <w:rsid w:val="00E266AD"/>
    <w:rsid w:val="00E345A1"/>
    <w:rsid w:val="00E35B5B"/>
    <w:rsid w:val="00E412A4"/>
    <w:rsid w:val="00E619D1"/>
    <w:rsid w:val="00E8315D"/>
    <w:rsid w:val="00E85C9C"/>
    <w:rsid w:val="00E91FDB"/>
    <w:rsid w:val="00EA705C"/>
    <w:rsid w:val="00EB5A89"/>
    <w:rsid w:val="00EC076C"/>
    <w:rsid w:val="00EC6A73"/>
    <w:rsid w:val="00ED6718"/>
    <w:rsid w:val="00EE716E"/>
    <w:rsid w:val="00EF791D"/>
    <w:rsid w:val="00F076D5"/>
    <w:rsid w:val="00F116C3"/>
    <w:rsid w:val="00F12226"/>
    <w:rsid w:val="00F1435F"/>
    <w:rsid w:val="00F25156"/>
    <w:rsid w:val="00F27604"/>
    <w:rsid w:val="00F43870"/>
    <w:rsid w:val="00F44020"/>
    <w:rsid w:val="00F4634B"/>
    <w:rsid w:val="00F51409"/>
    <w:rsid w:val="00F53762"/>
    <w:rsid w:val="00F560E6"/>
    <w:rsid w:val="00F6012C"/>
    <w:rsid w:val="00F6596D"/>
    <w:rsid w:val="00F66B62"/>
    <w:rsid w:val="00F7164F"/>
    <w:rsid w:val="00F71854"/>
    <w:rsid w:val="00F74959"/>
    <w:rsid w:val="00F769B0"/>
    <w:rsid w:val="00F80809"/>
    <w:rsid w:val="00F82C23"/>
    <w:rsid w:val="00F92C8A"/>
    <w:rsid w:val="00F937FB"/>
    <w:rsid w:val="00F97AB9"/>
    <w:rsid w:val="00F97E22"/>
    <w:rsid w:val="00FA2DD2"/>
    <w:rsid w:val="00FA37A6"/>
    <w:rsid w:val="00FB4FFA"/>
    <w:rsid w:val="00FB63D5"/>
    <w:rsid w:val="00FB7774"/>
    <w:rsid w:val="00FC6F32"/>
    <w:rsid w:val="00FD54D0"/>
    <w:rsid w:val="00FD5C34"/>
    <w:rsid w:val="00FD7C1D"/>
    <w:rsid w:val="00FE0A02"/>
    <w:rsid w:val="00FF1B15"/>
    <w:rsid w:val="0109418F"/>
    <w:rsid w:val="015C0A67"/>
    <w:rsid w:val="01651693"/>
    <w:rsid w:val="01826A17"/>
    <w:rsid w:val="01F6537A"/>
    <w:rsid w:val="02056839"/>
    <w:rsid w:val="025D7F17"/>
    <w:rsid w:val="025E3142"/>
    <w:rsid w:val="02752E4B"/>
    <w:rsid w:val="028E4D6B"/>
    <w:rsid w:val="029D6D94"/>
    <w:rsid w:val="02AF107E"/>
    <w:rsid w:val="02CA224E"/>
    <w:rsid w:val="030868E8"/>
    <w:rsid w:val="04663588"/>
    <w:rsid w:val="046E7B7D"/>
    <w:rsid w:val="050958EF"/>
    <w:rsid w:val="056A6750"/>
    <w:rsid w:val="06BA630B"/>
    <w:rsid w:val="072036B4"/>
    <w:rsid w:val="07532C86"/>
    <w:rsid w:val="08210EA8"/>
    <w:rsid w:val="08533D34"/>
    <w:rsid w:val="08A42984"/>
    <w:rsid w:val="09C556F2"/>
    <w:rsid w:val="09E86117"/>
    <w:rsid w:val="0A3C34DB"/>
    <w:rsid w:val="0A7B504D"/>
    <w:rsid w:val="0A905466"/>
    <w:rsid w:val="0AC534D0"/>
    <w:rsid w:val="0AE83BEB"/>
    <w:rsid w:val="0B0E0A79"/>
    <w:rsid w:val="0B6638B5"/>
    <w:rsid w:val="0B726931"/>
    <w:rsid w:val="0B9538A8"/>
    <w:rsid w:val="0B990295"/>
    <w:rsid w:val="0C3E7442"/>
    <w:rsid w:val="0C5F3942"/>
    <w:rsid w:val="0C62191E"/>
    <w:rsid w:val="0C84293A"/>
    <w:rsid w:val="0CD12600"/>
    <w:rsid w:val="0D562CC4"/>
    <w:rsid w:val="0D566C2C"/>
    <w:rsid w:val="0D847DD6"/>
    <w:rsid w:val="0DA92B1E"/>
    <w:rsid w:val="0DBD02D4"/>
    <w:rsid w:val="0EC341CA"/>
    <w:rsid w:val="0EDE229C"/>
    <w:rsid w:val="0F053294"/>
    <w:rsid w:val="0F1A2BED"/>
    <w:rsid w:val="0F5935DD"/>
    <w:rsid w:val="0F8C280E"/>
    <w:rsid w:val="0F981496"/>
    <w:rsid w:val="100625C1"/>
    <w:rsid w:val="100D7DF3"/>
    <w:rsid w:val="10141B7F"/>
    <w:rsid w:val="10304C1F"/>
    <w:rsid w:val="104D4B6B"/>
    <w:rsid w:val="109569B7"/>
    <w:rsid w:val="10977428"/>
    <w:rsid w:val="11B51BEC"/>
    <w:rsid w:val="12066B49"/>
    <w:rsid w:val="121D7587"/>
    <w:rsid w:val="12384509"/>
    <w:rsid w:val="124579E6"/>
    <w:rsid w:val="124E6644"/>
    <w:rsid w:val="12CA3D79"/>
    <w:rsid w:val="1379245E"/>
    <w:rsid w:val="148F44D2"/>
    <w:rsid w:val="149742BD"/>
    <w:rsid w:val="159408EF"/>
    <w:rsid w:val="15B27598"/>
    <w:rsid w:val="15B5428B"/>
    <w:rsid w:val="163F4494"/>
    <w:rsid w:val="16AF2046"/>
    <w:rsid w:val="16DB6C70"/>
    <w:rsid w:val="17D35178"/>
    <w:rsid w:val="18465E5E"/>
    <w:rsid w:val="184C5231"/>
    <w:rsid w:val="18975F67"/>
    <w:rsid w:val="18C1381A"/>
    <w:rsid w:val="18C941C8"/>
    <w:rsid w:val="18D42056"/>
    <w:rsid w:val="190D1179"/>
    <w:rsid w:val="19A4488A"/>
    <w:rsid w:val="19E005B3"/>
    <w:rsid w:val="1A6D54EC"/>
    <w:rsid w:val="1ACC4D45"/>
    <w:rsid w:val="1BB171A6"/>
    <w:rsid w:val="1BE841B0"/>
    <w:rsid w:val="1D295B40"/>
    <w:rsid w:val="1EAA49CA"/>
    <w:rsid w:val="1EC95E5A"/>
    <w:rsid w:val="1ED3258C"/>
    <w:rsid w:val="1EE96EF6"/>
    <w:rsid w:val="1F0D0987"/>
    <w:rsid w:val="1FC37005"/>
    <w:rsid w:val="1FE9149A"/>
    <w:rsid w:val="206659D7"/>
    <w:rsid w:val="20825CA9"/>
    <w:rsid w:val="2088735C"/>
    <w:rsid w:val="20B251AE"/>
    <w:rsid w:val="21522315"/>
    <w:rsid w:val="21595041"/>
    <w:rsid w:val="216144B3"/>
    <w:rsid w:val="22410978"/>
    <w:rsid w:val="232F7513"/>
    <w:rsid w:val="239146C0"/>
    <w:rsid w:val="23C86C6B"/>
    <w:rsid w:val="23F64572"/>
    <w:rsid w:val="243C25FD"/>
    <w:rsid w:val="24457402"/>
    <w:rsid w:val="248C779C"/>
    <w:rsid w:val="251A2271"/>
    <w:rsid w:val="255129EF"/>
    <w:rsid w:val="259049AF"/>
    <w:rsid w:val="25C12DBA"/>
    <w:rsid w:val="26BA4132"/>
    <w:rsid w:val="270552A7"/>
    <w:rsid w:val="279C6B9C"/>
    <w:rsid w:val="27B95500"/>
    <w:rsid w:val="27EE54CC"/>
    <w:rsid w:val="27FA406D"/>
    <w:rsid w:val="283B1C9C"/>
    <w:rsid w:val="28751770"/>
    <w:rsid w:val="2A22240E"/>
    <w:rsid w:val="2AC07D59"/>
    <w:rsid w:val="2B7D07A8"/>
    <w:rsid w:val="2DBA61E4"/>
    <w:rsid w:val="2E440819"/>
    <w:rsid w:val="2E5C5401"/>
    <w:rsid w:val="2F247218"/>
    <w:rsid w:val="2F5248B3"/>
    <w:rsid w:val="2F8611AA"/>
    <w:rsid w:val="2F917075"/>
    <w:rsid w:val="2F94711D"/>
    <w:rsid w:val="2FA970EC"/>
    <w:rsid w:val="2FDB716E"/>
    <w:rsid w:val="300172C8"/>
    <w:rsid w:val="30524447"/>
    <w:rsid w:val="30A7165C"/>
    <w:rsid w:val="30A751F2"/>
    <w:rsid w:val="31EC7411"/>
    <w:rsid w:val="31F47BCD"/>
    <w:rsid w:val="32264641"/>
    <w:rsid w:val="330C5891"/>
    <w:rsid w:val="343E6CAD"/>
    <w:rsid w:val="349F7CFD"/>
    <w:rsid w:val="35141184"/>
    <w:rsid w:val="363275B1"/>
    <w:rsid w:val="3676532C"/>
    <w:rsid w:val="37683966"/>
    <w:rsid w:val="37C8622A"/>
    <w:rsid w:val="37E233FB"/>
    <w:rsid w:val="387C0DC3"/>
    <w:rsid w:val="38EA5738"/>
    <w:rsid w:val="39BFCC57"/>
    <w:rsid w:val="3A5A14A8"/>
    <w:rsid w:val="3B2D45F6"/>
    <w:rsid w:val="3B9747F2"/>
    <w:rsid w:val="3BD163E8"/>
    <w:rsid w:val="3BD20259"/>
    <w:rsid w:val="3C836BC3"/>
    <w:rsid w:val="3D257C7B"/>
    <w:rsid w:val="3D6B0211"/>
    <w:rsid w:val="3D7E5BEC"/>
    <w:rsid w:val="3D921E11"/>
    <w:rsid w:val="3DE13C3F"/>
    <w:rsid w:val="3E096A7E"/>
    <w:rsid w:val="3E2B6DB0"/>
    <w:rsid w:val="3E752D50"/>
    <w:rsid w:val="3E92725F"/>
    <w:rsid w:val="3EF70024"/>
    <w:rsid w:val="3FAF1333"/>
    <w:rsid w:val="3FBF5A38"/>
    <w:rsid w:val="40624D42"/>
    <w:rsid w:val="40B01F51"/>
    <w:rsid w:val="40C026F5"/>
    <w:rsid w:val="40EA460C"/>
    <w:rsid w:val="41396103"/>
    <w:rsid w:val="41450312"/>
    <w:rsid w:val="41B415CD"/>
    <w:rsid w:val="41E850E1"/>
    <w:rsid w:val="4218574D"/>
    <w:rsid w:val="43146B58"/>
    <w:rsid w:val="44775260"/>
    <w:rsid w:val="448654A3"/>
    <w:rsid w:val="44964404"/>
    <w:rsid w:val="44DE1DDD"/>
    <w:rsid w:val="4553279F"/>
    <w:rsid w:val="456841C6"/>
    <w:rsid w:val="45684BA8"/>
    <w:rsid w:val="45C3319E"/>
    <w:rsid w:val="45E60A5B"/>
    <w:rsid w:val="460F70C6"/>
    <w:rsid w:val="464E1182"/>
    <w:rsid w:val="467C6643"/>
    <w:rsid w:val="47370330"/>
    <w:rsid w:val="47C4764D"/>
    <w:rsid w:val="48313978"/>
    <w:rsid w:val="48665BDE"/>
    <w:rsid w:val="490B0BCC"/>
    <w:rsid w:val="494E3B81"/>
    <w:rsid w:val="495B713C"/>
    <w:rsid w:val="49761B72"/>
    <w:rsid w:val="497D0DD2"/>
    <w:rsid w:val="49D93888"/>
    <w:rsid w:val="4A090F4F"/>
    <w:rsid w:val="4A4D5976"/>
    <w:rsid w:val="4AD10F3F"/>
    <w:rsid w:val="4B115A3A"/>
    <w:rsid w:val="4B415BF8"/>
    <w:rsid w:val="4B4A0C45"/>
    <w:rsid w:val="4B4F78F9"/>
    <w:rsid w:val="4B8A33E0"/>
    <w:rsid w:val="4CA17D7D"/>
    <w:rsid w:val="4D0A6710"/>
    <w:rsid w:val="4D3B2B7E"/>
    <w:rsid w:val="4D9B50BA"/>
    <w:rsid w:val="4DF25957"/>
    <w:rsid w:val="4DFC6FAF"/>
    <w:rsid w:val="4E1A0BFD"/>
    <w:rsid w:val="4E2568E5"/>
    <w:rsid w:val="4E4F24F9"/>
    <w:rsid w:val="4EBE7F2F"/>
    <w:rsid w:val="4EF20A22"/>
    <w:rsid w:val="4FEC48B8"/>
    <w:rsid w:val="4FFA6D45"/>
    <w:rsid w:val="4FFFDD23"/>
    <w:rsid w:val="500D3812"/>
    <w:rsid w:val="502734F6"/>
    <w:rsid w:val="50FE0AB7"/>
    <w:rsid w:val="51D4345A"/>
    <w:rsid w:val="520E6AD8"/>
    <w:rsid w:val="52112377"/>
    <w:rsid w:val="52682C57"/>
    <w:rsid w:val="52E5410B"/>
    <w:rsid w:val="54031FB9"/>
    <w:rsid w:val="540B356F"/>
    <w:rsid w:val="541D0890"/>
    <w:rsid w:val="5589140E"/>
    <w:rsid w:val="559B57A3"/>
    <w:rsid w:val="55DB0D25"/>
    <w:rsid w:val="564523C6"/>
    <w:rsid w:val="56D27821"/>
    <w:rsid w:val="56D44FE3"/>
    <w:rsid w:val="5712706A"/>
    <w:rsid w:val="571719F0"/>
    <w:rsid w:val="572D5C52"/>
    <w:rsid w:val="580B6514"/>
    <w:rsid w:val="58C30E7D"/>
    <w:rsid w:val="58FC3B2E"/>
    <w:rsid w:val="593760BB"/>
    <w:rsid w:val="59457283"/>
    <w:rsid w:val="5960172C"/>
    <w:rsid w:val="59924F8A"/>
    <w:rsid w:val="599B48CE"/>
    <w:rsid w:val="59AA02BF"/>
    <w:rsid w:val="5AA55972"/>
    <w:rsid w:val="5AD41F92"/>
    <w:rsid w:val="5B3D2846"/>
    <w:rsid w:val="5BFFBE9F"/>
    <w:rsid w:val="5C8C341B"/>
    <w:rsid w:val="5D441556"/>
    <w:rsid w:val="5E1E4BF7"/>
    <w:rsid w:val="5E692502"/>
    <w:rsid w:val="5E8A637B"/>
    <w:rsid w:val="5EAF8C8B"/>
    <w:rsid w:val="5EB01642"/>
    <w:rsid w:val="5F015F1E"/>
    <w:rsid w:val="5F136B71"/>
    <w:rsid w:val="5FBE530E"/>
    <w:rsid w:val="5FBFEDDF"/>
    <w:rsid w:val="5FC711A0"/>
    <w:rsid w:val="60577C64"/>
    <w:rsid w:val="608D6A3C"/>
    <w:rsid w:val="60E4062E"/>
    <w:rsid w:val="60F7589C"/>
    <w:rsid w:val="619A11FC"/>
    <w:rsid w:val="620123E4"/>
    <w:rsid w:val="623C2DD6"/>
    <w:rsid w:val="62AA785E"/>
    <w:rsid w:val="62E567C3"/>
    <w:rsid w:val="62F35FA1"/>
    <w:rsid w:val="62FF93EF"/>
    <w:rsid w:val="63253C81"/>
    <w:rsid w:val="636E30B5"/>
    <w:rsid w:val="63A659E5"/>
    <w:rsid w:val="64E71278"/>
    <w:rsid w:val="653514FD"/>
    <w:rsid w:val="65795636"/>
    <w:rsid w:val="658A0094"/>
    <w:rsid w:val="66331FDF"/>
    <w:rsid w:val="665F4747"/>
    <w:rsid w:val="669E75A1"/>
    <w:rsid w:val="66AB63B6"/>
    <w:rsid w:val="66F43704"/>
    <w:rsid w:val="67CA4DF7"/>
    <w:rsid w:val="67F075F5"/>
    <w:rsid w:val="680D18B3"/>
    <w:rsid w:val="685FE0BD"/>
    <w:rsid w:val="686B7CB9"/>
    <w:rsid w:val="687F51D4"/>
    <w:rsid w:val="68EC5C57"/>
    <w:rsid w:val="69A616C7"/>
    <w:rsid w:val="6A7C3CA6"/>
    <w:rsid w:val="6A7F45BF"/>
    <w:rsid w:val="6A96318B"/>
    <w:rsid w:val="6B181D90"/>
    <w:rsid w:val="6B86212D"/>
    <w:rsid w:val="6BE43F9E"/>
    <w:rsid w:val="6CC77E10"/>
    <w:rsid w:val="6DB86723"/>
    <w:rsid w:val="6DF550FD"/>
    <w:rsid w:val="6E5C07FD"/>
    <w:rsid w:val="6ECC76A7"/>
    <w:rsid w:val="6F360DDE"/>
    <w:rsid w:val="6F7338EB"/>
    <w:rsid w:val="6FF173C5"/>
    <w:rsid w:val="6FF45B65"/>
    <w:rsid w:val="6FF9A95E"/>
    <w:rsid w:val="70117588"/>
    <w:rsid w:val="705F4C76"/>
    <w:rsid w:val="70BA513C"/>
    <w:rsid w:val="70E17439"/>
    <w:rsid w:val="70F96E79"/>
    <w:rsid w:val="71A66670"/>
    <w:rsid w:val="72712A37"/>
    <w:rsid w:val="72783DCD"/>
    <w:rsid w:val="72BF75DF"/>
    <w:rsid w:val="72D77675"/>
    <w:rsid w:val="74064E51"/>
    <w:rsid w:val="74172D5B"/>
    <w:rsid w:val="741962FA"/>
    <w:rsid w:val="742C598C"/>
    <w:rsid w:val="7472265C"/>
    <w:rsid w:val="753843A5"/>
    <w:rsid w:val="75BFBF3B"/>
    <w:rsid w:val="7610590D"/>
    <w:rsid w:val="76203F52"/>
    <w:rsid w:val="767D5E56"/>
    <w:rsid w:val="769A1C8F"/>
    <w:rsid w:val="76AA6FCE"/>
    <w:rsid w:val="770C266D"/>
    <w:rsid w:val="7719700C"/>
    <w:rsid w:val="77AB03BD"/>
    <w:rsid w:val="77C62AF7"/>
    <w:rsid w:val="77F7462A"/>
    <w:rsid w:val="780923E8"/>
    <w:rsid w:val="78F36AE7"/>
    <w:rsid w:val="797B680C"/>
    <w:rsid w:val="79971536"/>
    <w:rsid w:val="79BE552A"/>
    <w:rsid w:val="7A9419D0"/>
    <w:rsid w:val="7A995AFB"/>
    <w:rsid w:val="7AB930CE"/>
    <w:rsid w:val="7AE63747"/>
    <w:rsid w:val="7B0C59FB"/>
    <w:rsid w:val="7B5E7E47"/>
    <w:rsid w:val="7B984051"/>
    <w:rsid w:val="7BE81A49"/>
    <w:rsid w:val="7BFAA2DC"/>
    <w:rsid w:val="7C623E0B"/>
    <w:rsid w:val="7C8617DD"/>
    <w:rsid w:val="7CF16EF5"/>
    <w:rsid w:val="7D0F745D"/>
    <w:rsid w:val="7D216BE3"/>
    <w:rsid w:val="7D3E7E7C"/>
    <w:rsid w:val="7D6713D8"/>
    <w:rsid w:val="7D76A065"/>
    <w:rsid w:val="7E2B263C"/>
    <w:rsid w:val="7EF5F035"/>
    <w:rsid w:val="7F4F5340"/>
    <w:rsid w:val="7FA206DC"/>
    <w:rsid w:val="7FB7ACA2"/>
    <w:rsid w:val="7FC6F0BE"/>
    <w:rsid w:val="7FFF7499"/>
    <w:rsid w:val="8BBEF1D6"/>
    <w:rsid w:val="8DAA3107"/>
    <w:rsid w:val="B7FADA12"/>
    <w:rsid w:val="B92D826A"/>
    <w:rsid w:val="BEAFE964"/>
    <w:rsid w:val="C4FD0CD4"/>
    <w:rsid w:val="E5B5DCC5"/>
    <w:rsid w:val="EBE37C0A"/>
    <w:rsid w:val="F39E4F23"/>
    <w:rsid w:val="F55FB8B1"/>
    <w:rsid w:val="F8F96427"/>
    <w:rsid w:val="FBDF9F68"/>
    <w:rsid w:val="FDE7ACE0"/>
    <w:rsid w:val="FDF57C29"/>
    <w:rsid w:val="FF3F623E"/>
    <w:rsid w:val="FFCB88AD"/>
    <w:rsid w:val="FFDC1203"/>
    <w:rsid w:val="FFDFDF4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27"/>
    <w:qFormat/>
    <w:uiPriority w:val="0"/>
    <w:pPr>
      <w:keepNext/>
      <w:keepLines/>
      <w:spacing w:before="260" w:after="260" w:line="412" w:lineRule="auto"/>
      <w:outlineLvl w:val="1"/>
    </w:pPr>
    <w:rPr>
      <w:rFonts w:ascii="Arial" w:hAnsi="Arial" w:eastAsia="黑体"/>
      <w:b/>
      <w:kern w:val="0"/>
      <w:sz w:val="32"/>
      <w:szCs w:val="20"/>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rFonts w:cs="Calibri"/>
      <w:sz w:val="24"/>
      <w:szCs w:val="20"/>
      <w:lang w:bidi="he-IL"/>
    </w:rPr>
  </w:style>
  <w:style w:type="paragraph" w:styleId="4">
    <w:name w:val="annotation text"/>
    <w:basedOn w:val="1"/>
    <w:link w:val="28"/>
    <w:unhideWhenUsed/>
    <w:qFormat/>
    <w:uiPriority w:val="99"/>
    <w:pPr>
      <w:jc w:val="left"/>
    </w:pPr>
  </w:style>
  <w:style w:type="paragraph" w:styleId="5">
    <w:name w:val="Body Text"/>
    <w:basedOn w:val="1"/>
    <w:next w:val="1"/>
    <w:qFormat/>
    <w:uiPriority w:val="0"/>
    <w:pPr>
      <w:spacing w:after="120"/>
    </w:pPr>
    <w:rPr>
      <w:kern w:val="0"/>
      <w:sz w:val="20"/>
      <w:szCs w:val="20"/>
    </w:rPr>
  </w:style>
  <w:style w:type="paragraph" w:styleId="6">
    <w:name w:val="Body Text Indent"/>
    <w:basedOn w:val="1"/>
    <w:next w:val="7"/>
    <w:qFormat/>
    <w:uiPriority w:val="0"/>
    <w:pPr>
      <w:spacing w:after="120"/>
      <w:ind w:left="420" w:leftChars="200"/>
    </w:pPr>
    <w:rPr>
      <w:kern w:val="0"/>
      <w:sz w:val="20"/>
      <w:szCs w:val="20"/>
    </w:rPr>
  </w:style>
  <w:style w:type="paragraph" w:styleId="7">
    <w:name w:val="envelope return"/>
    <w:basedOn w:val="1"/>
    <w:qFormat/>
    <w:uiPriority w:val="0"/>
    <w:pPr>
      <w:snapToGrid w:val="0"/>
    </w:pPr>
    <w:rPr>
      <w:rFonts w:ascii="Arial" w:hAnsi="Arial"/>
      <w:szCs w:val="24"/>
    </w:rPr>
  </w:style>
  <w:style w:type="paragraph" w:styleId="8">
    <w:name w:val="Plain Text"/>
    <w:basedOn w:val="1"/>
    <w:link w:val="29"/>
    <w:qFormat/>
    <w:uiPriority w:val="99"/>
    <w:rPr>
      <w:rFonts w:hAnsi="Courier New"/>
      <w:sz w:val="20"/>
      <w:szCs w:val="20"/>
    </w:rPr>
  </w:style>
  <w:style w:type="paragraph" w:styleId="9">
    <w:name w:val="Balloon Text"/>
    <w:basedOn w:val="1"/>
    <w:link w:val="30"/>
    <w:unhideWhenUsed/>
    <w:qFormat/>
    <w:uiPriority w:val="99"/>
    <w:rPr>
      <w:sz w:val="18"/>
      <w:szCs w:val="18"/>
    </w:rPr>
  </w:style>
  <w:style w:type="paragraph" w:styleId="10">
    <w:name w:val="footer"/>
    <w:basedOn w:val="1"/>
    <w:link w:val="31"/>
    <w:unhideWhenUsed/>
    <w:qFormat/>
    <w:uiPriority w:val="99"/>
    <w:pPr>
      <w:tabs>
        <w:tab w:val="center" w:pos="4153"/>
        <w:tab w:val="right" w:pos="8306"/>
      </w:tabs>
      <w:snapToGrid w:val="0"/>
      <w:jc w:val="left"/>
    </w:pPr>
    <w:rPr>
      <w:kern w:val="0"/>
      <w:sz w:val="18"/>
      <w:szCs w:val="18"/>
    </w:rPr>
  </w:style>
  <w:style w:type="paragraph" w:styleId="11">
    <w:name w:val="header"/>
    <w:basedOn w:val="1"/>
    <w:link w:val="3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Body Text Indent 3"/>
    <w:basedOn w:val="1"/>
    <w:qFormat/>
    <w:uiPriority w:val="0"/>
    <w:pPr>
      <w:spacing w:after="120"/>
      <w:ind w:left="200" w:leftChars="200"/>
    </w:pPr>
    <w:rPr>
      <w:kern w:val="0"/>
      <w:sz w:val="16"/>
      <w:szCs w:val="16"/>
    </w:rPr>
  </w:style>
  <w:style w:type="paragraph" w:styleId="13">
    <w:name w:val="Normal (Web)"/>
    <w:basedOn w:val="1"/>
    <w:qFormat/>
    <w:uiPriority w:val="0"/>
    <w:pPr>
      <w:jc w:val="left"/>
    </w:pPr>
    <w:rPr>
      <w:rFonts w:ascii="微软雅黑" w:hAnsi="微软雅黑" w:eastAsia="微软雅黑"/>
      <w:kern w:val="0"/>
      <w:sz w:val="20"/>
      <w:szCs w:val="20"/>
    </w:rPr>
  </w:style>
  <w:style w:type="paragraph" w:styleId="14">
    <w:name w:val="annotation subject"/>
    <w:basedOn w:val="4"/>
    <w:next w:val="4"/>
    <w:link w:val="33"/>
    <w:unhideWhenUsed/>
    <w:qFormat/>
    <w:uiPriority w:val="99"/>
    <w:rPr>
      <w:b/>
      <w:bCs/>
    </w:rPr>
  </w:style>
  <w:style w:type="paragraph" w:styleId="15">
    <w:name w:val="Body Text First Indent"/>
    <w:basedOn w:val="5"/>
    <w:qFormat/>
    <w:uiPriority w:val="0"/>
    <w:pPr>
      <w:spacing w:line="312" w:lineRule="auto"/>
      <w:ind w:firstLine="420"/>
    </w:pPr>
    <w:rPr>
      <w:rFonts w:ascii="Times New Roman" w:hAnsi="Times New Roman"/>
      <w:szCs w:val="24"/>
    </w:rPr>
  </w:style>
  <w:style w:type="paragraph" w:styleId="16">
    <w:name w:val="Body Text First Indent 2"/>
    <w:basedOn w:val="6"/>
    <w:qFormat/>
    <w:uiPriority w:val="0"/>
    <w:pPr>
      <w:spacing w:after="120" w:line="240" w:lineRule="auto"/>
      <w:ind w:left="200" w:leftChars="200" w:firstLine="200" w:firstLineChars="200"/>
    </w:pPr>
    <w:rPr>
      <w:rFonts w:ascii="Calibri" w:hAnsi="Calibri"/>
      <w:color w:val="0D0D0D"/>
      <w:kern w:val="2"/>
      <w:sz w:val="21"/>
      <w:szCs w:val="24"/>
      <w:lang w:eastAsia="en-US"/>
    </w:rPr>
  </w:style>
  <w:style w:type="character" w:styleId="19">
    <w:name w:val="Strong"/>
    <w:qFormat/>
    <w:uiPriority w:val="22"/>
    <w:rPr>
      <w:b/>
      <w:bCs/>
    </w:rPr>
  </w:style>
  <w:style w:type="character" w:styleId="20">
    <w:name w:val="FollowedHyperlink"/>
    <w:unhideWhenUsed/>
    <w:qFormat/>
    <w:uiPriority w:val="99"/>
    <w:rPr>
      <w:rFonts w:ascii="微软雅黑" w:hAnsi="微软雅黑" w:eastAsia="微软雅黑" w:cs="微软雅黑"/>
      <w:color w:val="337AB7"/>
      <w:u w:val="none"/>
    </w:rPr>
  </w:style>
  <w:style w:type="character" w:styleId="21">
    <w:name w:val="HTML Definition"/>
    <w:unhideWhenUsed/>
    <w:qFormat/>
    <w:uiPriority w:val="99"/>
    <w:rPr>
      <w:i/>
      <w:iCs/>
    </w:rPr>
  </w:style>
  <w:style w:type="character" w:styleId="22">
    <w:name w:val="Hyperlink"/>
    <w:unhideWhenUsed/>
    <w:qFormat/>
    <w:uiPriority w:val="99"/>
    <w:rPr>
      <w:rFonts w:hint="eastAsia" w:ascii="微软雅黑" w:hAnsi="微软雅黑" w:eastAsia="微软雅黑" w:cs="微软雅黑"/>
      <w:color w:val="337AB7"/>
      <w:u w:val="none"/>
    </w:rPr>
  </w:style>
  <w:style w:type="character" w:styleId="23">
    <w:name w:val="HTML Code"/>
    <w:unhideWhenUsed/>
    <w:qFormat/>
    <w:uiPriority w:val="99"/>
    <w:rPr>
      <w:rFonts w:ascii="Consolas" w:hAnsi="Consolas" w:eastAsia="Consolas" w:cs="Consolas"/>
      <w:color w:val="C7254E"/>
      <w:sz w:val="21"/>
      <w:szCs w:val="21"/>
      <w:shd w:val="clear" w:color="auto" w:fill="F9F2F4"/>
    </w:rPr>
  </w:style>
  <w:style w:type="character" w:styleId="24">
    <w:name w:val="annotation reference"/>
    <w:unhideWhenUsed/>
    <w:qFormat/>
    <w:uiPriority w:val="99"/>
    <w:rPr>
      <w:sz w:val="21"/>
      <w:szCs w:val="21"/>
    </w:rPr>
  </w:style>
  <w:style w:type="character" w:styleId="25">
    <w:name w:val="HTML Keyboard"/>
    <w:unhideWhenUsed/>
    <w:qFormat/>
    <w:uiPriority w:val="99"/>
    <w:rPr>
      <w:rFonts w:hint="default" w:ascii="Consolas" w:hAnsi="Consolas" w:eastAsia="Consolas" w:cs="Consolas"/>
      <w:color w:val="FFFFFF"/>
      <w:sz w:val="21"/>
      <w:szCs w:val="21"/>
      <w:shd w:val="clear" w:color="auto" w:fill="333333"/>
    </w:rPr>
  </w:style>
  <w:style w:type="character" w:styleId="26">
    <w:name w:val="HTML Sample"/>
    <w:unhideWhenUsed/>
    <w:qFormat/>
    <w:uiPriority w:val="99"/>
    <w:rPr>
      <w:rFonts w:hint="default" w:ascii="Consolas" w:hAnsi="Consolas" w:eastAsia="Consolas" w:cs="Consolas"/>
      <w:sz w:val="21"/>
      <w:szCs w:val="21"/>
    </w:rPr>
  </w:style>
  <w:style w:type="character" w:customStyle="1" w:styleId="27">
    <w:name w:val="标题 2 字符"/>
    <w:link w:val="2"/>
    <w:qFormat/>
    <w:uiPriority w:val="0"/>
    <w:rPr>
      <w:rFonts w:ascii="Arial" w:hAnsi="Arial" w:eastAsia="黑体" w:cs="Times New Roman"/>
      <w:b/>
      <w:sz w:val="32"/>
      <w:szCs w:val="20"/>
    </w:rPr>
  </w:style>
  <w:style w:type="character" w:customStyle="1" w:styleId="28">
    <w:name w:val="批注文字 字符"/>
    <w:link w:val="4"/>
    <w:semiHidden/>
    <w:qFormat/>
    <w:uiPriority w:val="99"/>
    <w:rPr>
      <w:kern w:val="2"/>
      <w:sz w:val="21"/>
      <w:szCs w:val="22"/>
    </w:rPr>
  </w:style>
  <w:style w:type="character" w:customStyle="1" w:styleId="29">
    <w:name w:val="纯文本 字符"/>
    <w:link w:val="8"/>
    <w:qFormat/>
    <w:uiPriority w:val="0"/>
    <w:rPr>
      <w:rFonts w:hAnsi="Courier New"/>
      <w:kern w:val="2"/>
    </w:rPr>
  </w:style>
  <w:style w:type="character" w:customStyle="1" w:styleId="30">
    <w:name w:val="批注框文本 字符"/>
    <w:link w:val="9"/>
    <w:semiHidden/>
    <w:qFormat/>
    <w:uiPriority w:val="99"/>
    <w:rPr>
      <w:kern w:val="2"/>
      <w:sz w:val="18"/>
      <w:szCs w:val="18"/>
    </w:rPr>
  </w:style>
  <w:style w:type="character" w:customStyle="1" w:styleId="31">
    <w:name w:val="页脚 字符"/>
    <w:link w:val="10"/>
    <w:qFormat/>
    <w:uiPriority w:val="99"/>
    <w:rPr>
      <w:sz w:val="18"/>
      <w:szCs w:val="18"/>
    </w:rPr>
  </w:style>
  <w:style w:type="character" w:customStyle="1" w:styleId="32">
    <w:name w:val="页眉 字符"/>
    <w:link w:val="11"/>
    <w:qFormat/>
    <w:uiPriority w:val="99"/>
    <w:rPr>
      <w:sz w:val="18"/>
      <w:szCs w:val="18"/>
    </w:rPr>
  </w:style>
  <w:style w:type="character" w:customStyle="1" w:styleId="33">
    <w:name w:val="批注主题 字符"/>
    <w:link w:val="14"/>
    <w:semiHidden/>
    <w:qFormat/>
    <w:uiPriority w:val="99"/>
    <w:rPr>
      <w:b/>
      <w:bCs/>
      <w:kern w:val="2"/>
      <w:sz w:val="21"/>
      <w:szCs w:val="22"/>
    </w:rPr>
  </w:style>
  <w:style w:type="paragraph" w:customStyle="1" w:styleId="3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5">
    <w:name w:val="发文落款"/>
    <w:basedOn w:val="34"/>
    <w:qFormat/>
    <w:uiPriority w:val="0"/>
    <w:pPr>
      <w:ind w:left="4094" w:right="607" w:firstLine="0"/>
      <w:jc w:val="center"/>
    </w:pPr>
  </w:style>
  <w:style w:type="paragraph" w:customStyle="1" w:styleId="36">
    <w:name w:val="Revision"/>
    <w:unhideWhenUsed/>
    <w:qFormat/>
    <w:uiPriority w:val="99"/>
    <w:rPr>
      <w:rFonts w:ascii="Times New Roman" w:hAnsi="Times New Roman" w:eastAsia="宋体" w:cs="Times New Roman"/>
      <w:kern w:val="2"/>
      <w:sz w:val="21"/>
      <w:szCs w:val="22"/>
      <w:lang w:val="en-US" w:eastAsia="zh-CN" w:bidi="ar-SA"/>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username"/>
    <w:qFormat/>
    <w:uiPriority w:val="0"/>
  </w:style>
  <w:style w:type="character" w:customStyle="1" w:styleId="39">
    <w:name w:val="title24"/>
    <w:qFormat/>
    <w:uiPriority w:val="0"/>
  </w:style>
  <w:style w:type="paragraph" w:customStyle="1" w:styleId="40">
    <w:name w:val=" Char Char"/>
    <w:basedOn w:val="1"/>
    <w:qFormat/>
    <w:uiPriority w:val="0"/>
    <w:rPr>
      <w:sz w:val="3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5622</Words>
  <Characters>6177</Characters>
  <Lines>46</Lines>
  <Paragraphs>13</Paragraphs>
  <TotalTime>1</TotalTime>
  <ScaleCrop>false</ScaleCrop>
  <LinksUpToDate>false</LinksUpToDate>
  <CharactersWithSpaces>6298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2023-09-23T14:12:00Z</dcterms:created>
  <dc:creator>L</dc:creator>
  <cp:lastModifiedBy>ZJTX</cp:lastModifiedBy>
  <cp:lastPrinted>2018-12-30T10:28:00Z</cp:lastPrinted>
  <dcterms:modified xsi:type="dcterms:W3CDTF">2025-08-19T09:23:33Z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AF2207BD411C4CFE99582AF7EEA3E397_13</vt:lpwstr>
  </property>
  <property fmtid="{D5CDD505-2E9C-101B-9397-08002B2CF9AE}" pid="3" name="KSOProductBuildVer">
    <vt:lpwstr>2052-12.1.0.21915</vt:lpwstr>
  </property>
  <property fmtid="{D5CDD505-2E9C-101B-9397-08002B2CF9AE}" pid="4" name="KSOTemplateDocerSaveRecord">
    <vt:lpwstr>eyJoZGlkIjoiM2YyNTczMGU5OTZmYjFlZWViM2U4NmU5MDc0ZDU3OWYiLCJ1c2VySWQiOiIzMzkzODE3NDkifQ==</vt:lpwstr>
  </property>
</Properties>
</file>