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jc w:val="center"/>
        <w:rPr>
          <w:rFonts w:ascii="Times New Roman" w:hAnsi="Times New Roman" w:eastAsia="黑体"/>
          <w:sz w:val="48"/>
          <w:szCs w:val="48"/>
        </w:rPr>
      </w:pPr>
      <w:bookmarkStart w:id="0" w:name="_Hlk138062253"/>
      <w:r>
        <w:rPr>
          <w:rFonts w:hint="eastAsia" w:ascii="Times New Roman" w:hAnsi="Times New Roman" w:eastAsia="黑体"/>
          <w:sz w:val="48"/>
          <w:szCs w:val="48"/>
        </w:rPr>
        <w:t>潮州港亚太通用码头智慧环保改造工程生产业务管理系统建设项目</w:t>
      </w:r>
    </w:p>
    <w:bookmarkEnd w:id="0"/>
    <w:p>
      <w:pPr>
        <w:jc w:val="center"/>
        <w:rPr>
          <w:rFonts w:ascii="Times New Roman" w:hAnsi="Times New Roman" w:eastAsia="黑体"/>
          <w:sz w:val="28"/>
          <w:szCs w:val="28"/>
        </w:rPr>
      </w:pPr>
    </w:p>
    <w:p>
      <w:pPr>
        <w:snapToGrid w:val="0"/>
        <w:spacing w:line="360" w:lineRule="auto"/>
        <w:rPr>
          <w:rFonts w:ascii="Times New Roman" w:hAnsi="Times New Roman" w:eastAsia="黑体"/>
          <w:sz w:val="28"/>
          <w:szCs w:val="28"/>
          <w:u w:val="single"/>
        </w:rPr>
      </w:pPr>
    </w:p>
    <w:p>
      <w:pPr>
        <w:snapToGrid w:val="0"/>
        <w:spacing w:line="360" w:lineRule="auto"/>
        <w:rPr>
          <w:rFonts w:ascii="Times New Roman" w:hAnsi="Times New Roman" w:eastAsia="黑体"/>
          <w:sz w:val="28"/>
          <w:szCs w:val="28"/>
          <w:u w:val="single"/>
        </w:rPr>
      </w:pPr>
    </w:p>
    <w:p>
      <w:pPr>
        <w:snapToGrid w:val="0"/>
        <w:spacing w:line="360" w:lineRule="auto"/>
        <w:jc w:val="center"/>
        <w:rPr>
          <w:rFonts w:ascii="Times New Roman" w:hAnsi="Times New Roman" w:eastAsia="黑体"/>
          <w:sz w:val="72"/>
          <w:szCs w:val="36"/>
        </w:rPr>
      </w:pPr>
      <w:r>
        <w:rPr>
          <w:rFonts w:hint="eastAsia" w:ascii="Times New Roman" w:hAnsi="Times New Roman" w:eastAsia="黑体"/>
          <w:sz w:val="72"/>
          <w:szCs w:val="36"/>
        </w:rPr>
        <w:t>招标文件</w:t>
      </w:r>
    </w:p>
    <w:p>
      <w:pPr>
        <w:snapToGrid w:val="0"/>
        <w:spacing w:line="360" w:lineRule="auto"/>
        <w:rPr>
          <w:rFonts w:ascii="Times New Roman" w:hAnsi="Times New Roman"/>
        </w:rPr>
      </w:pPr>
    </w:p>
    <w:p>
      <w:pPr>
        <w:snapToGrid w:val="0"/>
        <w:spacing w:line="360" w:lineRule="auto"/>
        <w:jc w:val="center"/>
        <w:rPr>
          <w:rFonts w:ascii="Times New Roman" w:hAnsi="Times New Roman"/>
        </w:rPr>
      </w:pPr>
      <w:r>
        <w:rPr>
          <w:rFonts w:hint="eastAsia" w:ascii="Times New Roman" w:hAnsi="Times New Roman"/>
          <w:b/>
          <w:bCs/>
          <w:sz w:val="28"/>
          <w:szCs w:val="32"/>
        </w:rPr>
        <w:t>招标编号：</w:t>
      </w:r>
      <w:r>
        <w:rPr>
          <w:rFonts w:ascii="Times New Roman" w:hAnsi="Times New Roman"/>
          <w:b/>
          <w:bCs/>
          <w:sz w:val="28"/>
          <w:szCs w:val="32"/>
        </w:rPr>
        <w:t>ENG2025-IB/08/011</w:t>
      </w:r>
    </w:p>
    <w:p>
      <w:pPr>
        <w:snapToGrid w:val="0"/>
        <w:spacing w:line="360" w:lineRule="auto"/>
        <w:rPr>
          <w:rFonts w:ascii="Times New Roman" w:hAnsi="Times New Roman"/>
        </w:rPr>
      </w:pPr>
    </w:p>
    <w:p>
      <w:pPr>
        <w:snapToGrid w:val="0"/>
        <w:spacing w:line="360" w:lineRule="auto"/>
        <w:rPr>
          <w:rFonts w:ascii="Times New Roman" w:hAnsi="Times New Roman"/>
        </w:rPr>
      </w:pPr>
    </w:p>
    <w:p>
      <w:pPr>
        <w:snapToGrid w:val="0"/>
        <w:spacing w:line="360" w:lineRule="auto"/>
        <w:rPr>
          <w:rFonts w:ascii="Times New Roman" w:hAnsi="Times New Roman"/>
        </w:rPr>
      </w:pPr>
    </w:p>
    <w:p>
      <w:pPr>
        <w:snapToGrid w:val="0"/>
        <w:spacing w:line="360" w:lineRule="auto"/>
        <w:rPr>
          <w:rFonts w:ascii="Times New Roman" w:hAnsi="Times New Roman"/>
        </w:rPr>
      </w:pPr>
    </w:p>
    <w:p>
      <w:pPr>
        <w:snapToGrid w:val="0"/>
        <w:spacing w:line="360" w:lineRule="auto"/>
        <w:rPr>
          <w:rFonts w:ascii="Times New Roman" w:hAnsi="Times New Roman"/>
        </w:rPr>
      </w:pPr>
    </w:p>
    <w:p>
      <w:pPr>
        <w:snapToGrid w:val="0"/>
        <w:spacing w:line="360" w:lineRule="auto"/>
        <w:rPr>
          <w:rFonts w:ascii="Times New Roman" w:hAnsi="Times New Roman"/>
        </w:rPr>
      </w:pPr>
    </w:p>
    <w:p>
      <w:pPr>
        <w:snapToGrid w:val="0"/>
        <w:spacing w:line="360" w:lineRule="auto"/>
        <w:rPr>
          <w:rFonts w:ascii="Times New Roman" w:hAnsi="Times New Roman"/>
        </w:rPr>
      </w:pPr>
    </w:p>
    <w:p>
      <w:pPr>
        <w:snapToGrid w:val="0"/>
        <w:spacing w:line="360" w:lineRule="auto"/>
        <w:rPr>
          <w:rFonts w:ascii="Times New Roman" w:hAnsi="Times New Roman"/>
        </w:rPr>
      </w:pPr>
    </w:p>
    <w:p>
      <w:pPr>
        <w:adjustRightInd w:val="0"/>
        <w:snapToGrid w:val="0"/>
        <w:spacing w:line="360" w:lineRule="auto"/>
        <w:jc w:val="center"/>
        <w:rPr>
          <w:rFonts w:ascii="Times New Roman" w:hAnsi="Times New Roman" w:eastAsia="黑体"/>
          <w:sz w:val="30"/>
          <w:szCs w:val="30"/>
        </w:rPr>
      </w:pPr>
      <w:r>
        <w:rPr>
          <w:rFonts w:ascii="Times New Roman" w:hAnsi="Times New Roman" w:eastAsia="黑体"/>
          <w:sz w:val="30"/>
          <w:szCs w:val="30"/>
        </w:rPr>
        <w:t>招标人：</w:t>
      </w:r>
      <w:bookmarkStart w:id="1" w:name="OLE_LINK8"/>
      <w:r>
        <w:rPr>
          <w:rFonts w:hint="eastAsia" w:ascii="Times New Roman" w:hAnsi="Times New Roman" w:eastAsia="黑体"/>
          <w:sz w:val="30"/>
          <w:szCs w:val="30"/>
        </w:rPr>
        <w:t>潮州市亚太港口有限公司</w:t>
      </w:r>
      <w:bookmarkEnd w:id="1"/>
    </w:p>
    <w:p>
      <w:pPr>
        <w:adjustRightInd w:val="0"/>
        <w:snapToGrid w:val="0"/>
        <w:spacing w:line="360" w:lineRule="auto"/>
        <w:jc w:val="center"/>
        <w:rPr>
          <w:rFonts w:ascii="Times New Roman" w:hAnsi="Times New Roman" w:eastAsia="黑体"/>
          <w:sz w:val="30"/>
          <w:szCs w:val="30"/>
        </w:rPr>
      </w:pPr>
      <w:r>
        <w:rPr>
          <w:rFonts w:hint="eastAsia" w:ascii="Times New Roman" w:hAnsi="Times New Roman" w:eastAsia="黑体"/>
          <w:sz w:val="30"/>
          <w:szCs w:val="30"/>
        </w:rPr>
        <w:t>招标代理机构：国义招标股份有限公司</w:t>
      </w:r>
    </w:p>
    <w:p>
      <w:pPr>
        <w:spacing w:line="360" w:lineRule="auto"/>
        <w:ind w:left="361" w:leftChars="172"/>
        <w:jc w:val="center"/>
        <w:rPr>
          <w:rFonts w:ascii="Times New Roman" w:hAnsi="Times New Roman" w:eastAsia="黑体"/>
          <w:sz w:val="30"/>
          <w:szCs w:val="30"/>
        </w:rPr>
      </w:pPr>
      <w:r>
        <w:rPr>
          <w:rFonts w:hint="eastAsia" w:ascii="Times New Roman" w:hAnsi="Times New Roman" w:eastAsia="黑体"/>
          <w:sz w:val="30"/>
          <w:szCs w:val="30"/>
        </w:rPr>
        <w:t>2025</w:t>
      </w:r>
      <w:r>
        <w:rPr>
          <w:rFonts w:ascii="Times New Roman" w:hAnsi="Times New Roman" w:eastAsia="黑体"/>
          <w:sz w:val="30"/>
          <w:szCs w:val="30"/>
        </w:rPr>
        <w:t>年</w:t>
      </w:r>
      <w:r>
        <w:rPr>
          <w:rFonts w:hint="eastAsia" w:ascii="Times New Roman" w:hAnsi="Times New Roman" w:eastAsia="黑体"/>
          <w:sz w:val="30"/>
          <w:szCs w:val="30"/>
          <w:lang w:val="en-US" w:eastAsia="zh-CN"/>
        </w:rPr>
        <w:t>8</w:t>
      </w:r>
      <w:r>
        <w:rPr>
          <w:rFonts w:ascii="Times New Roman" w:hAnsi="Times New Roman" w:eastAsia="黑体"/>
          <w:sz w:val="30"/>
          <w:szCs w:val="30"/>
        </w:rPr>
        <w:t>月</w:t>
      </w:r>
    </w:p>
    <w:p>
      <w:pPr>
        <w:jc w:val="center"/>
        <w:rPr>
          <w:rFonts w:ascii="Times New Roman" w:hAnsi="Times New Roman" w:eastAsia="黑体"/>
          <w:sz w:val="28"/>
        </w:rPr>
      </w:pPr>
    </w:p>
    <w:p>
      <w:pPr>
        <w:jc w:val="center"/>
        <w:rPr>
          <w:rFonts w:ascii="Times New Roman" w:hAnsi="Times New Roman"/>
        </w:rPr>
      </w:pPr>
      <w:r>
        <w:rPr>
          <w:rFonts w:ascii="Times New Roman" w:hAnsi="Times New Roman"/>
        </w:rPr>
        <w:br w:type="page"/>
      </w:r>
    </w:p>
    <w:p>
      <w:pPr>
        <w:pStyle w:val="72"/>
        <w:jc w:val="center"/>
        <w:rPr>
          <w:rFonts w:ascii="Times New Roman" w:hAnsi="Times New Roman" w:eastAsia="黑体"/>
          <w:b w:val="0"/>
          <w:color w:val="auto"/>
        </w:rPr>
      </w:pPr>
      <w:bookmarkStart w:id="2" w:name="_Toc152042287"/>
      <w:bookmarkStart w:id="3" w:name="_Toc144974479"/>
      <w:bookmarkStart w:id="4" w:name="_Toc152045511"/>
      <w:r>
        <w:rPr>
          <w:rFonts w:hint="eastAsia" w:ascii="Times New Roman" w:hAnsi="Times New Roman" w:eastAsia="黑体"/>
          <w:b w:val="0"/>
          <w:color w:val="auto"/>
          <w:lang w:val="zh-CN"/>
        </w:rPr>
        <w:t>目</w:t>
      </w:r>
      <w:r>
        <w:rPr>
          <w:rFonts w:ascii="Times New Roman" w:hAnsi="Times New Roman" w:eastAsia="黑体"/>
          <w:b w:val="0"/>
          <w:color w:val="auto"/>
          <w:lang w:val="zh-CN"/>
        </w:rPr>
        <w:t xml:space="preserve">  </w:t>
      </w:r>
      <w:r>
        <w:rPr>
          <w:rFonts w:hint="eastAsia" w:ascii="Times New Roman" w:hAnsi="Times New Roman" w:eastAsia="黑体"/>
          <w:b w:val="0"/>
          <w:color w:val="auto"/>
          <w:lang w:val="zh-CN"/>
        </w:rPr>
        <w:t>录</w:t>
      </w:r>
    </w:p>
    <w:p>
      <w:pPr>
        <w:pStyle w:val="31"/>
        <w:tabs>
          <w:tab w:val="right" w:leader="dot" w:pos="8306"/>
        </w:tabs>
      </w:pPr>
      <w:r>
        <w:rPr>
          <w:rFonts w:ascii="Times New Roman" w:hAnsi="Times New Roman"/>
        </w:rPr>
        <w:fldChar w:fldCharType="begin"/>
      </w:r>
      <w:r>
        <w:rPr>
          <w:rFonts w:ascii="Times New Roman" w:hAnsi="Times New Roman"/>
        </w:rPr>
        <w:instrText xml:space="preserve"> TOC \o "1-2" \h \z \u </w:instrText>
      </w:r>
      <w:r>
        <w:rPr>
          <w:rFonts w:ascii="Times New Roman" w:hAnsi="Times New Roman"/>
        </w:rPr>
        <w:fldChar w:fldCharType="separate"/>
      </w:r>
      <w:r>
        <w:fldChar w:fldCharType="begin"/>
      </w:r>
      <w:r>
        <w:instrText xml:space="preserve"> HYPERLINK \l "_Toc16737" </w:instrText>
      </w:r>
      <w:r>
        <w:fldChar w:fldCharType="separate"/>
      </w:r>
      <w:r>
        <w:rPr>
          <w:rFonts w:hint="eastAsia"/>
        </w:rPr>
        <w:t>第一卷</w:t>
      </w:r>
      <w:r>
        <w:tab/>
      </w:r>
      <w:r>
        <w:fldChar w:fldCharType="begin"/>
      </w:r>
      <w:r>
        <w:instrText xml:space="preserve"> PAGEREF _Toc16737 \h </w:instrText>
      </w:r>
      <w:r>
        <w:fldChar w:fldCharType="separate"/>
      </w:r>
      <w:r>
        <w:t>3</w:t>
      </w:r>
      <w:r>
        <w:fldChar w:fldCharType="end"/>
      </w:r>
      <w:r>
        <w:fldChar w:fldCharType="end"/>
      </w:r>
    </w:p>
    <w:p>
      <w:pPr>
        <w:pStyle w:val="31"/>
        <w:tabs>
          <w:tab w:val="right" w:leader="dot" w:pos="8306"/>
        </w:tabs>
      </w:pPr>
      <w:r>
        <w:fldChar w:fldCharType="begin"/>
      </w:r>
      <w:r>
        <w:instrText xml:space="preserve"> HYPERLINK \l "_Toc10116" </w:instrText>
      </w:r>
      <w:r>
        <w:fldChar w:fldCharType="separate"/>
      </w:r>
      <w:r>
        <w:rPr>
          <w:rFonts w:hint="eastAsia"/>
        </w:rPr>
        <w:t>第一章招标公告（适用于公开招标）</w:t>
      </w:r>
      <w:r>
        <w:tab/>
      </w:r>
      <w:r>
        <w:fldChar w:fldCharType="begin"/>
      </w:r>
      <w:r>
        <w:instrText xml:space="preserve"> PAGEREF _Toc10116 \h </w:instrText>
      </w:r>
      <w:r>
        <w:fldChar w:fldCharType="separate"/>
      </w:r>
      <w:r>
        <w:t>3</w:t>
      </w:r>
      <w:r>
        <w:fldChar w:fldCharType="end"/>
      </w:r>
      <w:r>
        <w:fldChar w:fldCharType="end"/>
      </w:r>
    </w:p>
    <w:p>
      <w:pPr>
        <w:pStyle w:val="35"/>
        <w:tabs>
          <w:tab w:val="right" w:leader="dot" w:pos="8306"/>
        </w:tabs>
        <w:ind w:left="420"/>
      </w:pPr>
      <w:r>
        <w:fldChar w:fldCharType="begin"/>
      </w:r>
      <w:r>
        <w:instrText xml:space="preserve"> HYPERLINK \l "_Toc24708" </w:instrText>
      </w:r>
      <w:r>
        <w:fldChar w:fldCharType="separate"/>
      </w:r>
      <w:r>
        <w:rPr>
          <w:rFonts w:ascii="Times New Roman" w:hAnsi="Times New Roman"/>
        </w:rPr>
        <w:t xml:space="preserve">1. </w:t>
      </w:r>
      <w:r>
        <w:rPr>
          <w:rFonts w:hint="eastAsia" w:ascii="Times New Roman" w:hAnsi="Times New Roman"/>
        </w:rPr>
        <w:t>招标条件</w:t>
      </w:r>
      <w:r>
        <w:tab/>
      </w:r>
      <w:r>
        <w:fldChar w:fldCharType="begin"/>
      </w:r>
      <w:r>
        <w:instrText xml:space="preserve"> PAGEREF _Toc24708 \h </w:instrText>
      </w:r>
      <w:r>
        <w:fldChar w:fldCharType="separate"/>
      </w:r>
      <w:r>
        <w:t>3</w:t>
      </w:r>
      <w:r>
        <w:fldChar w:fldCharType="end"/>
      </w:r>
      <w:r>
        <w:fldChar w:fldCharType="end"/>
      </w:r>
    </w:p>
    <w:p>
      <w:pPr>
        <w:pStyle w:val="35"/>
        <w:tabs>
          <w:tab w:val="right" w:leader="dot" w:pos="8306"/>
        </w:tabs>
        <w:ind w:left="420"/>
      </w:pPr>
      <w:r>
        <w:fldChar w:fldCharType="begin"/>
      </w:r>
      <w:r>
        <w:instrText xml:space="preserve"> HYPERLINK \l "_Toc29047" </w:instrText>
      </w:r>
      <w:r>
        <w:fldChar w:fldCharType="separate"/>
      </w:r>
      <w:r>
        <w:rPr>
          <w:rFonts w:ascii="Times New Roman" w:hAnsi="Times New Roman"/>
        </w:rPr>
        <w:t>2. 项目概况与</w:t>
      </w:r>
      <w:r>
        <w:rPr>
          <w:rFonts w:hint="eastAsia" w:ascii="Times New Roman" w:hAnsi="Times New Roman"/>
        </w:rPr>
        <w:t>招标范围</w:t>
      </w:r>
      <w:r>
        <w:tab/>
      </w:r>
      <w:r>
        <w:fldChar w:fldCharType="begin"/>
      </w:r>
      <w:r>
        <w:instrText xml:space="preserve"> PAGEREF _Toc29047 \h </w:instrText>
      </w:r>
      <w:r>
        <w:fldChar w:fldCharType="separate"/>
      </w:r>
      <w:r>
        <w:t>3</w:t>
      </w:r>
      <w:r>
        <w:fldChar w:fldCharType="end"/>
      </w:r>
      <w:r>
        <w:fldChar w:fldCharType="end"/>
      </w:r>
    </w:p>
    <w:p>
      <w:pPr>
        <w:pStyle w:val="35"/>
        <w:tabs>
          <w:tab w:val="right" w:leader="dot" w:pos="8306"/>
        </w:tabs>
        <w:ind w:left="420"/>
      </w:pPr>
      <w:r>
        <w:fldChar w:fldCharType="begin"/>
      </w:r>
      <w:r>
        <w:instrText xml:space="preserve"> HYPERLINK \l "_Toc20534" </w:instrText>
      </w:r>
      <w:r>
        <w:fldChar w:fldCharType="separate"/>
      </w:r>
      <w:r>
        <w:rPr>
          <w:rFonts w:hint="eastAsia" w:ascii="Times New Roman" w:hAnsi="Times New Roman"/>
        </w:rPr>
        <w:t>3. 投标人资格要求</w:t>
      </w:r>
      <w:r>
        <w:tab/>
      </w:r>
      <w:r>
        <w:fldChar w:fldCharType="begin"/>
      </w:r>
      <w:r>
        <w:instrText xml:space="preserve"> PAGEREF _Toc20534 \h </w:instrText>
      </w:r>
      <w:r>
        <w:fldChar w:fldCharType="separate"/>
      </w:r>
      <w:r>
        <w:t>4</w:t>
      </w:r>
      <w:r>
        <w:fldChar w:fldCharType="end"/>
      </w:r>
      <w:r>
        <w:fldChar w:fldCharType="end"/>
      </w:r>
    </w:p>
    <w:p>
      <w:pPr>
        <w:pStyle w:val="35"/>
        <w:tabs>
          <w:tab w:val="right" w:leader="dot" w:pos="8306"/>
        </w:tabs>
        <w:ind w:left="420"/>
      </w:pPr>
      <w:r>
        <w:fldChar w:fldCharType="begin"/>
      </w:r>
      <w:r>
        <w:instrText xml:space="preserve"> HYPERLINK \l "_Toc28386" </w:instrText>
      </w:r>
      <w:r>
        <w:fldChar w:fldCharType="separate"/>
      </w:r>
      <w:r>
        <w:rPr>
          <w:rFonts w:hint="eastAsia" w:ascii="Times New Roman" w:hAnsi="Times New Roman"/>
        </w:rPr>
        <w:t>4</w:t>
      </w:r>
      <w:r>
        <w:rPr>
          <w:rFonts w:ascii="Times New Roman" w:hAnsi="Times New Roman"/>
        </w:rPr>
        <w:t xml:space="preserve">. </w:t>
      </w:r>
      <w:r>
        <w:rPr>
          <w:rFonts w:hint="eastAsia" w:ascii="Times New Roman" w:hAnsi="Times New Roman"/>
        </w:rPr>
        <w:t>招标文件的获取</w:t>
      </w:r>
      <w:r>
        <w:tab/>
      </w:r>
      <w:r>
        <w:fldChar w:fldCharType="begin"/>
      </w:r>
      <w:r>
        <w:instrText xml:space="preserve"> PAGEREF _Toc28386 \h </w:instrText>
      </w:r>
      <w:r>
        <w:fldChar w:fldCharType="separate"/>
      </w:r>
      <w:r>
        <w:t>4</w:t>
      </w:r>
      <w:r>
        <w:fldChar w:fldCharType="end"/>
      </w:r>
      <w:r>
        <w:fldChar w:fldCharType="end"/>
      </w:r>
    </w:p>
    <w:p>
      <w:pPr>
        <w:pStyle w:val="35"/>
        <w:tabs>
          <w:tab w:val="right" w:leader="dot" w:pos="8306"/>
        </w:tabs>
        <w:ind w:left="420"/>
      </w:pPr>
      <w:r>
        <w:fldChar w:fldCharType="begin"/>
      </w:r>
      <w:r>
        <w:instrText xml:space="preserve"> HYPERLINK \l "_Toc21270" </w:instrText>
      </w:r>
      <w:r>
        <w:fldChar w:fldCharType="separate"/>
      </w:r>
      <w:r>
        <w:rPr>
          <w:rFonts w:hint="eastAsia" w:ascii="Times New Roman" w:hAnsi="Times New Roman"/>
        </w:rPr>
        <w:t>5</w:t>
      </w:r>
      <w:r>
        <w:rPr>
          <w:rFonts w:ascii="Times New Roman" w:hAnsi="Times New Roman"/>
        </w:rPr>
        <w:t xml:space="preserve">. </w:t>
      </w:r>
      <w:r>
        <w:rPr>
          <w:rFonts w:hint="eastAsia" w:ascii="Times New Roman" w:hAnsi="Times New Roman"/>
        </w:rPr>
        <w:t>投标文件的递交</w:t>
      </w:r>
      <w:r>
        <w:tab/>
      </w:r>
      <w:r>
        <w:fldChar w:fldCharType="begin"/>
      </w:r>
      <w:r>
        <w:instrText xml:space="preserve"> PAGEREF _Toc21270 \h </w:instrText>
      </w:r>
      <w:r>
        <w:fldChar w:fldCharType="separate"/>
      </w:r>
      <w:r>
        <w:t>4</w:t>
      </w:r>
      <w:r>
        <w:fldChar w:fldCharType="end"/>
      </w:r>
      <w:r>
        <w:fldChar w:fldCharType="end"/>
      </w:r>
    </w:p>
    <w:p>
      <w:pPr>
        <w:pStyle w:val="35"/>
        <w:tabs>
          <w:tab w:val="right" w:leader="dot" w:pos="8306"/>
        </w:tabs>
        <w:ind w:left="420"/>
      </w:pPr>
      <w:r>
        <w:fldChar w:fldCharType="begin"/>
      </w:r>
      <w:r>
        <w:instrText xml:space="preserve"> HYPERLINK \l "_Toc21247" </w:instrText>
      </w:r>
      <w:r>
        <w:fldChar w:fldCharType="separate"/>
      </w:r>
      <w:r>
        <w:rPr>
          <w:rFonts w:hint="eastAsia" w:ascii="Times New Roman" w:hAnsi="Times New Roman"/>
        </w:rPr>
        <w:t>6</w:t>
      </w:r>
      <w:r>
        <w:rPr>
          <w:rFonts w:ascii="Times New Roman" w:hAnsi="Times New Roman"/>
        </w:rPr>
        <w:t xml:space="preserve">. </w:t>
      </w:r>
      <w:r>
        <w:rPr>
          <w:rFonts w:hint="eastAsia" w:ascii="Times New Roman" w:hAnsi="Times New Roman"/>
        </w:rPr>
        <w:t>发布公告的媒介</w:t>
      </w:r>
      <w:r>
        <w:tab/>
      </w:r>
      <w:r>
        <w:fldChar w:fldCharType="begin"/>
      </w:r>
      <w:r>
        <w:instrText xml:space="preserve"> PAGEREF _Toc21247 \h </w:instrText>
      </w:r>
      <w:r>
        <w:fldChar w:fldCharType="separate"/>
      </w:r>
      <w:r>
        <w:t>5</w:t>
      </w:r>
      <w:r>
        <w:fldChar w:fldCharType="end"/>
      </w:r>
      <w:r>
        <w:fldChar w:fldCharType="end"/>
      </w:r>
    </w:p>
    <w:p>
      <w:pPr>
        <w:pStyle w:val="35"/>
        <w:tabs>
          <w:tab w:val="right" w:leader="dot" w:pos="8306"/>
        </w:tabs>
        <w:ind w:left="420"/>
      </w:pPr>
      <w:r>
        <w:fldChar w:fldCharType="begin"/>
      </w:r>
      <w:r>
        <w:instrText xml:space="preserve"> HYPERLINK \l "_Toc27309" </w:instrText>
      </w:r>
      <w:r>
        <w:fldChar w:fldCharType="separate"/>
      </w:r>
      <w:r>
        <w:rPr>
          <w:rFonts w:hint="eastAsia" w:ascii="Times New Roman" w:hAnsi="Times New Roman"/>
        </w:rPr>
        <w:t>7</w:t>
      </w:r>
      <w:r>
        <w:rPr>
          <w:rFonts w:ascii="Times New Roman" w:hAnsi="Times New Roman"/>
        </w:rPr>
        <w:t xml:space="preserve">. </w:t>
      </w:r>
      <w:r>
        <w:rPr>
          <w:rFonts w:hint="eastAsia" w:ascii="Times New Roman" w:hAnsi="Times New Roman"/>
        </w:rPr>
        <w:t>联系方式</w:t>
      </w:r>
      <w:r>
        <w:tab/>
      </w:r>
      <w:r>
        <w:fldChar w:fldCharType="begin"/>
      </w:r>
      <w:r>
        <w:instrText xml:space="preserve"> PAGEREF _Toc27309 \h </w:instrText>
      </w:r>
      <w:r>
        <w:fldChar w:fldCharType="separate"/>
      </w:r>
      <w:r>
        <w:t>5</w:t>
      </w:r>
      <w:r>
        <w:fldChar w:fldCharType="end"/>
      </w:r>
      <w:r>
        <w:fldChar w:fldCharType="end"/>
      </w:r>
    </w:p>
    <w:p>
      <w:pPr>
        <w:pStyle w:val="31"/>
        <w:tabs>
          <w:tab w:val="right" w:leader="dot" w:pos="8306"/>
        </w:tabs>
      </w:pPr>
      <w:r>
        <w:fldChar w:fldCharType="begin"/>
      </w:r>
      <w:r>
        <w:instrText xml:space="preserve"> HYPERLINK \l "_Toc16148" </w:instrText>
      </w:r>
      <w:r>
        <w:fldChar w:fldCharType="separate"/>
      </w:r>
      <w:r>
        <w:rPr>
          <w:rFonts w:hint="eastAsia"/>
        </w:rPr>
        <w:t>第二章投标人须知</w:t>
      </w:r>
      <w:r>
        <w:tab/>
      </w:r>
      <w:r>
        <w:fldChar w:fldCharType="begin"/>
      </w:r>
      <w:r>
        <w:instrText xml:space="preserve"> PAGEREF _Toc16148 \h </w:instrText>
      </w:r>
      <w:r>
        <w:fldChar w:fldCharType="separate"/>
      </w:r>
      <w:r>
        <w:t>6</w:t>
      </w:r>
      <w:r>
        <w:fldChar w:fldCharType="end"/>
      </w:r>
      <w:r>
        <w:fldChar w:fldCharType="end"/>
      </w:r>
    </w:p>
    <w:p>
      <w:pPr>
        <w:pStyle w:val="35"/>
        <w:tabs>
          <w:tab w:val="right" w:leader="dot" w:pos="8306"/>
        </w:tabs>
        <w:ind w:left="420"/>
      </w:pPr>
      <w:r>
        <w:fldChar w:fldCharType="begin"/>
      </w:r>
      <w:r>
        <w:instrText xml:space="preserve"> HYPERLINK \l "_Toc2093" </w:instrText>
      </w:r>
      <w:r>
        <w:fldChar w:fldCharType="separate"/>
      </w:r>
      <w:r>
        <w:rPr>
          <w:rFonts w:hint="eastAsia" w:ascii="Times New Roman" w:hAnsi="Times New Roman"/>
        </w:rPr>
        <w:t>投标人须知前附表</w:t>
      </w:r>
      <w:r>
        <w:tab/>
      </w:r>
      <w:r>
        <w:fldChar w:fldCharType="begin"/>
      </w:r>
      <w:r>
        <w:instrText xml:space="preserve"> PAGEREF _Toc2093 \h </w:instrText>
      </w:r>
      <w:r>
        <w:fldChar w:fldCharType="separate"/>
      </w:r>
      <w:r>
        <w:t>6</w:t>
      </w:r>
      <w:r>
        <w:fldChar w:fldCharType="end"/>
      </w:r>
      <w:r>
        <w:fldChar w:fldCharType="end"/>
      </w:r>
    </w:p>
    <w:p>
      <w:pPr>
        <w:pStyle w:val="35"/>
        <w:tabs>
          <w:tab w:val="right" w:leader="dot" w:pos="8306"/>
        </w:tabs>
        <w:ind w:left="420"/>
      </w:pPr>
      <w:r>
        <w:fldChar w:fldCharType="begin"/>
      </w:r>
      <w:r>
        <w:instrText xml:space="preserve"> HYPERLINK \l "_Toc30050" </w:instrText>
      </w:r>
      <w:r>
        <w:fldChar w:fldCharType="separate"/>
      </w:r>
      <w:r>
        <w:rPr>
          <w:rFonts w:ascii="Times New Roman" w:hAnsi="Times New Roman"/>
        </w:rPr>
        <w:t>1. 总则</w:t>
      </w:r>
      <w:r>
        <w:tab/>
      </w:r>
      <w:r>
        <w:fldChar w:fldCharType="begin"/>
      </w:r>
      <w:r>
        <w:instrText xml:space="preserve"> PAGEREF _Toc30050 \h </w:instrText>
      </w:r>
      <w:r>
        <w:fldChar w:fldCharType="separate"/>
      </w:r>
      <w:r>
        <w:t>14</w:t>
      </w:r>
      <w:r>
        <w:fldChar w:fldCharType="end"/>
      </w:r>
      <w:r>
        <w:fldChar w:fldCharType="end"/>
      </w:r>
    </w:p>
    <w:p>
      <w:pPr>
        <w:pStyle w:val="35"/>
        <w:tabs>
          <w:tab w:val="right" w:leader="dot" w:pos="8306"/>
        </w:tabs>
        <w:ind w:left="420"/>
      </w:pPr>
      <w:r>
        <w:fldChar w:fldCharType="begin"/>
      </w:r>
      <w:r>
        <w:instrText xml:space="preserve"> HYPERLINK \l "_Toc16884" </w:instrText>
      </w:r>
      <w:r>
        <w:fldChar w:fldCharType="separate"/>
      </w:r>
      <w:r>
        <w:rPr>
          <w:rFonts w:ascii="Times New Roman" w:hAnsi="Times New Roman"/>
        </w:rPr>
        <w:t xml:space="preserve">2. </w:t>
      </w:r>
      <w:r>
        <w:rPr>
          <w:rFonts w:hint="eastAsia" w:ascii="Times New Roman" w:hAnsi="Times New Roman"/>
        </w:rPr>
        <w:t>招标文件</w:t>
      </w:r>
      <w:r>
        <w:tab/>
      </w:r>
      <w:r>
        <w:fldChar w:fldCharType="begin"/>
      </w:r>
      <w:r>
        <w:instrText xml:space="preserve"> PAGEREF _Toc16884 \h </w:instrText>
      </w:r>
      <w:r>
        <w:fldChar w:fldCharType="separate"/>
      </w:r>
      <w:r>
        <w:t>17</w:t>
      </w:r>
      <w:r>
        <w:fldChar w:fldCharType="end"/>
      </w:r>
      <w:r>
        <w:fldChar w:fldCharType="end"/>
      </w:r>
    </w:p>
    <w:p>
      <w:pPr>
        <w:pStyle w:val="35"/>
        <w:tabs>
          <w:tab w:val="right" w:leader="dot" w:pos="8306"/>
        </w:tabs>
        <w:ind w:left="420"/>
      </w:pPr>
      <w:r>
        <w:fldChar w:fldCharType="begin"/>
      </w:r>
      <w:r>
        <w:instrText xml:space="preserve"> HYPERLINK \l "_Toc5787" </w:instrText>
      </w:r>
      <w:r>
        <w:fldChar w:fldCharType="separate"/>
      </w:r>
      <w:r>
        <w:rPr>
          <w:rFonts w:ascii="Times New Roman" w:hAnsi="Times New Roman"/>
        </w:rPr>
        <w:t xml:space="preserve">3. </w:t>
      </w:r>
      <w:r>
        <w:rPr>
          <w:rFonts w:hint="eastAsia" w:ascii="Times New Roman" w:hAnsi="Times New Roman"/>
        </w:rPr>
        <w:t>投标文件</w:t>
      </w:r>
      <w:r>
        <w:tab/>
      </w:r>
      <w:r>
        <w:fldChar w:fldCharType="begin"/>
      </w:r>
      <w:r>
        <w:instrText xml:space="preserve"> PAGEREF _Toc5787 \h </w:instrText>
      </w:r>
      <w:r>
        <w:fldChar w:fldCharType="separate"/>
      </w:r>
      <w:r>
        <w:t>18</w:t>
      </w:r>
      <w:r>
        <w:fldChar w:fldCharType="end"/>
      </w:r>
      <w:r>
        <w:fldChar w:fldCharType="end"/>
      </w:r>
    </w:p>
    <w:p>
      <w:pPr>
        <w:pStyle w:val="35"/>
        <w:tabs>
          <w:tab w:val="right" w:leader="dot" w:pos="8306"/>
        </w:tabs>
        <w:ind w:left="420"/>
      </w:pPr>
      <w:r>
        <w:fldChar w:fldCharType="begin"/>
      </w:r>
      <w:r>
        <w:instrText xml:space="preserve"> HYPERLINK \l "_Toc17599" </w:instrText>
      </w:r>
      <w:r>
        <w:fldChar w:fldCharType="separate"/>
      </w:r>
      <w:r>
        <w:rPr>
          <w:rFonts w:ascii="Times New Roman" w:hAnsi="Times New Roman"/>
        </w:rPr>
        <w:t xml:space="preserve">4. </w:t>
      </w:r>
      <w:r>
        <w:rPr>
          <w:rFonts w:hint="eastAsia" w:ascii="Times New Roman" w:hAnsi="Times New Roman"/>
        </w:rPr>
        <w:t>投标</w:t>
      </w:r>
      <w:r>
        <w:tab/>
      </w:r>
      <w:r>
        <w:fldChar w:fldCharType="begin"/>
      </w:r>
      <w:r>
        <w:instrText xml:space="preserve"> PAGEREF _Toc17599 \h </w:instrText>
      </w:r>
      <w:r>
        <w:fldChar w:fldCharType="separate"/>
      </w:r>
      <w:r>
        <w:t>21</w:t>
      </w:r>
      <w:r>
        <w:fldChar w:fldCharType="end"/>
      </w:r>
      <w:r>
        <w:fldChar w:fldCharType="end"/>
      </w:r>
    </w:p>
    <w:p>
      <w:pPr>
        <w:pStyle w:val="35"/>
        <w:tabs>
          <w:tab w:val="right" w:leader="dot" w:pos="8306"/>
        </w:tabs>
        <w:ind w:left="420"/>
      </w:pPr>
      <w:r>
        <w:fldChar w:fldCharType="begin"/>
      </w:r>
      <w:r>
        <w:instrText xml:space="preserve"> HYPERLINK \l "_Toc25722" </w:instrText>
      </w:r>
      <w:r>
        <w:fldChar w:fldCharType="separate"/>
      </w:r>
      <w:r>
        <w:rPr>
          <w:rFonts w:ascii="Times New Roman" w:hAnsi="Times New Roman"/>
        </w:rPr>
        <w:t xml:space="preserve">5. </w:t>
      </w:r>
      <w:r>
        <w:rPr>
          <w:rFonts w:hint="eastAsia" w:ascii="Times New Roman" w:hAnsi="Times New Roman"/>
        </w:rPr>
        <w:t>开标</w:t>
      </w:r>
      <w:r>
        <w:tab/>
      </w:r>
      <w:r>
        <w:fldChar w:fldCharType="begin"/>
      </w:r>
      <w:r>
        <w:instrText xml:space="preserve"> PAGEREF _Toc25722 \h </w:instrText>
      </w:r>
      <w:r>
        <w:fldChar w:fldCharType="separate"/>
      </w:r>
      <w:r>
        <w:t>22</w:t>
      </w:r>
      <w:r>
        <w:fldChar w:fldCharType="end"/>
      </w:r>
      <w:r>
        <w:fldChar w:fldCharType="end"/>
      </w:r>
    </w:p>
    <w:p>
      <w:pPr>
        <w:pStyle w:val="35"/>
        <w:tabs>
          <w:tab w:val="right" w:leader="dot" w:pos="8306"/>
        </w:tabs>
        <w:ind w:left="420"/>
      </w:pPr>
      <w:r>
        <w:fldChar w:fldCharType="begin"/>
      </w:r>
      <w:r>
        <w:instrText xml:space="preserve"> HYPERLINK \l "_Toc15241" </w:instrText>
      </w:r>
      <w:r>
        <w:fldChar w:fldCharType="separate"/>
      </w:r>
      <w:r>
        <w:rPr>
          <w:rFonts w:ascii="Times New Roman" w:hAnsi="Times New Roman"/>
        </w:rPr>
        <w:t xml:space="preserve">6. </w:t>
      </w:r>
      <w:r>
        <w:rPr>
          <w:rFonts w:hint="eastAsia" w:ascii="Times New Roman" w:hAnsi="Times New Roman"/>
        </w:rPr>
        <w:t>评标</w:t>
      </w:r>
      <w:r>
        <w:tab/>
      </w:r>
      <w:r>
        <w:fldChar w:fldCharType="begin"/>
      </w:r>
      <w:r>
        <w:instrText xml:space="preserve"> PAGEREF _Toc15241 \h </w:instrText>
      </w:r>
      <w:r>
        <w:fldChar w:fldCharType="separate"/>
      </w:r>
      <w:r>
        <w:t>23</w:t>
      </w:r>
      <w:r>
        <w:fldChar w:fldCharType="end"/>
      </w:r>
      <w:r>
        <w:fldChar w:fldCharType="end"/>
      </w:r>
    </w:p>
    <w:p>
      <w:pPr>
        <w:pStyle w:val="35"/>
        <w:tabs>
          <w:tab w:val="right" w:leader="dot" w:pos="8306"/>
        </w:tabs>
        <w:ind w:left="420"/>
      </w:pPr>
      <w:r>
        <w:fldChar w:fldCharType="begin"/>
      </w:r>
      <w:r>
        <w:instrText xml:space="preserve"> HYPERLINK \l "_Toc13707" </w:instrText>
      </w:r>
      <w:r>
        <w:fldChar w:fldCharType="separate"/>
      </w:r>
      <w:r>
        <w:rPr>
          <w:rFonts w:ascii="Times New Roman" w:hAnsi="Times New Roman"/>
        </w:rPr>
        <w:t xml:space="preserve">7. </w:t>
      </w:r>
      <w:r>
        <w:rPr>
          <w:rFonts w:hint="eastAsia" w:ascii="Times New Roman" w:hAnsi="Times New Roman"/>
        </w:rPr>
        <w:t>合同授予</w:t>
      </w:r>
      <w:r>
        <w:tab/>
      </w:r>
      <w:r>
        <w:fldChar w:fldCharType="begin"/>
      </w:r>
      <w:r>
        <w:instrText xml:space="preserve"> PAGEREF _Toc13707 \h </w:instrText>
      </w:r>
      <w:r>
        <w:fldChar w:fldCharType="separate"/>
      </w:r>
      <w:r>
        <w:t>24</w:t>
      </w:r>
      <w:r>
        <w:fldChar w:fldCharType="end"/>
      </w:r>
      <w:r>
        <w:fldChar w:fldCharType="end"/>
      </w:r>
    </w:p>
    <w:p>
      <w:pPr>
        <w:pStyle w:val="35"/>
        <w:tabs>
          <w:tab w:val="right" w:leader="dot" w:pos="8306"/>
        </w:tabs>
        <w:ind w:left="420"/>
      </w:pPr>
      <w:r>
        <w:fldChar w:fldCharType="begin"/>
      </w:r>
      <w:r>
        <w:instrText xml:space="preserve"> HYPERLINK \l "_Toc9251" </w:instrText>
      </w:r>
      <w:r>
        <w:fldChar w:fldCharType="separate"/>
      </w:r>
      <w:r>
        <w:rPr>
          <w:rFonts w:ascii="Times New Roman" w:hAnsi="Times New Roman"/>
        </w:rPr>
        <w:t>8.</w:t>
      </w:r>
      <w:r>
        <w:rPr>
          <w:rFonts w:hint="eastAsia" w:ascii="Times New Roman" w:hAnsi="Times New Roman"/>
        </w:rPr>
        <w:t>纪律和监督</w:t>
      </w:r>
      <w:r>
        <w:tab/>
      </w:r>
      <w:r>
        <w:fldChar w:fldCharType="begin"/>
      </w:r>
      <w:r>
        <w:instrText xml:space="preserve"> PAGEREF _Toc9251 \h </w:instrText>
      </w:r>
      <w:r>
        <w:fldChar w:fldCharType="separate"/>
      </w:r>
      <w:r>
        <w:t>25</w:t>
      </w:r>
      <w:r>
        <w:fldChar w:fldCharType="end"/>
      </w:r>
      <w:r>
        <w:fldChar w:fldCharType="end"/>
      </w:r>
    </w:p>
    <w:p>
      <w:pPr>
        <w:pStyle w:val="35"/>
        <w:tabs>
          <w:tab w:val="right" w:leader="dot" w:pos="8306"/>
        </w:tabs>
        <w:ind w:left="420"/>
      </w:pPr>
      <w:r>
        <w:fldChar w:fldCharType="begin"/>
      </w:r>
      <w:r>
        <w:instrText xml:space="preserve"> HYPERLINK \l "_Toc29683" </w:instrText>
      </w:r>
      <w:r>
        <w:fldChar w:fldCharType="separate"/>
      </w:r>
      <w:r>
        <w:rPr>
          <w:rFonts w:ascii="Times New Roman" w:hAnsi="Times New Roman"/>
        </w:rPr>
        <w:t xml:space="preserve">9. </w:t>
      </w:r>
      <w:r>
        <w:rPr>
          <w:rFonts w:hint="eastAsia" w:ascii="Times New Roman" w:hAnsi="Times New Roman"/>
        </w:rPr>
        <w:t>是否采用电子招标投标</w:t>
      </w:r>
      <w:r>
        <w:tab/>
      </w:r>
      <w:r>
        <w:fldChar w:fldCharType="begin"/>
      </w:r>
      <w:r>
        <w:instrText xml:space="preserve"> PAGEREF _Toc29683 \h </w:instrText>
      </w:r>
      <w:r>
        <w:fldChar w:fldCharType="separate"/>
      </w:r>
      <w:r>
        <w:t>26</w:t>
      </w:r>
      <w:r>
        <w:fldChar w:fldCharType="end"/>
      </w:r>
      <w:r>
        <w:fldChar w:fldCharType="end"/>
      </w:r>
    </w:p>
    <w:p>
      <w:pPr>
        <w:pStyle w:val="35"/>
        <w:tabs>
          <w:tab w:val="right" w:leader="dot" w:pos="8306"/>
        </w:tabs>
        <w:ind w:left="420"/>
      </w:pPr>
      <w:r>
        <w:fldChar w:fldCharType="begin"/>
      </w:r>
      <w:r>
        <w:instrText xml:space="preserve"> HYPERLINK \l "_Toc23918" </w:instrText>
      </w:r>
      <w:r>
        <w:fldChar w:fldCharType="separate"/>
      </w:r>
      <w:r>
        <w:rPr>
          <w:rFonts w:ascii="Times New Roman" w:hAnsi="Times New Roman"/>
        </w:rPr>
        <w:t xml:space="preserve">10. </w:t>
      </w:r>
      <w:r>
        <w:rPr>
          <w:rFonts w:hint="eastAsia" w:ascii="Times New Roman" w:hAnsi="Times New Roman"/>
        </w:rPr>
        <w:t>需要补充的其他内容</w:t>
      </w:r>
      <w:r>
        <w:tab/>
      </w:r>
      <w:r>
        <w:fldChar w:fldCharType="begin"/>
      </w:r>
      <w:r>
        <w:instrText xml:space="preserve"> PAGEREF _Toc23918 \h </w:instrText>
      </w:r>
      <w:r>
        <w:fldChar w:fldCharType="separate"/>
      </w:r>
      <w:r>
        <w:t>26</w:t>
      </w:r>
      <w:r>
        <w:fldChar w:fldCharType="end"/>
      </w:r>
      <w:r>
        <w:fldChar w:fldCharType="end"/>
      </w:r>
    </w:p>
    <w:p>
      <w:pPr>
        <w:pStyle w:val="31"/>
        <w:tabs>
          <w:tab w:val="right" w:leader="dot" w:pos="8306"/>
        </w:tabs>
      </w:pPr>
      <w:r>
        <w:fldChar w:fldCharType="begin"/>
      </w:r>
      <w:r>
        <w:instrText xml:space="preserve"> HYPERLINK \l "_Toc21294" </w:instrText>
      </w:r>
      <w:r>
        <w:fldChar w:fldCharType="separate"/>
      </w:r>
      <w:r>
        <w:rPr>
          <w:rFonts w:hint="eastAsia"/>
        </w:rPr>
        <w:t>第三章评标办法（综合评估法）</w:t>
      </w:r>
      <w:r>
        <w:tab/>
      </w:r>
      <w:r>
        <w:fldChar w:fldCharType="begin"/>
      </w:r>
      <w:r>
        <w:instrText xml:space="preserve"> PAGEREF _Toc21294 \h </w:instrText>
      </w:r>
      <w:r>
        <w:fldChar w:fldCharType="separate"/>
      </w:r>
      <w:r>
        <w:t>32</w:t>
      </w:r>
      <w:r>
        <w:fldChar w:fldCharType="end"/>
      </w:r>
      <w:r>
        <w:fldChar w:fldCharType="end"/>
      </w:r>
    </w:p>
    <w:p>
      <w:pPr>
        <w:pStyle w:val="35"/>
        <w:tabs>
          <w:tab w:val="right" w:leader="dot" w:pos="8306"/>
        </w:tabs>
        <w:ind w:left="420"/>
      </w:pPr>
      <w:r>
        <w:fldChar w:fldCharType="begin"/>
      </w:r>
      <w:r>
        <w:instrText xml:space="preserve"> HYPERLINK \l "_Toc25740" </w:instrText>
      </w:r>
      <w:r>
        <w:fldChar w:fldCharType="separate"/>
      </w:r>
      <w:r>
        <w:rPr>
          <w:rFonts w:hint="eastAsia" w:ascii="Times New Roman" w:hAnsi="Times New Roman"/>
        </w:rPr>
        <w:t>评标办法前附表</w:t>
      </w:r>
      <w:r>
        <w:tab/>
      </w:r>
      <w:r>
        <w:fldChar w:fldCharType="begin"/>
      </w:r>
      <w:r>
        <w:instrText xml:space="preserve"> PAGEREF _Toc25740 \h </w:instrText>
      </w:r>
      <w:r>
        <w:fldChar w:fldCharType="separate"/>
      </w:r>
      <w:r>
        <w:t>32</w:t>
      </w:r>
      <w:r>
        <w:fldChar w:fldCharType="end"/>
      </w:r>
      <w:r>
        <w:fldChar w:fldCharType="end"/>
      </w:r>
    </w:p>
    <w:p>
      <w:pPr>
        <w:pStyle w:val="35"/>
        <w:tabs>
          <w:tab w:val="right" w:leader="dot" w:pos="8306"/>
        </w:tabs>
        <w:ind w:left="420"/>
      </w:pPr>
      <w:r>
        <w:fldChar w:fldCharType="begin"/>
      </w:r>
      <w:r>
        <w:instrText xml:space="preserve"> HYPERLINK \l "_Toc32006" </w:instrText>
      </w:r>
      <w:r>
        <w:fldChar w:fldCharType="separate"/>
      </w:r>
      <w:r>
        <w:rPr>
          <w:rFonts w:ascii="Times New Roman" w:hAnsi="Times New Roman"/>
        </w:rPr>
        <w:t>1. 评标方法</w:t>
      </w:r>
      <w:r>
        <w:tab/>
      </w:r>
      <w:r>
        <w:fldChar w:fldCharType="begin"/>
      </w:r>
      <w:r>
        <w:instrText xml:space="preserve"> PAGEREF _Toc32006 \h </w:instrText>
      </w:r>
      <w:r>
        <w:fldChar w:fldCharType="separate"/>
      </w:r>
      <w:r>
        <w:t>37</w:t>
      </w:r>
      <w:r>
        <w:fldChar w:fldCharType="end"/>
      </w:r>
      <w:r>
        <w:fldChar w:fldCharType="end"/>
      </w:r>
    </w:p>
    <w:p>
      <w:pPr>
        <w:pStyle w:val="35"/>
        <w:tabs>
          <w:tab w:val="right" w:leader="dot" w:pos="8306"/>
        </w:tabs>
        <w:ind w:left="420"/>
      </w:pPr>
      <w:r>
        <w:fldChar w:fldCharType="begin"/>
      </w:r>
      <w:r>
        <w:instrText xml:space="preserve"> HYPERLINK \l "_Toc8330" </w:instrText>
      </w:r>
      <w:r>
        <w:fldChar w:fldCharType="separate"/>
      </w:r>
      <w:r>
        <w:rPr>
          <w:rFonts w:ascii="Times New Roman" w:hAnsi="Times New Roman"/>
        </w:rPr>
        <w:t xml:space="preserve">2. </w:t>
      </w:r>
      <w:r>
        <w:rPr>
          <w:rFonts w:hint="eastAsia" w:ascii="Times New Roman" w:hAnsi="Times New Roman"/>
        </w:rPr>
        <w:t>评审标准</w:t>
      </w:r>
      <w:r>
        <w:tab/>
      </w:r>
      <w:r>
        <w:fldChar w:fldCharType="begin"/>
      </w:r>
      <w:r>
        <w:instrText xml:space="preserve"> PAGEREF _Toc8330 \h </w:instrText>
      </w:r>
      <w:r>
        <w:fldChar w:fldCharType="separate"/>
      </w:r>
      <w:r>
        <w:t>37</w:t>
      </w:r>
      <w:r>
        <w:fldChar w:fldCharType="end"/>
      </w:r>
      <w:r>
        <w:fldChar w:fldCharType="end"/>
      </w:r>
    </w:p>
    <w:p>
      <w:pPr>
        <w:pStyle w:val="35"/>
        <w:tabs>
          <w:tab w:val="right" w:leader="dot" w:pos="8306"/>
        </w:tabs>
        <w:ind w:left="420"/>
      </w:pPr>
      <w:r>
        <w:fldChar w:fldCharType="begin"/>
      </w:r>
      <w:r>
        <w:instrText xml:space="preserve"> HYPERLINK \l "_Toc14106" </w:instrText>
      </w:r>
      <w:r>
        <w:fldChar w:fldCharType="separate"/>
      </w:r>
      <w:r>
        <w:rPr>
          <w:rFonts w:ascii="Times New Roman" w:hAnsi="Times New Roman"/>
        </w:rPr>
        <w:t xml:space="preserve">3. </w:t>
      </w:r>
      <w:r>
        <w:rPr>
          <w:rFonts w:hint="eastAsia" w:ascii="Times New Roman" w:hAnsi="Times New Roman"/>
        </w:rPr>
        <w:t>评标程序</w:t>
      </w:r>
      <w:r>
        <w:tab/>
      </w:r>
      <w:r>
        <w:fldChar w:fldCharType="begin"/>
      </w:r>
      <w:r>
        <w:instrText xml:space="preserve"> PAGEREF _Toc14106 \h </w:instrText>
      </w:r>
      <w:r>
        <w:fldChar w:fldCharType="separate"/>
      </w:r>
      <w:r>
        <w:t>38</w:t>
      </w:r>
      <w:r>
        <w:fldChar w:fldCharType="end"/>
      </w:r>
      <w:r>
        <w:fldChar w:fldCharType="end"/>
      </w:r>
    </w:p>
    <w:p>
      <w:pPr>
        <w:pStyle w:val="31"/>
        <w:tabs>
          <w:tab w:val="right" w:leader="dot" w:pos="8306"/>
        </w:tabs>
      </w:pPr>
      <w:r>
        <w:fldChar w:fldCharType="begin"/>
      </w:r>
      <w:r>
        <w:instrText xml:space="preserve"> HYPERLINK \l "_Toc22597" </w:instrText>
      </w:r>
      <w:r>
        <w:fldChar w:fldCharType="separate"/>
      </w:r>
      <w:r>
        <w:rPr>
          <w:rFonts w:hint="eastAsia"/>
        </w:rPr>
        <w:t>第四章合同条款及格式</w:t>
      </w:r>
      <w:r>
        <w:tab/>
      </w:r>
      <w:r>
        <w:fldChar w:fldCharType="begin"/>
      </w:r>
      <w:r>
        <w:instrText xml:space="preserve"> PAGEREF _Toc22597 \h </w:instrText>
      </w:r>
      <w:r>
        <w:fldChar w:fldCharType="separate"/>
      </w:r>
      <w:r>
        <w:t>40</w:t>
      </w:r>
      <w:r>
        <w:fldChar w:fldCharType="end"/>
      </w:r>
      <w:r>
        <w:fldChar w:fldCharType="end"/>
      </w:r>
    </w:p>
    <w:p>
      <w:pPr>
        <w:pStyle w:val="31"/>
        <w:tabs>
          <w:tab w:val="right" w:leader="dot" w:pos="8306"/>
        </w:tabs>
      </w:pPr>
      <w:r>
        <w:fldChar w:fldCharType="begin"/>
      </w:r>
      <w:r>
        <w:instrText xml:space="preserve"> HYPERLINK \l "_Toc19873" </w:instrText>
      </w:r>
      <w:r>
        <w:fldChar w:fldCharType="separate"/>
      </w:r>
      <w:r>
        <w:t>第</w:t>
      </w:r>
      <w:r>
        <w:rPr>
          <w:rFonts w:hint="eastAsia"/>
        </w:rPr>
        <w:t>二</w:t>
      </w:r>
      <w:r>
        <w:t>卷</w:t>
      </w:r>
      <w:r>
        <w:rPr>
          <w:rFonts w:hint="eastAsia"/>
        </w:rPr>
        <w:t xml:space="preserve"> 发包人要求</w:t>
      </w:r>
      <w:r>
        <w:tab/>
      </w:r>
      <w:r>
        <w:fldChar w:fldCharType="begin"/>
      </w:r>
      <w:r>
        <w:instrText xml:space="preserve"> PAGEREF _Toc19873 \h </w:instrText>
      </w:r>
      <w:r>
        <w:fldChar w:fldCharType="separate"/>
      </w:r>
      <w:r>
        <w:t>48</w:t>
      </w:r>
      <w:r>
        <w:fldChar w:fldCharType="end"/>
      </w:r>
      <w:r>
        <w:fldChar w:fldCharType="end"/>
      </w:r>
    </w:p>
    <w:p>
      <w:pPr>
        <w:pStyle w:val="31"/>
        <w:tabs>
          <w:tab w:val="right" w:leader="dot" w:pos="8306"/>
        </w:tabs>
      </w:pPr>
      <w:r>
        <w:fldChar w:fldCharType="begin"/>
      </w:r>
      <w:r>
        <w:instrText xml:space="preserve"> HYPERLINK \l "_Toc3232" </w:instrText>
      </w:r>
      <w:r>
        <w:fldChar w:fldCharType="separate"/>
      </w:r>
      <w:r>
        <w:rPr>
          <w:rFonts w:hint="eastAsia" w:ascii="宋体" w:hAnsi="宋体" w:cs="宋体"/>
          <w:kern w:val="44"/>
          <w:szCs w:val="24"/>
        </w:rPr>
        <w:t>一、 项目名称</w:t>
      </w:r>
      <w:r>
        <w:tab/>
      </w:r>
      <w:r>
        <w:fldChar w:fldCharType="begin"/>
      </w:r>
      <w:r>
        <w:instrText xml:space="preserve"> PAGEREF _Toc3232 \h </w:instrText>
      </w:r>
      <w:r>
        <w:fldChar w:fldCharType="separate"/>
      </w:r>
      <w:r>
        <w:t>58</w:t>
      </w:r>
      <w:r>
        <w:fldChar w:fldCharType="end"/>
      </w:r>
      <w:r>
        <w:fldChar w:fldCharType="end"/>
      </w:r>
    </w:p>
    <w:p>
      <w:pPr>
        <w:pStyle w:val="31"/>
        <w:tabs>
          <w:tab w:val="right" w:leader="dot" w:pos="8306"/>
        </w:tabs>
      </w:pPr>
      <w:r>
        <w:fldChar w:fldCharType="begin"/>
      </w:r>
      <w:r>
        <w:instrText xml:space="preserve"> HYPERLINK \l "_Toc13656" </w:instrText>
      </w:r>
      <w:r>
        <w:fldChar w:fldCharType="separate"/>
      </w:r>
      <w:r>
        <w:rPr>
          <w:rFonts w:hint="eastAsia" w:ascii="宋体" w:hAnsi="宋体" w:cs="宋体"/>
          <w:kern w:val="44"/>
          <w:szCs w:val="24"/>
        </w:rPr>
        <w:t>二、 项目背景</w:t>
      </w:r>
      <w:r>
        <w:tab/>
      </w:r>
      <w:r>
        <w:fldChar w:fldCharType="begin"/>
      </w:r>
      <w:r>
        <w:instrText xml:space="preserve"> PAGEREF _Toc13656 \h </w:instrText>
      </w:r>
      <w:r>
        <w:fldChar w:fldCharType="separate"/>
      </w:r>
      <w:r>
        <w:t>58</w:t>
      </w:r>
      <w:r>
        <w:fldChar w:fldCharType="end"/>
      </w:r>
      <w:r>
        <w:fldChar w:fldCharType="end"/>
      </w:r>
    </w:p>
    <w:p>
      <w:pPr>
        <w:pStyle w:val="31"/>
        <w:tabs>
          <w:tab w:val="right" w:leader="dot" w:pos="8306"/>
        </w:tabs>
      </w:pPr>
      <w:r>
        <w:fldChar w:fldCharType="begin"/>
      </w:r>
      <w:r>
        <w:instrText xml:space="preserve"> HYPERLINK \l "_Toc326" </w:instrText>
      </w:r>
      <w:r>
        <w:fldChar w:fldCharType="separate"/>
      </w:r>
      <w:r>
        <w:rPr>
          <w:rFonts w:hint="eastAsia" w:ascii="宋体" w:hAnsi="宋体" w:cs="宋体"/>
          <w:kern w:val="44"/>
          <w:szCs w:val="24"/>
        </w:rPr>
        <w:t>三、 预期目标</w:t>
      </w:r>
      <w:r>
        <w:tab/>
      </w:r>
      <w:r>
        <w:fldChar w:fldCharType="begin"/>
      </w:r>
      <w:r>
        <w:instrText xml:space="preserve"> PAGEREF _Toc326 \h </w:instrText>
      </w:r>
      <w:r>
        <w:fldChar w:fldCharType="separate"/>
      </w:r>
      <w:r>
        <w:t>58</w:t>
      </w:r>
      <w:r>
        <w:fldChar w:fldCharType="end"/>
      </w:r>
      <w:r>
        <w:fldChar w:fldCharType="end"/>
      </w:r>
    </w:p>
    <w:p>
      <w:pPr>
        <w:pStyle w:val="31"/>
        <w:tabs>
          <w:tab w:val="right" w:leader="dot" w:pos="8306"/>
        </w:tabs>
      </w:pPr>
      <w:r>
        <w:fldChar w:fldCharType="begin"/>
      </w:r>
      <w:r>
        <w:instrText xml:space="preserve"> HYPERLINK \l "_Toc9649" </w:instrText>
      </w:r>
      <w:r>
        <w:fldChar w:fldCharType="separate"/>
      </w:r>
      <w:r>
        <w:rPr>
          <w:rFonts w:hint="eastAsia" w:ascii="宋体" w:hAnsi="宋体" w:cs="宋体"/>
          <w:kern w:val="44"/>
          <w:szCs w:val="24"/>
        </w:rPr>
        <w:t>四、 项目内容</w:t>
      </w:r>
      <w:r>
        <w:tab/>
      </w:r>
      <w:r>
        <w:fldChar w:fldCharType="begin"/>
      </w:r>
      <w:r>
        <w:instrText xml:space="preserve"> PAGEREF _Toc9649 \h </w:instrText>
      </w:r>
      <w:r>
        <w:fldChar w:fldCharType="separate"/>
      </w:r>
      <w:r>
        <w:t>59</w:t>
      </w:r>
      <w:r>
        <w:fldChar w:fldCharType="end"/>
      </w:r>
      <w:r>
        <w:fldChar w:fldCharType="end"/>
      </w:r>
    </w:p>
    <w:p>
      <w:pPr>
        <w:pStyle w:val="31"/>
        <w:tabs>
          <w:tab w:val="right" w:leader="dot" w:pos="8306"/>
        </w:tabs>
      </w:pPr>
      <w:r>
        <w:fldChar w:fldCharType="begin"/>
      </w:r>
      <w:r>
        <w:instrText xml:space="preserve"> HYPERLINK \l "_Toc20610" </w:instrText>
      </w:r>
      <w:r>
        <w:fldChar w:fldCharType="separate"/>
      </w:r>
      <w:r>
        <w:rPr>
          <w:rFonts w:hint="eastAsia" w:ascii="宋体" w:hAnsi="宋体" w:cs="宋体"/>
          <w:kern w:val="44"/>
          <w:szCs w:val="24"/>
        </w:rPr>
        <w:t>五、 功能要求</w:t>
      </w:r>
      <w:r>
        <w:tab/>
      </w:r>
      <w:r>
        <w:fldChar w:fldCharType="begin"/>
      </w:r>
      <w:r>
        <w:instrText xml:space="preserve"> PAGEREF _Toc20610 \h </w:instrText>
      </w:r>
      <w:r>
        <w:fldChar w:fldCharType="separate"/>
      </w:r>
      <w:r>
        <w:t>60</w:t>
      </w:r>
      <w:r>
        <w:fldChar w:fldCharType="end"/>
      </w:r>
      <w:r>
        <w:fldChar w:fldCharType="end"/>
      </w:r>
    </w:p>
    <w:p>
      <w:pPr>
        <w:pStyle w:val="35"/>
        <w:tabs>
          <w:tab w:val="right" w:leader="dot" w:pos="8306"/>
        </w:tabs>
        <w:ind w:left="420"/>
      </w:pPr>
      <w:r>
        <w:fldChar w:fldCharType="begin"/>
      </w:r>
      <w:r>
        <w:instrText xml:space="preserve"> HYPERLINK \l "_Toc13765" </w:instrText>
      </w:r>
      <w:r>
        <w:fldChar w:fldCharType="separate"/>
      </w:r>
      <w:r>
        <w:rPr>
          <w:rFonts w:hint="eastAsia" w:ascii="宋体" w:hAnsi="宋体" w:cs="宋体"/>
          <w:szCs w:val="24"/>
        </w:rPr>
        <w:t>5.1. 功能模块要求</w:t>
      </w:r>
      <w:r>
        <w:tab/>
      </w:r>
      <w:r>
        <w:fldChar w:fldCharType="begin"/>
      </w:r>
      <w:r>
        <w:instrText xml:space="preserve"> PAGEREF _Toc13765 \h </w:instrText>
      </w:r>
      <w:r>
        <w:fldChar w:fldCharType="separate"/>
      </w:r>
      <w:r>
        <w:t>60</w:t>
      </w:r>
      <w:r>
        <w:fldChar w:fldCharType="end"/>
      </w:r>
      <w:r>
        <w:fldChar w:fldCharType="end"/>
      </w:r>
    </w:p>
    <w:p>
      <w:pPr>
        <w:pStyle w:val="35"/>
        <w:tabs>
          <w:tab w:val="right" w:leader="dot" w:pos="8306"/>
        </w:tabs>
        <w:ind w:left="420"/>
      </w:pPr>
      <w:r>
        <w:fldChar w:fldCharType="begin"/>
      </w:r>
      <w:r>
        <w:instrText xml:space="preserve"> HYPERLINK \l "_Toc2821" </w:instrText>
      </w:r>
      <w:r>
        <w:fldChar w:fldCharType="separate"/>
      </w:r>
      <w:r>
        <w:rPr>
          <w:rFonts w:hint="eastAsia" w:ascii="宋体" w:hAnsi="宋体" w:cs="宋体"/>
          <w:szCs w:val="24"/>
        </w:rPr>
        <w:t>5.2. 物联网建设要求</w:t>
      </w:r>
      <w:r>
        <w:tab/>
      </w:r>
      <w:r>
        <w:fldChar w:fldCharType="begin"/>
      </w:r>
      <w:r>
        <w:instrText xml:space="preserve"> PAGEREF _Toc2821 \h </w:instrText>
      </w:r>
      <w:r>
        <w:fldChar w:fldCharType="separate"/>
      </w:r>
      <w:r>
        <w:t>66</w:t>
      </w:r>
      <w:r>
        <w:fldChar w:fldCharType="end"/>
      </w:r>
      <w:r>
        <w:fldChar w:fldCharType="end"/>
      </w:r>
    </w:p>
    <w:p>
      <w:pPr>
        <w:pStyle w:val="35"/>
        <w:tabs>
          <w:tab w:val="right" w:leader="dot" w:pos="8306"/>
        </w:tabs>
        <w:ind w:left="420"/>
      </w:pPr>
      <w:r>
        <w:fldChar w:fldCharType="begin"/>
      </w:r>
      <w:r>
        <w:instrText xml:space="preserve"> HYPERLINK \l "_Toc6557" </w:instrText>
      </w:r>
      <w:r>
        <w:fldChar w:fldCharType="separate"/>
      </w:r>
      <w:r>
        <w:rPr>
          <w:rFonts w:hint="eastAsia" w:ascii="宋体" w:hAnsi="宋体" w:cs="宋体"/>
          <w:szCs w:val="24"/>
        </w:rPr>
        <w:t>5.3. 实时数据采集要求</w:t>
      </w:r>
      <w:r>
        <w:tab/>
      </w:r>
      <w:r>
        <w:fldChar w:fldCharType="begin"/>
      </w:r>
      <w:r>
        <w:instrText xml:space="preserve"> PAGEREF _Toc6557 \h </w:instrText>
      </w:r>
      <w:r>
        <w:fldChar w:fldCharType="separate"/>
      </w:r>
      <w:r>
        <w:t>74</w:t>
      </w:r>
      <w:r>
        <w:fldChar w:fldCharType="end"/>
      </w:r>
      <w:r>
        <w:fldChar w:fldCharType="end"/>
      </w:r>
    </w:p>
    <w:p>
      <w:pPr>
        <w:pStyle w:val="35"/>
        <w:tabs>
          <w:tab w:val="right" w:leader="dot" w:pos="8306"/>
        </w:tabs>
        <w:ind w:left="420"/>
      </w:pPr>
      <w:r>
        <w:fldChar w:fldCharType="begin"/>
      </w:r>
      <w:r>
        <w:instrText xml:space="preserve"> HYPERLINK \l "_Toc10882" </w:instrText>
      </w:r>
      <w:r>
        <w:fldChar w:fldCharType="separate"/>
      </w:r>
      <w:r>
        <w:rPr>
          <w:rFonts w:hint="eastAsia" w:ascii="宋体" w:hAnsi="宋体" w:cs="宋体"/>
          <w:szCs w:val="24"/>
        </w:rPr>
        <w:t>5.4. 系统对接要求</w:t>
      </w:r>
      <w:r>
        <w:tab/>
      </w:r>
      <w:r>
        <w:fldChar w:fldCharType="begin"/>
      </w:r>
      <w:r>
        <w:instrText xml:space="preserve"> PAGEREF _Toc10882 \h </w:instrText>
      </w:r>
      <w:r>
        <w:fldChar w:fldCharType="separate"/>
      </w:r>
      <w:r>
        <w:t>75</w:t>
      </w:r>
      <w:r>
        <w:fldChar w:fldCharType="end"/>
      </w:r>
      <w:r>
        <w:fldChar w:fldCharType="end"/>
      </w:r>
    </w:p>
    <w:p>
      <w:pPr>
        <w:pStyle w:val="31"/>
        <w:tabs>
          <w:tab w:val="right" w:leader="dot" w:pos="8306"/>
        </w:tabs>
      </w:pPr>
      <w:r>
        <w:fldChar w:fldCharType="begin"/>
      </w:r>
      <w:r>
        <w:instrText xml:space="preserve"> HYPERLINK \l "_Toc19129" </w:instrText>
      </w:r>
      <w:r>
        <w:fldChar w:fldCharType="separate"/>
      </w:r>
      <w:r>
        <w:rPr>
          <w:rFonts w:hint="eastAsia" w:ascii="宋体" w:hAnsi="宋体" w:cs="宋体"/>
          <w:kern w:val="44"/>
          <w:szCs w:val="24"/>
        </w:rPr>
        <w:t>六、 其他要求</w:t>
      </w:r>
      <w:r>
        <w:tab/>
      </w:r>
      <w:r>
        <w:fldChar w:fldCharType="begin"/>
      </w:r>
      <w:r>
        <w:instrText xml:space="preserve"> PAGEREF _Toc19129 \h </w:instrText>
      </w:r>
      <w:r>
        <w:fldChar w:fldCharType="separate"/>
      </w:r>
      <w:r>
        <w:t>75</w:t>
      </w:r>
      <w:r>
        <w:fldChar w:fldCharType="end"/>
      </w:r>
      <w:r>
        <w:fldChar w:fldCharType="end"/>
      </w:r>
    </w:p>
    <w:p>
      <w:pPr>
        <w:pStyle w:val="31"/>
        <w:tabs>
          <w:tab w:val="right" w:leader="dot" w:pos="8306"/>
        </w:tabs>
      </w:pPr>
      <w:r>
        <w:fldChar w:fldCharType="begin"/>
      </w:r>
      <w:r>
        <w:instrText xml:space="preserve"> HYPERLINK \l "_Toc5774" </w:instrText>
      </w:r>
      <w:r>
        <w:fldChar w:fldCharType="separate"/>
      </w:r>
      <w:r>
        <w:t>第</w:t>
      </w:r>
      <w:r>
        <w:rPr>
          <w:rFonts w:hint="eastAsia"/>
        </w:rPr>
        <w:t>三</w:t>
      </w:r>
      <w:r>
        <w:t>卷</w:t>
      </w:r>
      <w:r>
        <w:rPr>
          <w:rFonts w:hint="eastAsia"/>
        </w:rPr>
        <w:t xml:space="preserve"> 投标文件格式</w:t>
      </w:r>
      <w:r>
        <w:tab/>
      </w:r>
      <w:r>
        <w:fldChar w:fldCharType="begin"/>
      </w:r>
      <w:r>
        <w:instrText xml:space="preserve"> PAGEREF _Toc5774 \h </w:instrText>
      </w:r>
      <w:r>
        <w:fldChar w:fldCharType="separate"/>
      </w:r>
      <w:r>
        <w:t>77</w:t>
      </w:r>
      <w:r>
        <w:fldChar w:fldCharType="end"/>
      </w:r>
      <w:r>
        <w:fldChar w:fldCharType="end"/>
      </w:r>
    </w:p>
    <w:p>
      <w:pPr>
        <w:pStyle w:val="35"/>
        <w:tabs>
          <w:tab w:val="right" w:leader="dot" w:pos="8306"/>
        </w:tabs>
        <w:ind w:left="420"/>
      </w:pPr>
      <w:r>
        <w:fldChar w:fldCharType="begin"/>
      </w:r>
      <w:r>
        <w:instrText xml:space="preserve"> HYPERLINK \l "_Toc32274" </w:instrText>
      </w:r>
      <w:r>
        <w:fldChar w:fldCharType="separate"/>
      </w:r>
      <w:r>
        <w:rPr>
          <w:rFonts w:hint="eastAsia" w:ascii="Times New Roman" w:hAnsi="Times New Roman"/>
        </w:rPr>
        <w:t>目录</w:t>
      </w:r>
      <w:r>
        <w:tab/>
      </w:r>
      <w:r>
        <w:fldChar w:fldCharType="begin"/>
      </w:r>
      <w:r>
        <w:instrText xml:space="preserve"> PAGEREF _Toc32274 \h </w:instrText>
      </w:r>
      <w:r>
        <w:fldChar w:fldCharType="separate"/>
      </w:r>
      <w:r>
        <w:t>79</w:t>
      </w:r>
      <w:r>
        <w:fldChar w:fldCharType="end"/>
      </w:r>
      <w:r>
        <w:fldChar w:fldCharType="end"/>
      </w:r>
    </w:p>
    <w:p>
      <w:pPr>
        <w:pStyle w:val="35"/>
        <w:tabs>
          <w:tab w:val="right" w:leader="dot" w:pos="8306"/>
        </w:tabs>
        <w:ind w:left="420"/>
        <w:rPr>
          <w:rFonts w:ascii="宋体" w:hAnsi="宋体" w:cs="宋体"/>
        </w:rPr>
      </w:pPr>
      <w:r>
        <w:fldChar w:fldCharType="begin"/>
      </w:r>
      <w:r>
        <w:instrText xml:space="preserve"> HYPERLINK \l "_Toc13610" </w:instrText>
      </w:r>
      <w:r>
        <w:fldChar w:fldCharType="separate"/>
      </w:r>
      <w:r>
        <w:rPr>
          <w:rFonts w:hint="eastAsia" w:ascii="宋体" w:hAnsi="宋体" w:cs="宋体"/>
          <w:szCs w:val="28"/>
        </w:rPr>
        <w:t>初步评审自查表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_Toc13610 \h </w:instrText>
      </w:r>
      <w:r>
        <w:rPr>
          <w:rFonts w:hint="eastAsia" w:ascii="宋体" w:hAnsi="宋体" w:cs="宋体"/>
        </w:rPr>
        <w:fldChar w:fldCharType="separate"/>
      </w:r>
      <w:r>
        <w:rPr>
          <w:rFonts w:hint="eastAsia" w:ascii="宋体" w:hAnsi="宋体" w:cs="宋体"/>
        </w:rPr>
        <w:t>80</w:t>
      </w:r>
      <w:r>
        <w:rPr>
          <w:rFonts w:hint="eastAsia" w:ascii="宋体" w:hAnsi="宋体" w:cs="宋体"/>
        </w:rPr>
        <w:fldChar w:fldCharType="end"/>
      </w:r>
      <w:r>
        <w:rPr>
          <w:rFonts w:ascii="宋体" w:hAnsi="宋体" w:cs="宋体"/>
        </w:rPr>
        <w:fldChar w:fldCharType="end"/>
      </w:r>
    </w:p>
    <w:p>
      <w:pPr>
        <w:pStyle w:val="35"/>
        <w:tabs>
          <w:tab w:val="right" w:leader="dot" w:pos="8306"/>
        </w:tabs>
        <w:ind w:left="420"/>
      </w:pPr>
      <w:r>
        <w:fldChar w:fldCharType="begin"/>
      </w:r>
      <w:r>
        <w:instrText xml:space="preserve"> HYPERLINK \l "_Toc6887" </w:instrText>
      </w:r>
      <w:r>
        <w:fldChar w:fldCharType="separate"/>
      </w:r>
      <w:r>
        <w:rPr>
          <w:rFonts w:hint="eastAsia" w:ascii="宋体" w:hAnsi="宋体" w:cs="宋体"/>
          <w:szCs w:val="28"/>
        </w:rPr>
        <w:t>商务/技术评审项目自查表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_Toc6887 \h </w:instrText>
      </w:r>
      <w:r>
        <w:rPr>
          <w:rFonts w:hint="eastAsia" w:ascii="宋体" w:hAnsi="宋体" w:cs="宋体"/>
        </w:rPr>
        <w:fldChar w:fldCharType="separate"/>
      </w:r>
      <w:r>
        <w:rPr>
          <w:rFonts w:hint="eastAsia" w:ascii="宋体" w:hAnsi="宋体" w:cs="宋体"/>
        </w:rPr>
        <w:t>82</w:t>
      </w:r>
      <w:r>
        <w:rPr>
          <w:rFonts w:hint="eastAsia" w:ascii="宋体" w:hAnsi="宋体" w:cs="宋体"/>
        </w:rPr>
        <w:fldChar w:fldCharType="end"/>
      </w:r>
      <w:r>
        <w:rPr>
          <w:rFonts w:ascii="宋体" w:hAnsi="宋体" w:cs="宋体"/>
        </w:rPr>
        <w:fldChar w:fldCharType="end"/>
      </w:r>
    </w:p>
    <w:p>
      <w:pPr>
        <w:pStyle w:val="35"/>
        <w:tabs>
          <w:tab w:val="right" w:leader="dot" w:pos="8306"/>
        </w:tabs>
        <w:ind w:left="420"/>
      </w:pPr>
      <w:r>
        <w:fldChar w:fldCharType="begin"/>
      </w:r>
      <w:r>
        <w:instrText xml:space="preserve"> HYPERLINK \l "_Toc3286" </w:instrText>
      </w:r>
      <w:r>
        <w:fldChar w:fldCharType="separate"/>
      </w:r>
      <w:r>
        <w:rPr>
          <w:rFonts w:ascii="Times New Roman" w:hAnsi="Times New Roman"/>
        </w:rPr>
        <w:t>一、投标函及投标函附录</w:t>
      </w:r>
      <w:r>
        <w:tab/>
      </w:r>
      <w:r>
        <w:fldChar w:fldCharType="begin"/>
      </w:r>
      <w:r>
        <w:instrText xml:space="preserve"> PAGEREF _Toc3286 \h </w:instrText>
      </w:r>
      <w:r>
        <w:fldChar w:fldCharType="separate"/>
      </w:r>
      <w:r>
        <w:t>83</w:t>
      </w:r>
      <w:r>
        <w:fldChar w:fldCharType="end"/>
      </w:r>
      <w:r>
        <w:fldChar w:fldCharType="end"/>
      </w:r>
    </w:p>
    <w:p>
      <w:pPr>
        <w:pStyle w:val="35"/>
        <w:tabs>
          <w:tab w:val="right" w:leader="dot" w:pos="8306"/>
        </w:tabs>
        <w:ind w:left="420"/>
      </w:pPr>
      <w:r>
        <w:fldChar w:fldCharType="begin"/>
      </w:r>
      <w:r>
        <w:instrText xml:space="preserve"> HYPERLINK \l "_Toc16646" </w:instrText>
      </w:r>
      <w:r>
        <w:fldChar w:fldCharType="separate"/>
      </w:r>
      <w:r>
        <w:rPr>
          <w:rFonts w:ascii="Times New Roman" w:hAnsi="Times New Roman"/>
        </w:rPr>
        <w:t>二、法定代表人身份证明</w:t>
      </w:r>
      <w:r>
        <w:tab/>
      </w:r>
      <w:r>
        <w:fldChar w:fldCharType="begin"/>
      </w:r>
      <w:r>
        <w:instrText xml:space="preserve"> PAGEREF _Toc16646 \h </w:instrText>
      </w:r>
      <w:r>
        <w:fldChar w:fldCharType="separate"/>
      </w:r>
      <w:r>
        <w:t>86</w:t>
      </w:r>
      <w:r>
        <w:fldChar w:fldCharType="end"/>
      </w:r>
      <w:r>
        <w:fldChar w:fldCharType="end"/>
      </w:r>
    </w:p>
    <w:p>
      <w:pPr>
        <w:pStyle w:val="35"/>
        <w:tabs>
          <w:tab w:val="right" w:leader="dot" w:pos="8306"/>
        </w:tabs>
        <w:ind w:left="420"/>
      </w:pPr>
      <w:r>
        <w:fldChar w:fldCharType="begin"/>
      </w:r>
      <w:r>
        <w:instrText xml:space="preserve"> HYPERLINK \l "_Toc27693" </w:instrText>
      </w:r>
      <w:r>
        <w:fldChar w:fldCharType="separate"/>
      </w:r>
      <w:r>
        <w:rPr>
          <w:rFonts w:hint="eastAsia" w:ascii="Times New Roman" w:hAnsi="Times New Roman"/>
        </w:rPr>
        <w:t>二、授权委托书</w:t>
      </w:r>
      <w:r>
        <w:tab/>
      </w:r>
      <w:r>
        <w:fldChar w:fldCharType="begin"/>
      </w:r>
      <w:r>
        <w:instrText xml:space="preserve"> PAGEREF _Toc27693 \h </w:instrText>
      </w:r>
      <w:r>
        <w:fldChar w:fldCharType="separate"/>
      </w:r>
      <w:r>
        <w:t>87</w:t>
      </w:r>
      <w:r>
        <w:fldChar w:fldCharType="end"/>
      </w:r>
      <w:r>
        <w:fldChar w:fldCharType="end"/>
      </w:r>
    </w:p>
    <w:p>
      <w:pPr>
        <w:pStyle w:val="35"/>
        <w:tabs>
          <w:tab w:val="right" w:leader="dot" w:pos="8306"/>
        </w:tabs>
        <w:ind w:left="420"/>
      </w:pPr>
      <w:r>
        <w:fldChar w:fldCharType="begin"/>
      </w:r>
      <w:r>
        <w:instrText xml:space="preserve"> HYPERLINK \l "_Toc8836" </w:instrText>
      </w:r>
      <w:r>
        <w:fldChar w:fldCharType="separate"/>
      </w:r>
      <w:r>
        <w:rPr>
          <w:rFonts w:hint="eastAsia" w:ascii="Times New Roman" w:hAnsi="Times New Roman"/>
        </w:rPr>
        <w:t>三、投标保证金</w:t>
      </w:r>
      <w:r>
        <w:tab/>
      </w:r>
      <w:r>
        <w:fldChar w:fldCharType="begin"/>
      </w:r>
      <w:r>
        <w:instrText xml:space="preserve"> PAGEREF _Toc8836 \h </w:instrText>
      </w:r>
      <w:r>
        <w:fldChar w:fldCharType="separate"/>
      </w:r>
      <w:r>
        <w:t>88</w:t>
      </w:r>
      <w:r>
        <w:fldChar w:fldCharType="end"/>
      </w:r>
      <w:r>
        <w:fldChar w:fldCharType="end"/>
      </w:r>
    </w:p>
    <w:p>
      <w:pPr>
        <w:pStyle w:val="35"/>
        <w:tabs>
          <w:tab w:val="right" w:leader="dot" w:pos="8306"/>
        </w:tabs>
        <w:ind w:left="420"/>
      </w:pPr>
      <w:r>
        <w:fldChar w:fldCharType="begin"/>
      </w:r>
      <w:r>
        <w:instrText xml:space="preserve"> HYPERLINK \l "_Toc27468" </w:instrText>
      </w:r>
      <w:r>
        <w:fldChar w:fldCharType="separate"/>
      </w:r>
      <w:r>
        <w:rPr>
          <w:rFonts w:hint="eastAsia" w:ascii="Times New Roman" w:hAnsi="Times New Roman"/>
        </w:rPr>
        <w:t>四</w:t>
      </w:r>
      <w:r>
        <w:rPr>
          <w:rFonts w:ascii="Times New Roman" w:hAnsi="Times New Roman"/>
        </w:rPr>
        <w:t>、</w:t>
      </w:r>
      <w:r>
        <w:rPr>
          <w:rFonts w:hint="eastAsia" w:ascii="Times New Roman" w:hAnsi="Times New Roman"/>
        </w:rPr>
        <w:t>报价明细表</w:t>
      </w:r>
      <w:r>
        <w:tab/>
      </w:r>
      <w:r>
        <w:fldChar w:fldCharType="begin"/>
      </w:r>
      <w:r>
        <w:instrText xml:space="preserve"> PAGEREF _Toc27468 \h </w:instrText>
      </w:r>
      <w:r>
        <w:fldChar w:fldCharType="separate"/>
      </w:r>
      <w:r>
        <w:t>89</w:t>
      </w:r>
      <w:r>
        <w:fldChar w:fldCharType="end"/>
      </w:r>
      <w:r>
        <w:fldChar w:fldCharType="end"/>
      </w:r>
    </w:p>
    <w:p>
      <w:pPr>
        <w:pStyle w:val="35"/>
        <w:tabs>
          <w:tab w:val="right" w:leader="dot" w:pos="8306"/>
        </w:tabs>
        <w:ind w:left="420"/>
      </w:pPr>
      <w:r>
        <w:fldChar w:fldCharType="begin"/>
      </w:r>
      <w:r>
        <w:instrText xml:space="preserve"> HYPERLINK \l "_Toc21495" </w:instrText>
      </w:r>
      <w:r>
        <w:fldChar w:fldCharType="separate"/>
      </w:r>
      <w:r>
        <w:rPr>
          <w:rFonts w:hint="eastAsia" w:ascii="Times New Roman" w:hAnsi="Times New Roman"/>
        </w:rPr>
        <w:t>五、资格审查资料</w:t>
      </w:r>
      <w:r>
        <w:tab/>
      </w:r>
      <w:r>
        <w:fldChar w:fldCharType="begin"/>
      </w:r>
      <w:r>
        <w:instrText xml:space="preserve"> PAGEREF _Toc21495 \h </w:instrText>
      </w:r>
      <w:r>
        <w:fldChar w:fldCharType="separate"/>
      </w:r>
      <w:r>
        <w:t>90</w:t>
      </w:r>
      <w:r>
        <w:fldChar w:fldCharType="end"/>
      </w:r>
      <w:r>
        <w:fldChar w:fldCharType="end"/>
      </w:r>
    </w:p>
    <w:p>
      <w:pPr>
        <w:pStyle w:val="35"/>
        <w:tabs>
          <w:tab w:val="right" w:leader="dot" w:pos="8306"/>
        </w:tabs>
        <w:ind w:left="420"/>
      </w:pPr>
      <w:r>
        <w:fldChar w:fldCharType="begin"/>
      </w:r>
      <w:r>
        <w:instrText xml:space="preserve"> HYPERLINK \l "_Toc32156" </w:instrText>
      </w:r>
      <w:r>
        <w:fldChar w:fldCharType="separate"/>
      </w:r>
      <w:r>
        <w:rPr>
          <w:rFonts w:hint="eastAsia" w:ascii="Times New Roman" w:hAnsi="Times New Roman"/>
        </w:rPr>
        <w:t>六、商务和技术偏差表</w:t>
      </w:r>
      <w:r>
        <w:tab/>
      </w:r>
      <w:r>
        <w:fldChar w:fldCharType="begin"/>
      </w:r>
      <w:r>
        <w:instrText xml:space="preserve"> PAGEREF _Toc32156 \h </w:instrText>
      </w:r>
      <w:r>
        <w:fldChar w:fldCharType="separate"/>
      </w:r>
      <w:r>
        <w:t>94</w:t>
      </w:r>
      <w:r>
        <w:fldChar w:fldCharType="end"/>
      </w:r>
      <w:r>
        <w:fldChar w:fldCharType="end"/>
      </w:r>
    </w:p>
    <w:p>
      <w:pPr>
        <w:pStyle w:val="35"/>
        <w:tabs>
          <w:tab w:val="right" w:leader="dot" w:pos="8306"/>
        </w:tabs>
        <w:ind w:left="420"/>
      </w:pPr>
      <w:r>
        <w:fldChar w:fldCharType="begin"/>
      </w:r>
      <w:r>
        <w:instrText xml:space="preserve"> HYPERLINK \l "_Toc4012" </w:instrText>
      </w:r>
      <w:r>
        <w:fldChar w:fldCharType="separate"/>
      </w:r>
      <w:r>
        <w:rPr>
          <w:rFonts w:hint="eastAsia" w:ascii="Times New Roman" w:hAnsi="Times New Roman"/>
        </w:rPr>
        <w:t>七</w:t>
      </w:r>
      <w:r>
        <w:rPr>
          <w:rFonts w:ascii="Times New Roman" w:hAnsi="Times New Roman"/>
        </w:rPr>
        <w:t>、</w:t>
      </w:r>
      <w:r>
        <w:rPr>
          <w:rFonts w:hint="eastAsia" w:ascii="Times New Roman" w:hAnsi="Times New Roman"/>
        </w:rPr>
        <w:t>服务</w:t>
      </w:r>
      <w:r>
        <w:rPr>
          <w:rFonts w:ascii="Times New Roman" w:hAnsi="Times New Roman"/>
        </w:rPr>
        <w:t>方案</w:t>
      </w:r>
      <w:r>
        <w:tab/>
      </w:r>
      <w:r>
        <w:fldChar w:fldCharType="begin"/>
      </w:r>
      <w:r>
        <w:instrText xml:space="preserve"> PAGEREF _Toc4012 \h </w:instrText>
      </w:r>
      <w:r>
        <w:fldChar w:fldCharType="separate"/>
      </w:r>
      <w:r>
        <w:t>97</w:t>
      </w:r>
      <w:r>
        <w:fldChar w:fldCharType="end"/>
      </w:r>
      <w:r>
        <w:fldChar w:fldCharType="end"/>
      </w:r>
    </w:p>
    <w:p>
      <w:pPr>
        <w:pStyle w:val="35"/>
        <w:tabs>
          <w:tab w:val="right" w:leader="dot" w:pos="8306"/>
        </w:tabs>
        <w:ind w:left="420"/>
      </w:pPr>
      <w:r>
        <w:fldChar w:fldCharType="begin"/>
      </w:r>
      <w:r>
        <w:instrText xml:space="preserve"> HYPERLINK \l "_Toc16050" </w:instrText>
      </w:r>
      <w:r>
        <w:fldChar w:fldCharType="separate"/>
      </w:r>
      <w:r>
        <w:rPr>
          <w:rFonts w:hint="eastAsia" w:ascii="Times New Roman" w:hAnsi="Times New Roman"/>
        </w:rPr>
        <w:t>八</w:t>
      </w:r>
      <w:r>
        <w:rPr>
          <w:rFonts w:ascii="Times New Roman" w:hAnsi="Times New Roman"/>
        </w:rPr>
        <w:t>、其他资料</w:t>
      </w:r>
      <w:r>
        <w:tab/>
      </w:r>
      <w:r>
        <w:fldChar w:fldCharType="begin"/>
      </w:r>
      <w:r>
        <w:instrText xml:space="preserve"> PAGEREF _Toc16050 \h </w:instrText>
      </w:r>
      <w:r>
        <w:fldChar w:fldCharType="separate"/>
      </w:r>
      <w:r>
        <w:t>98</w:t>
      </w:r>
      <w:r>
        <w:fldChar w:fldCharType="end"/>
      </w:r>
      <w:r>
        <w:fldChar w:fldCharType="end"/>
      </w:r>
    </w:p>
    <w:p>
      <w:pPr>
        <w:rPr>
          <w:rFonts w:ascii="Times New Roman" w:hAnsi="Times New Roman"/>
        </w:rPr>
      </w:pPr>
      <w:r>
        <w:rPr>
          <w:rFonts w:ascii="Times New Roman" w:hAnsi="Times New Roman"/>
        </w:rPr>
        <w:fldChar w:fldCharType="end"/>
      </w:r>
    </w:p>
    <w:p>
      <w:pPr>
        <w:pStyle w:val="24"/>
      </w:pPr>
      <w:r>
        <w:br w:type="page"/>
      </w:r>
    </w:p>
    <w:p>
      <w:pPr>
        <w:pStyle w:val="8"/>
        <w:spacing w:before="0" w:after="0" w:line="440" w:lineRule="exact"/>
        <w:jc w:val="center"/>
      </w:pPr>
      <w:bookmarkStart w:id="5" w:name="_Toc16737"/>
      <w:r>
        <w:rPr>
          <w:rFonts w:hint="eastAsia"/>
        </w:rPr>
        <w:t>第一卷</w:t>
      </w:r>
      <w:bookmarkEnd w:id="5"/>
    </w:p>
    <w:p>
      <w:pPr>
        <w:pStyle w:val="8"/>
        <w:spacing w:line="440" w:lineRule="exact"/>
        <w:jc w:val="center"/>
      </w:pPr>
      <w:bookmarkStart w:id="6" w:name="_Toc10116"/>
      <w:r>
        <w:rPr>
          <w:rFonts w:hint="eastAsia"/>
        </w:rPr>
        <w:t>第一章招标公告（适用于公开招标）</w:t>
      </w:r>
      <w:bookmarkEnd w:id="6"/>
    </w:p>
    <w:p>
      <w:pPr>
        <w:spacing w:line="440" w:lineRule="exact"/>
        <w:jc w:val="center"/>
        <w:rPr>
          <w:rFonts w:ascii="Times New Roman" w:hAnsi="Times New Roman" w:eastAsia="黑体"/>
          <w:sz w:val="28"/>
        </w:rPr>
      </w:pPr>
      <w:bookmarkStart w:id="7" w:name="OLE_LINK4"/>
      <w:r>
        <w:rPr>
          <w:rFonts w:hint="eastAsia" w:ascii="Times New Roman" w:hAnsi="Times New Roman" w:eastAsia="黑体"/>
          <w:sz w:val="28"/>
          <w:szCs w:val="28"/>
        </w:rPr>
        <w:t>潮州港亚太通用码头智慧环保改造工程生产业务管理系统</w:t>
      </w:r>
      <w:bookmarkEnd w:id="7"/>
      <w:r>
        <w:rPr>
          <w:rFonts w:hint="eastAsia" w:ascii="Times New Roman" w:hAnsi="Times New Roman" w:eastAsia="黑体"/>
          <w:sz w:val="28"/>
          <w:szCs w:val="28"/>
        </w:rPr>
        <w:t>建设项目</w:t>
      </w:r>
      <w:r>
        <w:rPr>
          <w:rFonts w:ascii="Times New Roman" w:hAnsi="Times New Roman" w:eastAsia="黑体"/>
          <w:sz w:val="28"/>
        </w:rPr>
        <w:t>招标公告</w:t>
      </w:r>
    </w:p>
    <w:p>
      <w:pPr>
        <w:spacing w:line="440" w:lineRule="exact"/>
        <w:jc w:val="center"/>
        <w:rPr>
          <w:rFonts w:ascii="Times New Roman" w:hAnsi="Times New Roman" w:eastAsia="黑体"/>
          <w:sz w:val="20"/>
        </w:rPr>
      </w:pPr>
      <w:r>
        <w:rPr>
          <w:rFonts w:hint="eastAsia" w:ascii="Times New Roman" w:hAnsi="Times New Roman" w:eastAsia="黑体"/>
          <w:sz w:val="20"/>
        </w:rPr>
        <w:t>招标编号：</w:t>
      </w:r>
      <w:r>
        <w:rPr>
          <w:rFonts w:ascii="Times New Roman" w:hAnsi="Times New Roman" w:eastAsia="黑体"/>
          <w:sz w:val="20"/>
        </w:rPr>
        <w:t>ENG2025-IB/08/011</w:t>
      </w:r>
    </w:p>
    <w:p>
      <w:pPr>
        <w:pStyle w:val="9"/>
        <w:spacing w:line="440" w:lineRule="exact"/>
        <w:rPr>
          <w:rFonts w:ascii="Times New Roman" w:hAnsi="Times New Roman"/>
        </w:rPr>
      </w:pPr>
      <w:bookmarkStart w:id="8" w:name="_Toc24708"/>
      <w:r>
        <w:rPr>
          <w:rFonts w:ascii="Times New Roman" w:hAnsi="Times New Roman"/>
        </w:rPr>
        <w:t xml:space="preserve">1. </w:t>
      </w:r>
      <w:r>
        <w:rPr>
          <w:rFonts w:hint="eastAsia" w:ascii="Times New Roman" w:hAnsi="Times New Roman"/>
        </w:rPr>
        <w:t>招标条件</w:t>
      </w:r>
      <w:bookmarkEnd w:id="8"/>
    </w:p>
    <w:p>
      <w:pPr>
        <w:spacing w:line="440" w:lineRule="exact"/>
        <w:ind w:firstLine="420" w:firstLineChars="200"/>
        <w:rPr>
          <w:rFonts w:ascii="Times New Roman" w:hAnsi="Times New Roman"/>
        </w:rPr>
      </w:pPr>
      <w:r>
        <w:rPr>
          <w:rFonts w:hint="eastAsia" w:ascii="Times New Roman" w:hAnsi="Times New Roman"/>
        </w:rPr>
        <w:t>本招标项目潮州港亚太通用码头智慧环保改造工程生产业务管理系统建设项目（项目名称）已由</w:t>
      </w:r>
      <w:r>
        <w:rPr>
          <w:rFonts w:hint="eastAsia" w:ascii="Times New Roman" w:hAnsi="Times New Roman"/>
          <w:u w:val="single"/>
        </w:rPr>
        <w:t>饶平县发展和改革局</w:t>
      </w:r>
      <w:r>
        <w:rPr>
          <w:rFonts w:hint="eastAsia" w:ascii="Times New Roman" w:hAnsi="Times New Roman"/>
        </w:rPr>
        <w:t>备案（项目审批、核准或备案机关名称）以</w:t>
      </w:r>
      <w:r>
        <w:rPr>
          <w:rFonts w:hint="eastAsia" w:ascii="Times New Roman" w:hAnsi="Times New Roman"/>
          <w:u w:val="single"/>
        </w:rPr>
        <w:t>广东省企业投资项目备案证，项目代码：</w:t>
      </w:r>
      <w:r>
        <w:rPr>
          <w:rFonts w:hint="eastAsia" w:ascii="宋体" w:hAnsi="宋体"/>
          <w:u w:val="single"/>
        </w:rPr>
        <w:t>2501-445122-07-02-993255</w:t>
      </w:r>
      <w:r>
        <w:rPr>
          <w:rFonts w:hint="eastAsia" w:ascii="Times New Roman" w:hAnsi="Times New Roman"/>
        </w:rPr>
        <w:t>（批文名称及编号）批准建设，项目业主为</w:t>
      </w:r>
      <w:r>
        <w:rPr>
          <w:rFonts w:hint="eastAsia" w:ascii="Times New Roman" w:hAnsi="Times New Roman"/>
          <w:u w:val="single"/>
        </w:rPr>
        <w:t>潮州市亚太港口有限公司</w:t>
      </w:r>
      <w:r>
        <w:rPr>
          <w:rFonts w:hint="eastAsia" w:ascii="Times New Roman" w:hAnsi="Times New Roman"/>
        </w:rPr>
        <w:t>，建设资金来自</w:t>
      </w:r>
      <w:r>
        <w:rPr>
          <w:rFonts w:hint="eastAsia" w:ascii="Times New Roman" w:hAnsi="Times New Roman"/>
          <w:u w:val="single"/>
        </w:rPr>
        <w:t>企业自筹</w:t>
      </w:r>
      <w:r>
        <w:rPr>
          <w:rFonts w:hint="eastAsia" w:ascii="Times New Roman" w:hAnsi="Times New Roman"/>
        </w:rPr>
        <w:t>（资金来源），出资比例为</w:t>
      </w:r>
      <w:r>
        <w:rPr>
          <w:rFonts w:ascii="Times New Roman" w:hAnsi="Times New Roman"/>
          <w:u w:val="single"/>
        </w:rPr>
        <w:t>100%</w:t>
      </w:r>
      <w:r>
        <w:rPr>
          <w:rFonts w:hint="eastAsia" w:ascii="Times New Roman" w:hAnsi="Times New Roman"/>
        </w:rPr>
        <w:t>，招标人为</w:t>
      </w:r>
      <w:r>
        <w:rPr>
          <w:rFonts w:hint="eastAsia" w:ascii="Times New Roman" w:hAnsi="Times New Roman"/>
          <w:u w:val="single"/>
        </w:rPr>
        <w:t>潮州市亚太港口有限公司</w:t>
      </w:r>
      <w:r>
        <w:rPr>
          <w:rFonts w:hint="eastAsia" w:ascii="Times New Roman" w:hAnsi="Times New Roman"/>
        </w:rPr>
        <w:t>。项目已具备招标条件，现对该潮州港亚太通用码头智慧环保改造工程生产业务管理系统建设项目进行公开招标。</w:t>
      </w:r>
    </w:p>
    <w:p>
      <w:pPr>
        <w:pStyle w:val="9"/>
        <w:spacing w:line="440" w:lineRule="exact"/>
        <w:rPr>
          <w:rFonts w:ascii="Times New Roman" w:hAnsi="Times New Roman"/>
        </w:rPr>
      </w:pPr>
      <w:bookmarkStart w:id="9" w:name="_Toc29047"/>
      <w:r>
        <w:rPr>
          <w:rFonts w:ascii="Times New Roman" w:hAnsi="Times New Roman"/>
        </w:rPr>
        <w:t>2. 项目概况与</w:t>
      </w:r>
      <w:r>
        <w:rPr>
          <w:rFonts w:hint="eastAsia" w:ascii="Times New Roman" w:hAnsi="Times New Roman"/>
        </w:rPr>
        <w:t>招标范围</w:t>
      </w:r>
      <w:bookmarkEnd w:id="9"/>
    </w:p>
    <w:p>
      <w:pPr>
        <w:spacing w:line="440" w:lineRule="exact"/>
        <w:ind w:firstLine="420" w:firstLineChars="200"/>
        <w:rPr>
          <w:rFonts w:ascii="Times New Roman" w:hAnsi="Times New Roman"/>
        </w:rPr>
      </w:pPr>
      <w:r>
        <w:rPr>
          <w:rFonts w:ascii="Times New Roman" w:hAnsi="Times New Roman"/>
        </w:rPr>
        <w:t xml:space="preserve">2.1 </w:t>
      </w:r>
      <w:r>
        <w:rPr>
          <w:rFonts w:hint="eastAsia" w:ascii="Times New Roman" w:hAnsi="Times New Roman"/>
        </w:rPr>
        <w:t>招标项目名称：潮州港亚太通用码头智慧环保改造工程生产业务管理系统建设项目。</w:t>
      </w:r>
    </w:p>
    <w:p>
      <w:pPr>
        <w:spacing w:line="440" w:lineRule="exact"/>
        <w:ind w:firstLine="420" w:firstLineChars="200"/>
        <w:rPr>
          <w:rFonts w:ascii="Times New Roman" w:hAnsi="Times New Roman"/>
        </w:rPr>
      </w:pPr>
      <w:r>
        <w:rPr>
          <w:rFonts w:ascii="Times New Roman" w:hAnsi="Times New Roman"/>
        </w:rPr>
        <w:t xml:space="preserve">2.2 </w:t>
      </w:r>
      <w:r>
        <w:rPr>
          <w:rFonts w:hint="eastAsia" w:ascii="Times New Roman" w:hAnsi="Times New Roman"/>
        </w:rPr>
        <w:t>项目建设地点：潮州港亚太通用码头。</w:t>
      </w:r>
    </w:p>
    <w:p>
      <w:pPr>
        <w:spacing w:line="440" w:lineRule="exact"/>
        <w:ind w:firstLine="420" w:firstLineChars="200"/>
        <w:rPr>
          <w:rFonts w:ascii="Times New Roman" w:hAnsi="Times New Roman"/>
        </w:rPr>
      </w:pPr>
      <w:r>
        <w:rPr>
          <w:rFonts w:ascii="Times New Roman" w:hAnsi="Times New Roman"/>
        </w:rPr>
        <w:t xml:space="preserve">2.3 </w:t>
      </w:r>
      <w:r>
        <w:rPr>
          <w:rFonts w:hint="eastAsia" w:ascii="Times New Roman" w:hAnsi="Times New Roman"/>
        </w:rPr>
        <w:t>项目建设规模：本项目生产业务管理系统的建设内容主要聚焦于开发一套散杂货生产业务管理系统，以全面满足潮州亚太码头的生产作业需求，并实现对现有作业流程的深度优化与管控升级。系统将围绕生产作业的各个环节进行功能模块的设计与构建，主要包含船舶作业管理、转栈作业管理、商务管理等模块。整个系统的建设将充分运用现代信息技术，实现港口生产作业的自动化、智能化与信息化，为潮州亚太港口打造一个高效、稳定、易于维护且具备良好扩展性的生产业务管理平台，从而推动港口运营管理水平的全面提升，更好地适应港口业务的持续发展与市场竞争的需求。</w:t>
      </w:r>
    </w:p>
    <w:p>
      <w:pPr>
        <w:spacing w:line="440" w:lineRule="exact"/>
        <w:ind w:firstLine="420" w:firstLineChars="200"/>
        <w:rPr>
          <w:rFonts w:ascii="Times New Roman" w:hAnsi="Times New Roman"/>
        </w:rPr>
      </w:pPr>
      <w:r>
        <w:rPr>
          <w:rFonts w:ascii="Times New Roman" w:hAnsi="Times New Roman"/>
        </w:rPr>
        <w:t xml:space="preserve">2.4 </w:t>
      </w:r>
      <w:r>
        <w:rPr>
          <w:rFonts w:hint="eastAsia" w:ascii="Times New Roman" w:hAnsi="Times New Roman"/>
        </w:rPr>
        <w:t>招标范围：潮州港亚太通用码头智慧环保改造工程生产业务管理系统建设。</w:t>
      </w:r>
    </w:p>
    <w:p>
      <w:pPr>
        <w:spacing w:line="440" w:lineRule="exact"/>
        <w:ind w:firstLine="420" w:firstLineChars="200"/>
        <w:rPr>
          <w:rFonts w:ascii="Times New Roman" w:hAnsi="Times New Roman"/>
        </w:rPr>
      </w:pPr>
      <w:r>
        <w:rPr>
          <w:rFonts w:ascii="Times New Roman" w:hAnsi="Times New Roman"/>
        </w:rPr>
        <w:t xml:space="preserve">2.5 </w:t>
      </w:r>
      <w:bookmarkStart w:id="10" w:name="_Hlk35894900"/>
      <w:r>
        <w:rPr>
          <w:rFonts w:hint="eastAsia" w:ascii="Times New Roman" w:hAnsi="Times New Roman"/>
        </w:rPr>
        <w:t>服务期限</w:t>
      </w:r>
      <w:bookmarkEnd w:id="10"/>
      <w:r>
        <w:rPr>
          <w:rFonts w:hint="eastAsia" w:ascii="Times New Roman" w:hAnsi="Times New Roman"/>
        </w:rPr>
        <w:t>：</w:t>
      </w:r>
      <w:r>
        <w:rPr>
          <w:rFonts w:hint="eastAsia" w:ascii="Times New Roman" w:hAnsi="Times New Roman"/>
          <w:color w:val="auto"/>
        </w:rPr>
        <w:t>项目总工期为</w:t>
      </w:r>
      <w:r>
        <w:rPr>
          <w:rFonts w:ascii="Times New Roman" w:hAnsi="Times New Roman"/>
          <w:color w:val="auto"/>
        </w:rPr>
        <w:t>12</w:t>
      </w:r>
      <w:r>
        <w:rPr>
          <w:rFonts w:hint="eastAsia" w:ascii="Times New Roman" w:hAnsi="Times New Roman"/>
          <w:color w:val="auto"/>
        </w:rPr>
        <w:t>个月。合同签订后</w:t>
      </w:r>
      <w:r>
        <w:rPr>
          <w:rFonts w:ascii="Times New Roman" w:hAnsi="Times New Roman"/>
          <w:color w:val="auto"/>
        </w:rPr>
        <w:t>10</w:t>
      </w:r>
      <w:r>
        <w:rPr>
          <w:rFonts w:hint="eastAsia" w:ascii="Times New Roman" w:hAnsi="Times New Roman"/>
          <w:color w:val="auto"/>
        </w:rPr>
        <w:t>个月内完成项目内容建设，并具备上线运行条件；</w:t>
      </w:r>
      <w:r>
        <w:rPr>
          <w:rFonts w:ascii="Times New Roman" w:hAnsi="Times New Roman"/>
          <w:color w:val="auto"/>
        </w:rPr>
        <w:t>2</w:t>
      </w:r>
      <w:r>
        <w:rPr>
          <w:rFonts w:hint="eastAsia" w:ascii="Times New Roman" w:hAnsi="Times New Roman"/>
          <w:color w:val="auto"/>
        </w:rPr>
        <w:t>个月内完成试运行，验收合格后交付甲方使用。</w:t>
      </w:r>
    </w:p>
    <w:p>
      <w:pPr>
        <w:spacing w:line="440" w:lineRule="exact"/>
        <w:ind w:firstLine="420" w:firstLineChars="200"/>
        <w:rPr>
          <w:rFonts w:ascii="Times New Roman" w:hAnsi="Times New Roman"/>
          <w:u w:val="single"/>
        </w:rPr>
      </w:pPr>
      <w:r>
        <w:rPr>
          <w:rFonts w:hint="eastAsia" w:ascii="Times New Roman" w:hAnsi="Times New Roman"/>
        </w:rPr>
        <w:t>2.</w:t>
      </w:r>
      <w:r>
        <w:rPr>
          <w:rFonts w:ascii="Times New Roman" w:hAnsi="Times New Roman"/>
        </w:rPr>
        <w:t xml:space="preserve">6 </w:t>
      </w:r>
      <w:r>
        <w:rPr>
          <w:rFonts w:hint="eastAsia" w:ascii="Times New Roman" w:hAnsi="Times New Roman"/>
        </w:rPr>
        <w:t>最高投标限价：最高投标限价：</w:t>
      </w:r>
      <w:r>
        <w:rPr>
          <w:rFonts w:ascii="Times New Roman" w:hAnsi="Times New Roman"/>
          <w:u w:val="single"/>
        </w:rPr>
        <w:t>360</w:t>
      </w:r>
      <w:r>
        <w:rPr>
          <w:rFonts w:hint="eastAsia" w:ascii="Times New Roman" w:hAnsi="Times New Roman"/>
        </w:rPr>
        <w:t>万元。</w:t>
      </w:r>
    </w:p>
    <w:p>
      <w:pPr>
        <w:pStyle w:val="9"/>
        <w:spacing w:line="440" w:lineRule="exact"/>
        <w:rPr>
          <w:rFonts w:ascii="Times New Roman" w:hAnsi="Times New Roman"/>
        </w:rPr>
      </w:pPr>
      <w:bookmarkStart w:id="11" w:name="_Toc20534"/>
      <w:r>
        <w:rPr>
          <w:rFonts w:hint="eastAsia" w:ascii="Times New Roman" w:hAnsi="Times New Roman"/>
        </w:rPr>
        <w:t>3. 投标人资格要求</w:t>
      </w:r>
      <w:bookmarkEnd w:id="11"/>
    </w:p>
    <w:p>
      <w:pPr>
        <w:spacing w:line="440" w:lineRule="exact"/>
        <w:ind w:firstLine="420" w:firstLineChars="200"/>
        <w:rPr>
          <w:rFonts w:ascii="Times New Roman" w:hAnsi="Times New Roman"/>
          <w:szCs w:val="21"/>
        </w:rPr>
      </w:pPr>
      <w:r>
        <w:rPr>
          <w:rFonts w:hint="eastAsia" w:ascii="Times New Roman" w:hAnsi="Times New Roman"/>
          <w:szCs w:val="21"/>
        </w:rPr>
        <w:t>3.1 投标人应为中华人民共和国境内依法注册的独立法人，具备有效的营业执照。</w:t>
      </w:r>
    </w:p>
    <w:p>
      <w:pPr>
        <w:spacing w:line="440" w:lineRule="exact"/>
        <w:ind w:firstLine="420" w:firstLineChars="200"/>
        <w:rPr>
          <w:rFonts w:ascii="Times New Roman" w:hAnsi="Times New Roman"/>
          <w:szCs w:val="21"/>
        </w:rPr>
      </w:pPr>
      <w:r>
        <w:rPr>
          <w:rFonts w:hint="eastAsia" w:ascii="Times New Roman" w:hAnsi="Times New Roman"/>
          <w:szCs w:val="21"/>
        </w:rPr>
        <w:t>3.2投标人须具备完成本项目生产业务管理系统建设的能力（提供承诺函）。</w:t>
      </w:r>
    </w:p>
    <w:p>
      <w:pPr>
        <w:spacing w:line="440" w:lineRule="exact"/>
        <w:ind w:firstLine="420" w:firstLineChars="200"/>
        <w:rPr>
          <w:rFonts w:ascii="Times New Roman" w:hAnsi="Times New Roman"/>
          <w:szCs w:val="21"/>
        </w:rPr>
      </w:pPr>
      <w:r>
        <w:rPr>
          <w:rFonts w:hint="eastAsia" w:ascii="Times New Roman" w:hAnsi="Times New Roman"/>
          <w:szCs w:val="21"/>
        </w:rPr>
        <w:t>3.3信誉要求：</w:t>
      </w:r>
    </w:p>
    <w:p>
      <w:pPr>
        <w:spacing w:line="440" w:lineRule="exact"/>
        <w:ind w:firstLine="420" w:firstLineChars="200"/>
        <w:rPr>
          <w:rFonts w:ascii="Times New Roman" w:hAnsi="Times New Roman"/>
          <w:szCs w:val="21"/>
        </w:rPr>
      </w:pPr>
      <w:r>
        <w:rPr>
          <w:rFonts w:hint="eastAsia" w:ascii="Times New Roman" w:hAnsi="Times New Roman"/>
          <w:szCs w:val="21"/>
        </w:rPr>
        <w:t>（1）未在“信用中国”网站（http://www.creditchina.gov.cn/)中被列入失信被执行人名单，未在国家企业信用信息公示系统（http://www.gsxt.gov.cn）中被列入严重违法失信企业名单（提供查询截图）；</w:t>
      </w:r>
    </w:p>
    <w:p>
      <w:pPr>
        <w:spacing w:line="440" w:lineRule="exact"/>
        <w:ind w:firstLine="420" w:firstLineChars="200"/>
        <w:rPr>
          <w:rFonts w:ascii="Times New Roman" w:hAnsi="Times New Roman"/>
          <w:szCs w:val="21"/>
        </w:rPr>
      </w:pPr>
      <w:r>
        <w:rPr>
          <w:rFonts w:hint="eastAsia" w:ascii="Times New Roman" w:hAnsi="Times New Roman"/>
          <w:szCs w:val="21"/>
        </w:rPr>
        <w:t>（2）投标人没有处于财产被接管、冻结、破产的状态（提供承诺函）；</w:t>
      </w:r>
    </w:p>
    <w:p>
      <w:pPr>
        <w:spacing w:line="440" w:lineRule="exact"/>
        <w:ind w:firstLine="420" w:firstLineChars="200"/>
        <w:rPr>
          <w:rFonts w:ascii="Times New Roman" w:hAnsi="Times New Roman"/>
          <w:szCs w:val="21"/>
        </w:rPr>
      </w:pPr>
      <w:r>
        <w:rPr>
          <w:rFonts w:hint="eastAsia" w:ascii="Times New Roman" w:hAnsi="Times New Roman"/>
          <w:szCs w:val="21"/>
        </w:rPr>
        <w:t>（3）投标人没有处于被责令停业（提供承诺函）；</w:t>
      </w:r>
    </w:p>
    <w:p>
      <w:pPr>
        <w:spacing w:line="440" w:lineRule="exact"/>
        <w:ind w:firstLine="420" w:firstLineChars="200"/>
        <w:rPr>
          <w:rFonts w:ascii="Times New Roman" w:hAnsi="Times New Roman"/>
          <w:szCs w:val="21"/>
        </w:rPr>
      </w:pPr>
      <w:r>
        <w:rPr>
          <w:rFonts w:hint="eastAsia" w:ascii="Times New Roman" w:hAnsi="Times New Roman"/>
          <w:szCs w:val="21"/>
        </w:rPr>
        <w:t>（4）投标人没有处于被建设行政主管部门暂停或取消投标资格的处罚期内（提供承诺函）；</w:t>
      </w:r>
    </w:p>
    <w:p>
      <w:pPr>
        <w:spacing w:line="440" w:lineRule="exact"/>
        <w:ind w:firstLine="420" w:firstLineChars="200"/>
        <w:rPr>
          <w:rFonts w:ascii="Times New Roman" w:hAnsi="Times New Roman"/>
          <w:szCs w:val="21"/>
        </w:rPr>
      </w:pPr>
      <w:r>
        <w:rPr>
          <w:rFonts w:hint="eastAsia" w:ascii="Times New Roman" w:hAnsi="Times New Roman"/>
          <w:szCs w:val="21"/>
        </w:rPr>
        <w:t>（5）单位负责人为同一人或者存在控股、管理关系的不同投标人，不得同时参加本次招标项目投标（提供承诺函）。</w:t>
      </w:r>
    </w:p>
    <w:p>
      <w:pPr>
        <w:spacing w:line="440" w:lineRule="exact"/>
        <w:ind w:firstLine="420" w:firstLineChars="200"/>
        <w:rPr>
          <w:rFonts w:ascii="Times New Roman" w:hAnsi="Times New Roman"/>
          <w:szCs w:val="21"/>
        </w:rPr>
      </w:pPr>
      <w:r>
        <w:rPr>
          <w:rFonts w:hint="eastAsia" w:ascii="Times New Roman" w:hAnsi="Times New Roman"/>
          <w:szCs w:val="21"/>
        </w:rPr>
        <w:t>3.</w:t>
      </w:r>
      <w:r>
        <w:rPr>
          <w:rFonts w:hint="eastAsia" w:ascii="Times New Roman" w:hAnsi="Times New Roman"/>
          <w:szCs w:val="21"/>
          <w:lang w:val="en-US" w:eastAsia="zh-CN"/>
        </w:rPr>
        <w:t>4</w:t>
      </w:r>
      <w:bookmarkStart w:id="687" w:name="_GoBack"/>
      <w:bookmarkEnd w:id="687"/>
      <w:r>
        <w:rPr>
          <w:rFonts w:hint="eastAsia" w:ascii="Times New Roman" w:hAnsi="Times New Roman"/>
          <w:szCs w:val="21"/>
        </w:rPr>
        <w:t>本次招标不接受联合体投标。</w:t>
      </w:r>
    </w:p>
    <w:p>
      <w:pPr>
        <w:pStyle w:val="9"/>
        <w:spacing w:line="440" w:lineRule="exact"/>
        <w:rPr>
          <w:rFonts w:ascii="Times New Roman" w:hAnsi="Times New Roman"/>
        </w:rPr>
      </w:pPr>
      <w:bookmarkStart w:id="12" w:name="_Toc28386"/>
      <w:r>
        <w:rPr>
          <w:rFonts w:hint="eastAsia" w:ascii="Times New Roman" w:hAnsi="Times New Roman"/>
        </w:rPr>
        <w:t>4</w:t>
      </w:r>
      <w:r>
        <w:rPr>
          <w:rFonts w:ascii="Times New Roman" w:hAnsi="Times New Roman"/>
        </w:rPr>
        <w:t xml:space="preserve">. </w:t>
      </w:r>
      <w:r>
        <w:rPr>
          <w:rFonts w:hint="eastAsia" w:ascii="Times New Roman" w:hAnsi="Times New Roman"/>
        </w:rPr>
        <w:t>招标文件的获取</w:t>
      </w:r>
      <w:bookmarkEnd w:id="12"/>
    </w:p>
    <w:p>
      <w:pPr>
        <w:spacing w:line="440" w:lineRule="exact"/>
        <w:ind w:firstLine="420" w:firstLineChars="200"/>
        <w:rPr>
          <w:rFonts w:ascii="Times New Roman" w:hAnsi="Times New Roman"/>
        </w:rPr>
      </w:pPr>
      <w:bookmarkStart w:id="13" w:name="OLE_LINK3"/>
      <w:r>
        <w:rPr>
          <w:rFonts w:hint="eastAsia" w:ascii="Times New Roman" w:hAnsi="Times New Roman"/>
        </w:rPr>
        <w:t>4.1 凡有意参加投标者，请于2025年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分至2025年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北京时间，下同），登陆广州公共资源交易中心网站（http://www.gzggzy.cn）交易平台（即建设工程新交易系统，下同）选择对应招标项目进行投标登记，投标人提交投标登记信息后，可在广州公共资源交易中心交易平台自行下载招标文件等相关资料。</w:t>
      </w:r>
    </w:p>
    <w:bookmarkEnd w:id="13"/>
    <w:p>
      <w:pPr>
        <w:pStyle w:val="9"/>
        <w:spacing w:line="440" w:lineRule="exact"/>
        <w:rPr>
          <w:rFonts w:ascii="Times New Roman" w:hAnsi="Times New Roman"/>
        </w:rPr>
      </w:pPr>
      <w:bookmarkStart w:id="14" w:name="_Toc21270"/>
      <w:r>
        <w:rPr>
          <w:rFonts w:hint="eastAsia" w:ascii="Times New Roman" w:hAnsi="Times New Roman"/>
        </w:rPr>
        <w:t>5</w:t>
      </w:r>
      <w:r>
        <w:rPr>
          <w:rFonts w:ascii="Times New Roman" w:hAnsi="Times New Roman"/>
        </w:rPr>
        <w:t xml:space="preserve">. </w:t>
      </w:r>
      <w:r>
        <w:rPr>
          <w:rFonts w:hint="eastAsia" w:ascii="Times New Roman" w:hAnsi="Times New Roman"/>
        </w:rPr>
        <w:t>投标文件的递交</w:t>
      </w:r>
      <w:bookmarkEnd w:id="14"/>
    </w:p>
    <w:p>
      <w:pPr>
        <w:spacing w:line="440" w:lineRule="exact"/>
        <w:ind w:firstLine="420" w:firstLineChars="200"/>
        <w:jc w:val="left"/>
        <w:rPr>
          <w:rFonts w:ascii="Times New Roman" w:hAnsi="Times New Roman"/>
        </w:rPr>
      </w:pPr>
      <w:r>
        <w:rPr>
          <w:rFonts w:hint="eastAsia" w:ascii="Times New Roman" w:hAnsi="Times New Roman"/>
        </w:rPr>
        <w:t>5.1投标文件递交的截止时间（投标截止时间，下同）为2025年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分，投标人应在截止时间前通过广州公共资源交易中心数字交易平台（网址：http://www.gzggzy.cn/）递交电子投标文件。</w:t>
      </w:r>
    </w:p>
    <w:p>
      <w:pPr>
        <w:spacing w:line="440" w:lineRule="exact"/>
        <w:ind w:firstLine="420" w:firstLineChars="200"/>
        <w:jc w:val="left"/>
        <w:rPr>
          <w:rFonts w:ascii="Times New Roman" w:hAnsi="Times New Roman"/>
        </w:rPr>
      </w:pPr>
      <w:r>
        <w:rPr>
          <w:rFonts w:hint="eastAsia" w:ascii="Times New Roman" w:hAnsi="Times New Roman"/>
        </w:rPr>
        <w:t>投标人应按照广州交易集团有限公司（广州公共资源交易中心）【建设工程】新数字交易平台操作指引进行操作。投标人完成电子投标文件上传后，广州公共资源交易中心数字交易平台即时向投标人发出递交回执通知。递交时间以递交回执通知载明的传输时间为准。</w:t>
      </w:r>
    </w:p>
    <w:p>
      <w:pPr>
        <w:spacing w:line="440" w:lineRule="exact"/>
        <w:ind w:firstLine="420" w:firstLineChars="200"/>
        <w:jc w:val="left"/>
        <w:rPr>
          <w:rFonts w:ascii="Times New Roman" w:hAnsi="Times New Roman"/>
        </w:rPr>
      </w:pPr>
      <w:r>
        <w:rPr>
          <w:rFonts w:hint="eastAsia" w:ascii="Times New Roman" w:hAnsi="Times New Roman"/>
        </w:rPr>
        <w:t>5.2递交投标文件U盘（备用）的规定时间为：2025年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分至2025年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地点：广州公共资源交易中心开标室（具体以交易中心公告的开标室为准）。（投标文件U盘（备用）需按规定封装，投标人将数据刻录到U盘之后，请于投标前自行检查文件是否可以读取）。投标文件解密时间为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分至2025年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分，投标人应在截止时间前按照广州公共资源交易中心全流程电子化通用系统的相关指南进行操作。</w:t>
      </w:r>
    </w:p>
    <w:p>
      <w:pPr>
        <w:spacing w:line="440" w:lineRule="exact"/>
        <w:ind w:firstLine="420" w:firstLineChars="200"/>
        <w:jc w:val="left"/>
        <w:rPr>
          <w:rFonts w:ascii="Times New Roman" w:hAnsi="Times New Roman"/>
        </w:rPr>
      </w:pPr>
      <w:r>
        <w:rPr>
          <w:rFonts w:hint="eastAsia" w:ascii="Times New Roman" w:hAnsi="Times New Roman"/>
        </w:rPr>
        <w:t>本招标项目采用电子开标，在新交易平台上公开进行。开标开始时间：2025年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分（与投标截止时间为同一时间）。邀请所有投标人准时在线参加开标。投标人参与电子开标的具体操作详见交易平台发布的相关操作指引。</w:t>
      </w:r>
    </w:p>
    <w:p>
      <w:pPr>
        <w:spacing w:line="440" w:lineRule="exact"/>
        <w:ind w:firstLine="420" w:firstLineChars="200"/>
        <w:jc w:val="left"/>
        <w:rPr>
          <w:rFonts w:ascii="Times New Roman" w:hAnsi="Times New Roman"/>
        </w:rPr>
      </w:pPr>
      <w:r>
        <w:rPr>
          <w:rFonts w:hint="eastAsia" w:ascii="Times New Roman" w:hAnsi="Times New Roman"/>
        </w:rPr>
        <w:t>投标截止时间与开标时间是否有变化，请密切留意招标答疑中的相关信息。截标后，开标时间因故推迟的，相关评标信息仍以原定的投标截止时间的信息为准。</w:t>
      </w:r>
    </w:p>
    <w:p>
      <w:pPr>
        <w:spacing w:line="440" w:lineRule="exact"/>
        <w:ind w:firstLine="420" w:firstLineChars="200"/>
        <w:jc w:val="left"/>
        <w:rPr>
          <w:rFonts w:ascii="Times New Roman" w:hAnsi="Times New Roman"/>
          <w:b/>
          <w:bCs/>
        </w:rPr>
      </w:pPr>
      <w:r>
        <w:rPr>
          <w:rFonts w:hint="eastAsia" w:ascii="Times New Roman" w:hAnsi="Times New Roman"/>
        </w:rPr>
        <w:t>5.3逾期送达的投标文件，电子招标投标交易平台将予以拒收。</w:t>
      </w:r>
    </w:p>
    <w:p>
      <w:pPr>
        <w:pStyle w:val="9"/>
        <w:spacing w:line="440" w:lineRule="exact"/>
        <w:rPr>
          <w:rFonts w:ascii="Times New Roman" w:hAnsi="Times New Roman"/>
        </w:rPr>
      </w:pPr>
      <w:bookmarkStart w:id="15" w:name="_Toc21247"/>
      <w:r>
        <w:rPr>
          <w:rFonts w:hint="eastAsia" w:ascii="Times New Roman" w:hAnsi="Times New Roman"/>
        </w:rPr>
        <w:t>6</w:t>
      </w:r>
      <w:r>
        <w:rPr>
          <w:rFonts w:ascii="Times New Roman" w:hAnsi="Times New Roman"/>
        </w:rPr>
        <w:t xml:space="preserve">. </w:t>
      </w:r>
      <w:r>
        <w:rPr>
          <w:rFonts w:hint="eastAsia" w:ascii="Times New Roman" w:hAnsi="Times New Roman"/>
        </w:rPr>
        <w:t>发布公告的媒介</w:t>
      </w:r>
      <w:bookmarkEnd w:id="15"/>
    </w:p>
    <w:p>
      <w:pPr>
        <w:spacing w:line="440" w:lineRule="exact"/>
        <w:ind w:firstLine="420" w:firstLineChars="200"/>
        <w:rPr>
          <w:rFonts w:ascii="Times New Roman" w:hAnsi="Times New Roman"/>
        </w:rPr>
      </w:pPr>
      <w:r>
        <w:rPr>
          <w:rFonts w:ascii="Times New Roman" w:hAnsi="Times New Roman"/>
        </w:rPr>
        <w:t>本次招标公告同时</w:t>
      </w:r>
      <w:r>
        <w:rPr>
          <w:rFonts w:hint="eastAsia" w:ascii="Times New Roman" w:hAnsi="Times New Roman"/>
        </w:rPr>
        <w:t>在广州公共资源交易中心网站、中国招标投标公共服务平台、广州国企阳光采购信息发布平台、广东省招标投标监管网等媒体上发布。</w:t>
      </w:r>
    </w:p>
    <w:p>
      <w:pPr>
        <w:pStyle w:val="9"/>
        <w:spacing w:line="440" w:lineRule="exact"/>
        <w:rPr>
          <w:rFonts w:ascii="Times New Roman" w:hAnsi="Times New Roman"/>
        </w:rPr>
      </w:pPr>
      <w:bookmarkStart w:id="16" w:name="_Toc27309"/>
      <w:r>
        <w:rPr>
          <w:rFonts w:hint="eastAsia" w:ascii="Times New Roman" w:hAnsi="Times New Roman"/>
        </w:rPr>
        <w:t>7</w:t>
      </w:r>
      <w:r>
        <w:rPr>
          <w:rFonts w:ascii="Times New Roman" w:hAnsi="Times New Roman"/>
        </w:rPr>
        <w:t xml:space="preserve">. </w:t>
      </w:r>
      <w:r>
        <w:rPr>
          <w:rFonts w:hint="eastAsia" w:ascii="Times New Roman" w:hAnsi="Times New Roman"/>
        </w:rPr>
        <w:t>联系方式</w:t>
      </w:r>
      <w:bookmarkEnd w:id="16"/>
    </w:p>
    <w:bookmarkEnd w:id="2"/>
    <w:bookmarkEnd w:id="3"/>
    <w:bookmarkEnd w:id="4"/>
    <w:p>
      <w:pPr>
        <w:spacing w:line="440" w:lineRule="exact"/>
        <w:ind w:firstLine="422" w:firstLineChars="200"/>
        <w:rPr>
          <w:rFonts w:ascii="宋体" w:hAnsi="宋体"/>
          <w:b/>
          <w:szCs w:val="21"/>
        </w:rPr>
      </w:pPr>
      <w:bookmarkStart w:id="17" w:name="_Toc152045512"/>
      <w:bookmarkEnd w:id="17"/>
      <w:bookmarkStart w:id="18" w:name="_Toc384308188"/>
      <w:bookmarkEnd w:id="18"/>
      <w:bookmarkStart w:id="19" w:name="_Toc369531497"/>
      <w:bookmarkEnd w:id="19"/>
      <w:bookmarkStart w:id="20" w:name="_Toc300834929"/>
      <w:bookmarkEnd w:id="20"/>
      <w:bookmarkStart w:id="21" w:name="_Toc369531495"/>
      <w:bookmarkEnd w:id="21"/>
      <w:bookmarkStart w:id="22" w:name="_Toc361508560"/>
      <w:bookmarkEnd w:id="22"/>
      <w:bookmarkStart w:id="23" w:name="_Toc352691456"/>
      <w:bookmarkEnd w:id="23"/>
      <w:bookmarkStart w:id="24" w:name="_Toc17972"/>
      <w:bookmarkEnd w:id="24"/>
      <w:bookmarkStart w:id="25" w:name="_Toc352691455"/>
      <w:bookmarkEnd w:id="25"/>
      <w:bookmarkStart w:id="26" w:name="_Toc30817"/>
      <w:bookmarkEnd w:id="26"/>
      <w:bookmarkStart w:id="27" w:name="_Toc369531498"/>
      <w:bookmarkEnd w:id="27"/>
      <w:bookmarkStart w:id="28" w:name="_Toc361508563"/>
      <w:bookmarkEnd w:id="28"/>
      <w:bookmarkStart w:id="29" w:name="_Toc144974480"/>
      <w:bookmarkEnd w:id="29"/>
      <w:bookmarkStart w:id="30" w:name="_Toc352691453"/>
      <w:bookmarkEnd w:id="30"/>
      <w:bookmarkStart w:id="31" w:name="_Toc247527536"/>
      <w:bookmarkEnd w:id="31"/>
      <w:bookmarkStart w:id="32" w:name="_Toc247513934"/>
      <w:bookmarkEnd w:id="32"/>
      <w:bookmarkStart w:id="33" w:name="_Toc144974481"/>
      <w:bookmarkEnd w:id="33"/>
      <w:bookmarkStart w:id="34" w:name="_Toc152045513"/>
      <w:bookmarkEnd w:id="34"/>
      <w:bookmarkStart w:id="35" w:name="_Toc247527535"/>
      <w:bookmarkEnd w:id="35"/>
      <w:bookmarkStart w:id="36" w:name="_Toc247513935"/>
      <w:bookmarkEnd w:id="36"/>
      <w:bookmarkStart w:id="37" w:name="_Toc384308185"/>
      <w:bookmarkEnd w:id="37"/>
      <w:bookmarkStart w:id="38" w:name="_Toc10785"/>
      <w:bookmarkEnd w:id="38"/>
      <w:bookmarkStart w:id="39" w:name="_Toc152042289"/>
      <w:bookmarkEnd w:id="39"/>
      <w:bookmarkStart w:id="40" w:name="_Toc152042288"/>
      <w:bookmarkEnd w:id="40"/>
      <w:bookmarkStart w:id="41" w:name="_Toc300834927"/>
      <w:bookmarkEnd w:id="41"/>
      <w:bookmarkStart w:id="42" w:name="_Toc361508562"/>
      <w:bookmarkEnd w:id="42"/>
      <w:bookmarkStart w:id="43" w:name="_Toc300834930"/>
      <w:bookmarkEnd w:id="43"/>
      <w:bookmarkStart w:id="44" w:name="_Toc384308187"/>
      <w:bookmarkEnd w:id="44"/>
      <w:r>
        <w:rPr>
          <w:rFonts w:hint="eastAsia" w:ascii="宋体" w:hAnsi="宋体"/>
          <w:b/>
          <w:szCs w:val="21"/>
        </w:rPr>
        <w:t>招标人：潮州市亚太港口有限公司</w:t>
      </w:r>
    </w:p>
    <w:p>
      <w:pPr>
        <w:spacing w:line="440" w:lineRule="exact"/>
        <w:ind w:firstLine="420" w:firstLineChars="200"/>
        <w:rPr>
          <w:rFonts w:ascii="宋体" w:hAnsi="宋体"/>
          <w:szCs w:val="21"/>
        </w:rPr>
      </w:pPr>
      <w:r>
        <w:rPr>
          <w:rFonts w:hint="eastAsia" w:ascii="宋体" w:hAnsi="宋体"/>
          <w:szCs w:val="21"/>
        </w:rPr>
        <w:t>地址：广东省潮州市饶平县柘林镇进港公路延长段潮州市亚太港口有限公司</w:t>
      </w:r>
    </w:p>
    <w:p>
      <w:pPr>
        <w:spacing w:line="440" w:lineRule="exact"/>
        <w:ind w:firstLine="420" w:firstLineChars="200"/>
        <w:rPr>
          <w:rFonts w:ascii="宋体" w:hAnsi="宋体"/>
          <w:szCs w:val="21"/>
        </w:rPr>
      </w:pPr>
      <w:r>
        <w:rPr>
          <w:rFonts w:hint="eastAsia" w:ascii="宋体" w:hAnsi="宋体"/>
          <w:szCs w:val="21"/>
        </w:rPr>
        <w:t>联系人：</w:t>
      </w:r>
      <w:r>
        <w:rPr>
          <w:rFonts w:hint="eastAsia" w:ascii="宋体" w:hAnsi="宋体"/>
          <w:szCs w:val="21"/>
          <w:highlight w:val="none"/>
        </w:rPr>
        <w:t>齐少斌</w:t>
      </w:r>
    </w:p>
    <w:p>
      <w:pPr>
        <w:spacing w:line="440" w:lineRule="exact"/>
        <w:ind w:firstLine="420" w:firstLineChars="200"/>
        <w:rPr>
          <w:rFonts w:ascii="宋体" w:hAnsi="宋体" w:cs="Times New Roman"/>
          <w:bCs w:val="0"/>
          <w:szCs w:val="21"/>
        </w:rPr>
      </w:pPr>
      <w:r>
        <w:rPr>
          <w:rFonts w:hint="eastAsia" w:ascii="宋体" w:hAnsi="宋体"/>
          <w:szCs w:val="21"/>
        </w:rPr>
        <w:t>电话：</w:t>
      </w:r>
      <w:r>
        <w:rPr>
          <w:rFonts w:ascii="宋体" w:hAnsi="宋体"/>
          <w:szCs w:val="21"/>
        </w:rPr>
        <w:t>18502982887、0768-69119</w:t>
      </w:r>
      <w:r>
        <w:rPr>
          <w:rFonts w:ascii="宋体" w:hAnsi="宋体"/>
          <w:szCs w:val="21"/>
          <w:highlight w:val="none"/>
        </w:rPr>
        <w:t>9</w:t>
      </w:r>
      <w:r>
        <w:rPr>
          <w:rFonts w:ascii="宋体" w:hAnsi="宋体"/>
          <w:szCs w:val="21"/>
        </w:rPr>
        <w:t>6</w:t>
      </w:r>
    </w:p>
    <w:p>
      <w:pPr>
        <w:spacing w:line="440" w:lineRule="exact"/>
        <w:ind w:firstLine="420" w:firstLineChars="200"/>
        <w:rPr>
          <w:rFonts w:ascii="宋体" w:hAnsi="宋体"/>
          <w:szCs w:val="21"/>
        </w:rPr>
      </w:pPr>
      <w:r>
        <w:rPr>
          <w:rFonts w:hint="eastAsia" w:ascii="宋体" w:hAnsi="宋体"/>
          <w:szCs w:val="21"/>
        </w:rPr>
        <w:t>电邮：</w:t>
      </w:r>
      <w:r>
        <w:rPr>
          <w:rFonts w:ascii="宋体" w:hAnsi="宋体"/>
          <w:szCs w:val="21"/>
        </w:rPr>
        <w:t>591653096@QQ.com</w:t>
      </w:r>
    </w:p>
    <w:p>
      <w:pPr>
        <w:spacing w:line="440" w:lineRule="exact"/>
        <w:ind w:firstLine="422" w:firstLineChars="200"/>
        <w:rPr>
          <w:rFonts w:ascii="宋体" w:hAnsi="宋体"/>
          <w:b/>
          <w:szCs w:val="21"/>
        </w:rPr>
      </w:pPr>
      <w:r>
        <w:rPr>
          <w:rFonts w:hint="eastAsia" w:ascii="宋体" w:hAnsi="宋体"/>
          <w:b/>
          <w:szCs w:val="21"/>
        </w:rPr>
        <w:t>招标代理机构：</w:t>
      </w:r>
      <w:bookmarkStart w:id="45" w:name="OLE_LINK1"/>
      <w:r>
        <w:rPr>
          <w:rFonts w:hint="eastAsia" w:ascii="宋体" w:hAnsi="宋体"/>
          <w:b/>
          <w:szCs w:val="21"/>
        </w:rPr>
        <w:t>国义招标股份有限公司</w:t>
      </w:r>
      <w:bookmarkEnd w:id="45"/>
    </w:p>
    <w:p>
      <w:pPr>
        <w:spacing w:line="440" w:lineRule="exact"/>
        <w:ind w:firstLine="420" w:firstLineChars="200"/>
        <w:rPr>
          <w:rFonts w:ascii="宋体" w:hAnsi="宋体"/>
          <w:szCs w:val="21"/>
        </w:rPr>
      </w:pPr>
      <w:r>
        <w:rPr>
          <w:rFonts w:hint="eastAsia" w:ascii="宋体" w:hAnsi="宋体"/>
          <w:szCs w:val="21"/>
        </w:rPr>
        <w:t>地址：广州市越秀区东风东路726号7楼</w:t>
      </w:r>
    </w:p>
    <w:p>
      <w:pPr>
        <w:spacing w:line="440" w:lineRule="exact"/>
        <w:ind w:firstLine="420" w:firstLineChars="200"/>
        <w:rPr>
          <w:rFonts w:ascii="宋体" w:hAnsi="宋体"/>
          <w:szCs w:val="21"/>
        </w:rPr>
      </w:pPr>
      <w:r>
        <w:rPr>
          <w:rFonts w:hint="eastAsia" w:ascii="宋体" w:hAnsi="宋体"/>
          <w:szCs w:val="21"/>
        </w:rPr>
        <w:t>邮编：510080</w:t>
      </w:r>
    </w:p>
    <w:p>
      <w:pPr>
        <w:spacing w:line="440" w:lineRule="exact"/>
        <w:ind w:firstLine="420" w:firstLineChars="200"/>
        <w:rPr>
          <w:rFonts w:ascii="宋体" w:hAnsi="宋体"/>
          <w:szCs w:val="21"/>
        </w:rPr>
      </w:pPr>
      <w:r>
        <w:rPr>
          <w:rFonts w:hint="eastAsia" w:ascii="宋体" w:hAnsi="宋体"/>
          <w:szCs w:val="21"/>
        </w:rPr>
        <w:t>联系人：陈镜任</w:t>
      </w:r>
    </w:p>
    <w:p>
      <w:pPr>
        <w:spacing w:line="440" w:lineRule="exact"/>
        <w:ind w:firstLine="420" w:firstLineChars="200"/>
        <w:rPr>
          <w:rFonts w:ascii="宋体" w:hAnsi="宋体"/>
          <w:szCs w:val="21"/>
        </w:rPr>
      </w:pPr>
      <w:r>
        <w:rPr>
          <w:rFonts w:hint="eastAsia" w:ascii="宋体" w:hAnsi="宋体"/>
          <w:szCs w:val="21"/>
        </w:rPr>
        <w:t>电话：020-37860766</w:t>
      </w:r>
    </w:p>
    <w:p>
      <w:pPr>
        <w:spacing w:line="440" w:lineRule="exact"/>
        <w:ind w:firstLine="420" w:firstLineChars="200"/>
        <w:rPr>
          <w:rFonts w:ascii="宋体" w:hAnsi="宋体"/>
          <w:szCs w:val="21"/>
        </w:rPr>
      </w:pPr>
      <w:r>
        <w:rPr>
          <w:rFonts w:hint="eastAsia" w:ascii="宋体" w:hAnsi="宋体"/>
          <w:szCs w:val="21"/>
        </w:rPr>
        <w:t>电邮：chenjingren@ebidding.com</w:t>
      </w:r>
    </w:p>
    <w:p>
      <w:pPr>
        <w:pStyle w:val="24"/>
        <w:spacing w:line="440" w:lineRule="exact"/>
      </w:pPr>
    </w:p>
    <w:p>
      <w:pPr>
        <w:spacing w:line="440" w:lineRule="exact"/>
        <w:jc w:val="right"/>
        <w:rPr>
          <w:rFonts w:ascii="Times New Roman" w:hAnsi="Times New Roman"/>
        </w:rPr>
      </w:pPr>
      <w:r>
        <w:rPr>
          <w:rFonts w:ascii="Times New Roman" w:hAnsi="Times New Roman"/>
          <w:u w:val="single"/>
        </w:rPr>
        <w:t>202</w:t>
      </w:r>
      <w:r>
        <w:rPr>
          <w:rFonts w:hint="eastAsia" w:ascii="Times New Roman" w:hAnsi="Times New Roman"/>
          <w:u w:val="single"/>
        </w:rPr>
        <w:t>5</w:t>
      </w:r>
      <w:r>
        <w:rPr>
          <w:rFonts w:ascii="Times New Roman" w:hAnsi="Times New Roman"/>
        </w:rPr>
        <w:t>年</w:t>
      </w:r>
      <w:r>
        <w:rPr>
          <w:rFonts w:hint="eastAsia" w:ascii="Times New Roman" w:hAnsi="Times New Roman"/>
          <w:u w:val="single"/>
          <w:lang w:val="en-US" w:eastAsia="zh-CN"/>
        </w:rPr>
        <w:t>8</w:t>
      </w:r>
      <w:r>
        <w:rPr>
          <w:rFonts w:ascii="Times New Roman" w:hAnsi="Times New Roman"/>
        </w:rPr>
        <w:t>月</w:t>
      </w:r>
      <w:r>
        <w:rPr>
          <w:rFonts w:hint="eastAsia" w:ascii="Times New Roman" w:hAnsi="Times New Roman"/>
          <w:u w:val="single"/>
          <w:lang w:val="en-US" w:eastAsia="zh-CN"/>
        </w:rPr>
        <w:t>19</w:t>
      </w:r>
      <w:r>
        <w:rPr>
          <w:rFonts w:ascii="Times New Roman" w:hAnsi="Times New Roman"/>
        </w:rPr>
        <w:t>日</w:t>
      </w:r>
    </w:p>
    <w:p>
      <w:pPr>
        <w:widowControl/>
        <w:spacing w:line="440" w:lineRule="exact"/>
        <w:jc w:val="left"/>
        <w:rPr>
          <w:rFonts w:ascii="Times New Roman" w:hAnsi="Times New Roman"/>
        </w:rPr>
      </w:pPr>
    </w:p>
    <w:p>
      <w:pPr>
        <w:pStyle w:val="8"/>
        <w:spacing w:line="440" w:lineRule="exact"/>
        <w:jc w:val="center"/>
      </w:pPr>
      <w:bookmarkStart w:id="46" w:name="_Toc16148"/>
      <w:r>
        <w:rPr>
          <w:rFonts w:hint="eastAsia"/>
        </w:rPr>
        <w:t>第二章投标人须知</w:t>
      </w:r>
      <w:bookmarkEnd w:id="46"/>
    </w:p>
    <w:p>
      <w:pPr>
        <w:pStyle w:val="9"/>
        <w:spacing w:line="440" w:lineRule="exact"/>
        <w:rPr>
          <w:rFonts w:ascii="Times New Roman" w:hAnsi="Times New Roman"/>
        </w:rPr>
      </w:pPr>
      <w:bookmarkStart w:id="47" w:name="_Toc2093"/>
      <w:r>
        <w:rPr>
          <w:rFonts w:hint="eastAsia" w:ascii="Times New Roman" w:hAnsi="Times New Roman"/>
        </w:rPr>
        <w:t>投标人须知前附表</w:t>
      </w:r>
      <w:bookmarkEnd w:id="47"/>
    </w:p>
    <w:tbl>
      <w:tblPr>
        <w:tblStyle w:val="41"/>
        <w:tblW w:w="9322" w:type="dxa"/>
        <w:tblInd w:w="0" w:type="dxa"/>
        <w:tblLayout w:type="fixed"/>
        <w:tblCellMar>
          <w:top w:w="0" w:type="dxa"/>
          <w:left w:w="108" w:type="dxa"/>
          <w:bottom w:w="0" w:type="dxa"/>
          <w:right w:w="108" w:type="dxa"/>
        </w:tblCellMar>
      </w:tblPr>
      <w:tblGrid>
        <w:gridCol w:w="1170"/>
        <w:gridCol w:w="1685"/>
        <w:gridCol w:w="1344"/>
        <w:gridCol w:w="5123"/>
      </w:tblGrid>
      <w:tr>
        <w:tblPrEx>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条款名称</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编列内容</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1.1.2</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招标人</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名称：</w:t>
            </w:r>
            <w:r>
              <w:rPr>
                <w:rFonts w:hint="eastAsia" w:ascii="Times New Roman" w:hAnsi="Times New Roman"/>
              </w:rPr>
              <w:t>潮州市亚太港口有限公司</w:t>
            </w:r>
          </w:p>
          <w:p>
            <w:pPr>
              <w:spacing w:line="440" w:lineRule="exact"/>
              <w:rPr>
                <w:rFonts w:ascii="Times New Roman" w:hAnsi="Times New Roman"/>
              </w:rPr>
            </w:pPr>
            <w:r>
              <w:rPr>
                <w:rFonts w:ascii="Times New Roman" w:hAnsi="Times New Roman"/>
              </w:rPr>
              <w:t>地址：</w:t>
            </w:r>
            <w:r>
              <w:rPr>
                <w:rFonts w:hint="eastAsia" w:ascii="Times New Roman" w:hAnsi="Times New Roman"/>
              </w:rPr>
              <w:t>广东省潮州市饶平县柘林镇进港公路延长段潮州市亚太港口有限公司</w:t>
            </w:r>
          </w:p>
          <w:p>
            <w:pPr>
              <w:spacing w:line="440" w:lineRule="exact"/>
              <w:rPr>
                <w:rFonts w:ascii="Times New Roman" w:hAnsi="Times New Roman"/>
                <w:bCs/>
              </w:rPr>
            </w:pPr>
            <w:r>
              <w:rPr>
                <w:rFonts w:hint="eastAsia" w:ascii="Times New Roman" w:hAnsi="Times New Roman"/>
                <w:bCs/>
              </w:rPr>
              <w:t>联系人：</w:t>
            </w:r>
            <w:r>
              <w:rPr>
                <w:rFonts w:hint="eastAsia" w:ascii="宋体" w:hAnsi="宋体"/>
                <w:szCs w:val="21"/>
              </w:rPr>
              <w:t>齐少斌</w:t>
            </w:r>
          </w:p>
          <w:p>
            <w:pPr>
              <w:spacing w:line="440" w:lineRule="exact"/>
              <w:rPr>
                <w:rFonts w:ascii="Times New Roman" w:hAnsi="Times New Roman"/>
              </w:rPr>
            </w:pPr>
            <w:r>
              <w:rPr>
                <w:rFonts w:hint="eastAsia" w:ascii="Times New Roman" w:hAnsi="Times New Roman"/>
                <w:bCs/>
              </w:rPr>
              <w:t>电话：</w:t>
            </w:r>
            <w:r>
              <w:rPr>
                <w:rFonts w:ascii="宋体" w:hAnsi="宋体"/>
                <w:szCs w:val="21"/>
              </w:rPr>
              <w:t>18502982887、0768-6911996</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1.1.3</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招标代理机构</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名称：</w:t>
            </w:r>
            <w:r>
              <w:rPr>
                <w:rFonts w:hint="eastAsia" w:ascii="Times New Roman" w:hAnsi="Times New Roman"/>
              </w:rPr>
              <w:t>国义招标股份有限公司</w:t>
            </w:r>
          </w:p>
          <w:p>
            <w:pPr>
              <w:spacing w:line="440" w:lineRule="exact"/>
              <w:rPr>
                <w:rFonts w:ascii="Times New Roman" w:hAnsi="Times New Roman"/>
              </w:rPr>
            </w:pPr>
            <w:r>
              <w:rPr>
                <w:rFonts w:ascii="Times New Roman" w:hAnsi="Times New Roman"/>
              </w:rPr>
              <w:t>地址：</w:t>
            </w:r>
            <w:r>
              <w:rPr>
                <w:rFonts w:hint="eastAsia"/>
              </w:rPr>
              <w:t>广州市越秀区东风东路726号7楼</w:t>
            </w:r>
          </w:p>
          <w:p>
            <w:pPr>
              <w:spacing w:line="440" w:lineRule="exact"/>
            </w:pPr>
            <w:r>
              <w:rPr>
                <w:rFonts w:ascii="Times New Roman" w:hAnsi="Times New Roman"/>
              </w:rPr>
              <w:t>联系人：</w:t>
            </w:r>
            <w:r>
              <w:rPr>
                <w:rFonts w:hint="eastAsia"/>
              </w:rPr>
              <w:t>陈镜任</w:t>
            </w:r>
          </w:p>
          <w:p>
            <w:pPr>
              <w:spacing w:line="440" w:lineRule="exact"/>
            </w:pPr>
            <w:r>
              <w:rPr>
                <w:rFonts w:ascii="Times New Roman" w:hAnsi="Times New Roman"/>
              </w:rPr>
              <w:t>电话：</w:t>
            </w:r>
            <w:r>
              <w:rPr>
                <w:rFonts w:hint="eastAsia" w:ascii="Times New Roman" w:hAnsi="Times New Roman"/>
              </w:rPr>
              <w:t>020-37860766</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1.1.4</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招标项目名称</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潮州港亚太通用码头智慧环保改造工程生产业务管理系统建设项目</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1.1.5</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项目建设地点</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见第一章招标公告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1.1.6</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项目建设规模</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见第一章招标公告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1.1.7</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Times New Roman" w:hAnsi="Times New Roman"/>
                <w:bCs/>
              </w:rPr>
            </w:pPr>
            <w:r>
              <w:rPr>
                <w:rFonts w:hint="eastAsia" w:ascii="Times New Roman" w:hAnsi="Times New Roman"/>
                <w:bCs/>
              </w:rPr>
              <w:t>项目投资估算</w:t>
            </w:r>
          </w:p>
        </w:tc>
        <w:tc>
          <w:tcPr>
            <w:tcW w:w="6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rPr>
                <w:rFonts w:ascii="Times New Roman" w:hAnsi="Times New Roman"/>
                <w:bCs/>
                <w:highlight w:val="yellow"/>
              </w:rPr>
            </w:pPr>
            <w:r>
              <w:rPr>
                <w:rFonts w:hint="eastAsia" w:ascii="Times New Roman" w:hAnsi="Times New Roman"/>
                <w:bCs/>
              </w:rPr>
              <w:t>360万元</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1.2.1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资金来源及比例</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见第一章招标公告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1.2.2</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资金落实情况</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见第一章招标公告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1.3.1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招标范围</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见第一章招标公告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1.3.2</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服务期限</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见第一章招标公告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1.3.3</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质量标准</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须满足国家相关规范及合同要求。</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1.4.1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投标人资质条件、能力、信誉</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Times New Roman" w:hAnsi="Times New Roman" w:eastAsia="宋体"/>
                <w:lang w:eastAsia="zh-CN"/>
              </w:rPr>
            </w:pPr>
            <w:r>
              <w:rPr>
                <w:rFonts w:hint="eastAsia" w:ascii="Times New Roman" w:hAnsi="Times New Roman"/>
              </w:rPr>
              <w:t>见第一章招标公告</w:t>
            </w:r>
            <w:r>
              <w:rPr>
                <w:rFonts w:hint="eastAsia" w:ascii="Times New Roman" w:hAnsi="Times New Roman"/>
                <w:lang w:eastAsia="zh-CN"/>
              </w:rPr>
              <w:t>“3.投标人资格要求”</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1.4.2</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是否接受联合体投标</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rPr>
            </w:pPr>
            <w:r>
              <w:rPr>
                <w:rFonts w:hint="eastAsia" w:ascii="Times New Roman" w:hAnsi="Times New Roman"/>
                <w:szCs w:val="21"/>
              </w:rPr>
              <w:t xml:space="preserve">☑ </w:t>
            </w:r>
            <w:r>
              <w:rPr>
                <w:rFonts w:hint="eastAsia" w:ascii="Times New Roman" w:hAnsi="Times New Roman"/>
                <w:sz w:val="15"/>
                <w:szCs w:val="10"/>
              </w:rPr>
              <w:t xml:space="preserve"> </w:t>
            </w:r>
            <w:r>
              <w:rPr>
                <w:rFonts w:ascii="Times New Roman" w:hAnsi="Times New Roman"/>
              </w:rPr>
              <w:t>不接受</w:t>
            </w:r>
          </w:p>
          <w:p>
            <w:pPr>
              <w:spacing w:line="440" w:lineRule="exact"/>
              <w:rPr>
                <w:rFonts w:ascii="Times New Roman" w:hAnsi="Times New Roman"/>
                <w:sz w:val="32"/>
              </w:rPr>
            </w:pPr>
            <w:r>
              <w:rPr>
                <w:rFonts w:hint="eastAsia" w:ascii="Segoe UI Symbol" w:hAnsi="Segoe UI Symbol" w:cs="Segoe UI Symbol"/>
                <w:sz w:val="32"/>
              </w:rPr>
              <w:t>□</w:t>
            </w:r>
            <w:r>
              <w:rPr>
                <w:rFonts w:ascii="Times New Roman" w:hAnsi="Times New Roman"/>
              </w:rPr>
              <w:t>接受</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1.4.3</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szCs w:val="21"/>
              </w:rPr>
              <w:t>投标人不得存在的</w:t>
            </w:r>
            <w:r>
              <w:rPr>
                <w:rFonts w:hint="eastAsia" w:ascii="Times New Roman" w:hAnsi="Times New Roman"/>
                <w:szCs w:val="21"/>
              </w:rPr>
              <w:t>其他</w:t>
            </w:r>
            <w:r>
              <w:rPr>
                <w:rFonts w:ascii="Times New Roman" w:hAnsi="Times New Roman"/>
                <w:szCs w:val="21"/>
              </w:rPr>
              <w:t>情形</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szCs w:val="21"/>
              </w:rPr>
            </w:pPr>
            <w:r>
              <w:rPr>
                <w:rFonts w:hint="eastAsia" w:ascii="Times New Roman" w:hAnsi="Times New Roman"/>
                <w:szCs w:val="21"/>
              </w:rPr>
              <w:t>正文中1.4.3款中（9）-（11）规定的情形，应以行政主管部门或司法机关出具的有关文件为依据。</w:t>
            </w:r>
          </w:p>
          <w:p>
            <w:pPr>
              <w:topLinePunct/>
              <w:spacing w:line="440" w:lineRule="exact"/>
              <w:rPr>
                <w:rFonts w:ascii="Times New Roman" w:hAnsi="Times New Roman"/>
                <w:szCs w:val="21"/>
              </w:rPr>
            </w:pPr>
            <w:r>
              <w:rPr>
                <w:rFonts w:hint="eastAsia" w:ascii="Times New Roman" w:hAnsi="Times New Roman"/>
                <w:szCs w:val="21"/>
              </w:rPr>
              <w:t>第1.4.3项第（9）目补充：（9）被暂停或取消投标资格，且在处罚范围和期限内的；</w:t>
            </w:r>
          </w:p>
          <w:p>
            <w:pPr>
              <w:topLinePunct/>
              <w:spacing w:line="440" w:lineRule="exact"/>
              <w:rPr>
                <w:rFonts w:ascii="Times New Roman" w:hAnsi="Times New Roman"/>
                <w:szCs w:val="21"/>
              </w:rPr>
            </w:pPr>
            <w:r>
              <w:rPr>
                <w:rFonts w:hint="eastAsia" w:ascii="Times New Roman" w:hAnsi="Times New Roman"/>
                <w:szCs w:val="21"/>
              </w:rPr>
              <w:t>投标人不得存在的其他情形：</w:t>
            </w:r>
            <w:r>
              <w:rPr>
                <w:rFonts w:ascii="Times New Roman" w:hAnsi="Times New Roman"/>
                <w:szCs w:val="21"/>
                <w:u w:val="single"/>
              </w:rPr>
              <w:t xml:space="preserve">       /           </w:t>
            </w:r>
          </w:p>
        </w:tc>
      </w:tr>
      <w:tr>
        <w:tblPrEx>
          <w:tblCellMar>
            <w:top w:w="0" w:type="dxa"/>
            <w:left w:w="108" w:type="dxa"/>
            <w:bottom w:w="0" w:type="dxa"/>
            <w:right w:w="108" w:type="dxa"/>
          </w:tblCellMar>
        </w:tblPrEx>
        <w:trPr>
          <w:trHeight w:val="803"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1.9.1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Theme="minorEastAsia"/>
              </w:rPr>
            </w:pPr>
            <w:r>
              <w:rPr>
                <w:rFonts w:hint="eastAsia" w:ascii="Times New Roman" w:hAnsi="Times New Roman" w:eastAsiaTheme="minorEastAsia"/>
              </w:rPr>
              <w:t>踏勘现场</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1"/>
              </w:rPr>
            </w:pPr>
            <w:r>
              <w:rPr>
                <w:rFonts w:hint="eastAsia" w:ascii="Malgun Gothic" w:hAnsi="Malgun Gothic" w:eastAsia="Malgun Gothic" w:cs="Malgun Gothic"/>
                <w:szCs w:val="24"/>
              </w:rPr>
              <w:t>☑</w:t>
            </w:r>
            <w:r>
              <w:rPr>
                <w:rFonts w:hint="eastAsia" w:ascii="Times New Roman" w:hAnsi="Times New Roman"/>
                <w:sz w:val="21"/>
                <w:szCs w:val="21"/>
              </w:rPr>
              <w:t>不组织</w:t>
            </w:r>
          </w:p>
          <w:p>
            <w:pPr>
              <w:pStyle w:val="20"/>
              <w:topLinePunct/>
              <w:spacing w:line="440" w:lineRule="exact"/>
              <w:rPr>
                <w:rFonts w:ascii="Times New Roman" w:hAnsi="Times New Roman"/>
                <w:sz w:val="21"/>
                <w:szCs w:val="21"/>
              </w:rPr>
            </w:pPr>
            <w:r>
              <w:rPr>
                <w:rFonts w:hint="eastAsia" w:ascii="Malgun Gothic" w:hAnsi="Malgun Gothic" w:eastAsia="Malgun Gothic" w:cs="Malgun Gothic"/>
                <w:szCs w:val="24"/>
              </w:rPr>
              <w:t>□</w:t>
            </w:r>
            <w:r>
              <w:rPr>
                <w:rFonts w:hint="eastAsia" w:ascii="Times New Roman" w:hAnsi="Times New Roman"/>
                <w:sz w:val="21"/>
                <w:szCs w:val="21"/>
              </w:rPr>
              <w:t>组织</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1.10.1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投标预备会</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2"/>
              </w:rPr>
            </w:pPr>
            <w:r>
              <w:rPr>
                <w:rFonts w:hint="eastAsia" w:ascii="Malgun Gothic" w:hAnsi="Malgun Gothic" w:eastAsia="Malgun Gothic" w:cs="Malgun Gothic"/>
                <w:szCs w:val="24"/>
              </w:rPr>
              <w:t>☑</w:t>
            </w:r>
            <w:r>
              <w:rPr>
                <w:rFonts w:ascii="Times New Roman" w:hAnsi="Times New Roman"/>
                <w:sz w:val="21"/>
                <w:szCs w:val="22"/>
              </w:rPr>
              <w:t>不召开</w:t>
            </w:r>
          </w:p>
          <w:p>
            <w:pPr>
              <w:spacing w:line="440" w:lineRule="exact"/>
              <w:rPr>
                <w:rFonts w:ascii="Times New Roman" w:hAnsi="Times New Roman"/>
              </w:rPr>
            </w:pPr>
            <w:r>
              <w:rPr>
                <w:rFonts w:ascii="Times New Roman" w:hAnsi="Times New Roman"/>
                <w:sz w:val="32"/>
              </w:rPr>
              <w:t>□</w:t>
            </w:r>
            <w:r>
              <w:rPr>
                <w:rFonts w:ascii="Times New Roman" w:hAnsi="Times New Roman"/>
              </w:rPr>
              <w:t>召开，召开时间：</w:t>
            </w:r>
          </w:p>
          <w:p>
            <w:pPr>
              <w:spacing w:line="440" w:lineRule="exact"/>
              <w:ind w:firstLine="840" w:firstLineChars="400"/>
              <w:rPr>
                <w:rFonts w:ascii="Times New Roman" w:hAnsi="Times New Roman"/>
              </w:rPr>
            </w:pPr>
            <w:r>
              <w:rPr>
                <w:rFonts w:ascii="Times New Roman" w:hAnsi="Times New Roman"/>
              </w:rPr>
              <w:t>召开地点：</w:t>
            </w:r>
          </w:p>
        </w:tc>
      </w:tr>
      <w:tr>
        <w:tblPrEx>
          <w:tblCellMar>
            <w:top w:w="0" w:type="dxa"/>
            <w:left w:w="108" w:type="dxa"/>
            <w:bottom w:w="0" w:type="dxa"/>
            <w:right w:w="108" w:type="dxa"/>
          </w:tblCellMar>
        </w:tblPrEx>
        <w:tc>
          <w:tcPr>
            <w:tcW w:w="117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1.10.2</w:t>
            </w:r>
          </w:p>
        </w:tc>
        <w:tc>
          <w:tcPr>
            <w:tcW w:w="168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投标人在投标预备会前提出问题</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时间：</w:t>
            </w:r>
            <w:r>
              <w:rPr>
                <w:rFonts w:hint="eastAsia" w:ascii="Times New Roman" w:hAnsi="Times New Roman"/>
              </w:rPr>
              <w:t>/</w:t>
            </w:r>
          </w:p>
        </w:tc>
      </w:tr>
      <w:tr>
        <w:tblPrEx>
          <w:tblCellMar>
            <w:top w:w="0" w:type="dxa"/>
            <w:left w:w="108" w:type="dxa"/>
            <w:bottom w:w="0" w:type="dxa"/>
            <w:right w:w="108" w:type="dxa"/>
          </w:tblCellMar>
        </w:tblPrEx>
        <w:tc>
          <w:tcPr>
            <w:tcW w:w="117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形式：</w:t>
            </w:r>
            <w:r>
              <w:rPr>
                <w:rFonts w:hint="eastAsia" w:ascii="Times New Roman" w:hAnsi="Times New Roman"/>
              </w:rPr>
              <w:t>/</w:t>
            </w:r>
          </w:p>
        </w:tc>
      </w:tr>
      <w:tr>
        <w:tblPrEx>
          <w:tblCellMar>
            <w:top w:w="0" w:type="dxa"/>
            <w:left w:w="108" w:type="dxa"/>
            <w:bottom w:w="0" w:type="dxa"/>
            <w:right w:w="108" w:type="dxa"/>
          </w:tblCellMar>
        </w:tblPrEx>
        <w:tc>
          <w:tcPr>
            <w:tcW w:w="1170"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1.10.3</w:t>
            </w:r>
          </w:p>
        </w:tc>
        <w:tc>
          <w:tcPr>
            <w:tcW w:w="168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招标文件澄清发出的形式</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时 间：投标截止时间15天前。</w:t>
            </w:r>
          </w:p>
          <w:p>
            <w:pPr>
              <w:spacing w:line="440" w:lineRule="exact"/>
              <w:rPr>
                <w:rFonts w:ascii="Times New Roman" w:hAnsi="Times New Roman"/>
              </w:rPr>
            </w:pPr>
            <w:r>
              <w:rPr>
                <w:rFonts w:hint="eastAsia" w:ascii="Times New Roman" w:hAnsi="Times New Roman"/>
              </w:rPr>
              <w:t>招标文件的澄清在广州公共资源交易中心网站答疑专区网上公开发布，发出即视作收到，以广州公共资源交易中心数字交易平台网站发布时间作为送达时间。无需投标人确认。投标人应自行关注，招标人不再一一通知。招标文件的修改内容作为招标文件的组成部分，具有约束作用。</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eastAsiaTheme="minorEastAsia"/>
              </w:rPr>
              <w:t>1.11.1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eastAsiaTheme="minorEastAsia"/>
                <w:szCs w:val="21"/>
              </w:rPr>
              <w:t>分包</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Cs w:val="21"/>
              </w:rPr>
            </w:pPr>
            <w:r>
              <w:rPr>
                <w:rFonts w:ascii="Segoe UI Symbol" w:hAnsi="Segoe UI Symbol" w:cs="Segoe UI Symbol"/>
                <w:sz w:val="32"/>
              </w:rPr>
              <w:t>☑</w:t>
            </w:r>
            <w:r>
              <w:rPr>
                <w:rFonts w:hint="eastAsia" w:ascii="Times New Roman" w:hAnsi="Times New Roman"/>
                <w:szCs w:val="21"/>
              </w:rPr>
              <w:t>不允许</w:t>
            </w:r>
          </w:p>
          <w:p>
            <w:pPr>
              <w:spacing w:line="440" w:lineRule="exact"/>
              <w:rPr>
                <w:rFonts w:ascii="Times New Roman" w:hAnsi="Times New Roman"/>
                <w:szCs w:val="21"/>
              </w:rPr>
            </w:pPr>
            <w:r>
              <w:rPr>
                <w:rFonts w:hint="eastAsia" w:ascii="Times New Roman" w:hAnsi="Times New Roman"/>
                <w:sz w:val="32"/>
              </w:rPr>
              <w:t>□</w:t>
            </w:r>
            <w:r>
              <w:rPr>
                <w:rFonts w:hint="eastAsia" w:ascii="Times New Roman" w:hAnsi="Times New Roman"/>
                <w:szCs w:val="21"/>
              </w:rPr>
              <w:t>允许，分包内容要求：</w:t>
            </w:r>
          </w:p>
          <w:p>
            <w:pPr>
              <w:spacing w:line="440" w:lineRule="exact"/>
              <w:ind w:firstLine="840" w:firstLineChars="400"/>
              <w:rPr>
                <w:rFonts w:ascii="Times New Roman" w:hAnsi="Times New Roman"/>
                <w:szCs w:val="21"/>
              </w:rPr>
            </w:pPr>
            <w:r>
              <w:rPr>
                <w:rFonts w:hint="eastAsia" w:ascii="Times New Roman" w:hAnsi="Times New Roman"/>
                <w:szCs w:val="21"/>
              </w:rPr>
              <w:t>分包金额要求：</w:t>
            </w:r>
          </w:p>
          <w:p>
            <w:pPr>
              <w:spacing w:line="440" w:lineRule="exact"/>
              <w:ind w:firstLine="840" w:firstLineChars="400"/>
              <w:rPr>
                <w:rFonts w:ascii="Times New Roman" w:hAnsi="Times New Roman"/>
                <w:szCs w:val="21"/>
              </w:rPr>
            </w:pPr>
            <w:r>
              <w:rPr>
                <w:rFonts w:hint="eastAsia" w:ascii="Times New Roman" w:hAnsi="Times New Roman"/>
                <w:szCs w:val="21"/>
              </w:rPr>
              <w:t>对分包人的资质要求：</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1.12.1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实质性要求和条件</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2"/>
              </w:rPr>
            </w:pPr>
            <w:r>
              <w:rPr>
                <w:rFonts w:hint="eastAsia" w:ascii="Times New Roman" w:hAnsi="Times New Roman"/>
                <w:sz w:val="21"/>
                <w:szCs w:val="22"/>
              </w:rPr>
              <w:t>详见第五章发包人要求中的★条款。</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1.12.3</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偏差</w:t>
            </w:r>
          </w:p>
        </w:tc>
        <w:tc>
          <w:tcPr>
            <w:tcW w:w="6467"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Cs w:val="21"/>
              </w:rPr>
            </w:pPr>
            <w:r>
              <w:rPr>
                <w:rFonts w:hint="eastAsia" w:ascii="Segoe UI Symbol" w:hAnsi="Segoe UI Symbol" w:cs="Segoe UI Symbol"/>
                <w:sz w:val="32"/>
              </w:rPr>
              <w:t>□</w:t>
            </w:r>
            <w:r>
              <w:rPr>
                <w:rFonts w:ascii="Times New Roman" w:hAnsi="Times New Roman"/>
                <w:szCs w:val="21"/>
              </w:rPr>
              <w:t>不允许</w:t>
            </w:r>
          </w:p>
          <w:p>
            <w:pPr>
              <w:pStyle w:val="20"/>
              <w:topLinePunct/>
              <w:spacing w:line="440" w:lineRule="exact"/>
              <w:rPr>
                <w:rFonts w:ascii="Times New Roman" w:hAnsi="Times New Roman"/>
                <w:sz w:val="21"/>
                <w:szCs w:val="22"/>
              </w:rPr>
            </w:pPr>
            <w:r>
              <w:rPr>
                <w:rFonts w:ascii="Segoe UI Symbol" w:hAnsi="Segoe UI Symbol" w:cs="Segoe UI Symbol"/>
                <w:sz w:val="32"/>
              </w:rPr>
              <w:t>☑</w:t>
            </w:r>
            <w:r>
              <w:rPr>
                <w:rFonts w:hint="eastAsia" w:ascii="Times New Roman" w:hAnsi="Times New Roman"/>
                <w:sz w:val="21"/>
                <w:szCs w:val="21"/>
              </w:rPr>
              <w:t>允许</w:t>
            </w:r>
            <w:r>
              <w:rPr>
                <w:rFonts w:hint="eastAsia" w:ascii="Times New Roman" w:hAnsi="Times New Roman"/>
                <w:szCs w:val="21"/>
              </w:rPr>
              <w:t>，</w:t>
            </w:r>
            <w:r>
              <w:rPr>
                <w:rFonts w:ascii="Times New Roman" w:hAnsi="Times New Roman"/>
                <w:sz w:val="21"/>
                <w:szCs w:val="22"/>
              </w:rPr>
              <w:t>偏差范围：</w:t>
            </w:r>
            <w:r>
              <w:rPr>
                <w:rFonts w:hint="eastAsia" w:ascii="Times New Roman" w:hAnsi="Times New Roman"/>
                <w:sz w:val="21"/>
                <w:szCs w:val="22"/>
              </w:rPr>
              <w:t>发包人要求中除★条款以外的内容允许偏离。</w:t>
            </w:r>
          </w:p>
          <w:p>
            <w:pPr>
              <w:pStyle w:val="20"/>
              <w:topLinePunct/>
              <w:spacing w:line="440" w:lineRule="exact"/>
              <w:ind w:firstLine="945" w:firstLineChars="450"/>
              <w:rPr>
                <w:rFonts w:ascii="Times New Roman" w:hAnsi="Times New Roman"/>
                <w:sz w:val="21"/>
                <w:szCs w:val="22"/>
              </w:rPr>
            </w:pPr>
            <w:r>
              <w:rPr>
                <w:rFonts w:ascii="Times New Roman" w:hAnsi="Times New Roman"/>
                <w:sz w:val="21"/>
                <w:szCs w:val="22"/>
              </w:rPr>
              <w:t>偏差幅度：</w:t>
            </w:r>
            <w:r>
              <w:rPr>
                <w:rFonts w:hint="eastAsia" w:ascii="Times New Roman" w:hAnsi="Times New Roman"/>
                <w:sz w:val="21"/>
                <w:szCs w:val="22"/>
              </w:rPr>
              <w:t>/</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构成招标文件的其他资料</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rPr>
          <w:trHeight w:val="1080" w:hRule="atLeast"/>
        </w:trPr>
        <w:tc>
          <w:tcPr>
            <w:tcW w:w="1170"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2.2.1</w:t>
            </w:r>
          </w:p>
        </w:tc>
        <w:tc>
          <w:tcPr>
            <w:tcW w:w="1685"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投标人要求澄清招标文件</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2025年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时</w:t>
            </w:r>
            <w:r>
              <w:rPr>
                <w:rFonts w:hint="eastAsia" w:ascii="Times New Roman" w:hAnsi="Times New Roman"/>
                <w:lang w:val="en-US" w:eastAsia="zh-CN"/>
              </w:rPr>
              <w:t xml:space="preserve">   </w:t>
            </w:r>
            <w:r>
              <w:rPr>
                <w:rFonts w:hint="eastAsia" w:ascii="Times New Roman" w:hAnsi="Times New Roman"/>
              </w:rPr>
              <w:t>分前提出（投标人的疑问通过广州公共资源交易中心数字交易平台提交）。</w:t>
            </w:r>
          </w:p>
        </w:tc>
      </w:tr>
      <w:tr>
        <w:tblPrEx>
          <w:tblCellMar>
            <w:top w:w="0" w:type="dxa"/>
            <w:left w:w="108" w:type="dxa"/>
            <w:bottom w:w="0" w:type="dxa"/>
            <w:right w:w="108" w:type="dxa"/>
          </w:tblCellMar>
        </w:tblPrEx>
        <w:tc>
          <w:tcPr>
            <w:tcW w:w="1170"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2.2.2</w:t>
            </w:r>
          </w:p>
        </w:tc>
        <w:tc>
          <w:tcPr>
            <w:tcW w:w="1685"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招标文件澄清发出的形式</w:t>
            </w:r>
          </w:p>
        </w:tc>
        <w:tc>
          <w:tcPr>
            <w:tcW w:w="6467" w:type="dxa"/>
            <w:gridSpan w:val="2"/>
            <w:tcBorders>
              <w:top w:val="single" w:color="auto" w:sz="4" w:space="0"/>
              <w:left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招标人通过交易平台发布。</w:t>
            </w:r>
          </w:p>
        </w:tc>
      </w:tr>
      <w:tr>
        <w:tblPrEx>
          <w:tblCellMar>
            <w:top w:w="0" w:type="dxa"/>
            <w:left w:w="108" w:type="dxa"/>
            <w:bottom w:w="0" w:type="dxa"/>
            <w:right w:w="108" w:type="dxa"/>
          </w:tblCellMar>
        </w:tblPrEx>
        <w:tc>
          <w:tcPr>
            <w:tcW w:w="117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2.2.3</w:t>
            </w:r>
          </w:p>
        </w:tc>
        <w:tc>
          <w:tcPr>
            <w:tcW w:w="168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投标人确认收到招标文件澄清</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时间：</w:t>
            </w:r>
            <w:r>
              <w:rPr>
                <w:rFonts w:hint="eastAsia" w:ascii="Times New Roman" w:hAnsi="Times New Roman"/>
              </w:rPr>
              <w:t>发布即视为送达。</w:t>
            </w:r>
          </w:p>
        </w:tc>
      </w:tr>
      <w:tr>
        <w:tblPrEx>
          <w:tblCellMar>
            <w:top w:w="0" w:type="dxa"/>
            <w:left w:w="108" w:type="dxa"/>
            <w:bottom w:w="0" w:type="dxa"/>
            <w:right w:w="108" w:type="dxa"/>
          </w:tblCellMar>
        </w:tblPrEx>
        <w:tc>
          <w:tcPr>
            <w:tcW w:w="117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形式：</w:t>
            </w:r>
            <w:r>
              <w:rPr>
                <w:rFonts w:hint="eastAsia" w:ascii="Times New Roman" w:hAnsi="Times New Roman"/>
              </w:rPr>
              <w:t>澄清文件一经在交易平台发布，视作已发放给所有投标人，各投标人应随时关注登记项目信息，及时登陆交易平台下载相关文件，否则所造成的一切后果由投标人自负。</w:t>
            </w:r>
          </w:p>
        </w:tc>
      </w:tr>
      <w:tr>
        <w:tblPrEx>
          <w:tblCellMar>
            <w:top w:w="0" w:type="dxa"/>
            <w:left w:w="108" w:type="dxa"/>
            <w:bottom w:w="0" w:type="dxa"/>
            <w:right w:w="108" w:type="dxa"/>
          </w:tblCellMar>
        </w:tblPrEx>
        <w:tc>
          <w:tcPr>
            <w:tcW w:w="1170"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2.3.1</w:t>
            </w:r>
          </w:p>
        </w:tc>
        <w:tc>
          <w:tcPr>
            <w:tcW w:w="1685"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招标文件修改发出的形式</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招标人通过交易平台发布。</w:t>
            </w:r>
          </w:p>
        </w:tc>
      </w:tr>
      <w:tr>
        <w:tblPrEx>
          <w:tblCellMar>
            <w:top w:w="0" w:type="dxa"/>
            <w:left w:w="108" w:type="dxa"/>
            <w:bottom w:w="0" w:type="dxa"/>
            <w:right w:w="108" w:type="dxa"/>
          </w:tblCellMar>
        </w:tblPrEx>
        <w:tc>
          <w:tcPr>
            <w:tcW w:w="117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2.3.2</w:t>
            </w:r>
          </w:p>
        </w:tc>
        <w:tc>
          <w:tcPr>
            <w:tcW w:w="168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投标人确认收到招标文件修改</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时间：</w:t>
            </w:r>
            <w:r>
              <w:rPr>
                <w:rFonts w:hint="eastAsia" w:ascii="Times New Roman" w:hAnsi="Times New Roman"/>
              </w:rPr>
              <w:t>发布即视为送达。</w:t>
            </w:r>
          </w:p>
        </w:tc>
      </w:tr>
      <w:tr>
        <w:tblPrEx>
          <w:tblCellMar>
            <w:top w:w="0" w:type="dxa"/>
            <w:left w:w="108" w:type="dxa"/>
            <w:bottom w:w="0" w:type="dxa"/>
            <w:right w:w="108" w:type="dxa"/>
          </w:tblCellMar>
        </w:tblPrEx>
        <w:tc>
          <w:tcPr>
            <w:tcW w:w="117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形式：</w:t>
            </w:r>
            <w:r>
              <w:rPr>
                <w:rFonts w:hint="eastAsia" w:ascii="Times New Roman" w:hAnsi="Times New Roman"/>
              </w:rPr>
              <w:t>修改的招标文件一经在交易平台发布，视作已发放给所有投标人，各投标人应随时关注登记项目信息，及时登陆交易平台下载相关文件，否则所造成的一切后果由投标人自负。</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3.1.1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构成投标文件的其他资料</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详见第六章《投标文件格式》“其他资料”所列内容。</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3.2.1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增值税税金的计算方法</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按国家税务机关的规定执行。</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3.2.3</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cs="宋体"/>
                <w:szCs w:val="21"/>
              </w:rPr>
              <w:t>报价方式</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固定总价包干</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3.2.</w:t>
            </w:r>
            <w:r>
              <w:rPr>
                <w:rFonts w:hint="eastAsia" w:ascii="Times New Roman" w:hAnsi="Times New Roman"/>
              </w:rPr>
              <w:t>4</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最高投标限价</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sz w:val="32"/>
              </w:rPr>
              <w:t>□</w:t>
            </w:r>
            <w:r>
              <w:rPr>
                <w:rFonts w:ascii="Times New Roman" w:hAnsi="Times New Roman"/>
              </w:rPr>
              <w:t>无</w:t>
            </w:r>
          </w:p>
          <w:p>
            <w:pPr>
              <w:spacing w:line="440" w:lineRule="exact"/>
              <w:rPr>
                <w:rFonts w:ascii="Times New Roman" w:hAnsi="Times New Roman"/>
              </w:rPr>
            </w:pPr>
            <w:r>
              <w:rPr>
                <w:rFonts w:ascii="Segoe UI Symbol" w:hAnsi="Segoe UI Symbol" w:cs="Segoe UI Symbol"/>
                <w:sz w:val="32"/>
              </w:rPr>
              <w:t>☑</w:t>
            </w:r>
            <w:r>
              <w:rPr>
                <w:rFonts w:hint="eastAsia" w:ascii="Times New Roman" w:hAnsi="Times New Roman"/>
              </w:rPr>
              <w:t>有，详见招标公告。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3.2.</w:t>
            </w:r>
            <w:r>
              <w:rPr>
                <w:rFonts w:hint="eastAsia" w:ascii="Times New Roman" w:hAnsi="Times New Roman"/>
              </w:rPr>
              <w:t>5</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投标报价的其他要求</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3.3.1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投标有效期</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bookmarkStart w:id="48" w:name="_Toc300834946"/>
            <w:bookmarkStart w:id="49" w:name="_Toc352691470"/>
            <w:bookmarkStart w:id="50" w:name="_Toc384308207"/>
            <w:bookmarkStart w:id="51" w:name="_Toc369531512"/>
            <w:bookmarkStart w:id="52" w:name="_Toc361508582"/>
            <w:bookmarkStart w:id="53" w:name="_Toc1789"/>
            <w:r>
              <w:rPr>
                <w:rFonts w:hint="eastAsia" w:ascii="Times New Roman" w:hAnsi="Times New Roman"/>
              </w:rPr>
              <w:t>投标截止时间后120天</w:t>
            </w:r>
          </w:p>
        </w:tc>
      </w:tr>
      <w:bookmarkEnd w:id="48"/>
      <w:bookmarkEnd w:id="49"/>
      <w:bookmarkEnd w:id="50"/>
      <w:bookmarkEnd w:id="51"/>
      <w:bookmarkEnd w:id="52"/>
      <w:bookmarkEnd w:id="53"/>
      <w:tr>
        <w:tblPrEx>
          <w:tblCellMar>
            <w:top w:w="0" w:type="dxa"/>
            <w:left w:w="108" w:type="dxa"/>
            <w:bottom w:w="0" w:type="dxa"/>
            <w:right w:w="108" w:type="dxa"/>
          </w:tblCellMar>
        </w:tblPrEx>
        <w:trPr>
          <w:trHeight w:val="917"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3.4.1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投标保证金</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是否要求投标人递交投标保证金：</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■要求，投标保证金的形式：投标保证金可采用现金、银行汇票、银行本票、银行电汇、支票（现金支票、转账支票）、投标保证保险、投标保函（银行或专业担保公司出具）等形式。</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投标保证金的金额：2万元</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递交方式：</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1）如采用现金、银行汇票、银行本票、银行电汇、支票（现金支票、转账支票）形式提交的，投标保证金从投标人基本账户递交，由广州公共资源交易中心代收。具体操作要求详见广州公共资源交易中心有关指引，递交事宜请自行咨询广州公共资源交易中心(咨询电话：020-28866000)；请各投标人在投标文件递交截止时间前按上述金额递交至广州公共资源交易中心，到账情况以开标时广州公共资源交易中心数据库查询的信息为准。</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投标人需在交易系统中将汇入投标保证金与投标项目进行绑定，绑定成功后才能被认定为完成缴交投标保证金义务。</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2）采用投标保证保险、投标保函（银行或专业担保公司出具）提交投标保证金的，须开具给招标人（保险受益人须为招标人）。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银行投标保函有效期应长于或等于投标有效期，若投标有效期延长的，银行投标保函有效期应相应延长，且延长后的有效期应满足前述要求。投标人提供的银行投标保函应为银行出具的无条件、见索即付、不可撤销的保函。如投标人选择在开标前提交纸质原件的，可在投标截止时间前单独密封递交至开标室。</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3）如采用非现金电子化形式递交投标保证金，按广州公共资源交易中心发布的《广州公共资源交易中心关于开通电子保函服务功能的通知》操作。详见：http://ggzy.gz.gov.cn/zxgg/822128.jhtml。到账情况以开标时广州公共资源交易中心数据库查询信息为准。</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（4）对于联合体投标人，投标担保可由联合体主办方缴纳。</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开标时投标人没有按要求提供投标保证金的，其投标文件将被否决。</w:t>
            </w:r>
          </w:p>
          <w:p>
            <w:pPr>
              <w:pStyle w:val="20"/>
              <w:topLinePunct/>
              <w:spacing w:line="440" w:lineRule="exact"/>
              <w:jc w:val="left"/>
              <w:rPr>
                <w:rFonts w:ascii="Times New Roman" w:hAnsi="Times New Roman"/>
                <w:sz w:val="21"/>
                <w:szCs w:val="21"/>
              </w:rPr>
            </w:pPr>
            <w:r>
              <w:rPr>
                <w:rFonts w:hint="eastAsia" w:ascii="Times New Roman" w:hAnsi="Times New Roman"/>
                <w:sz w:val="21"/>
                <w:szCs w:val="21"/>
              </w:rPr>
              <w:t>投标保证金依据法律法规的相关规定退还。</w:t>
            </w:r>
          </w:p>
        </w:tc>
      </w:tr>
      <w:tr>
        <w:tblPrEx>
          <w:tblCellMar>
            <w:top w:w="0" w:type="dxa"/>
            <w:left w:w="108" w:type="dxa"/>
            <w:bottom w:w="0" w:type="dxa"/>
            <w:right w:w="108" w:type="dxa"/>
          </w:tblCellMar>
        </w:tblPrEx>
        <w:trPr>
          <w:trHeight w:val="561"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3.4.4</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szCs w:val="21"/>
              </w:rPr>
              <w:t>其他可以不予退还投标保证金的情形</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无</w:t>
            </w:r>
          </w:p>
        </w:tc>
      </w:tr>
      <w:tr>
        <w:tblPrEx>
          <w:tblCellMar>
            <w:top w:w="0" w:type="dxa"/>
            <w:left w:w="108" w:type="dxa"/>
            <w:bottom w:w="0" w:type="dxa"/>
            <w:right w:w="108" w:type="dxa"/>
          </w:tblCellMar>
        </w:tblPrEx>
        <w:trPr>
          <w:trHeight w:val="906"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3.5</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Cs w:val="21"/>
              </w:rPr>
            </w:pPr>
            <w:r>
              <w:rPr>
                <w:rFonts w:ascii="Times New Roman" w:hAnsi="Times New Roman"/>
              </w:rPr>
              <w:t>资格审查资料</w:t>
            </w:r>
            <w:r>
              <w:rPr>
                <w:rFonts w:ascii="Times New Roman" w:hAnsi="Times New Roman"/>
                <w:szCs w:val="21"/>
              </w:rPr>
              <w:t>的特殊要求</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Cs w:val="22"/>
              </w:rPr>
            </w:pPr>
            <w:r>
              <w:rPr>
                <w:rFonts w:ascii="Times New Roman" w:hAnsi="Times New Roman"/>
                <w:sz w:val="22"/>
                <w:szCs w:val="21"/>
              </w:rPr>
              <w:t>无</w:t>
            </w:r>
          </w:p>
        </w:tc>
      </w:tr>
      <w:tr>
        <w:tblPrEx>
          <w:tblCellMar>
            <w:top w:w="0" w:type="dxa"/>
            <w:left w:w="108" w:type="dxa"/>
            <w:bottom w:w="0" w:type="dxa"/>
            <w:right w:w="108" w:type="dxa"/>
          </w:tblCellMar>
        </w:tblPrEx>
        <w:trPr>
          <w:trHeight w:val="906"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3.6.1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是否允许递交备选投标方案</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2"/>
              </w:rPr>
            </w:pPr>
            <w:r>
              <w:rPr>
                <w:rFonts w:ascii="Segoe UI Symbol" w:hAnsi="Segoe UI Symbol" w:cs="Segoe UI Symbol"/>
                <w:sz w:val="32"/>
              </w:rPr>
              <w:t>☑</w:t>
            </w:r>
            <w:r>
              <w:rPr>
                <w:rFonts w:ascii="Times New Roman" w:hAnsi="Times New Roman"/>
                <w:sz w:val="21"/>
                <w:szCs w:val="22"/>
              </w:rPr>
              <w:t>不允许</w:t>
            </w:r>
          </w:p>
          <w:p>
            <w:pPr>
              <w:spacing w:line="440" w:lineRule="exact"/>
              <w:rPr>
                <w:rFonts w:ascii="Times New Roman" w:hAnsi="Times New Roman"/>
              </w:rPr>
            </w:pPr>
            <w:r>
              <w:rPr>
                <w:rFonts w:ascii="Times New Roman" w:hAnsi="Times New Roman"/>
                <w:sz w:val="32"/>
              </w:rPr>
              <w:t>□</w:t>
            </w:r>
            <w:r>
              <w:rPr>
                <w:rFonts w:ascii="Times New Roman" w:hAnsi="Times New Roman"/>
              </w:rPr>
              <w:t>允许</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3.7.3（B）</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投标文件扫描、签字或盖章的具体要求</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1"/>
              </w:rPr>
            </w:pPr>
            <w:r>
              <w:rPr>
                <w:rFonts w:hint="eastAsia" w:ascii="Times New Roman" w:hAnsi="Times New Roman"/>
                <w:sz w:val="21"/>
                <w:szCs w:val="21"/>
              </w:rPr>
              <w:t>投标人采用单位数字证书，按招标文件要求在相应位置加盖电子印章。取消在招标文件中采用个人数字证书和加盖个人电子印章要求，投标文件中需个人签字或盖章的，应在线下完成后扫描上传。投标人应按照广州交易集团有限公司（广州公共资源交易中心）【建设工程】新数字交易平台操作指引进行操作。</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4.1.1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投标文件加密要求</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1"/>
              </w:rPr>
            </w:pPr>
            <w:r>
              <w:rPr>
                <w:rFonts w:hint="eastAsia" w:ascii="Times New Roman" w:hAnsi="Times New Roman"/>
                <w:sz w:val="21"/>
                <w:szCs w:val="21"/>
              </w:rPr>
              <w:t>1.递交的电子投标文件必须进行加密。</w:t>
            </w:r>
          </w:p>
          <w:p>
            <w:pPr>
              <w:pStyle w:val="20"/>
              <w:topLinePunct/>
              <w:spacing w:line="440" w:lineRule="exact"/>
              <w:rPr>
                <w:rFonts w:ascii="Times New Roman" w:hAnsi="Times New Roman"/>
                <w:sz w:val="32"/>
              </w:rPr>
            </w:pPr>
            <w:r>
              <w:rPr>
                <w:rFonts w:hint="eastAsia" w:ascii="Times New Roman" w:hAnsi="Times New Roman"/>
                <w:sz w:val="21"/>
                <w:szCs w:val="21"/>
              </w:rPr>
              <w:t>2.未按要求加密的投标文件，交易平台将予以拒收。</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4.1.2</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hd w:val="clear" w:color="FFFFFF" w:fill="D9D9D9"/>
              </w:rPr>
            </w:pPr>
            <w:r>
              <w:rPr>
                <w:rFonts w:hint="eastAsia" w:ascii="Times New Roman" w:hAnsi="Times New Roman"/>
              </w:rPr>
              <w:t>备用U盘、纸质投标文件封套上应载明的信息</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topLinePunct/>
              <w:snapToGrid w:val="0"/>
              <w:spacing w:line="440" w:lineRule="exact"/>
              <w:rPr>
                <w:rFonts w:ascii="宋体" w:hAnsi="宋体" w:cs="宋体"/>
                <w:snapToGrid w:val="0"/>
                <w:kern w:val="0"/>
                <w:szCs w:val="21"/>
              </w:rPr>
            </w:pPr>
            <w:r>
              <w:rPr>
                <w:rFonts w:hint="eastAsia" w:ascii="宋体" w:hAnsi="宋体" w:cs="宋体"/>
                <w:snapToGrid w:val="0"/>
                <w:kern w:val="0"/>
                <w:szCs w:val="21"/>
              </w:rPr>
              <w:t>包封上写明“投标文件备用U盘”、“</w:t>
            </w:r>
            <w:r>
              <w:rPr>
                <w:rFonts w:hint="eastAsia" w:ascii="Times New Roman" w:hAnsi="Times New Roman"/>
                <w:szCs w:val="21"/>
              </w:rPr>
              <w:t>纸质</w:t>
            </w:r>
            <w:r>
              <w:rPr>
                <w:rFonts w:hint="eastAsia" w:ascii="宋体" w:hAnsi="宋体" w:cs="宋体"/>
                <w:snapToGrid w:val="0"/>
                <w:kern w:val="0"/>
                <w:szCs w:val="21"/>
              </w:rPr>
              <w:t>投标文件”字样。</w:t>
            </w:r>
          </w:p>
          <w:p>
            <w:pPr>
              <w:topLinePunct/>
              <w:snapToGrid w:val="0"/>
              <w:spacing w:line="440" w:lineRule="exact"/>
              <w:rPr>
                <w:rFonts w:ascii="宋体" w:hAnsi="宋体" w:cs="宋体"/>
                <w:snapToGrid w:val="0"/>
                <w:kern w:val="0"/>
                <w:szCs w:val="21"/>
              </w:rPr>
            </w:pPr>
            <w:r>
              <w:rPr>
                <w:rFonts w:hint="eastAsia" w:ascii="宋体" w:hAnsi="宋体" w:cs="宋体"/>
                <w:snapToGrid w:val="0"/>
                <w:kern w:val="0"/>
                <w:szCs w:val="21"/>
              </w:rPr>
              <w:t>1.招标项目名称；</w:t>
            </w:r>
          </w:p>
          <w:p>
            <w:pPr>
              <w:topLinePunct/>
              <w:snapToGrid w:val="0"/>
              <w:spacing w:line="440" w:lineRule="exact"/>
              <w:rPr>
                <w:rFonts w:ascii="宋体" w:hAnsi="宋体" w:cs="宋体"/>
                <w:snapToGrid w:val="0"/>
                <w:kern w:val="0"/>
                <w:szCs w:val="21"/>
              </w:rPr>
            </w:pPr>
            <w:r>
              <w:rPr>
                <w:rFonts w:hint="eastAsia" w:ascii="宋体" w:hAnsi="宋体" w:cs="宋体"/>
                <w:snapToGrid w:val="0"/>
                <w:kern w:val="0"/>
                <w:szCs w:val="21"/>
              </w:rPr>
              <w:t>2.投标人的名称和地址，并加盖单位公章；</w:t>
            </w:r>
          </w:p>
          <w:p>
            <w:pPr>
              <w:topLinePunct/>
              <w:snapToGrid w:val="0"/>
              <w:spacing w:line="440" w:lineRule="exact"/>
              <w:rPr>
                <w:rFonts w:ascii="Times New Roman" w:hAnsi="Times New Roman"/>
                <w:szCs w:val="21"/>
              </w:rPr>
            </w:pPr>
            <w:r>
              <w:rPr>
                <w:rFonts w:hint="eastAsia" w:ascii="宋体" w:hAnsi="宋体" w:cs="宋体"/>
                <w:snapToGrid w:val="0"/>
                <w:kern w:val="0"/>
                <w:szCs w:val="21"/>
              </w:rPr>
              <w:t>3.“在投标截止时间 2025年  月  日  时  分之前不得拆封”；</w:t>
            </w:r>
            <w:r>
              <w:rPr>
                <w:rFonts w:ascii="Times New Roman" w:hAnsi="Times New Roman"/>
                <w:szCs w:val="21"/>
              </w:rPr>
              <w:t xml:space="preserve"> </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4.2.1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投标截止时间</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详见第一章招标公告</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4</w:t>
            </w:r>
            <w:r>
              <w:rPr>
                <w:rFonts w:ascii="Times New Roman" w:hAnsi="Times New Roman"/>
              </w:rPr>
              <w:t>.2.2</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递交投标文件地点</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（1）投标人应在投标文件递交截止时间前通过广州公共资源交易中心数字交易平台递交电子投标文件。。</w:t>
            </w:r>
          </w:p>
          <w:p>
            <w:pPr>
              <w:spacing w:line="440" w:lineRule="exact"/>
            </w:pPr>
            <w:r>
              <w:rPr>
                <w:rFonts w:hint="eastAsia" w:ascii="Times New Roman" w:hAnsi="Times New Roman"/>
              </w:rPr>
              <w:t>（2）投标人代表于投标截止时间前，在规定时间内将备用U盘、线下投标文件递交至广州公共资源交易中心开标室（具体详见日程安排）。</w:t>
            </w:r>
          </w:p>
        </w:tc>
      </w:tr>
      <w:tr>
        <w:tblPrEx>
          <w:tblCellMar>
            <w:top w:w="0" w:type="dxa"/>
            <w:left w:w="108" w:type="dxa"/>
            <w:bottom w:w="0" w:type="dxa"/>
            <w:right w:w="108" w:type="dxa"/>
          </w:tblCellMar>
        </w:tblPrEx>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4.2.3</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投标文件是否退还</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1"/>
              </w:rPr>
            </w:pPr>
            <w:r>
              <w:rPr>
                <w:rFonts w:ascii="Segoe UI Symbol" w:hAnsi="Segoe UI Symbol" w:cs="Segoe UI Symbol"/>
                <w:sz w:val="32"/>
                <w:szCs w:val="22"/>
              </w:rPr>
              <w:t>☑</w:t>
            </w:r>
            <w:r>
              <w:rPr>
                <w:rFonts w:hint="eastAsia" w:ascii="Times New Roman" w:hAnsi="Times New Roman"/>
                <w:sz w:val="21"/>
                <w:szCs w:val="21"/>
              </w:rPr>
              <w:t>否</w:t>
            </w:r>
          </w:p>
          <w:p>
            <w:pPr>
              <w:pStyle w:val="20"/>
              <w:topLinePunct/>
              <w:spacing w:line="440" w:lineRule="exact"/>
              <w:rPr>
                <w:rFonts w:ascii="Times New Roman" w:hAnsi="Times New Roman"/>
                <w:sz w:val="21"/>
                <w:szCs w:val="22"/>
              </w:rPr>
            </w:pPr>
            <w:r>
              <w:rPr>
                <w:rFonts w:ascii="Times New Roman" w:hAnsi="Times New Roman"/>
                <w:sz w:val="32"/>
              </w:rPr>
              <w:t>□</w:t>
            </w:r>
            <w:r>
              <w:rPr>
                <w:rFonts w:ascii="Times New Roman" w:hAnsi="Times New Roman"/>
                <w:sz w:val="21"/>
                <w:szCs w:val="22"/>
              </w:rPr>
              <w:t>是，退还时间：</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rPr>
            </w:pPr>
            <w:r>
              <w:rPr>
                <w:rFonts w:ascii="Times New Roman" w:hAnsi="Times New Roman"/>
              </w:rPr>
              <w:t>5.1</w:t>
            </w:r>
          </w:p>
        </w:tc>
        <w:tc>
          <w:tcPr>
            <w:tcW w:w="168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rPr>
            </w:pPr>
            <w:r>
              <w:rPr>
                <w:rFonts w:ascii="Times New Roman" w:hAnsi="Times New Roman"/>
              </w:rPr>
              <w:t>开标时间和地点</w:t>
            </w:r>
          </w:p>
        </w:tc>
        <w:tc>
          <w:tcPr>
            <w:tcW w:w="6467" w:type="dxa"/>
            <w:gridSpan w:val="2"/>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rPr>
            </w:pPr>
            <w:r>
              <w:rPr>
                <w:rFonts w:hint="eastAsia" w:ascii="Times New Roman" w:hAnsi="Times New Roman"/>
              </w:rPr>
              <w:t>开标时间：同投标截止时间</w:t>
            </w:r>
          </w:p>
          <w:p>
            <w:pPr>
              <w:spacing w:line="440" w:lineRule="exact"/>
              <w:rPr>
                <w:rFonts w:ascii="Times New Roman" w:hAnsi="Times New Roman"/>
              </w:rPr>
            </w:pPr>
            <w:r>
              <w:rPr>
                <w:rFonts w:hint="eastAsia" w:ascii="Times New Roman" w:hAnsi="Times New Roman"/>
              </w:rPr>
              <w:t>开标地点：广州公共资源交易中心数字交易平台进行网上开标。</w:t>
            </w:r>
          </w:p>
          <w:p>
            <w:pPr>
              <w:spacing w:line="440" w:lineRule="exact"/>
              <w:rPr>
                <w:rFonts w:ascii="Times New Roman" w:hAnsi="Times New Roman"/>
              </w:rPr>
            </w:pPr>
            <w:r>
              <w:rPr>
                <w:rFonts w:hint="eastAsia" w:ascii="Times New Roman" w:hAnsi="Times New Roman"/>
              </w:rPr>
              <w:t>具体时间可以到广州公共资源交易中心网站的服务指南中的交易活动安排输入本项目编号或项目名称进行查询。</w:t>
            </w:r>
          </w:p>
        </w:tc>
      </w:tr>
      <w:tr>
        <w:tblPrEx>
          <w:tblCellMar>
            <w:top w:w="0" w:type="dxa"/>
            <w:left w:w="108" w:type="dxa"/>
            <w:bottom w:w="0" w:type="dxa"/>
            <w:right w:w="108" w:type="dxa"/>
          </w:tblCellMar>
        </w:tblPrEx>
        <w:trPr>
          <w:trHeight w:val="381" w:hRule="atLeast"/>
        </w:trPr>
        <w:tc>
          <w:tcPr>
            <w:tcW w:w="1170"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rPr>
            </w:pPr>
            <w:r>
              <w:rPr>
                <w:rFonts w:ascii="Times New Roman" w:hAnsi="Times New Roman"/>
              </w:rPr>
              <w:t>5.2（</w:t>
            </w:r>
            <w:r>
              <w:rPr>
                <w:rFonts w:hint="eastAsia" w:ascii="Times New Roman" w:hAnsi="Times New Roman"/>
              </w:rPr>
              <w:t>4</w:t>
            </w:r>
            <w:r>
              <w:rPr>
                <w:rFonts w:ascii="Times New Roman" w:hAnsi="Times New Roman"/>
              </w:rPr>
              <w:t>）</w:t>
            </w:r>
          </w:p>
        </w:tc>
        <w:tc>
          <w:tcPr>
            <w:tcW w:w="1685" w:type="dxa"/>
            <w:tcBorders>
              <w:top w:val="single" w:color="auto" w:sz="4" w:space="0"/>
              <w:left w:val="single" w:color="auto" w:sz="4" w:space="0"/>
              <w:bottom w:val="nil"/>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电子开标的其他措施</w:t>
            </w:r>
          </w:p>
        </w:tc>
        <w:tc>
          <w:tcPr>
            <w:tcW w:w="6467" w:type="dxa"/>
            <w:gridSpan w:val="2"/>
            <w:tcBorders>
              <w:top w:val="single" w:color="auto" w:sz="4" w:space="0"/>
              <w:left w:val="single" w:color="auto" w:sz="4" w:space="0"/>
              <w:bottom w:val="nil"/>
              <w:right w:val="single" w:color="auto" w:sz="4" w:space="0"/>
            </w:tcBorders>
            <w:vAlign w:val="center"/>
          </w:tcPr>
          <w:p>
            <w:pPr>
              <w:spacing w:line="440" w:lineRule="exact"/>
              <w:rPr>
                <w:rFonts w:ascii="Times New Roman" w:hAnsi="Times New Roman"/>
              </w:rPr>
            </w:pPr>
            <w:r>
              <w:rPr>
                <w:rFonts w:hint="eastAsia" w:ascii="Times New Roman" w:hAnsi="Times New Roman"/>
              </w:rPr>
              <w:t>1.投标人在解密开始时间后30分钟内完成投标文件的解密工作，未能成功解密的投标人，视为放弃投标，符合下述第3点补救方案约定除外。</w:t>
            </w:r>
          </w:p>
          <w:p>
            <w:pPr>
              <w:spacing w:line="440" w:lineRule="exact"/>
              <w:rPr>
                <w:rFonts w:ascii="Times New Roman" w:hAnsi="Times New Roman"/>
              </w:rPr>
            </w:pPr>
            <w:r>
              <w:rPr>
                <w:rFonts w:hint="eastAsia" w:ascii="Times New Roman" w:hAnsi="Times New Roman"/>
              </w:rPr>
              <w:t>2.按照交易平台关于全流程电子化项目进行操作。</w:t>
            </w:r>
          </w:p>
          <w:p>
            <w:pPr>
              <w:spacing w:line="440" w:lineRule="exact"/>
              <w:rPr>
                <w:rFonts w:ascii="Times New Roman" w:hAnsi="Times New Roman"/>
              </w:rPr>
            </w:pPr>
            <w:r>
              <w:rPr>
                <w:rFonts w:hint="eastAsia" w:ascii="Times New Roman" w:hAnsi="Times New Roman"/>
              </w:rPr>
              <w:t>3.补救方案</w:t>
            </w:r>
          </w:p>
          <w:p>
            <w:pPr>
              <w:spacing w:line="440" w:lineRule="exact"/>
              <w:rPr>
                <w:rFonts w:ascii="Times New Roman" w:hAnsi="Times New Roman"/>
              </w:rPr>
            </w:pPr>
            <w:r>
              <w:rPr>
                <w:rFonts w:hint="eastAsia" w:ascii="Times New Roman" w:hAnsi="Times New Roman"/>
              </w:rPr>
              <w:t>（1）投标文件解密失败的补救方案：</w:t>
            </w:r>
          </w:p>
          <w:p>
            <w:pPr>
              <w:spacing w:line="440" w:lineRule="exact"/>
              <w:rPr>
                <w:rFonts w:ascii="Times New Roman" w:hAnsi="Times New Roman"/>
              </w:rPr>
            </w:pPr>
            <w:r>
              <w:rPr>
                <w:rFonts w:hint="eastAsia" w:ascii="Times New Roman" w:hAnsi="Times New Roman"/>
              </w:rPr>
              <w:t>在规定时间内，因投标人之外原因(指网络瘫痪、服务器损坏、交易系统故障短期无法恢复)导致的电子投标文件解密失败，在开标现场读取光盘或</w:t>
            </w:r>
            <w:r>
              <w:rPr>
                <w:rFonts w:ascii="Times New Roman" w:hAnsi="Times New Roman"/>
              </w:rPr>
              <w:t>U</w:t>
            </w:r>
            <w:r>
              <w:rPr>
                <w:rFonts w:hint="eastAsia" w:ascii="Times New Roman" w:hAnsi="Times New Roman"/>
              </w:rPr>
              <w:t>盘内容，继续开标程序。</w:t>
            </w:r>
          </w:p>
          <w:p>
            <w:pPr>
              <w:spacing w:line="440" w:lineRule="exact"/>
              <w:rPr>
                <w:rFonts w:ascii="Times New Roman" w:hAnsi="Times New Roman"/>
              </w:rPr>
            </w:pPr>
            <w:r>
              <w:rPr>
                <w:rFonts w:hint="eastAsia" w:ascii="Times New Roman" w:hAnsi="Times New Roman"/>
              </w:rPr>
              <w:t>（2）评标时突发情况的补救方案</w:t>
            </w:r>
          </w:p>
          <w:p>
            <w:pPr>
              <w:spacing w:line="440" w:lineRule="exact"/>
              <w:rPr>
                <w:rFonts w:ascii="Times New Roman" w:hAnsi="Times New Roman"/>
              </w:rPr>
            </w:pPr>
            <w:r>
              <w:rPr>
                <w:rFonts w:hint="eastAsia" w:ascii="Times New Roman" w:hAnsi="Times New Roman"/>
              </w:rPr>
              <w:t>若遇不可抗力发生（指网络瘫痪、服务器损坏、交易系统故障短期无法恢复等因素），评标委员会对其投标文件的评审以光盘或</w:t>
            </w:r>
            <w:r>
              <w:rPr>
                <w:rFonts w:ascii="Times New Roman" w:hAnsi="Times New Roman"/>
              </w:rPr>
              <w:t>U</w:t>
            </w:r>
            <w:r>
              <w:rPr>
                <w:rFonts w:hint="eastAsia" w:ascii="Times New Roman" w:hAnsi="Times New Roman"/>
              </w:rPr>
              <w:t>盘内容为准。</w:t>
            </w:r>
          </w:p>
          <w:p>
            <w:pPr>
              <w:spacing w:line="440" w:lineRule="exact"/>
              <w:rPr>
                <w:rFonts w:ascii="Times New Roman" w:hAnsi="Times New Roman"/>
              </w:rPr>
            </w:pPr>
            <w:r>
              <w:rPr>
                <w:rFonts w:hint="eastAsia" w:ascii="Times New Roman" w:hAnsi="Times New Roman"/>
              </w:rPr>
              <w:t>（3）除发生上述不可抗力情况外，其他原因导致投标文件损坏、解密失败或无法评审的情况，均视为投标人放弃投标。</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6.1.1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评标委员会的组建</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评标委员会构成：</w:t>
            </w:r>
            <w:r>
              <w:rPr>
                <w:rFonts w:hint="eastAsia" w:ascii="Times New Roman" w:hAnsi="Times New Roman"/>
                <w:u w:val="single"/>
              </w:rPr>
              <w:t xml:space="preserve"> 5</w:t>
            </w:r>
            <w:r>
              <w:rPr>
                <w:rFonts w:hint="eastAsia" w:ascii="Times New Roman" w:hAnsi="Times New Roman"/>
              </w:rPr>
              <w:t xml:space="preserve"> 人</w:t>
            </w:r>
          </w:p>
          <w:p>
            <w:pPr>
              <w:spacing w:line="440" w:lineRule="exact"/>
              <w:rPr>
                <w:rFonts w:ascii="Times New Roman" w:hAnsi="Times New Roman"/>
              </w:rPr>
            </w:pPr>
            <w:r>
              <w:rPr>
                <w:rFonts w:hint="eastAsia" w:ascii="Times New Roman" w:hAnsi="Times New Roman"/>
              </w:rPr>
              <w:t>其中招标人代表：</w:t>
            </w:r>
            <w:r>
              <w:rPr>
                <w:rFonts w:hint="eastAsia" w:ascii="Times New Roman" w:hAnsi="Times New Roman"/>
                <w:u w:val="single"/>
              </w:rPr>
              <w:t xml:space="preserve"> 1 </w:t>
            </w:r>
            <w:r>
              <w:rPr>
                <w:rFonts w:hint="eastAsia" w:ascii="Times New Roman" w:hAnsi="Times New Roman"/>
              </w:rPr>
              <w:t>人，专家</w:t>
            </w:r>
            <w:r>
              <w:rPr>
                <w:rFonts w:hint="eastAsia" w:ascii="Times New Roman" w:hAnsi="Times New Roman"/>
                <w:u w:val="single"/>
              </w:rPr>
              <w:t xml:space="preserve"> 4 </w:t>
            </w:r>
            <w:r>
              <w:rPr>
                <w:rFonts w:hint="eastAsia" w:ascii="Times New Roman" w:hAnsi="Times New Roman"/>
              </w:rPr>
              <w:t>人；</w:t>
            </w:r>
          </w:p>
          <w:p>
            <w:pPr>
              <w:spacing w:line="440" w:lineRule="exact"/>
              <w:rPr>
                <w:rFonts w:ascii="Times New Roman" w:hAnsi="Times New Roman"/>
              </w:rPr>
            </w:pPr>
            <w:r>
              <w:rPr>
                <w:rFonts w:ascii="Times New Roman" w:hAnsi="Times New Roman"/>
              </w:rPr>
              <w:t>评标专家确定方式：</w:t>
            </w:r>
            <w:r>
              <w:rPr>
                <w:rFonts w:hint="eastAsia" w:ascii="Times New Roman" w:hAnsi="Times New Roman"/>
              </w:rPr>
              <w:t>从符合法律法规的评标专家库中随机抽取</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6.3.2</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评标委员会推荐中标候选人的人数</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评标委员会推荐3名中标候选人，并标明排列顺序。</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中标候选人公示媒介及期限</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公示媒介</w:t>
            </w:r>
            <w:r>
              <w:rPr>
                <w:rFonts w:hint="eastAsia" w:ascii="Times New Roman" w:hAnsi="Times New Roman"/>
              </w:rPr>
              <w:t>（含网络媒介的网址）：同招标公告发布媒介，具体见第一章招标公告第</w:t>
            </w:r>
            <w:r>
              <w:rPr>
                <w:rFonts w:ascii="Times New Roman" w:hAnsi="Times New Roman"/>
              </w:rPr>
              <w:t>7</w:t>
            </w:r>
            <w:r>
              <w:rPr>
                <w:rFonts w:hint="eastAsia" w:ascii="Times New Roman" w:hAnsi="Times New Roman"/>
              </w:rPr>
              <w:t>条发布公告的媒介。</w:t>
            </w:r>
          </w:p>
          <w:p>
            <w:pPr>
              <w:spacing w:line="440" w:lineRule="exact"/>
              <w:rPr>
                <w:rFonts w:ascii="Times New Roman" w:hAnsi="Times New Roman"/>
              </w:rPr>
            </w:pPr>
            <w:r>
              <w:rPr>
                <w:rFonts w:ascii="Times New Roman" w:hAnsi="Times New Roman"/>
              </w:rPr>
              <w:t>公示期限：</w:t>
            </w:r>
            <w:r>
              <w:rPr>
                <w:rFonts w:hint="eastAsia" w:ascii="Times New Roman" w:hAnsi="Times New Roman"/>
                <w:u w:val="single"/>
              </w:rPr>
              <w:t>不少于3</w:t>
            </w:r>
            <w:r>
              <w:rPr>
                <w:rFonts w:ascii="Times New Roman" w:hAnsi="Times New Roman"/>
              </w:rPr>
              <w:t>日</w:t>
            </w:r>
          </w:p>
          <w:p>
            <w:pPr>
              <w:spacing w:line="440" w:lineRule="exact"/>
            </w:pPr>
            <w:r>
              <w:rPr>
                <w:rFonts w:hint="eastAsia" w:ascii="Times New Roman" w:hAnsi="Times New Roman"/>
              </w:rPr>
              <w:t>投标人或者其他利害关系人对评标结果有异议的，应当在中标候选人公示期间提出。招标人将在收到异议之日起</w:t>
            </w:r>
            <w:r>
              <w:rPr>
                <w:rFonts w:ascii="Times New Roman" w:hAnsi="Times New Roman"/>
              </w:rPr>
              <w:t>3</w:t>
            </w:r>
            <w:r>
              <w:rPr>
                <w:rFonts w:hint="eastAsia" w:ascii="Times New Roman" w:hAnsi="Times New Roman"/>
              </w:rPr>
              <w:t>日内作出答复；作出答复前，将暂停招标投标活动。</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7.4</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是否授权评标委员会确定中标人</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sz w:val="32"/>
              </w:rPr>
              <w:t>□</w:t>
            </w:r>
            <w:r>
              <w:rPr>
                <w:rFonts w:ascii="Times New Roman" w:hAnsi="Times New Roman"/>
              </w:rPr>
              <w:t>是</w:t>
            </w:r>
          </w:p>
          <w:p>
            <w:pPr>
              <w:spacing w:line="440" w:lineRule="exact"/>
              <w:rPr>
                <w:rFonts w:ascii="Times New Roman" w:hAnsi="Times New Roman"/>
              </w:rPr>
            </w:pPr>
            <w:r>
              <w:rPr>
                <w:rFonts w:ascii="Segoe UI Symbol" w:hAnsi="Segoe UI Symbol" w:cs="Segoe UI Symbol"/>
                <w:sz w:val="32"/>
              </w:rPr>
              <w:t>☑</w:t>
            </w:r>
            <w:r>
              <w:rPr>
                <w:rFonts w:ascii="Times New Roman" w:hAnsi="Times New Roman"/>
              </w:rPr>
              <w:t>否</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eastAsiaTheme="minorEastAsia"/>
              </w:rPr>
              <w:t>7.6</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eastAsiaTheme="minorEastAsia"/>
              </w:rPr>
              <w:t>技术成果经济补偿</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spacing w:line="440" w:lineRule="exact"/>
              <w:rPr>
                <w:rFonts w:ascii="Times New Roman" w:hAnsi="Times New Roman" w:eastAsiaTheme="minorEastAsia"/>
                <w:szCs w:val="21"/>
              </w:rPr>
            </w:pPr>
            <w:r>
              <w:rPr>
                <w:rFonts w:ascii="Segoe UI Symbol" w:hAnsi="Segoe UI Symbol" w:cs="Segoe UI Symbol"/>
                <w:sz w:val="32"/>
              </w:rPr>
              <w:t>☑</w:t>
            </w:r>
            <w:r>
              <w:rPr>
                <w:rFonts w:hint="eastAsia" w:ascii="Times New Roman" w:hAnsiTheme="minorEastAsia" w:eastAsiaTheme="minorEastAsia"/>
                <w:szCs w:val="21"/>
              </w:rPr>
              <w:t>不补偿</w:t>
            </w:r>
          </w:p>
          <w:p>
            <w:pPr>
              <w:spacing w:line="440" w:lineRule="exact"/>
              <w:rPr>
                <w:rFonts w:ascii="Times New Roman" w:hAnsi="Times New Roman"/>
                <w:sz w:val="32"/>
              </w:rPr>
            </w:pPr>
            <w:r>
              <w:rPr>
                <w:rFonts w:ascii="Times New Roman" w:hAnsi="Times New Roman"/>
                <w:sz w:val="32"/>
              </w:rPr>
              <w:t>□</w:t>
            </w:r>
            <w:r>
              <w:rPr>
                <w:rFonts w:hint="eastAsia" w:ascii="Times New Roman" w:hAnsiTheme="minorEastAsia" w:eastAsiaTheme="minorEastAsia"/>
                <w:szCs w:val="21"/>
              </w:rPr>
              <w:t>补偿，补偿标准：</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7.</w:t>
            </w:r>
            <w:r>
              <w:rPr>
                <w:rFonts w:hint="eastAsia" w:ascii="Times New Roman" w:hAnsi="Times New Roman"/>
              </w:rPr>
              <w:t>7</w:t>
            </w:r>
            <w:r>
              <w:rPr>
                <w:rFonts w:ascii="Times New Roman" w:hAnsi="Times New Roman"/>
              </w:rPr>
              <w:t>.1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履约保证金</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pStyle w:val="20"/>
              <w:topLinePunct/>
              <w:spacing w:line="440" w:lineRule="exact"/>
              <w:rPr>
                <w:rFonts w:ascii="Times New Roman" w:hAnsi="Times New Roman"/>
                <w:sz w:val="21"/>
                <w:szCs w:val="21"/>
              </w:rPr>
            </w:pPr>
            <w:r>
              <w:rPr>
                <w:rFonts w:hint="eastAsia" w:ascii="Times New Roman" w:hAnsi="Times New Roman"/>
                <w:sz w:val="21"/>
                <w:szCs w:val="21"/>
              </w:rPr>
              <w:t>履约担保的形式：由投标人自主选择采用现金(或支票)、或保函、或其他合法形式。</w:t>
            </w:r>
          </w:p>
          <w:p>
            <w:pPr>
              <w:pStyle w:val="20"/>
              <w:topLinePunct/>
              <w:spacing w:line="440" w:lineRule="exact"/>
              <w:rPr>
                <w:rFonts w:ascii="Times New Roman" w:hAnsi="Times New Roman"/>
                <w:sz w:val="21"/>
                <w:szCs w:val="21"/>
              </w:rPr>
            </w:pPr>
            <w:r>
              <w:rPr>
                <w:rFonts w:hint="eastAsia" w:ascii="Times New Roman" w:hAnsi="Times New Roman"/>
                <w:sz w:val="21"/>
                <w:szCs w:val="21"/>
              </w:rPr>
              <w:t>履约担保的金额：合同总价的10%。</w:t>
            </w:r>
          </w:p>
          <w:p>
            <w:pPr>
              <w:pStyle w:val="20"/>
              <w:topLinePunct/>
              <w:spacing w:line="440" w:lineRule="exact"/>
              <w:rPr>
                <w:rFonts w:ascii="Times New Roman" w:hAnsi="Times New Roman"/>
                <w:sz w:val="21"/>
                <w:szCs w:val="22"/>
              </w:rPr>
            </w:pPr>
            <w:r>
              <w:rPr>
                <w:rFonts w:hint="eastAsia" w:ascii="Times New Roman" w:hAnsi="Times New Roman"/>
                <w:sz w:val="21"/>
                <w:szCs w:val="21"/>
              </w:rPr>
              <w:t>采用银行保函时，出具履约担保的银行级别:投标人公司注册所在地的全国性国有商业银行或股份制商业银行的分支机构.</w:t>
            </w:r>
          </w:p>
        </w:tc>
      </w:tr>
      <w:tr>
        <w:tblPrEx>
          <w:tblCellMar>
            <w:top w:w="0" w:type="dxa"/>
            <w:left w:w="108" w:type="dxa"/>
            <w:bottom w:w="0" w:type="dxa"/>
            <w:right w:w="108" w:type="dxa"/>
          </w:tblCellMar>
        </w:tblPrEx>
        <w:trPr>
          <w:trHeight w:val="880" w:hRule="atLeast"/>
        </w:trPr>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9</w:t>
            </w:r>
          </w:p>
        </w:tc>
        <w:tc>
          <w:tcPr>
            <w:tcW w:w="16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eastAsiaTheme="minorEastAsia"/>
              </w:rPr>
              <w:t>是否采用电子招标投标</w:t>
            </w:r>
          </w:p>
        </w:tc>
        <w:tc>
          <w:tcPr>
            <w:tcW w:w="64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Theme="minorEastAsia"/>
              </w:rPr>
            </w:pPr>
            <w:r>
              <w:rPr>
                <w:rFonts w:ascii="Times New Roman" w:hAnsi="Times New Roman"/>
                <w:sz w:val="32"/>
              </w:rPr>
              <w:t>□</w:t>
            </w:r>
            <w:r>
              <w:rPr>
                <w:rFonts w:ascii="Times New Roman" w:hAnsi="Times New Roman" w:eastAsiaTheme="minorEastAsia"/>
              </w:rPr>
              <w:t>否</w:t>
            </w:r>
          </w:p>
          <w:p>
            <w:pPr>
              <w:spacing w:line="440" w:lineRule="exact"/>
              <w:rPr>
                <w:rFonts w:ascii="Times New Roman" w:hAnsi="Times New Roman"/>
                <w:sz w:val="32"/>
              </w:rPr>
            </w:pPr>
            <w:r>
              <w:rPr>
                <w:rFonts w:ascii="Segoe UI Symbol" w:hAnsi="Segoe UI Symbol" w:cs="Segoe UI Symbol"/>
                <w:sz w:val="32"/>
              </w:rPr>
              <w:t>☑</w:t>
            </w:r>
            <w:r>
              <w:rPr>
                <w:rFonts w:ascii="Times New Roman" w:hAnsi="Times New Roman" w:eastAsiaTheme="minorEastAsia"/>
              </w:rPr>
              <w:t>是，具体要求：</w:t>
            </w:r>
            <w:r>
              <w:rPr>
                <w:rFonts w:hint="eastAsia" w:ascii="Times New Roman" w:hAnsi="Times New Roman" w:eastAsiaTheme="minorEastAsia"/>
              </w:rPr>
              <w:t>按照交易平台关于全流程电子化项目的相关指南进行操作。</w:t>
            </w:r>
          </w:p>
        </w:tc>
      </w:tr>
      <w:tr>
        <w:tblPrEx>
          <w:tblCellMar>
            <w:top w:w="0" w:type="dxa"/>
            <w:left w:w="108" w:type="dxa"/>
            <w:bottom w:w="0" w:type="dxa"/>
            <w:right w:w="108" w:type="dxa"/>
          </w:tblCellMar>
        </w:tblPrEx>
        <w:trPr>
          <w:trHeight w:val="880" w:hRule="atLeast"/>
        </w:trPr>
        <w:tc>
          <w:tcPr>
            <w:tcW w:w="117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10</w:t>
            </w:r>
          </w:p>
        </w:tc>
        <w:tc>
          <w:tcPr>
            <w:tcW w:w="1685"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需要补充的其他内容</w:t>
            </w:r>
          </w:p>
        </w:tc>
        <w:tc>
          <w:tcPr>
            <w:tcW w:w="13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1澄清修改文件解释顺序</w:t>
            </w:r>
          </w:p>
        </w:tc>
        <w:tc>
          <w:tcPr>
            <w:tcW w:w="51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Cs w:val="21"/>
              </w:rPr>
            </w:pPr>
            <w:r>
              <w:rPr>
                <w:rFonts w:hint="eastAsia" w:ascii="Times New Roman" w:hAnsi="Times New Roman"/>
                <w:szCs w:val="21"/>
              </w:rPr>
              <w:t>对招标文件两次及以上的澄清、修改如有不一致之处，以日期在后的澄清或修改为准。</w:t>
            </w:r>
          </w:p>
        </w:tc>
      </w:tr>
      <w:tr>
        <w:tblPrEx>
          <w:tblCellMar>
            <w:top w:w="0" w:type="dxa"/>
            <w:left w:w="108" w:type="dxa"/>
            <w:bottom w:w="0" w:type="dxa"/>
            <w:right w:w="108" w:type="dxa"/>
          </w:tblCellMar>
        </w:tblPrEx>
        <w:trPr>
          <w:trHeight w:val="880" w:hRule="atLeast"/>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heme="minorEastAsia" w:hAnsiTheme="minorEastAsia" w:eastAsiaTheme="minorEastAsia"/>
                <w:szCs w:val="21"/>
              </w:rPr>
              <w:t>10.</w:t>
            </w:r>
            <w:r>
              <w:rPr>
                <w:rFonts w:hint="eastAsia" w:asciiTheme="minorEastAsia" w:hAnsiTheme="minorEastAsia" w:eastAsiaTheme="minorEastAsia"/>
                <w:szCs w:val="21"/>
              </w:rPr>
              <w:t>2异议和投诉</w:t>
            </w:r>
          </w:p>
        </w:tc>
        <w:tc>
          <w:tcPr>
            <w:tcW w:w="51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32"/>
              </w:rPr>
            </w:pPr>
            <w:r>
              <w:rPr>
                <w:rFonts w:hint="eastAsia" w:ascii="Times New Roman" w:hAnsi="Times New Roman"/>
                <w:szCs w:val="21"/>
              </w:rPr>
              <w:t>评标委员会确定中标候选人后，对中标候选人进行公示，在公示期间，按照《中华人民共和国招标投标法实施条例》和《工程建设项目招标投标活动投诉处理办法》（七部委第11号令，2004年6月21日颁布）的规定受理异议和投诉。</w:t>
            </w:r>
          </w:p>
        </w:tc>
      </w:tr>
      <w:tr>
        <w:tblPrEx>
          <w:tblCellMar>
            <w:top w:w="0" w:type="dxa"/>
            <w:left w:w="108" w:type="dxa"/>
            <w:bottom w:w="0" w:type="dxa"/>
            <w:right w:w="108" w:type="dxa"/>
          </w:tblCellMar>
        </w:tblPrEx>
        <w:trPr>
          <w:trHeight w:val="880" w:hRule="atLeast"/>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10.3</w:t>
            </w:r>
          </w:p>
        </w:tc>
        <w:tc>
          <w:tcPr>
            <w:tcW w:w="51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本项目招标文件、招标答疑会议纪要和中标人的投标承诺是双方签订合同的依据，中标人在签订合同时对上述文件有异议，不愿遵照执行，除被取消中标资格，赔偿经济损失外，招标人将上报市招标管理机构对其作进一步处理。</w:t>
            </w:r>
          </w:p>
        </w:tc>
      </w:tr>
      <w:tr>
        <w:tblPrEx>
          <w:tblCellMar>
            <w:top w:w="0" w:type="dxa"/>
            <w:left w:w="108" w:type="dxa"/>
            <w:bottom w:w="0" w:type="dxa"/>
            <w:right w:w="108" w:type="dxa"/>
          </w:tblCellMar>
        </w:tblPrEx>
        <w:trPr>
          <w:trHeight w:val="880" w:hRule="atLeast"/>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10.4</w:t>
            </w:r>
          </w:p>
        </w:tc>
        <w:tc>
          <w:tcPr>
            <w:tcW w:w="51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中标人在中标后需向招标人提供纸质版的投标文件4套。</w:t>
            </w:r>
          </w:p>
        </w:tc>
      </w:tr>
      <w:tr>
        <w:tblPrEx>
          <w:tblCellMar>
            <w:top w:w="0" w:type="dxa"/>
            <w:left w:w="108" w:type="dxa"/>
            <w:bottom w:w="0" w:type="dxa"/>
            <w:right w:w="108" w:type="dxa"/>
          </w:tblCellMar>
        </w:tblPrEx>
        <w:trPr>
          <w:trHeight w:val="880" w:hRule="atLeast"/>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heme="minorEastAsia" w:hAnsiTheme="minorEastAsia" w:eastAsiaTheme="minorEastAsia"/>
                <w:szCs w:val="21"/>
              </w:rPr>
              <w:t>10.</w:t>
            </w:r>
            <w:r>
              <w:rPr>
                <w:rFonts w:hint="eastAsia" w:asciiTheme="minorEastAsia" w:hAnsiTheme="minorEastAsia" w:eastAsiaTheme="minorEastAsia"/>
                <w:szCs w:val="21"/>
              </w:rPr>
              <w:t>5重新招标</w:t>
            </w:r>
          </w:p>
        </w:tc>
        <w:tc>
          <w:tcPr>
            <w:tcW w:w="512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Times New Roman" w:hAnsi="Times New Roman"/>
              </w:rPr>
            </w:pPr>
            <w:r>
              <w:rPr>
                <w:rFonts w:hint="eastAsia" w:ascii="Times New Roman" w:hAnsi="Times New Roman"/>
              </w:rPr>
              <w:t>有下列情形之一的，招标人将重新招标：</w:t>
            </w:r>
          </w:p>
          <w:p>
            <w:pPr>
              <w:snapToGrid w:val="0"/>
              <w:spacing w:line="440" w:lineRule="exact"/>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）投标截止时间止，投标人少于</w:t>
            </w:r>
            <w:r>
              <w:rPr>
                <w:rFonts w:ascii="Times New Roman" w:hAnsi="Times New Roman"/>
              </w:rPr>
              <w:t>3</w:t>
            </w:r>
            <w:r>
              <w:rPr>
                <w:rFonts w:hint="eastAsia" w:ascii="Times New Roman" w:hAnsi="Times New Roman"/>
              </w:rPr>
              <w:t>个的；</w:t>
            </w:r>
          </w:p>
          <w:p>
            <w:pPr>
              <w:spacing w:line="440" w:lineRule="exact"/>
              <w:rPr>
                <w:rFonts w:ascii="Times New Roman" w:hAnsi="Times New Roman"/>
                <w:sz w:val="32"/>
              </w:rPr>
            </w:pPr>
            <w:r>
              <w:rPr>
                <w:rFonts w:hint="eastAsia" w:ascii="Times New Roman" w:hAnsi="Times New Roman"/>
              </w:rPr>
              <w:t>（</w:t>
            </w:r>
            <w:r>
              <w:rPr>
                <w:rFonts w:ascii="Times New Roman" w:hAnsi="Times New Roman"/>
              </w:rPr>
              <w:t>2</w:t>
            </w:r>
            <w:r>
              <w:rPr>
                <w:rFonts w:hint="eastAsia" w:ascii="Times New Roman" w:hAnsi="Times New Roman"/>
              </w:rPr>
              <w:t>）经评标委员会评审后否决所有投标的。</w:t>
            </w:r>
          </w:p>
        </w:tc>
      </w:tr>
      <w:tr>
        <w:tblPrEx>
          <w:tblCellMar>
            <w:top w:w="0" w:type="dxa"/>
            <w:left w:w="108" w:type="dxa"/>
            <w:bottom w:w="0" w:type="dxa"/>
            <w:right w:w="108" w:type="dxa"/>
          </w:tblCellMar>
        </w:tblPrEx>
        <w:trPr>
          <w:trHeight w:val="880" w:hRule="atLeast"/>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heme="minorEastAsia" w:hAnsiTheme="minorEastAsia" w:eastAsiaTheme="minorEastAsia"/>
                <w:szCs w:val="21"/>
              </w:rPr>
              <w:t>10.</w:t>
            </w:r>
            <w:r>
              <w:rPr>
                <w:rFonts w:hint="eastAsia" w:asciiTheme="minorEastAsia" w:hAnsiTheme="minorEastAsia" w:eastAsiaTheme="minorEastAsia"/>
                <w:szCs w:val="21"/>
              </w:rPr>
              <w:t>6不再招标</w:t>
            </w:r>
          </w:p>
        </w:tc>
        <w:tc>
          <w:tcPr>
            <w:tcW w:w="51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32"/>
              </w:rPr>
            </w:pPr>
            <w:r>
              <w:rPr>
                <w:rFonts w:hint="eastAsia" w:ascii="Times New Roman" w:hAnsi="Times New Roman"/>
                <w:szCs w:val="21"/>
              </w:rPr>
              <w:t>招标过程中如需改变核准的招标方式和招标范围，应当按程序重新向原项目审批部门申报，经审查批准调整招标方式或者不再进行招标。</w:t>
            </w:r>
          </w:p>
        </w:tc>
      </w:tr>
      <w:tr>
        <w:tblPrEx>
          <w:tblCellMar>
            <w:top w:w="0" w:type="dxa"/>
            <w:left w:w="108" w:type="dxa"/>
            <w:bottom w:w="0" w:type="dxa"/>
            <w:right w:w="108" w:type="dxa"/>
          </w:tblCellMar>
        </w:tblPrEx>
        <w:trPr>
          <w:trHeight w:val="4414" w:hRule="atLeast"/>
        </w:trPr>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68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34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7相关费用</w:t>
            </w:r>
          </w:p>
        </w:tc>
        <w:tc>
          <w:tcPr>
            <w:tcW w:w="512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Cs w:val="21"/>
              </w:rPr>
            </w:pPr>
            <w:r>
              <w:rPr>
                <w:rFonts w:hint="eastAsia" w:ascii="Times New Roman" w:hAnsi="Times New Roman"/>
                <w:szCs w:val="21"/>
              </w:rPr>
              <w:t>1.中标人应向广州公共资源交易中心支付“交易服务费”。操作方式详见关于公共资源交易服务费标准及相关指引的说明（http://www.gzggzy.cn/fwznbszycwxg/850378.jhtml）。</w:t>
            </w:r>
          </w:p>
          <w:p>
            <w:pPr>
              <w:spacing w:line="440" w:lineRule="exact"/>
              <w:rPr>
                <w:rFonts w:ascii="Times New Roman" w:hAnsi="Times New Roman"/>
                <w:szCs w:val="21"/>
              </w:rPr>
            </w:pPr>
            <w:r>
              <w:rPr>
                <w:rFonts w:hint="eastAsia" w:ascii="Times New Roman" w:hAnsi="Times New Roman"/>
                <w:szCs w:val="21"/>
              </w:rPr>
              <w:t>2.招标代理服务费：中标人应向招标代理机构缴纳招标代理服务费，该费用以中标金额为基数，按国家发展计划委员会颁发的计价格[2002]1980号附件《招标代理服务收费管理暂行办法》规定的差额定率累进法下浮30%计算。该费用应在领取中标通知书前以现金、电汇、本地支票、全国统一汇票一次性交纳。招标代理服务费包含在投标总价内，但不在投标报价中单列，以人民币支付。</w:t>
            </w:r>
          </w:p>
        </w:tc>
      </w:tr>
    </w:tbl>
    <w:p>
      <w:pPr>
        <w:spacing w:line="440" w:lineRule="exact"/>
        <w:rPr>
          <w:rFonts w:ascii="Times New Roman" w:hAnsi="Times New Roman"/>
        </w:rPr>
      </w:pPr>
      <w:r>
        <w:rPr>
          <w:rFonts w:ascii="Times New Roman" w:hAnsi="Times New Roman"/>
        </w:rPr>
        <w:br w:type="page"/>
      </w:r>
    </w:p>
    <w:p>
      <w:pPr>
        <w:pStyle w:val="9"/>
        <w:spacing w:line="440" w:lineRule="exact"/>
        <w:rPr>
          <w:rFonts w:ascii="Times New Roman" w:hAnsi="Times New Roman"/>
        </w:rPr>
      </w:pPr>
      <w:bookmarkStart w:id="54" w:name="_Toc30050"/>
      <w:r>
        <w:rPr>
          <w:rFonts w:ascii="Times New Roman" w:hAnsi="Times New Roman"/>
        </w:rPr>
        <w:t>1. 总则</w:t>
      </w:r>
      <w:bookmarkEnd w:id="54"/>
    </w:p>
    <w:p>
      <w:pPr>
        <w:pStyle w:val="10"/>
        <w:spacing w:line="440" w:lineRule="exact"/>
        <w:ind w:firstLine="137"/>
        <w:rPr>
          <w:rFonts w:ascii="Times New Roman" w:hAnsi="Times New Roman"/>
        </w:rPr>
      </w:pPr>
      <w:r>
        <w:rPr>
          <w:rFonts w:ascii="Times New Roman" w:hAnsi="Times New Roman"/>
        </w:rPr>
        <w:t xml:space="preserve">1.1 </w:t>
      </w:r>
      <w:r>
        <w:rPr>
          <w:rFonts w:hint="eastAsia" w:ascii="Times New Roman" w:hAnsi="Times New Roman"/>
        </w:rPr>
        <w:t>招标项目概况</w:t>
      </w:r>
    </w:p>
    <w:p>
      <w:pPr>
        <w:spacing w:line="440" w:lineRule="exact"/>
        <w:ind w:firstLine="420" w:firstLineChars="200"/>
        <w:rPr>
          <w:rFonts w:ascii="Times New Roman" w:hAnsi="Times New Roman"/>
        </w:rPr>
      </w:pPr>
      <w:r>
        <w:rPr>
          <w:rFonts w:ascii="Times New Roman" w:hAnsi="Times New Roman"/>
        </w:rPr>
        <w:t>1.1.1根据《中华人民共和国招标投标法》、《中华人民共和国招标投标法实施条例》等有关法律、法规和规章的规定，本招标项目已具备招标条件，现对</w:t>
      </w:r>
      <w:r>
        <w:rPr>
          <w:rFonts w:hint="eastAsia" w:ascii="Times New Roman" w:hAnsi="Times New Roman"/>
        </w:rPr>
        <w:t>本项目</w:t>
      </w:r>
      <w:r>
        <w:rPr>
          <w:rFonts w:ascii="Times New Roman" w:hAnsi="Times New Roman"/>
        </w:rPr>
        <w:t>进行招标。</w:t>
      </w:r>
    </w:p>
    <w:p>
      <w:pPr>
        <w:spacing w:line="440" w:lineRule="exact"/>
        <w:ind w:firstLine="420" w:firstLineChars="200"/>
        <w:rPr>
          <w:rFonts w:ascii="Times New Roman" w:hAnsi="Times New Roman"/>
        </w:rPr>
      </w:pPr>
      <w:r>
        <w:rPr>
          <w:rFonts w:ascii="Times New Roman" w:hAnsi="Times New Roman"/>
        </w:rPr>
        <w:t>1.1.2 招标人：见投标人须知前附表。</w:t>
      </w:r>
    </w:p>
    <w:p>
      <w:pPr>
        <w:spacing w:line="440" w:lineRule="exact"/>
        <w:ind w:firstLine="420" w:firstLineChars="200"/>
        <w:rPr>
          <w:rFonts w:ascii="Times New Roman" w:hAnsi="Times New Roman"/>
        </w:rPr>
      </w:pPr>
      <w:r>
        <w:rPr>
          <w:rFonts w:ascii="Times New Roman" w:hAnsi="Times New Roman"/>
        </w:rPr>
        <w:t>1.1.3 招标代理机构：见投标人须知前附表。</w:t>
      </w:r>
    </w:p>
    <w:p>
      <w:pPr>
        <w:spacing w:line="440" w:lineRule="exact"/>
        <w:ind w:firstLine="420" w:firstLineChars="200"/>
        <w:rPr>
          <w:rFonts w:ascii="Times New Roman" w:hAnsi="Times New Roman"/>
        </w:rPr>
      </w:pPr>
      <w:r>
        <w:rPr>
          <w:rFonts w:ascii="Times New Roman" w:hAnsi="Times New Roman"/>
        </w:rPr>
        <w:t>1.1.4 招标项目名称：见投标人须知前附表。</w:t>
      </w:r>
    </w:p>
    <w:p>
      <w:pPr>
        <w:spacing w:line="440" w:lineRule="exact"/>
        <w:ind w:firstLine="420" w:firstLineChars="200"/>
        <w:rPr>
          <w:rFonts w:ascii="Times New Roman" w:hAnsi="Times New Roman"/>
        </w:rPr>
      </w:pPr>
      <w:r>
        <w:rPr>
          <w:rFonts w:ascii="Times New Roman" w:hAnsi="Times New Roman"/>
        </w:rPr>
        <w:t>1.1.5 项目建设地点：见投标人须知前附表。</w:t>
      </w:r>
    </w:p>
    <w:p>
      <w:pPr>
        <w:spacing w:line="440" w:lineRule="exact"/>
        <w:ind w:firstLine="420" w:firstLineChars="200"/>
        <w:rPr>
          <w:rFonts w:ascii="Times New Roman" w:hAnsi="Times New Roman"/>
        </w:rPr>
      </w:pPr>
      <w:r>
        <w:rPr>
          <w:rFonts w:ascii="Times New Roman" w:hAnsi="Times New Roman"/>
        </w:rPr>
        <w:t>1.1.6 项目建设规模：见投标人须知前附表。</w:t>
      </w:r>
    </w:p>
    <w:p>
      <w:pPr>
        <w:spacing w:line="440" w:lineRule="exact"/>
        <w:ind w:firstLine="420" w:firstLineChars="200"/>
        <w:rPr>
          <w:rFonts w:ascii="Times New Roman" w:hAnsi="Times New Roman"/>
        </w:rPr>
      </w:pPr>
      <w:r>
        <w:rPr>
          <w:rFonts w:ascii="Times New Roman" w:hAnsi="Times New Roman"/>
        </w:rPr>
        <w:t>1.1.7 项目投资估算：见投标人须知前附表。</w:t>
      </w:r>
    </w:p>
    <w:p>
      <w:pPr>
        <w:pStyle w:val="10"/>
        <w:spacing w:line="440" w:lineRule="exact"/>
        <w:ind w:firstLine="137"/>
        <w:rPr>
          <w:rFonts w:ascii="Times New Roman" w:hAnsi="Times New Roman"/>
        </w:rPr>
      </w:pPr>
      <w:r>
        <w:rPr>
          <w:rFonts w:ascii="Times New Roman" w:hAnsi="Times New Roman"/>
        </w:rPr>
        <w:t xml:space="preserve">1.2 </w:t>
      </w:r>
      <w:r>
        <w:rPr>
          <w:rFonts w:hint="eastAsia" w:ascii="Times New Roman" w:hAnsi="Times New Roman"/>
        </w:rPr>
        <w:t>招标项目的资金来源和落实情况</w:t>
      </w:r>
    </w:p>
    <w:p>
      <w:pPr>
        <w:spacing w:line="440" w:lineRule="exact"/>
        <w:ind w:firstLine="420" w:firstLineChars="200"/>
        <w:rPr>
          <w:rFonts w:ascii="Times New Roman" w:hAnsi="Times New Roman"/>
        </w:rPr>
      </w:pPr>
      <w:r>
        <w:rPr>
          <w:rFonts w:ascii="Times New Roman" w:hAnsi="Times New Roman"/>
        </w:rPr>
        <w:t>1.2.1 资金来源及比例：见投标人须知前附表。</w:t>
      </w:r>
    </w:p>
    <w:p>
      <w:pPr>
        <w:spacing w:line="440" w:lineRule="exact"/>
        <w:ind w:firstLine="420" w:firstLineChars="200"/>
        <w:rPr>
          <w:rFonts w:ascii="Times New Roman" w:hAnsi="Times New Roman"/>
        </w:rPr>
      </w:pPr>
      <w:r>
        <w:rPr>
          <w:rFonts w:ascii="Times New Roman" w:hAnsi="Times New Roman"/>
        </w:rPr>
        <w:t>1.2.2 资金落实情况：见投标人须知前附表。</w:t>
      </w:r>
    </w:p>
    <w:p>
      <w:pPr>
        <w:pStyle w:val="10"/>
        <w:spacing w:line="440" w:lineRule="exact"/>
        <w:ind w:firstLine="137"/>
        <w:rPr>
          <w:rFonts w:ascii="Times New Roman" w:hAnsi="Times New Roman"/>
        </w:rPr>
      </w:pPr>
      <w:r>
        <w:rPr>
          <w:rFonts w:ascii="Times New Roman" w:hAnsi="Times New Roman"/>
        </w:rPr>
        <w:t>1.3</w:t>
      </w:r>
      <w:r>
        <w:rPr>
          <w:rFonts w:hint="eastAsia" w:ascii="Times New Roman" w:hAnsi="Times New Roman"/>
        </w:rPr>
        <w:t>招标范围、服务期限和质量标准</w:t>
      </w:r>
    </w:p>
    <w:p>
      <w:pPr>
        <w:spacing w:line="440" w:lineRule="exact"/>
        <w:ind w:firstLine="420" w:firstLineChars="200"/>
        <w:rPr>
          <w:rFonts w:ascii="Times New Roman" w:hAnsi="Times New Roman"/>
        </w:rPr>
      </w:pPr>
      <w:r>
        <w:rPr>
          <w:rFonts w:ascii="Times New Roman" w:hAnsi="Times New Roman"/>
        </w:rPr>
        <w:t>1.3.1 招标范围：见投标人须知前附表。</w:t>
      </w:r>
    </w:p>
    <w:p>
      <w:pPr>
        <w:spacing w:line="440" w:lineRule="exact"/>
        <w:ind w:firstLine="420" w:firstLineChars="200"/>
        <w:rPr>
          <w:rFonts w:ascii="Times New Roman" w:hAnsi="Times New Roman"/>
        </w:rPr>
      </w:pPr>
      <w:r>
        <w:rPr>
          <w:rFonts w:ascii="Times New Roman" w:hAnsi="Times New Roman"/>
        </w:rPr>
        <w:t>1.3.2</w:t>
      </w:r>
      <w:r>
        <w:rPr>
          <w:rFonts w:hint="eastAsia" w:ascii="Times New Roman" w:hAnsi="Times New Roman"/>
        </w:rPr>
        <w:t xml:space="preserve"> </w:t>
      </w:r>
      <w:r>
        <w:rPr>
          <w:rFonts w:ascii="Times New Roman" w:hAnsi="Times New Roman"/>
        </w:rPr>
        <w:t>服务期限：见投标人须知前附表。</w:t>
      </w:r>
    </w:p>
    <w:p>
      <w:pPr>
        <w:spacing w:line="440" w:lineRule="exact"/>
        <w:ind w:firstLine="420" w:firstLineChars="200"/>
        <w:rPr>
          <w:rFonts w:ascii="Times New Roman" w:hAnsi="Times New Roman"/>
        </w:rPr>
      </w:pPr>
      <w:r>
        <w:rPr>
          <w:rFonts w:ascii="Times New Roman" w:hAnsi="Times New Roman"/>
        </w:rPr>
        <w:t>1.3.3 质量标准：见投标人须知前附表。</w:t>
      </w:r>
    </w:p>
    <w:p>
      <w:pPr>
        <w:pStyle w:val="10"/>
        <w:spacing w:line="440" w:lineRule="exact"/>
        <w:ind w:firstLine="137"/>
        <w:rPr>
          <w:rFonts w:ascii="Times New Roman" w:hAnsi="Times New Roman"/>
        </w:rPr>
      </w:pPr>
      <w:r>
        <w:rPr>
          <w:rFonts w:ascii="Times New Roman" w:hAnsi="Times New Roman"/>
        </w:rPr>
        <w:t>1.4</w:t>
      </w:r>
      <w:r>
        <w:rPr>
          <w:rFonts w:hint="eastAsia" w:ascii="Times New Roman" w:hAnsi="Times New Roman"/>
        </w:rPr>
        <w:t>投标人资格要求</w:t>
      </w:r>
    </w:p>
    <w:p>
      <w:pPr>
        <w:spacing w:line="440" w:lineRule="exact"/>
        <w:ind w:firstLine="420" w:firstLineChars="200"/>
        <w:rPr>
          <w:rFonts w:ascii="Times New Roman" w:hAnsi="Times New Roman"/>
        </w:rPr>
      </w:pPr>
      <w:r>
        <w:rPr>
          <w:rFonts w:ascii="Times New Roman" w:hAnsi="Times New Roman"/>
        </w:rPr>
        <w:t>1.4.1 投标人应具备承担本招标项目资质条件、能力和信誉：</w:t>
      </w:r>
    </w:p>
    <w:p>
      <w:pPr>
        <w:spacing w:line="440" w:lineRule="exact"/>
        <w:ind w:firstLine="315" w:firstLineChars="150"/>
        <w:rPr>
          <w:rFonts w:ascii="Times New Roman" w:hAnsi="Times New Roman"/>
        </w:rPr>
      </w:pPr>
      <w:r>
        <w:rPr>
          <w:rFonts w:ascii="Times New Roman" w:hAnsi="Times New Roman"/>
        </w:rPr>
        <w:t>（1）资质要求：见投标人须知前附表；</w:t>
      </w:r>
    </w:p>
    <w:p>
      <w:pPr>
        <w:spacing w:line="440" w:lineRule="exact"/>
        <w:ind w:firstLine="315" w:firstLineChars="150"/>
        <w:rPr>
          <w:rFonts w:ascii="Times New Roman" w:hAnsi="Times New Roman"/>
        </w:rPr>
      </w:pPr>
      <w:r>
        <w:rPr>
          <w:rFonts w:ascii="Times New Roman" w:hAnsi="Times New Roman"/>
        </w:rPr>
        <w:t>（2）财务要求：见投标人须知前附表；</w:t>
      </w:r>
    </w:p>
    <w:p>
      <w:pPr>
        <w:spacing w:line="440" w:lineRule="exact"/>
        <w:ind w:firstLine="315" w:firstLineChars="150"/>
        <w:rPr>
          <w:rFonts w:ascii="Times New Roman" w:hAnsi="Times New Roman"/>
        </w:rPr>
      </w:pPr>
      <w:r>
        <w:rPr>
          <w:rFonts w:ascii="Times New Roman" w:hAnsi="Times New Roman"/>
        </w:rPr>
        <w:t>（3）业绩要求：见投标人须知前附表；</w:t>
      </w:r>
    </w:p>
    <w:p>
      <w:pPr>
        <w:spacing w:line="440" w:lineRule="exact"/>
        <w:ind w:firstLine="315" w:firstLineChars="150"/>
        <w:rPr>
          <w:rFonts w:ascii="Times New Roman" w:hAnsi="Times New Roman"/>
        </w:rPr>
      </w:pPr>
      <w:r>
        <w:rPr>
          <w:rFonts w:ascii="Times New Roman" w:hAnsi="Times New Roman"/>
        </w:rPr>
        <w:t>（4）信誉要求：见投标人须知前附表；</w:t>
      </w:r>
    </w:p>
    <w:p>
      <w:pPr>
        <w:spacing w:line="440" w:lineRule="exact"/>
        <w:ind w:firstLine="315" w:firstLineChars="150"/>
        <w:rPr>
          <w:rFonts w:ascii="Times New Roman" w:hAnsi="Times New Roman"/>
        </w:rPr>
      </w:pPr>
      <w:r>
        <w:rPr>
          <w:rFonts w:ascii="Times New Roman" w:hAnsi="Times New Roman"/>
        </w:rPr>
        <w:t>（5）项目负责人的资格要求：</w:t>
      </w:r>
      <w:r>
        <w:rPr>
          <w:rFonts w:hint="eastAsia" w:ascii="Times New Roman" w:hAnsi="Times New Roman"/>
        </w:rPr>
        <w:t>具体要求</w:t>
      </w:r>
      <w:r>
        <w:rPr>
          <w:rFonts w:ascii="Times New Roman" w:hAnsi="Times New Roman"/>
        </w:rPr>
        <w:t>见投标人须知前附表；</w:t>
      </w:r>
    </w:p>
    <w:p>
      <w:pPr>
        <w:spacing w:line="440" w:lineRule="exact"/>
        <w:ind w:firstLine="315" w:firstLineChars="150"/>
        <w:rPr>
          <w:rFonts w:ascii="Times New Roman" w:hAnsi="Times New Roman"/>
        </w:rPr>
      </w:pPr>
      <w:r>
        <w:rPr>
          <w:rFonts w:hint="eastAsia" w:ascii="Times New Roman" w:hAnsi="Times New Roman"/>
        </w:rPr>
        <w:t>（6）其他主要人员要求：</w:t>
      </w:r>
      <w:r>
        <w:rPr>
          <w:rFonts w:ascii="Times New Roman" w:hAnsi="Times New Roman"/>
        </w:rPr>
        <w:t>见投标人须知前附表。</w:t>
      </w:r>
    </w:p>
    <w:p>
      <w:pPr>
        <w:spacing w:line="440" w:lineRule="exact"/>
        <w:ind w:firstLine="315" w:firstLineChars="150"/>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）其他要求：见投标人须知前附表。</w:t>
      </w:r>
    </w:p>
    <w:p>
      <w:pPr>
        <w:spacing w:line="440" w:lineRule="exact"/>
        <w:ind w:firstLine="420" w:firstLineChars="200"/>
        <w:rPr>
          <w:rFonts w:ascii="Times New Roman" w:hAnsi="Times New Roman"/>
        </w:rPr>
      </w:pPr>
      <w:r>
        <w:rPr>
          <w:rFonts w:ascii="Times New Roman" w:hAnsi="Times New Roman"/>
        </w:rPr>
        <w:t>需要提交的相关证明材料见本章第3.5款的规定。</w:t>
      </w:r>
    </w:p>
    <w:p>
      <w:pPr>
        <w:spacing w:line="44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pPr>
        <w:spacing w:line="44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pPr>
        <w:spacing w:line="44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pPr>
        <w:spacing w:line="440" w:lineRule="exact"/>
        <w:ind w:firstLine="315" w:firstLineChars="150"/>
        <w:rPr>
          <w:rFonts w:ascii="Times New Roman" w:hAnsi="Times New Roman"/>
        </w:rPr>
      </w:pPr>
      <w:r>
        <w:rPr>
          <w:rFonts w:ascii="Times New Roman" w:hAnsi="Times New Roman"/>
        </w:rPr>
        <w:t>（3）联合体各方不得再以自己名义单独或参加其他联合体在本招标项目中投标，否则各相关投标均无效。</w:t>
      </w:r>
    </w:p>
    <w:p>
      <w:pPr>
        <w:spacing w:line="440" w:lineRule="exact"/>
        <w:ind w:firstLine="420" w:firstLineChars="200"/>
        <w:rPr>
          <w:rFonts w:ascii="Times New Roman" w:hAnsi="Times New Roman"/>
          <w:szCs w:val="21"/>
        </w:rPr>
      </w:pPr>
      <w:r>
        <w:rPr>
          <w:rFonts w:ascii="Times New Roman" w:hAnsi="Times New Roman"/>
          <w:szCs w:val="21"/>
        </w:rPr>
        <w:t>1.4.3 投标人不得存在下列情形之一：</w:t>
      </w:r>
    </w:p>
    <w:p>
      <w:pPr>
        <w:spacing w:line="44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pPr>
        <w:spacing w:line="44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pPr>
        <w:spacing w:line="44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pPr>
        <w:spacing w:line="44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pPr>
        <w:spacing w:line="440" w:lineRule="exact"/>
        <w:ind w:firstLine="420" w:firstLineChars="200"/>
        <w:rPr>
          <w:rFonts w:ascii="Times New Roman" w:hAnsi="Times New Roman"/>
          <w:szCs w:val="21"/>
        </w:rPr>
      </w:pPr>
      <w:r>
        <w:rPr>
          <w:rFonts w:ascii="Times New Roman" w:hAnsi="Times New Roman"/>
          <w:szCs w:val="21"/>
        </w:rPr>
        <w:t>（5）为本招标项目的代建人；</w:t>
      </w:r>
    </w:p>
    <w:p>
      <w:pPr>
        <w:spacing w:line="440" w:lineRule="exact"/>
        <w:ind w:firstLine="420" w:firstLineChars="200"/>
        <w:rPr>
          <w:rFonts w:ascii="Times New Roman" w:hAnsi="Times New Roman"/>
          <w:szCs w:val="21"/>
        </w:rPr>
      </w:pPr>
      <w:r>
        <w:rPr>
          <w:rFonts w:ascii="Times New Roman" w:hAnsi="Times New Roman"/>
          <w:szCs w:val="21"/>
        </w:rPr>
        <w:t>（6）为本招标项目的招标代理机构；</w:t>
      </w:r>
    </w:p>
    <w:p>
      <w:pPr>
        <w:spacing w:line="440" w:lineRule="exact"/>
        <w:ind w:firstLine="420" w:firstLineChars="200"/>
        <w:rPr>
          <w:rFonts w:ascii="Times New Roman" w:hAnsi="Times New Roman"/>
          <w:szCs w:val="21"/>
        </w:rPr>
      </w:pPr>
      <w:r>
        <w:rPr>
          <w:rFonts w:ascii="Times New Roman" w:hAnsi="Times New Roman"/>
          <w:szCs w:val="21"/>
        </w:rPr>
        <w:t>（7）与本招标项目的代建人或招标代理机构同为一个法定代表人；</w:t>
      </w:r>
    </w:p>
    <w:p>
      <w:pPr>
        <w:spacing w:line="440" w:lineRule="exact"/>
        <w:ind w:firstLine="420" w:firstLineChars="200"/>
        <w:rPr>
          <w:rFonts w:ascii="Times New Roman" w:hAnsi="Times New Roman"/>
          <w:szCs w:val="21"/>
        </w:rPr>
      </w:pPr>
      <w:r>
        <w:rPr>
          <w:rFonts w:ascii="Times New Roman" w:hAnsi="Times New Roman"/>
          <w:szCs w:val="21"/>
        </w:rPr>
        <w:t>（8）与本招标项目的代建人或招标代理机构存在控股或参股关系；</w:t>
      </w:r>
    </w:p>
    <w:p>
      <w:pPr>
        <w:spacing w:line="440" w:lineRule="exact"/>
        <w:ind w:firstLine="420" w:firstLineChars="200"/>
        <w:rPr>
          <w:rFonts w:ascii="Times New Roman" w:hAnsi="Times New Roman"/>
          <w:szCs w:val="21"/>
        </w:rPr>
      </w:pPr>
      <w:r>
        <w:rPr>
          <w:rFonts w:ascii="Times New Roman" w:hAnsi="Times New Roman"/>
          <w:szCs w:val="21"/>
        </w:rPr>
        <w:t>（9）被依法暂停或者取消投标资格</w:t>
      </w:r>
      <w:r>
        <w:rPr>
          <w:rFonts w:hint="eastAsia" w:ascii="Times New Roman" w:hAnsi="Times New Roman"/>
          <w:szCs w:val="21"/>
        </w:rPr>
        <w:t>，且在处罚范围和期限内的；</w:t>
      </w:r>
    </w:p>
    <w:p>
      <w:pPr>
        <w:spacing w:line="440" w:lineRule="exact"/>
        <w:ind w:firstLine="420" w:firstLineChars="200"/>
        <w:rPr>
          <w:rFonts w:ascii="Times New Roman" w:hAnsi="Times New Roman"/>
          <w:szCs w:val="21"/>
        </w:rPr>
      </w:pPr>
      <w:r>
        <w:rPr>
          <w:rFonts w:ascii="Times New Roman" w:hAnsi="Times New Roman"/>
          <w:szCs w:val="21"/>
        </w:rPr>
        <w:t>（10）被责令停产停业、暂扣或者吊销许可证、暂扣或者吊销执照；</w:t>
      </w:r>
    </w:p>
    <w:p>
      <w:pPr>
        <w:spacing w:line="440" w:lineRule="exact"/>
        <w:ind w:firstLine="420" w:firstLineChars="200"/>
        <w:rPr>
          <w:rFonts w:ascii="Times New Roman" w:hAnsi="Times New Roman"/>
          <w:szCs w:val="21"/>
        </w:rPr>
      </w:pPr>
      <w:r>
        <w:rPr>
          <w:rFonts w:ascii="Times New Roman" w:hAnsi="Times New Roman"/>
          <w:szCs w:val="21"/>
        </w:rPr>
        <w:t>（11）进入清算程序，或被宣告破产，或其他丧失履约能力的情形；</w:t>
      </w:r>
    </w:p>
    <w:p>
      <w:pPr>
        <w:spacing w:line="440" w:lineRule="exact"/>
        <w:ind w:firstLine="420" w:firstLineChars="200"/>
        <w:rPr>
          <w:rFonts w:ascii="Times New Roman" w:hAnsi="Times New Roman"/>
          <w:szCs w:val="21"/>
        </w:rPr>
      </w:pPr>
      <w:r>
        <w:rPr>
          <w:rFonts w:ascii="Times New Roman" w:hAnsi="Times New Roman"/>
          <w:szCs w:val="21"/>
        </w:rPr>
        <w:t>（12）在最近三年内发生重大质量问题（以相关行业主管部门的行政处罚决定或司法机关出具的有关法律文书为准）；</w:t>
      </w:r>
    </w:p>
    <w:p>
      <w:pPr>
        <w:spacing w:line="440" w:lineRule="exact"/>
        <w:ind w:firstLine="420" w:firstLineChars="200"/>
        <w:rPr>
          <w:rFonts w:ascii="Times New Roman" w:hAnsi="Times New Roman"/>
          <w:szCs w:val="21"/>
        </w:rPr>
      </w:pPr>
      <w:r>
        <w:rPr>
          <w:rFonts w:ascii="Times New Roman" w:hAnsi="Times New Roman"/>
          <w:szCs w:val="21"/>
        </w:rPr>
        <w:t>（13）被工商行政管理机关在全国企业信用信息公示系统中列入严重违法失信企业名单；</w:t>
      </w:r>
    </w:p>
    <w:p>
      <w:pPr>
        <w:spacing w:line="440" w:lineRule="exact"/>
        <w:ind w:firstLine="420" w:firstLineChars="200"/>
        <w:rPr>
          <w:rFonts w:ascii="Times New Roman" w:hAnsi="Times New Roman"/>
          <w:szCs w:val="21"/>
        </w:rPr>
      </w:pPr>
      <w:r>
        <w:rPr>
          <w:rFonts w:ascii="Times New Roman" w:hAnsi="Times New Roman"/>
          <w:szCs w:val="21"/>
        </w:rPr>
        <w:t>（14）被最高人民法院在“信用中国”网站（www.creditchina.gov.cn）或各级信用信息共享平台中列入失信被执行人名单；</w:t>
      </w:r>
    </w:p>
    <w:p>
      <w:pPr>
        <w:spacing w:line="440" w:lineRule="exact"/>
        <w:ind w:firstLine="420" w:firstLineChars="200"/>
        <w:rPr>
          <w:rFonts w:ascii="Times New Roman" w:hAnsi="Times New Roman"/>
          <w:szCs w:val="21"/>
        </w:rPr>
      </w:pPr>
      <w:r>
        <w:rPr>
          <w:rFonts w:ascii="Times New Roman" w:hAnsi="Times New Roman"/>
          <w:szCs w:val="21"/>
        </w:rPr>
        <w:t>（15）在近三年内投标人或其法定代表人、拟委任的项目负责人有行贿犯罪行为的；</w:t>
      </w:r>
    </w:p>
    <w:p>
      <w:pPr>
        <w:spacing w:line="440" w:lineRule="exact"/>
        <w:ind w:firstLine="420" w:firstLineChars="200"/>
        <w:rPr>
          <w:rFonts w:ascii="Times New Roman" w:hAnsi="Times New Roman"/>
          <w:szCs w:val="21"/>
        </w:rPr>
      </w:pPr>
      <w:r>
        <w:rPr>
          <w:rFonts w:ascii="Times New Roman" w:hAnsi="Times New Roman"/>
          <w:szCs w:val="21"/>
        </w:rPr>
        <w:t>（16）法律法规或投标人须知前附表规定的其他情形。</w:t>
      </w:r>
    </w:p>
    <w:p>
      <w:pPr>
        <w:pStyle w:val="10"/>
        <w:spacing w:line="440" w:lineRule="exact"/>
        <w:ind w:firstLine="137"/>
        <w:rPr>
          <w:rFonts w:ascii="Times New Roman" w:hAnsi="Times New Roman"/>
        </w:rPr>
      </w:pPr>
      <w:r>
        <w:rPr>
          <w:rFonts w:ascii="Times New Roman" w:hAnsi="Times New Roman"/>
        </w:rPr>
        <w:t xml:space="preserve">1.5 </w:t>
      </w:r>
      <w:r>
        <w:rPr>
          <w:rFonts w:hint="eastAsia" w:ascii="Times New Roman" w:hAnsi="Times New Roman"/>
        </w:rPr>
        <w:t>费用承担</w:t>
      </w:r>
    </w:p>
    <w:p>
      <w:pPr>
        <w:spacing w:line="440" w:lineRule="exact"/>
        <w:ind w:firstLine="420" w:firstLineChars="200"/>
        <w:rPr>
          <w:rFonts w:ascii="Times New Roman" w:hAnsi="Times New Roman"/>
        </w:rPr>
      </w:pPr>
      <w:r>
        <w:rPr>
          <w:rFonts w:ascii="Times New Roman" w:hAnsi="Times New Roman"/>
        </w:rPr>
        <w:t>投标人准备和参加投标活动发生的费用自理。</w:t>
      </w:r>
    </w:p>
    <w:p>
      <w:pPr>
        <w:pStyle w:val="10"/>
        <w:spacing w:line="440" w:lineRule="exact"/>
        <w:ind w:firstLine="137"/>
        <w:rPr>
          <w:rFonts w:ascii="Times New Roman" w:hAnsi="Times New Roman"/>
        </w:rPr>
      </w:pPr>
      <w:r>
        <w:rPr>
          <w:rFonts w:ascii="Times New Roman" w:hAnsi="Times New Roman"/>
        </w:rPr>
        <w:t>1.6</w:t>
      </w:r>
      <w:r>
        <w:rPr>
          <w:rFonts w:hint="eastAsia" w:ascii="Times New Roman" w:hAnsi="Times New Roman"/>
        </w:rPr>
        <w:t>保密</w:t>
      </w:r>
    </w:p>
    <w:p>
      <w:pPr>
        <w:spacing w:line="44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55" w:name="_Toc352691477"/>
      <w:bookmarkStart w:id="56" w:name="_Toc384308214"/>
      <w:bookmarkStart w:id="57" w:name="_Toc5326"/>
      <w:bookmarkStart w:id="58" w:name="_Toc361508589"/>
      <w:bookmarkStart w:id="59" w:name="_Toc369531519"/>
      <w:r>
        <w:rPr>
          <w:rFonts w:ascii="Times New Roman" w:hAnsi="Times New Roman"/>
        </w:rPr>
        <w:t>的商业和技术等秘密保密</w:t>
      </w:r>
      <w:bookmarkEnd w:id="55"/>
      <w:bookmarkEnd w:id="56"/>
      <w:bookmarkEnd w:id="57"/>
      <w:bookmarkEnd w:id="58"/>
      <w:bookmarkEnd w:id="59"/>
      <w:r>
        <w:rPr>
          <w:rFonts w:ascii="Times New Roman" w:hAnsi="Times New Roman"/>
        </w:rPr>
        <w:t>，否则应承担相应的法律责任。</w:t>
      </w:r>
    </w:p>
    <w:p>
      <w:pPr>
        <w:pStyle w:val="10"/>
        <w:spacing w:line="440" w:lineRule="exact"/>
        <w:ind w:firstLine="137"/>
        <w:rPr>
          <w:rFonts w:ascii="Times New Roman" w:hAnsi="Times New Roman"/>
        </w:rPr>
      </w:pPr>
      <w:r>
        <w:rPr>
          <w:rFonts w:ascii="Times New Roman" w:hAnsi="Times New Roman"/>
        </w:rPr>
        <w:t xml:space="preserve">1.7 </w:t>
      </w:r>
      <w:r>
        <w:rPr>
          <w:rFonts w:hint="eastAsia" w:ascii="Times New Roman" w:hAnsi="Times New Roman"/>
        </w:rPr>
        <w:t>语言文字</w:t>
      </w:r>
    </w:p>
    <w:p>
      <w:pPr>
        <w:spacing w:line="44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pPr>
        <w:pStyle w:val="10"/>
        <w:spacing w:line="440" w:lineRule="exact"/>
        <w:ind w:firstLine="137"/>
        <w:rPr>
          <w:rFonts w:ascii="Times New Roman" w:hAnsi="Times New Roman"/>
        </w:rPr>
      </w:pPr>
      <w:r>
        <w:rPr>
          <w:rFonts w:ascii="Times New Roman" w:hAnsi="Times New Roman"/>
        </w:rPr>
        <w:t>1.8</w:t>
      </w:r>
      <w:r>
        <w:rPr>
          <w:rFonts w:hint="eastAsia" w:ascii="Times New Roman" w:hAnsi="Times New Roman"/>
        </w:rPr>
        <w:t>计量单位</w:t>
      </w:r>
    </w:p>
    <w:p>
      <w:pPr>
        <w:spacing w:line="440" w:lineRule="exact"/>
        <w:ind w:firstLine="420" w:firstLineChars="200"/>
        <w:rPr>
          <w:rFonts w:ascii="Times New Roman" w:hAnsi="Times New Roman"/>
        </w:rPr>
      </w:pPr>
      <w:r>
        <w:rPr>
          <w:rFonts w:ascii="Times New Roman" w:hAnsi="Times New Roman"/>
        </w:rPr>
        <w:t>所有计量均采用中华人民共和国法定计量单位。</w:t>
      </w:r>
    </w:p>
    <w:p>
      <w:pPr>
        <w:pStyle w:val="10"/>
        <w:spacing w:line="440" w:lineRule="exact"/>
        <w:ind w:firstLine="137"/>
        <w:rPr>
          <w:rFonts w:ascii="Times New Roman" w:hAnsi="Times New Roman"/>
        </w:rPr>
      </w:pPr>
      <w:bookmarkStart w:id="60" w:name="_Toc152045539"/>
      <w:bookmarkStart w:id="61" w:name="_Toc247527563"/>
      <w:bookmarkStart w:id="62" w:name="_Toc482188480"/>
      <w:bookmarkStart w:id="63" w:name="_Toc391393967"/>
      <w:bookmarkStart w:id="64" w:name="_Toc361508594"/>
      <w:bookmarkStart w:id="65" w:name="_Toc247513962"/>
      <w:bookmarkStart w:id="66" w:name="_Toc384308219"/>
      <w:bookmarkStart w:id="67" w:name="_Toc300834959"/>
      <w:bookmarkStart w:id="68" w:name="_Toc152042315"/>
      <w:bookmarkStart w:id="69" w:name="_Toc144974507"/>
      <w:bookmarkStart w:id="70" w:name="_Toc370676289"/>
      <w:r>
        <w:rPr>
          <w:rFonts w:ascii="Times New Roman" w:hAnsi="Times New Roman"/>
        </w:rPr>
        <w:t xml:space="preserve">1.9 </w:t>
      </w:r>
      <w:r>
        <w:rPr>
          <w:rFonts w:hint="eastAsia" w:ascii="Times New Roman" w:hAnsi="Times New Roman"/>
        </w:rPr>
        <w:t>踏勘现场</w:t>
      </w:r>
      <w:bookmarkEnd w:id="60"/>
      <w:bookmarkEnd w:id="61"/>
      <w:bookmarkEnd w:id="62"/>
      <w:bookmarkEnd w:id="63"/>
      <w:bookmarkEnd w:id="64"/>
      <w:bookmarkEnd w:id="65"/>
      <w:bookmarkEnd w:id="66"/>
      <w:bookmarkEnd w:id="67"/>
      <w:bookmarkEnd w:id="68"/>
      <w:bookmarkEnd w:id="69"/>
      <w:bookmarkEnd w:id="70"/>
    </w:p>
    <w:p>
      <w:pPr>
        <w:spacing w:line="440" w:lineRule="exact"/>
        <w:ind w:firstLine="420" w:firstLineChars="200"/>
        <w:rPr>
          <w:rFonts w:ascii="Times New Roman" w:hAnsi="Times New Roman"/>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p>
    <w:p>
      <w:pPr>
        <w:spacing w:line="440" w:lineRule="exact"/>
        <w:ind w:firstLine="420" w:firstLineChars="200"/>
        <w:rPr>
          <w:rFonts w:ascii="Times New Roman" w:hAnsi="Times New Roman"/>
        </w:rPr>
      </w:pPr>
      <w:r>
        <w:rPr>
          <w:rFonts w:ascii="Times New Roman" w:hAnsi="Times New Roman"/>
        </w:rPr>
        <w:t>1.9.2 投标人踏勘现场发生的费用自理。</w:t>
      </w:r>
    </w:p>
    <w:p>
      <w:pPr>
        <w:spacing w:line="44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pPr>
        <w:spacing w:line="440" w:lineRule="exact"/>
        <w:ind w:firstLine="420" w:firstLineChars="200"/>
        <w:rPr>
          <w:rFonts w:ascii="Times New Roman" w:hAnsi="Times New Roman"/>
        </w:rPr>
      </w:pPr>
      <w:r>
        <w:rPr>
          <w:rFonts w:ascii="Times New Roman" w:hAnsi="Times New Roman"/>
        </w:rPr>
        <w:t>1.9.4 招标人在踏勘现场中介绍的工程场地和相关的周边环境情况，供投标人在编制投标文件时参考，招标人不对投标人据此作出的判断和决策负责。</w:t>
      </w:r>
    </w:p>
    <w:p>
      <w:pPr>
        <w:pStyle w:val="10"/>
        <w:spacing w:line="440" w:lineRule="exact"/>
        <w:ind w:firstLine="137"/>
        <w:rPr>
          <w:rFonts w:ascii="Times New Roman" w:hAnsi="Times New Roman"/>
        </w:rPr>
      </w:pPr>
      <w:r>
        <w:rPr>
          <w:rFonts w:ascii="Times New Roman" w:hAnsi="Times New Roman"/>
        </w:rPr>
        <w:t>1.10</w:t>
      </w:r>
      <w:r>
        <w:rPr>
          <w:rFonts w:hint="eastAsia" w:ascii="Times New Roman" w:hAnsi="Times New Roman"/>
        </w:rPr>
        <w:t>投标预备会</w:t>
      </w:r>
    </w:p>
    <w:p>
      <w:pPr>
        <w:spacing w:line="440" w:lineRule="exact"/>
        <w:ind w:firstLine="420" w:firstLineChars="200"/>
        <w:rPr>
          <w:rFonts w:ascii="Times New Roman" w:hAnsi="Times New Roman"/>
        </w:rPr>
      </w:pPr>
      <w:r>
        <w:rPr>
          <w:rFonts w:ascii="Times New Roman" w:hAnsi="Times New Roman"/>
        </w:rPr>
        <w:t>1.10.1 投标人须知前附表规定召开投标预备会的，招标人按投标人须知前附表规定的时间和地点召开投标预备会，澄清投标人提出的问题。</w:t>
      </w:r>
    </w:p>
    <w:p>
      <w:pPr>
        <w:spacing w:line="440" w:lineRule="exact"/>
        <w:ind w:firstLine="420" w:firstLineChars="200"/>
        <w:rPr>
          <w:rFonts w:ascii="Times New Roman" w:hAnsi="Times New Roman"/>
        </w:rPr>
      </w:pPr>
      <w:r>
        <w:rPr>
          <w:rFonts w:ascii="Times New Roman" w:hAnsi="Times New Roman"/>
        </w:rPr>
        <w:t>1.10.2 投标人应按投标人须知前附表规定的时间和形式将提出的问题送达招标人，以便招标人在会议期间澄清。</w:t>
      </w:r>
    </w:p>
    <w:p>
      <w:pPr>
        <w:spacing w:line="440" w:lineRule="exact"/>
        <w:ind w:firstLine="420" w:firstLineChars="200"/>
        <w:rPr>
          <w:rFonts w:ascii="Times New Roman" w:hAnsi="Times New Roman"/>
        </w:rPr>
      </w:pPr>
      <w:r>
        <w:rPr>
          <w:rFonts w:ascii="Times New Roman" w:hAnsi="Times New Roman"/>
        </w:rPr>
        <w:t>1.10.3 投标预备会后，招标人将对投标人所提问题的澄清，以投标人须知前附表规定的形式通知所有购买招标文件的投标人。该澄清内容为招标文件的组成部分。</w:t>
      </w:r>
    </w:p>
    <w:p>
      <w:pPr>
        <w:pStyle w:val="10"/>
        <w:spacing w:line="440" w:lineRule="exact"/>
        <w:ind w:firstLine="137"/>
        <w:rPr>
          <w:rFonts w:ascii="Times New Roman" w:hAnsi="Times New Roman"/>
        </w:rPr>
      </w:pPr>
      <w:r>
        <w:rPr>
          <w:rFonts w:ascii="Times New Roman" w:hAnsi="Times New Roman"/>
        </w:rPr>
        <w:t xml:space="preserve">1.11 </w:t>
      </w:r>
      <w:r>
        <w:rPr>
          <w:rFonts w:hint="eastAsia" w:ascii="Times New Roman" w:hAnsi="Times New Roman"/>
        </w:rPr>
        <w:t>分包</w:t>
      </w:r>
    </w:p>
    <w:p>
      <w:pPr>
        <w:spacing w:line="440" w:lineRule="exact"/>
        <w:ind w:firstLine="420" w:firstLineChars="200"/>
        <w:rPr>
          <w:rFonts w:ascii="Times New Roman" w:hAnsi="Times New Roman"/>
        </w:rPr>
      </w:pPr>
      <w:r>
        <w:rPr>
          <w:rFonts w:hint="eastAsia" w:ascii="Times New Roman" w:hAnsi="Times New Roman"/>
        </w:rPr>
        <w:t>本项目不允许分包。</w:t>
      </w:r>
    </w:p>
    <w:p>
      <w:pPr>
        <w:pStyle w:val="10"/>
        <w:spacing w:line="440" w:lineRule="exact"/>
        <w:ind w:firstLine="137"/>
        <w:rPr>
          <w:rFonts w:ascii="Times New Roman" w:hAnsi="Times New Roman"/>
        </w:rPr>
      </w:pPr>
      <w:r>
        <w:rPr>
          <w:rFonts w:ascii="Times New Roman" w:hAnsi="Times New Roman"/>
        </w:rPr>
        <w:t>1.12</w:t>
      </w:r>
      <w:r>
        <w:rPr>
          <w:rFonts w:hint="eastAsia" w:ascii="Times New Roman" w:hAnsi="Times New Roman"/>
        </w:rPr>
        <w:t>响应和偏差</w:t>
      </w:r>
    </w:p>
    <w:p>
      <w:pPr>
        <w:spacing w:line="440" w:lineRule="exact"/>
        <w:ind w:firstLine="420" w:firstLineChars="200"/>
        <w:rPr>
          <w:rFonts w:ascii="Times New Roman" w:hAnsi="Times New Roman"/>
        </w:rPr>
      </w:pPr>
      <w:r>
        <w:rPr>
          <w:rFonts w:ascii="Times New Roman" w:hAnsi="Times New Roman"/>
        </w:rPr>
        <w:t>1.12.1投标文件应当对招标文件的实质性要求和条件作出满足性或更有利于招标人的响应，否则，投标人的投标将被否决。实质性要求和条件见投标人须知前附表。</w:t>
      </w:r>
    </w:p>
    <w:p>
      <w:pPr>
        <w:spacing w:line="440" w:lineRule="exact"/>
        <w:ind w:firstLine="420" w:firstLineChars="200"/>
        <w:rPr>
          <w:rFonts w:ascii="Times New Roman" w:hAnsi="Times New Roman"/>
        </w:rPr>
      </w:pPr>
      <w:r>
        <w:rPr>
          <w:rFonts w:ascii="Times New Roman" w:hAnsi="Times New Roman"/>
        </w:rPr>
        <w:t xml:space="preserve">1.12.2 </w:t>
      </w:r>
      <w:r>
        <w:rPr>
          <w:rFonts w:ascii="Times New Roman" w:hAnsi="Times New Roman"/>
          <w:szCs w:val="21"/>
        </w:rPr>
        <w:t>投标人应根据招标文件的要求提供</w:t>
      </w:r>
      <w:r>
        <w:rPr>
          <w:rFonts w:ascii="Times New Roman" w:hAnsi="Times New Roman"/>
        </w:rPr>
        <w:t>投标</w:t>
      </w:r>
      <w:r>
        <w:rPr>
          <w:rFonts w:hint="eastAsia" w:ascii="Times New Roman" w:hAnsi="Times New Roman"/>
        </w:rPr>
        <w:t>服务</w:t>
      </w:r>
      <w:r>
        <w:rPr>
          <w:rFonts w:ascii="Times New Roman" w:hAnsi="Times New Roman"/>
        </w:rPr>
        <w:t>方案等内容以对招标文件作出响应。</w:t>
      </w:r>
    </w:p>
    <w:p>
      <w:pPr>
        <w:spacing w:line="440" w:lineRule="exact"/>
        <w:ind w:firstLine="435"/>
        <w:rPr>
          <w:rFonts w:ascii="Times New Roman" w:hAnsi="Times New Roman"/>
        </w:rPr>
      </w:pPr>
      <w:r>
        <w:rPr>
          <w:rFonts w:ascii="Times New Roman" w:hAnsi="Times New Roman"/>
        </w:rPr>
        <w:t>1.12.3投标人须知前附表允许投标文件偏离招标文件某些要求的，偏差应当符合招标文件规定的偏差范围和幅度。</w:t>
      </w:r>
    </w:p>
    <w:p>
      <w:pPr>
        <w:pStyle w:val="9"/>
        <w:spacing w:line="440" w:lineRule="exact"/>
        <w:rPr>
          <w:rFonts w:ascii="Times New Roman" w:hAnsi="Times New Roman"/>
        </w:rPr>
      </w:pPr>
      <w:bookmarkStart w:id="71" w:name="_Toc16884"/>
      <w:r>
        <w:rPr>
          <w:rFonts w:ascii="Times New Roman" w:hAnsi="Times New Roman"/>
        </w:rPr>
        <w:t xml:space="preserve">2. </w:t>
      </w:r>
      <w:r>
        <w:rPr>
          <w:rFonts w:hint="eastAsia" w:ascii="Times New Roman" w:hAnsi="Times New Roman"/>
        </w:rPr>
        <w:t>招标文件</w:t>
      </w:r>
      <w:bookmarkEnd w:id="71"/>
    </w:p>
    <w:p>
      <w:pPr>
        <w:pStyle w:val="10"/>
        <w:spacing w:line="440" w:lineRule="exact"/>
        <w:ind w:firstLine="137"/>
        <w:rPr>
          <w:rFonts w:ascii="Times New Roman" w:hAnsi="Times New Roman"/>
        </w:rPr>
      </w:pPr>
      <w:r>
        <w:rPr>
          <w:rFonts w:ascii="Times New Roman" w:hAnsi="Times New Roman"/>
        </w:rPr>
        <w:t xml:space="preserve">2.1 </w:t>
      </w:r>
      <w:r>
        <w:rPr>
          <w:rFonts w:hint="eastAsia" w:ascii="Times New Roman" w:hAnsi="Times New Roman"/>
        </w:rPr>
        <w:t>招标文件的组成</w:t>
      </w:r>
    </w:p>
    <w:p>
      <w:pPr>
        <w:spacing w:line="440" w:lineRule="exact"/>
        <w:ind w:firstLine="359" w:firstLineChars="171"/>
        <w:rPr>
          <w:rFonts w:ascii="Times New Roman" w:hAnsi="Times New Roman"/>
        </w:rPr>
      </w:pPr>
      <w:r>
        <w:rPr>
          <w:rFonts w:ascii="Times New Roman" w:hAnsi="Times New Roman"/>
        </w:rPr>
        <w:t>本招标文件包括：</w:t>
      </w:r>
    </w:p>
    <w:p>
      <w:pPr>
        <w:spacing w:line="440" w:lineRule="exact"/>
        <w:ind w:firstLine="359" w:firstLineChars="171"/>
        <w:rPr>
          <w:rFonts w:ascii="Times New Roman" w:hAnsi="Times New Roman"/>
        </w:rPr>
      </w:pPr>
      <w:r>
        <w:rPr>
          <w:rFonts w:ascii="Times New Roman" w:hAnsi="Times New Roman"/>
        </w:rPr>
        <w:t>（1）招标公告（或投标邀请书）；</w:t>
      </w:r>
    </w:p>
    <w:p>
      <w:pPr>
        <w:spacing w:line="440" w:lineRule="exact"/>
        <w:ind w:firstLine="359" w:firstLineChars="171"/>
        <w:rPr>
          <w:rFonts w:ascii="Times New Roman" w:hAnsi="Times New Roman"/>
        </w:rPr>
      </w:pPr>
      <w:r>
        <w:rPr>
          <w:rFonts w:ascii="Times New Roman" w:hAnsi="Times New Roman"/>
        </w:rPr>
        <w:t>（2）投标人须知；</w:t>
      </w:r>
    </w:p>
    <w:p>
      <w:pPr>
        <w:spacing w:line="440" w:lineRule="exact"/>
        <w:ind w:firstLine="359" w:firstLineChars="171"/>
        <w:rPr>
          <w:rFonts w:ascii="Times New Roman" w:hAnsi="Times New Roman"/>
        </w:rPr>
      </w:pPr>
      <w:r>
        <w:rPr>
          <w:rFonts w:ascii="Times New Roman" w:hAnsi="Times New Roman"/>
        </w:rPr>
        <w:t>（3）评标办法；</w:t>
      </w:r>
    </w:p>
    <w:p>
      <w:pPr>
        <w:spacing w:line="440" w:lineRule="exact"/>
        <w:ind w:firstLine="359" w:firstLineChars="171"/>
        <w:rPr>
          <w:rFonts w:ascii="Times New Roman" w:hAnsi="Times New Roman"/>
        </w:rPr>
      </w:pPr>
      <w:r>
        <w:rPr>
          <w:rFonts w:ascii="Times New Roman" w:hAnsi="Times New Roman"/>
        </w:rPr>
        <w:t>（4）合同条款及格式；</w:t>
      </w:r>
    </w:p>
    <w:p>
      <w:pPr>
        <w:spacing w:line="440" w:lineRule="exact"/>
        <w:ind w:firstLine="359" w:firstLineChars="171"/>
        <w:rPr>
          <w:rFonts w:ascii="Times New Roman" w:hAnsi="Times New Roman"/>
        </w:rPr>
      </w:pPr>
      <w:r>
        <w:rPr>
          <w:rFonts w:ascii="Times New Roman" w:hAnsi="Times New Roman"/>
        </w:rPr>
        <w:t>（5）发包人要求；</w:t>
      </w:r>
    </w:p>
    <w:p>
      <w:pPr>
        <w:spacing w:line="440" w:lineRule="exact"/>
        <w:ind w:firstLine="359" w:firstLineChars="171"/>
        <w:rPr>
          <w:rFonts w:ascii="Times New Roman" w:hAnsi="Times New Roman"/>
        </w:rPr>
      </w:pPr>
      <w:r>
        <w:rPr>
          <w:rFonts w:ascii="Times New Roman" w:hAnsi="Times New Roman"/>
        </w:rPr>
        <w:t>（6）投标文件格式；</w:t>
      </w:r>
    </w:p>
    <w:p>
      <w:pPr>
        <w:spacing w:line="440" w:lineRule="exact"/>
        <w:ind w:firstLine="359" w:firstLineChars="171"/>
        <w:rPr>
          <w:rFonts w:ascii="Times New Roman" w:hAnsi="Times New Roman"/>
        </w:rPr>
      </w:pPr>
      <w:r>
        <w:rPr>
          <w:rFonts w:ascii="Times New Roman" w:hAnsi="Times New Roman"/>
        </w:rPr>
        <w:t>（7）投标人须知前附表规定的其他资料。</w:t>
      </w:r>
    </w:p>
    <w:p>
      <w:pPr>
        <w:spacing w:line="440" w:lineRule="exact"/>
        <w:ind w:firstLine="420" w:firstLineChars="200"/>
        <w:rPr>
          <w:rFonts w:ascii="Times New Roman" w:hAnsi="Times New Roman"/>
        </w:rPr>
      </w:pPr>
      <w:r>
        <w:rPr>
          <w:rFonts w:ascii="Times New Roman" w:hAnsi="Times New Roman"/>
        </w:rPr>
        <w:t>根据本章第1.10款、第2.2款和第2.3款对招标文件所作的澄清、修改，构成招标文件的组成部分。</w:t>
      </w:r>
    </w:p>
    <w:p>
      <w:pPr>
        <w:pStyle w:val="10"/>
        <w:spacing w:line="440" w:lineRule="exact"/>
        <w:ind w:firstLine="137"/>
        <w:rPr>
          <w:rFonts w:ascii="Times New Roman" w:hAnsi="Times New Roman"/>
        </w:rPr>
      </w:pPr>
      <w:r>
        <w:rPr>
          <w:rFonts w:ascii="Times New Roman" w:hAnsi="Times New Roman"/>
        </w:rPr>
        <w:t xml:space="preserve">2.2 </w:t>
      </w:r>
      <w:r>
        <w:rPr>
          <w:rFonts w:hint="eastAsia" w:ascii="Times New Roman" w:hAnsi="Times New Roman"/>
        </w:rPr>
        <w:t>招标文件的澄清</w:t>
      </w:r>
    </w:p>
    <w:p>
      <w:pPr>
        <w:spacing w:line="44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40" w:lineRule="exact"/>
        <w:ind w:firstLine="420" w:firstLineChars="200"/>
        <w:rPr>
          <w:rFonts w:ascii="Times New Roman" w:hAnsi="Times New Roman"/>
        </w:rPr>
      </w:pPr>
      <w:r>
        <w:rPr>
          <w:rFonts w:ascii="Times New Roman" w:hAnsi="Times New Roma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440" w:lineRule="exact"/>
        <w:ind w:firstLine="420" w:firstLineChars="200"/>
        <w:rPr>
          <w:rFonts w:ascii="Times New Roman" w:hAnsi="Times New Roman"/>
        </w:rPr>
      </w:pPr>
      <w:r>
        <w:rPr>
          <w:rFonts w:ascii="Times New Roman" w:hAnsi="Times New Roman"/>
        </w:rPr>
        <w:t>2.2.3 投标人在收到澄清后，应按投标人须知前附表规定的时间和形式通知招标人，确认已收到该澄清。</w:t>
      </w:r>
    </w:p>
    <w:p>
      <w:pPr>
        <w:spacing w:line="440" w:lineRule="exact"/>
        <w:ind w:firstLine="420" w:firstLineChars="200"/>
        <w:rPr>
          <w:rFonts w:ascii="Times New Roman" w:hAnsi="Times New Roman"/>
        </w:rPr>
      </w:pPr>
      <w:r>
        <w:rPr>
          <w:rFonts w:ascii="Times New Roman" w:hAnsi="Times New Roman"/>
        </w:rPr>
        <w:t>2.2.4 除非招标人认为确有必要答复，否则，招标人有权拒绝回复投标人在</w:t>
      </w:r>
      <w:r>
        <w:rPr>
          <w:rFonts w:hint="eastAsia" w:ascii="Times New Roman" w:hAnsi="Times New Roman"/>
        </w:rPr>
        <w:t>本章第2.2.1项</w:t>
      </w:r>
      <w:r>
        <w:rPr>
          <w:rFonts w:ascii="Times New Roman" w:hAnsi="Times New Roman"/>
        </w:rPr>
        <w:t>规定的时间后的任何澄清要求。</w:t>
      </w:r>
    </w:p>
    <w:p>
      <w:pPr>
        <w:pStyle w:val="10"/>
        <w:spacing w:line="440" w:lineRule="exact"/>
        <w:ind w:firstLine="137"/>
        <w:rPr>
          <w:rFonts w:ascii="Times New Roman" w:hAnsi="Times New Roman"/>
        </w:rPr>
      </w:pPr>
      <w:bookmarkStart w:id="72" w:name="_Toc352691479"/>
      <w:r>
        <w:rPr>
          <w:rFonts w:ascii="Times New Roman" w:hAnsi="Times New Roman"/>
        </w:rPr>
        <w:t xml:space="preserve">2.3 </w:t>
      </w:r>
      <w:r>
        <w:rPr>
          <w:rFonts w:hint="eastAsia" w:ascii="Times New Roman" w:hAnsi="Times New Roman"/>
        </w:rPr>
        <w:t>招标文件的修</w:t>
      </w:r>
      <w:bookmarkStart w:id="73" w:name="_Toc369531521"/>
      <w:bookmarkStart w:id="74" w:name="_Toc16514"/>
      <w:r>
        <w:rPr>
          <w:rFonts w:hint="eastAsia" w:ascii="Times New Roman" w:hAnsi="Times New Roman"/>
        </w:rPr>
        <w:t>改</w:t>
      </w:r>
    </w:p>
    <w:p>
      <w:pPr>
        <w:spacing w:line="440" w:lineRule="exact"/>
        <w:ind w:firstLine="420" w:firstLineChars="200"/>
        <w:rPr>
          <w:rFonts w:ascii="Times New Roman" w:hAnsi="Times New Roman"/>
        </w:rPr>
      </w:pPr>
      <w:r>
        <w:rPr>
          <w:rFonts w:ascii="Times New Roman" w:hAnsi="Times New Roma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72"/>
    <w:bookmarkEnd w:id="73"/>
    <w:bookmarkEnd w:id="74"/>
    <w:p>
      <w:pPr>
        <w:spacing w:line="440" w:lineRule="exact"/>
        <w:ind w:firstLine="420" w:firstLineChars="200"/>
        <w:rPr>
          <w:rFonts w:ascii="Times New Roman" w:hAnsi="Times New Roman"/>
        </w:rPr>
      </w:pPr>
      <w:r>
        <w:rPr>
          <w:rFonts w:ascii="Times New Roman" w:hAnsi="Times New Roman"/>
        </w:rPr>
        <w:t>2.3.2 投标人收到修改内容</w:t>
      </w:r>
      <w:bookmarkStart w:id="75" w:name="_Toc24632"/>
      <w:bookmarkStart w:id="76" w:name="_Toc152042314"/>
      <w:bookmarkStart w:id="77" w:name="_Toc369531524"/>
      <w:bookmarkStart w:id="78" w:name="_Toc247527562"/>
      <w:bookmarkStart w:id="79" w:name="_Toc247513961"/>
      <w:bookmarkStart w:id="80" w:name="_Toc144974506"/>
      <w:bookmarkStart w:id="81" w:name="_Toc361508593"/>
      <w:bookmarkStart w:id="82" w:name="_Toc384308218"/>
      <w:bookmarkStart w:id="83" w:name="_Toc352691482"/>
      <w:bookmarkStart w:id="84" w:name="_Toc300834958"/>
      <w:bookmarkStart w:id="85" w:name="_Toc152045538"/>
      <w:r>
        <w:rPr>
          <w:rFonts w:ascii="Times New Roman" w:hAnsi="Times New Roman"/>
        </w:rPr>
        <w:t>后，</w:t>
      </w:r>
      <w:bookmarkEnd w:id="75"/>
      <w:bookmarkEnd w:id="76"/>
      <w:bookmarkEnd w:id="77"/>
      <w:bookmarkEnd w:id="78"/>
      <w:bookmarkEnd w:id="79"/>
      <w:bookmarkEnd w:id="80"/>
      <w:bookmarkEnd w:id="81"/>
      <w:bookmarkEnd w:id="82"/>
      <w:bookmarkEnd w:id="83"/>
      <w:bookmarkEnd w:id="84"/>
      <w:bookmarkEnd w:id="85"/>
      <w:bookmarkStart w:id="86" w:name="_Toc152042316"/>
      <w:bookmarkStart w:id="87" w:name="_Toc247513963"/>
      <w:bookmarkStart w:id="88" w:name="_Toc144974508"/>
      <w:bookmarkStart w:id="89" w:name="_Toc247527564"/>
      <w:bookmarkStart w:id="90" w:name="_Toc361508595"/>
      <w:bookmarkStart w:id="91" w:name="_Toc352691484"/>
      <w:bookmarkStart w:id="92" w:name="_Toc369531526"/>
      <w:bookmarkStart w:id="93" w:name="_Toc16623"/>
      <w:bookmarkStart w:id="94" w:name="_Toc300834960"/>
      <w:bookmarkStart w:id="95" w:name="_Toc152045540"/>
      <w:bookmarkStart w:id="96" w:name="_Toc384308220"/>
      <w:r>
        <w:rPr>
          <w:rFonts w:ascii="Times New Roman" w:hAnsi="Times New Roman"/>
        </w:rPr>
        <w:t>应按投标人须知前附表规定的时间和形式通知招标人，确认已收到该修改。</w:t>
      </w:r>
    </w:p>
    <w:p>
      <w:pPr>
        <w:pStyle w:val="10"/>
        <w:spacing w:line="440" w:lineRule="exact"/>
        <w:ind w:firstLine="137"/>
        <w:rPr>
          <w:rFonts w:ascii="Times New Roman" w:hAnsi="Times New Roman"/>
        </w:rPr>
      </w:pPr>
      <w:r>
        <w:rPr>
          <w:rFonts w:ascii="Times New Roman" w:hAnsi="Times New Roman"/>
        </w:rPr>
        <w:t>2.</w:t>
      </w:r>
      <w:bookmarkEnd w:id="86"/>
      <w:bookmarkEnd w:id="87"/>
      <w:bookmarkEnd w:id="88"/>
      <w:bookmarkEnd w:id="89"/>
      <w:bookmarkEnd w:id="90"/>
      <w:bookmarkEnd w:id="91"/>
      <w:bookmarkEnd w:id="92"/>
      <w:bookmarkEnd w:id="93"/>
      <w:bookmarkEnd w:id="94"/>
      <w:bookmarkEnd w:id="95"/>
      <w:bookmarkEnd w:id="96"/>
      <w:r>
        <w:rPr>
          <w:rFonts w:ascii="Times New Roman" w:hAnsi="Times New Roman"/>
        </w:rPr>
        <w:t>4 招标文件的异议</w:t>
      </w:r>
    </w:p>
    <w:p>
      <w:pPr>
        <w:spacing w:line="440" w:lineRule="exact"/>
        <w:ind w:firstLine="420" w:firstLineChars="200"/>
        <w:rPr>
          <w:rFonts w:ascii="Times New Roman" w:hAnsi="Times New Roman"/>
        </w:rPr>
      </w:pPr>
      <w:r>
        <w:rPr>
          <w:rFonts w:ascii="Times New Roman" w:hAnsi="Times New Roman"/>
        </w:rPr>
        <w:t>投标人或者其他利害关系人对招标文件有异议的，应当在投标截止时间10日前以书面形式提出。招标人将在收到异议之日起3日内作出答复；作出答复前，将暂停招标投标活动。</w:t>
      </w:r>
    </w:p>
    <w:p>
      <w:pPr>
        <w:pStyle w:val="9"/>
        <w:spacing w:line="440" w:lineRule="exact"/>
        <w:rPr>
          <w:rFonts w:ascii="Times New Roman" w:hAnsi="Times New Roman"/>
        </w:rPr>
      </w:pPr>
      <w:bookmarkStart w:id="97" w:name="_Toc5787"/>
      <w:r>
        <w:rPr>
          <w:rFonts w:ascii="Times New Roman" w:hAnsi="Times New Roman"/>
        </w:rPr>
        <w:t xml:space="preserve">3. </w:t>
      </w:r>
      <w:r>
        <w:rPr>
          <w:rFonts w:hint="eastAsia" w:ascii="Times New Roman" w:hAnsi="Times New Roman"/>
        </w:rPr>
        <w:t>投标文件</w:t>
      </w:r>
      <w:bookmarkEnd w:id="97"/>
    </w:p>
    <w:p>
      <w:pPr>
        <w:pStyle w:val="10"/>
        <w:spacing w:line="440" w:lineRule="exact"/>
        <w:ind w:firstLine="137"/>
        <w:rPr>
          <w:rFonts w:ascii="Times New Roman" w:hAnsi="Times New Roman"/>
        </w:rPr>
      </w:pPr>
      <w:r>
        <w:rPr>
          <w:rFonts w:ascii="Times New Roman" w:hAnsi="Times New Roman"/>
        </w:rPr>
        <w:t xml:space="preserve">3.1 </w:t>
      </w:r>
      <w:r>
        <w:rPr>
          <w:rFonts w:hint="eastAsia" w:ascii="Times New Roman" w:hAnsi="Times New Roman"/>
        </w:rPr>
        <w:t>投标文件的组成</w:t>
      </w:r>
    </w:p>
    <w:p>
      <w:pPr>
        <w:spacing w:line="440" w:lineRule="exact"/>
        <w:rPr>
          <w:rFonts w:ascii="Times New Roman" w:hAnsi="Times New Roman"/>
        </w:rPr>
      </w:pPr>
      <w:r>
        <w:rPr>
          <w:rFonts w:ascii="Times New Roman" w:hAnsi="Times New Roman"/>
        </w:rPr>
        <w:t>　　3.1.1 投标文件应包括下列内容：</w:t>
      </w:r>
    </w:p>
    <w:p>
      <w:pPr>
        <w:spacing w:line="440" w:lineRule="exact"/>
        <w:ind w:firstLine="420" w:firstLineChars="200"/>
        <w:rPr>
          <w:rFonts w:ascii="Times New Roman" w:hAnsi="Times New Roman"/>
        </w:rPr>
      </w:pPr>
      <w:r>
        <w:rPr>
          <w:rFonts w:ascii="Times New Roman" w:hAnsi="Times New Roman"/>
        </w:rPr>
        <w:t>（1）投标函及投标函附录；</w:t>
      </w:r>
    </w:p>
    <w:p>
      <w:pPr>
        <w:spacing w:line="440" w:lineRule="exact"/>
        <w:ind w:firstLine="420" w:firstLineChars="200"/>
        <w:rPr>
          <w:rFonts w:ascii="Times New Roman" w:hAnsi="Times New Roman"/>
        </w:rPr>
      </w:pPr>
      <w:r>
        <w:rPr>
          <w:rFonts w:ascii="Times New Roman" w:hAnsi="Times New Roman"/>
        </w:rPr>
        <w:t>（2）法定代表人身份证明或授权委托书；</w:t>
      </w:r>
    </w:p>
    <w:p>
      <w:pPr>
        <w:spacing w:line="440" w:lineRule="exact"/>
        <w:ind w:firstLine="420" w:firstLineChars="200"/>
        <w:rPr>
          <w:rFonts w:ascii="Times New Roman" w:hAnsi="Times New Roman"/>
        </w:rPr>
      </w:pPr>
      <w:r>
        <w:rPr>
          <w:rFonts w:ascii="Times New Roman" w:hAnsi="Times New Roman"/>
        </w:rPr>
        <w:t>（3）投标保证金；</w:t>
      </w:r>
    </w:p>
    <w:p>
      <w:pPr>
        <w:spacing w:line="440" w:lineRule="exact"/>
        <w:ind w:firstLine="420" w:firstLineChars="200"/>
        <w:rPr>
          <w:rFonts w:ascii="Times New Roman" w:hAnsi="Times New Roman"/>
        </w:rPr>
      </w:pPr>
      <w:r>
        <w:rPr>
          <w:rFonts w:ascii="Times New Roman" w:hAnsi="Times New Roman"/>
        </w:rPr>
        <w:t>（</w:t>
      </w:r>
      <w:r>
        <w:rPr>
          <w:rFonts w:hint="eastAsia" w:ascii="Times New Roman" w:hAnsi="Times New Roman"/>
        </w:rPr>
        <w:t>4</w:t>
      </w:r>
      <w:r>
        <w:rPr>
          <w:rFonts w:ascii="Times New Roman" w:hAnsi="Times New Roman"/>
        </w:rPr>
        <w:t>）</w:t>
      </w:r>
      <w:r>
        <w:rPr>
          <w:rFonts w:hint="eastAsia" w:ascii="Times New Roman" w:hAnsi="Times New Roman"/>
        </w:rPr>
        <w:t>报价</w:t>
      </w:r>
      <w:r>
        <w:rPr>
          <w:rFonts w:ascii="Times New Roman" w:hAnsi="Times New Roman"/>
        </w:rPr>
        <w:t>清单；</w:t>
      </w:r>
    </w:p>
    <w:p>
      <w:pPr>
        <w:spacing w:line="440" w:lineRule="exact"/>
        <w:ind w:firstLine="420" w:firstLineChars="200"/>
        <w:rPr>
          <w:rFonts w:ascii="Times New Roman" w:hAnsi="Times New Roman"/>
        </w:rPr>
      </w:pPr>
      <w:r>
        <w:rPr>
          <w:rFonts w:ascii="Times New Roman" w:hAnsi="Times New Roman"/>
        </w:rPr>
        <w:t>（</w:t>
      </w:r>
      <w:r>
        <w:rPr>
          <w:rFonts w:hint="eastAsia" w:ascii="Times New Roman" w:hAnsi="Times New Roman"/>
        </w:rPr>
        <w:t>5</w:t>
      </w:r>
      <w:r>
        <w:rPr>
          <w:rFonts w:ascii="Times New Roman" w:hAnsi="Times New Roman"/>
        </w:rPr>
        <w:t>）资格审查资料；</w:t>
      </w:r>
    </w:p>
    <w:p>
      <w:pPr>
        <w:spacing w:line="440" w:lineRule="exact"/>
        <w:ind w:firstLine="420" w:firstLineChars="200"/>
        <w:rPr>
          <w:rFonts w:ascii="Times New Roman" w:hAnsi="Times New Roman"/>
        </w:rPr>
      </w:pPr>
      <w:r>
        <w:rPr>
          <w:rFonts w:hint="eastAsia" w:ascii="Times New Roman" w:hAnsi="Times New Roman"/>
        </w:rPr>
        <w:t>（6）商务和技术偏差表</w:t>
      </w:r>
    </w:p>
    <w:p>
      <w:pPr>
        <w:spacing w:line="440" w:lineRule="exact"/>
        <w:ind w:firstLine="420" w:firstLineChars="200"/>
        <w:rPr>
          <w:rFonts w:ascii="Times New Roman" w:hAnsi="Times New Roman"/>
        </w:rPr>
      </w:pPr>
      <w:r>
        <w:rPr>
          <w:rFonts w:ascii="Times New Roman" w:hAnsi="Times New Roman"/>
        </w:rPr>
        <w:t>（</w:t>
      </w:r>
      <w:r>
        <w:rPr>
          <w:rFonts w:hint="eastAsia" w:ascii="Times New Roman" w:hAnsi="Times New Roman"/>
        </w:rPr>
        <w:t>7</w:t>
      </w:r>
      <w:r>
        <w:rPr>
          <w:rFonts w:ascii="Times New Roman" w:hAnsi="Times New Roman"/>
        </w:rPr>
        <w:t>）</w:t>
      </w:r>
      <w:r>
        <w:rPr>
          <w:rFonts w:hint="eastAsia" w:ascii="Times New Roman" w:hAnsi="Times New Roman"/>
        </w:rPr>
        <w:t>服务</w:t>
      </w:r>
      <w:r>
        <w:rPr>
          <w:rFonts w:ascii="Times New Roman" w:hAnsi="Times New Roman"/>
        </w:rPr>
        <w:t>方案；</w:t>
      </w:r>
    </w:p>
    <w:p>
      <w:pPr>
        <w:spacing w:line="440" w:lineRule="exact"/>
        <w:ind w:firstLine="420" w:firstLineChars="200"/>
        <w:rPr>
          <w:rFonts w:ascii="Times New Roman" w:hAnsi="Times New Roman"/>
        </w:rPr>
      </w:pPr>
      <w:r>
        <w:rPr>
          <w:rFonts w:ascii="Times New Roman" w:hAnsi="Times New Roman"/>
        </w:rPr>
        <w:t>（</w:t>
      </w:r>
      <w:r>
        <w:rPr>
          <w:rFonts w:hint="eastAsia" w:ascii="Times New Roman" w:hAnsi="Times New Roman"/>
        </w:rPr>
        <w:t>8</w:t>
      </w:r>
      <w:r>
        <w:rPr>
          <w:rFonts w:ascii="Times New Roman" w:hAnsi="Times New Roman"/>
        </w:rPr>
        <w:t>）投标人须知前附表规定的其他资料。</w:t>
      </w:r>
    </w:p>
    <w:p>
      <w:pPr>
        <w:spacing w:line="440" w:lineRule="exact"/>
        <w:ind w:firstLine="420" w:firstLineChars="200"/>
        <w:rPr>
          <w:rFonts w:ascii="Times New Roman" w:hAnsi="Times New Roman"/>
        </w:rPr>
      </w:pPr>
      <w:r>
        <w:rPr>
          <w:rFonts w:ascii="Times New Roman" w:hAnsi="Times New Roman"/>
        </w:rPr>
        <w:t>投标人在评标过程中作出的符合法律法规和招标文件规定的澄清确认，构成投标文件的组成部分。</w:t>
      </w:r>
    </w:p>
    <w:p>
      <w:pPr>
        <w:spacing w:line="44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44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pPr>
        <w:pStyle w:val="10"/>
        <w:spacing w:line="440" w:lineRule="exact"/>
        <w:ind w:firstLine="137"/>
        <w:rPr>
          <w:rFonts w:ascii="Times New Roman" w:hAnsi="Times New Roman"/>
        </w:rPr>
      </w:pPr>
      <w:r>
        <w:rPr>
          <w:rFonts w:ascii="Times New Roman" w:hAnsi="Times New Roman"/>
        </w:rPr>
        <w:t xml:space="preserve">3.2 </w:t>
      </w:r>
      <w:r>
        <w:rPr>
          <w:rFonts w:hint="eastAsia" w:ascii="Times New Roman" w:hAnsi="Times New Roman"/>
        </w:rPr>
        <w:t>投标报价</w:t>
      </w:r>
    </w:p>
    <w:p>
      <w:pPr>
        <w:spacing w:line="440" w:lineRule="exact"/>
        <w:ind w:firstLine="420" w:firstLineChars="200"/>
        <w:rPr>
          <w:rFonts w:ascii="Times New Roman" w:hAnsi="Times New Roman"/>
        </w:rPr>
      </w:pPr>
      <w:r>
        <w:rPr>
          <w:rFonts w:ascii="Times New Roman" w:hAnsi="Times New Roman"/>
        </w:rPr>
        <w:t>3.2.1投标报价应包括国家规定的增值税税金，除投标人须知前附表另有规定外，增值税税金按一般计税方法计算。投标人应按第六章“投标文件格式”的要求在投标函中进行报价并填写</w:t>
      </w:r>
      <w:r>
        <w:rPr>
          <w:rFonts w:hint="eastAsia" w:ascii="Times New Roman" w:hAnsi="Times New Roman"/>
        </w:rPr>
        <w:t>报价明细表</w:t>
      </w:r>
      <w:r>
        <w:rPr>
          <w:rFonts w:ascii="Times New Roman" w:hAnsi="Times New Roman"/>
        </w:rPr>
        <w:t>。</w:t>
      </w:r>
    </w:p>
    <w:p>
      <w:pPr>
        <w:spacing w:line="44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440" w:lineRule="exact"/>
        <w:ind w:firstLine="420" w:firstLineChars="200"/>
        <w:rPr>
          <w:rFonts w:ascii="Times New Roman" w:hAnsi="Times New Roman"/>
        </w:rPr>
      </w:pPr>
      <w:r>
        <w:rPr>
          <w:rFonts w:ascii="Times New Roman" w:hAnsi="Times New Roman"/>
        </w:rPr>
        <w:t>3.2.3</w:t>
      </w:r>
      <w:bookmarkStart w:id="98" w:name="_Toc247513967"/>
      <w:bookmarkEnd w:id="98"/>
      <w:bookmarkStart w:id="99" w:name="_Toc247527568"/>
      <w:bookmarkEnd w:id="99"/>
      <w:bookmarkStart w:id="100" w:name="_Toc15242"/>
      <w:bookmarkEnd w:id="100"/>
      <w:bookmarkStart w:id="101" w:name="_Toc352691487"/>
      <w:bookmarkEnd w:id="101"/>
      <w:bookmarkStart w:id="102" w:name="_Toc152045543"/>
      <w:bookmarkEnd w:id="102"/>
      <w:bookmarkStart w:id="103" w:name="_Toc300834964"/>
      <w:bookmarkEnd w:id="103"/>
      <w:bookmarkStart w:id="104" w:name="_Toc361508599"/>
      <w:bookmarkEnd w:id="104"/>
      <w:bookmarkStart w:id="105" w:name="_Toc152042319"/>
      <w:bookmarkEnd w:id="105"/>
      <w:bookmarkStart w:id="106" w:name="_Toc144974511"/>
      <w:bookmarkEnd w:id="106"/>
      <w:bookmarkStart w:id="107" w:name="_Toc369531530"/>
      <w:bookmarkEnd w:id="107"/>
      <w:bookmarkStart w:id="108" w:name="_Toc384308224"/>
      <w:bookmarkEnd w:id="108"/>
      <w:r>
        <w:rPr>
          <w:rFonts w:hint="eastAsia" w:ascii="Times New Roman" w:hAnsi="Times New Roman"/>
        </w:rPr>
        <w:t xml:space="preserve"> 本项目的报价方式见投标人须知前附表。</w:t>
      </w:r>
      <w:r>
        <w:rPr>
          <w:rFonts w:ascii="Times New Roman" w:hAnsi="Times New Roman"/>
        </w:rPr>
        <w:t>投标人在投标截止时间前修改投标函中的投标报价总额，应同时修改投标文件“</w:t>
      </w:r>
      <w:r>
        <w:rPr>
          <w:rFonts w:hint="eastAsia" w:ascii="Times New Roman" w:hAnsi="Times New Roman"/>
        </w:rPr>
        <w:t>报价明细表</w:t>
      </w:r>
      <w:r>
        <w:rPr>
          <w:rFonts w:ascii="Times New Roman" w:hAnsi="Times New Roman"/>
        </w:rPr>
        <w:t>”中的相应报价。此修改须符合本章第4.3款的有关要求。</w:t>
      </w:r>
    </w:p>
    <w:p>
      <w:pPr>
        <w:spacing w:line="440" w:lineRule="exact"/>
        <w:ind w:firstLine="420" w:firstLineChars="200"/>
        <w:rPr>
          <w:rFonts w:ascii="Times New Roman" w:hAnsi="Times New Roman"/>
        </w:rPr>
      </w:pPr>
      <w:r>
        <w:rPr>
          <w:rFonts w:ascii="Times New Roman" w:hAnsi="Times New Roman"/>
        </w:rPr>
        <w:t>3.2.4</w:t>
      </w:r>
      <w:r>
        <w:rPr>
          <w:rFonts w:hint="eastAsia" w:ascii="Times New Roman" w:hAnsi="Times New Roman"/>
        </w:rPr>
        <w:t xml:space="preserve"> </w:t>
      </w:r>
      <w:r>
        <w:rPr>
          <w:rFonts w:ascii="Times New Roman" w:hAnsi="Times New Roman"/>
        </w:rPr>
        <w:t>招标人设有最高投标限价的，投标人的投标报价不得超过最高投标限价，最高投标限价在投标</w:t>
      </w:r>
      <w:bookmarkStart w:id="109" w:name="_Toc144974512"/>
      <w:bookmarkStart w:id="110" w:name="_Toc247527569"/>
      <w:bookmarkStart w:id="111" w:name="_Toc384308225"/>
      <w:bookmarkStart w:id="112" w:name="_Toc152042320"/>
      <w:bookmarkStart w:id="113" w:name="_Toc152045544"/>
      <w:bookmarkStart w:id="114" w:name="_Toc352691488"/>
      <w:bookmarkStart w:id="115" w:name="_Toc369531531"/>
      <w:bookmarkStart w:id="116" w:name="_Toc361508600"/>
      <w:bookmarkStart w:id="117" w:name="_Toc300834965"/>
      <w:bookmarkStart w:id="118" w:name="_Toc10429"/>
      <w:bookmarkStart w:id="119" w:name="_Toc247513968"/>
      <w:r>
        <w:rPr>
          <w:rFonts w:ascii="Times New Roman" w:hAnsi="Times New Roman"/>
        </w:rPr>
        <w:t>人须知前附表中载明。</w:t>
      </w:r>
      <w:bookmarkEnd w:id="109"/>
      <w:bookmarkEnd w:id="110"/>
      <w:bookmarkEnd w:id="111"/>
      <w:bookmarkEnd w:id="112"/>
      <w:bookmarkEnd w:id="113"/>
      <w:bookmarkEnd w:id="114"/>
      <w:bookmarkEnd w:id="115"/>
      <w:bookmarkEnd w:id="116"/>
      <w:bookmarkEnd w:id="117"/>
      <w:bookmarkEnd w:id="118"/>
      <w:bookmarkEnd w:id="119"/>
    </w:p>
    <w:p>
      <w:pPr>
        <w:spacing w:line="440" w:lineRule="exact"/>
        <w:ind w:firstLine="420" w:firstLineChars="200"/>
        <w:rPr>
          <w:rFonts w:ascii="Times New Roman" w:hAnsi="Times New Roman"/>
        </w:rPr>
      </w:pPr>
      <w:r>
        <w:rPr>
          <w:rFonts w:ascii="Times New Roman" w:hAnsi="Times New Roman"/>
        </w:rPr>
        <w:t>3.2.</w:t>
      </w:r>
      <w:r>
        <w:rPr>
          <w:rFonts w:hint="eastAsia" w:ascii="Times New Roman" w:hAnsi="Times New Roman"/>
        </w:rPr>
        <w:t>5</w:t>
      </w:r>
      <w:r>
        <w:rPr>
          <w:rFonts w:ascii="Times New Roman" w:hAnsi="Times New Roman"/>
        </w:rPr>
        <w:t xml:space="preserve"> 投标报价的其他要求见投标人须知前附表。</w:t>
      </w:r>
    </w:p>
    <w:p>
      <w:pPr>
        <w:pStyle w:val="10"/>
        <w:spacing w:line="440" w:lineRule="exact"/>
        <w:ind w:firstLine="137"/>
        <w:rPr>
          <w:rFonts w:ascii="Times New Roman" w:hAnsi="Times New Roman"/>
        </w:rPr>
      </w:pPr>
      <w:r>
        <w:rPr>
          <w:rFonts w:ascii="Times New Roman" w:hAnsi="Times New Roman"/>
        </w:rPr>
        <w:t xml:space="preserve">3.3 </w:t>
      </w:r>
      <w:r>
        <w:rPr>
          <w:rFonts w:hint="eastAsia" w:ascii="Times New Roman" w:hAnsi="Times New Roman"/>
        </w:rPr>
        <w:t>投标有效期</w:t>
      </w:r>
    </w:p>
    <w:p>
      <w:pPr>
        <w:spacing w:line="440" w:lineRule="exact"/>
        <w:ind w:firstLine="420" w:firstLineChars="200"/>
        <w:rPr>
          <w:rFonts w:ascii="Times New Roman" w:hAnsi="Times New Roman"/>
        </w:rPr>
      </w:pPr>
      <w:r>
        <w:rPr>
          <w:rFonts w:ascii="Times New Roman" w:hAnsi="Times New Roman"/>
        </w:rPr>
        <w:t>3.3.1 除投标人须知前附表另有规定外，投标有效期为90天。</w:t>
      </w:r>
    </w:p>
    <w:p>
      <w:pPr>
        <w:spacing w:line="44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pPr>
        <w:spacing w:line="44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10"/>
        <w:spacing w:line="440" w:lineRule="exact"/>
        <w:ind w:firstLine="137"/>
        <w:rPr>
          <w:rFonts w:ascii="Times New Roman" w:hAnsi="Times New Roman"/>
        </w:rPr>
      </w:pPr>
      <w:r>
        <w:rPr>
          <w:rFonts w:ascii="Times New Roman" w:hAnsi="Times New Roman"/>
        </w:rPr>
        <w:t xml:space="preserve">3.4 </w:t>
      </w:r>
      <w:r>
        <w:rPr>
          <w:rFonts w:hint="eastAsia" w:ascii="Times New Roman" w:hAnsi="Times New Roman"/>
        </w:rPr>
        <w:t>投标保证金</w:t>
      </w:r>
    </w:p>
    <w:p>
      <w:pPr>
        <w:spacing w:line="440" w:lineRule="exact"/>
        <w:ind w:firstLine="420" w:firstLineChars="200"/>
        <w:rPr>
          <w:rFonts w:ascii="Times New Roman" w:hAnsi="Times New Roman"/>
        </w:rPr>
      </w:pPr>
      <w:r>
        <w:rPr>
          <w:rFonts w:ascii="Times New Roman" w:hAnsi="Times New Roman"/>
        </w:rPr>
        <w:t>3.4.1 投标人在递交投标文件的同时，应按投标人须知前附表规定的金额</w:t>
      </w:r>
      <w:bookmarkStart w:id="120" w:name="_Toc369531532"/>
      <w:bookmarkStart w:id="121" w:name="_Toc144974513"/>
      <w:bookmarkStart w:id="122" w:name="_Toc352691489"/>
      <w:bookmarkStart w:id="123" w:name="_Toc247527570"/>
      <w:bookmarkStart w:id="124" w:name="_Toc361508601"/>
      <w:bookmarkStart w:id="125" w:name="_Toc152045545"/>
      <w:bookmarkStart w:id="126" w:name="_Toc247513969"/>
      <w:bookmarkStart w:id="127" w:name="_Toc152042321"/>
      <w:bookmarkStart w:id="128" w:name="_Toc384308226"/>
      <w:bookmarkStart w:id="129" w:name="_Toc300834966"/>
      <w:bookmarkStart w:id="130" w:name="_Toc4592"/>
      <w:r>
        <w:rPr>
          <w:rFonts w:ascii="Times New Roman" w:hAnsi="Times New Roman"/>
        </w:rPr>
        <w:t>、形式和第六章“投标文</w:t>
      </w:r>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40" w:lineRule="exact"/>
        <w:ind w:firstLine="420" w:firstLineChars="200"/>
        <w:jc w:val="left"/>
        <w:rPr>
          <w:rFonts w:ascii="Times New Roman" w:hAnsi="Times New Roman"/>
        </w:rPr>
      </w:pPr>
      <w:r>
        <w:rPr>
          <w:rFonts w:ascii="Times New Roman" w:hAnsi="Times New Roman"/>
        </w:rPr>
        <w:t>3.4.2 投标人不按本章第3.4.1项</w:t>
      </w:r>
      <w:bookmarkStart w:id="131" w:name="_Toc384308227"/>
      <w:bookmarkStart w:id="132" w:name="_Toc361508602"/>
      <w:bookmarkStart w:id="133" w:name="_Toc29025"/>
      <w:bookmarkStart w:id="134" w:name="_Toc352691490"/>
      <w:bookmarkStart w:id="135" w:name="_Toc369531533"/>
      <w:r>
        <w:rPr>
          <w:rFonts w:ascii="Times New Roman" w:hAnsi="Times New Roman"/>
        </w:rPr>
        <w:t>要求提交投标保证金的，</w:t>
      </w:r>
      <w:bookmarkEnd w:id="131"/>
      <w:bookmarkEnd w:id="132"/>
      <w:bookmarkEnd w:id="133"/>
      <w:bookmarkEnd w:id="134"/>
      <w:bookmarkEnd w:id="135"/>
      <w:r>
        <w:rPr>
          <w:rFonts w:ascii="Times New Roman" w:hAnsi="Times New Roman"/>
        </w:rPr>
        <w:t>评标委员会将否决其投标。</w:t>
      </w:r>
    </w:p>
    <w:p>
      <w:pPr>
        <w:spacing w:line="440" w:lineRule="exact"/>
        <w:ind w:firstLine="420" w:firstLineChars="200"/>
        <w:rPr>
          <w:rFonts w:ascii="Times New Roman" w:hAnsi="Times New Roman"/>
        </w:rPr>
      </w:pPr>
      <w:r>
        <w:rPr>
          <w:rFonts w:ascii="Times New Roman" w:hAnsi="Times New Roman"/>
        </w:rPr>
        <w:t>3.4.3 招标人最迟将在与中标人</w:t>
      </w:r>
      <w:bookmarkStart w:id="136" w:name="_Toc384308228"/>
      <w:bookmarkStart w:id="137" w:name="_Toc14751"/>
      <w:bookmarkStart w:id="138" w:name="_Toc247513970"/>
      <w:bookmarkStart w:id="139" w:name="_Toc300834967"/>
      <w:bookmarkStart w:id="140" w:name="_Toc352691491"/>
      <w:bookmarkStart w:id="141" w:name="_Toc152045546"/>
      <w:bookmarkStart w:id="142" w:name="_Toc152042322"/>
      <w:bookmarkStart w:id="143" w:name="_Toc247527571"/>
      <w:bookmarkStart w:id="144" w:name="_Toc144974514"/>
      <w:bookmarkStart w:id="145" w:name="_Toc369531534"/>
      <w:bookmarkStart w:id="146" w:name="_Toc361508603"/>
      <w:r>
        <w:rPr>
          <w:rFonts w:ascii="Times New Roman" w:hAnsi="Times New Roman"/>
        </w:rPr>
        <w:t>签订合同后5日</w:t>
      </w:r>
      <w:bookmarkEnd w:id="136"/>
      <w:bookmarkEnd w:id="137"/>
      <w:bookmarkEnd w:id="138"/>
      <w:bookmarkEnd w:id="139"/>
      <w:bookmarkEnd w:id="140"/>
      <w:bookmarkEnd w:id="141"/>
      <w:bookmarkEnd w:id="142"/>
      <w:bookmarkEnd w:id="143"/>
      <w:bookmarkEnd w:id="144"/>
      <w:bookmarkEnd w:id="145"/>
      <w:bookmarkEnd w:id="146"/>
      <w:r>
        <w:rPr>
          <w:rFonts w:ascii="Times New Roman" w:hAnsi="Times New Roman"/>
        </w:rPr>
        <w:t>内</w:t>
      </w:r>
      <w:bookmarkStart w:id="147" w:name="_Toc152042323"/>
      <w:bookmarkStart w:id="148" w:name="_Toc352691492"/>
      <w:bookmarkStart w:id="149" w:name="_Toc144974515"/>
      <w:bookmarkStart w:id="150" w:name="_Toc247527572"/>
      <w:bookmarkStart w:id="151" w:name="_Toc247513971"/>
      <w:bookmarkStart w:id="152" w:name="_Toc384308229"/>
      <w:bookmarkStart w:id="153" w:name="_Toc361508604"/>
      <w:bookmarkStart w:id="154" w:name="_Toc300834968"/>
      <w:bookmarkStart w:id="155" w:name="_Toc17952"/>
      <w:bookmarkStart w:id="156" w:name="_Toc152045547"/>
      <w:bookmarkStart w:id="157" w:name="_Toc369531535"/>
      <w:r>
        <w:rPr>
          <w:rFonts w:ascii="Times New Roman" w:hAnsi="Times New Roman"/>
        </w:rPr>
        <w:t>，向未中标的投标人和中</w:t>
      </w:r>
      <w:bookmarkEnd w:id="147"/>
      <w:bookmarkEnd w:id="148"/>
      <w:bookmarkEnd w:id="149"/>
      <w:bookmarkEnd w:id="150"/>
      <w:bookmarkEnd w:id="151"/>
      <w:bookmarkEnd w:id="152"/>
      <w:bookmarkEnd w:id="153"/>
      <w:bookmarkEnd w:id="154"/>
      <w:bookmarkEnd w:id="155"/>
      <w:bookmarkEnd w:id="156"/>
      <w:bookmarkEnd w:id="157"/>
      <w:r>
        <w:rPr>
          <w:rFonts w:ascii="Times New Roman" w:hAnsi="Times New Roman"/>
        </w:rPr>
        <w:t>标人退还投标保证金。投标保证金以现金或者支票形式递交的，还应退还银行同期存款利息。</w:t>
      </w:r>
    </w:p>
    <w:p>
      <w:pPr>
        <w:spacing w:line="440" w:lineRule="exact"/>
        <w:ind w:firstLine="420" w:firstLineChars="200"/>
        <w:rPr>
          <w:rFonts w:ascii="Times New Roman" w:hAnsi="Times New Roman"/>
        </w:rPr>
      </w:pPr>
      <w:r>
        <w:rPr>
          <w:rFonts w:ascii="Times New Roman" w:hAnsi="Times New Roman"/>
        </w:rPr>
        <w:t>3.4.4 有下列情形之一的，投标保证金将不予退还：</w:t>
      </w:r>
    </w:p>
    <w:p>
      <w:pPr>
        <w:spacing w:line="440" w:lineRule="exact"/>
        <w:ind w:firstLine="315" w:firstLineChars="150"/>
        <w:rPr>
          <w:rFonts w:ascii="Times New Roman" w:hAnsi="Times New Roman"/>
        </w:rPr>
      </w:pPr>
      <w:r>
        <w:rPr>
          <w:rFonts w:ascii="Times New Roman" w:hAnsi="Times New Roman"/>
        </w:rPr>
        <w:t>（1）投标人在投标有效期内撤销投标文件；</w:t>
      </w:r>
    </w:p>
    <w:p>
      <w:pPr>
        <w:spacing w:line="440" w:lineRule="exact"/>
        <w:ind w:firstLine="315" w:firstLineChars="150"/>
        <w:rPr>
          <w:rFonts w:ascii="Times New Roman" w:hAnsi="Times New Roman"/>
        </w:rPr>
      </w:pPr>
      <w:r>
        <w:rPr>
          <w:rFonts w:ascii="Times New Roman" w:hAnsi="Times New Roman"/>
        </w:rPr>
        <w:t>（2）中标人在收到中标通知书后，无正当理由不与招标人订立合同，在签订合同时向招标人提出附加条件，或者不按照招标文件要求提交履约保证金；</w:t>
      </w:r>
    </w:p>
    <w:p>
      <w:pPr>
        <w:spacing w:line="440" w:lineRule="exact"/>
        <w:ind w:firstLine="315" w:firstLineChars="150"/>
        <w:rPr>
          <w:rFonts w:ascii="Times New Roman" w:hAnsi="Times New Roman"/>
        </w:rPr>
      </w:pPr>
      <w:r>
        <w:rPr>
          <w:rFonts w:ascii="Times New Roman" w:hAnsi="Times New Roman"/>
        </w:rPr>
        <w:t>（3）发生投标人须知前附表</w:t>
      </w:r>
      <w:r>
        <w:rPr>
          <w:rFonts w:ascii="Times New Roman" w:hAnsi="Times New Roman"/>
          <w:szCs w:val="21"/>
        </w:rPr>
        <w:t>规定的其他可以不予退还投标保证金的情形。</w:t>
      </w:r>
    </w:p>
    <w:p>
      <w:pPr>
        <w:pStyle w:val="10"/>
        <w:spacing w:line="440" w:lineRule="exact"/>
        <w:ind w:firstLine="137"/>
        <w:rPr>
          <w:rFonts w:ascii="Times New Roman" w:hAnsi="Times New Roman"/>
        </w:rPr>
      </w:pPr>
      <w:r>
        <w:rPr>
          <w:rFonts w:ascii="Times New Roman" w:hAnsi="Times New Roman"/>
        </w:rPr>
        <w:t xml:space="preserve">3.5 </w:t>
      </w:r>
      <w:r>
        <w:rPr>
          <w:rFonts w:hint="eastAsia" w:ascii="Times New Roman" w:hAnsi="Times New Roman"/>
        </w:rPr>
        <w:t>资格审查资料（适用于未进行资格预审的）</w:t>
      </w:r>
    </w:p>
    <w:p>
      <w:pPr>
        <w:spacing w:line="440" w:lineRule="exact"/>
        <w:ind w:firstLine="420" w:firstLineChars="200"/>
        <w:rPr>
          <w:rFonts w:ascii="Times New Roman" w:hAnsi="Times New Roman"/>
        </w:rPr>
      </w:pPr>
      <w:r>
        <w:rPr>
          <w:rFonts w:ascii="Times New Roman" w:hAnsi="Times New Roman"/>
        </w:rPr>
        <w:t>除投标人须知前附表另有规定外，投标人应按规定提供资格审查资料，以证明其满足本章第1.4款规定的</w:t>
      </w:r>
      <w:r>
        <w:rPr>
          <w:rFonts w:hint="eastAsia" w:ascii="Times New Roman" w:hAnsi="Times New Roman"/>
        </w:rPr>
        <w:t>投标人资格要求</w:t>
      </w:r>
      <w:r>
        <w:rPr>
          <w:rFonts w:ascii="Times New Roman" w:hAnsi="Times New Roman"/>
        </w:rPr>
        <w:t>。</w:t>
      </w:r>
    </w:p>
    <w:p>
      <w:pPr>
        <w:pStyle w:val="10"/>
        <w:spacing w:line="440" w:lineRule="exact"/>
        <w:ind w:firstLine="137"/>
        <w:rPr>
          <w:rFonts w:ascii="Times New Roman" w:hAnsi="Times New Roman"/>
        </w:rPr>
      </w:pPr>
      <w:r>
        <w:rPr>
          <w:rFonts w:ascii="Times New Roman" w:hAnsi="Times New Roman"/>
        </w:rPr>
        <w:t xml:space="preserve">3.6 </w:t>
      </w:r>
      <w:r>
        <w:rPr>
          <w:rFonts w:hint="eastAsia" w:ascii="Times New Roman" w:hAnsi="Times New Roman"/>
        </w:rPr>
        <w:t>备选投标方案</w:t>
      </w:r>
    </w:p>
    <w:p>
      <w:pPr>
        <w:spacing w:line="44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pPr>
        <w:spacing w:line="44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4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58" w:name="_Toc152042326"/>
      <w:bookmarkStart w:id="159" w:name="_Toc369531538"/>
      <w:bookmarkStart w:id="160" w:name="_Toc247527575"/>
      <w:bookmarkStart w:id="161" w:name="_Toc247513974"/>
      <w:bookmarkStart w:id="162" w:name="_Toc300834971"/>
      <w:bookmarkStart w:id="163" w:name="_Toc361508607"/>
      <w:bookmarkStart w:id="164" w:name="_Toc152045550"/>
      <w:bookmarkStart w:id="165" w:name="_Toc384308232"/>
      <w:bookmarkStart w:id="166" w:name="_Toc352691495"/>
      <w:bookmarkStart w:id="167" w:name="_Toc29902"/>
      <w:bookmarkStart w:id="168" w:name="_Toc144974518"/>
      <w:r>
        <w:rPr>
          <w:rFonts w:hint="eastAsia" w:ascii="Times New Roman" w:hAnsi="Times New Roman"/>
        </w:rPr>
        <w:t>服务方案</w:t>
      </w:r>
      <w:r>
        <w:rPr>
          <w:rFonts w:ascii="Times New Roman" w:hAnsi="Times New Roman"/>
        </w:rPr>
        <w:t>的</w:t>
      </w:r>
      <w:bookmarkEnd w:id="158"/>
      <w:bookmarkEnd w:id="159"/>
      <w:bookmarkEnd w:id="160"/>
      <w:bookmarkEnd w:id="161"/>
      <w:bookmarkEnd w:id="162"/>
      <w:bookmarkEnd w:id="163"/>
      <w:bookmarkEnd w:id="164"/>
      <w:bookmarkEnd w:id="165"/>
      <w:bookmarkEnd w:id="166"/>
      <w:bookmarkEnd w:id="167"/>
      <w:bookmarkEnd w:id="168"/>
      <w:r>
        <w:rPr>
          <w:rFonts w:ascii="Times New Roman" w:hAnsi="Times New Roman"/>
        </w:rPr>
        <w:t>，视为提供备选方案。</w:t>
      </w:r>
    </w:p>
    <w:p>
      <w:pPr>
        <w:pStyle w:val="10"/>
        <w:spacing w:line="440" w:lineRule="exact"/>
        <w:ind w:firstLine="137"/>
        <w:rPr>
          <w:rFonts w:ascii="Times New Roman" w:hAnsi="Times New Roman"/>
        </w:rPr>
      </w:pPr>
      <w:r>
        <w:rPr>
          <w:rFonts w:ascii="Times New Roman" w:hAnsi="Times New Roman"/>
        </w:rPr>
        <w:t xml:space="preserve">3.7 </w:t>
      </w:r>
      <w:r>
        <w:rPr>
          <w:rFonts w:hint="eastAsia" w:ascii="Times New Roman" w:hAnsi="Times New Roman"/>
        </w:rPr>
        <w:t>投标文件的编制</w:t>
      </w:r>
    </w:p>
    <w:p>
      <w:pPr>
        <w:spacing w:line="44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Times New Roman" w:hAnsi="Times New Roman"/>
        </w:rPr>
      </w:pPr>
      <w:r>
        <w:rPr>
          <w:rFonts w:ascii="Times New Roman" w:hAnsi="Times New Roman"/>
        </w:rPr>
        <w:t>3.7.2 投标文件应当对招标文件有关服务期限、投标有效期、发包人要求、招标范围等实质性内容作出响应。</w:t>
      </w:r>
    </w:p>
    <w:p>
      <w:pPr>
        <w:spacing w:line="440" w:lineRule="exact"/>
        <w:ind w:firstLine="420" w:firstLineChars="200"/>
        <w:rPr>
          <w:rFonts w:ascii="Times New Roman" w:hAnsi="Times New Roman"/>
        </w:rPr>
      </w:pPr>
      <w:r>
        <w:rPr>
          <w:rFonts w:ascii="Times New Roman" w:hAnsi="Times New Roman"/>
        </w:rPr>
        <w:t>3.7.3（A）（1）投标文件应用不褪色的材料书写或打印，投标函</w:t>
      </w:r>
      <w:r>
        <w:rPr>
          <w:rFonts w:hint="eastAsia" w:ascii="Times New Roman" w:hAnsi="Times New Roman"/>
        </w:rPr>
        <w:t>、投标函附录</w:t>
      </w:r>
      <w:r>
        <w:rPr>
          <w:rFonts w:ascii="Times New Roman" w:hAnsi="Times New Roman"/>
        </w:rPr>
        <w:t>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w:t>
      </w:r>
      <w:r>
        <w:rPr>
          <w:rFonts w:hint="eastAsia" w:ascii="Times New Roman" w:hAnsi="Times New Roman"/>
        </w:rPr>
        <w:t>法定代表人</w:t>
      </w:r>
      <w:r>
        <w:rPr>
          <w:rFonts w:ascii="Times New Roman" w:hAnsi="Times New Roman"/>
        </w:rPr>
        <w:t>或其授权的代理人签字或盖单位章。</w:t>
      </w:r>
    </w:p>
    <w:p>
      <w:pPr>
        <w:spacing w:line="440" w:lineRule="exact"/>
        <w:ind w:firstLine="420" w:firstLineChars="200"/>
        <w:rPr>
          <w:rFonts w:ascii="Times New Roman" w:hAnsi="Times New Roman"/>
        </w:rPr>
      </w:pPr>
      <w:r>
        <w:rPr>
          <w:rFonts w:ascii="Times New Roman" w:hAnsi="Times New Roman"/>
        </w:rPr>
        <w:t>（2）投标文件正本一份，副本份数见投标人须知前附表。正本和副本的封面</w:t>
      </w:r>
      <w:r>
        <w:rPr>
          <w:rStyle w:val="47"/>
          <w:rFonts w:ascii="Times New Roman" w:hAnsi="Times New Roman"/>
          <w:kern w:val="0"/>
        </w:rPr>
        <w:t>右上角</w:t>
      </w:r>
      <w:r>
        <w:rPr>
          <w:rFonts w:ascii="Times New Roman" w:hAnsi="Times New Roman"/>
        </w:rPr>
        <w:t>上应清楚地标记“正本”或“副本”的字样。投标人应根据投标人须知前附表要求提供电子版文件。当副本和正本不一致或电子版文件和纸质正本文件不一致时，以纸质正本文件为准。</w:t>
      </w:r>
    </w:p>
    <w:p>
      <w:pPr>
        <w:spacing w:line="440" w:lineRule="exact"/>
        <w:ind w:firstLine="420" w:firstLineChars="200"/>
        <w:rPr>
          <w:rFonts w:ascii="Times New Roman" w:hAnsi="Times New Roman"/>
        </w:rPr>
      </w:pPr>
      <w:r>
        <w:rPr>
          <w:rFonts w:ascii="Times New Roman" w:hAnsi="Times New Roman"/>
        </w:rPr>
        <w:t>（3）投标文件的正本与副本应分别装订，并编制目录，投标文件需分册装订的，具体分册装订要求见投标人须知前附表规定。</w:t>
      </w:r>
    </w:p>
    <w:p>
      <w:pPr>
        <w:spacing w:line="440" w:lineRule="exact"/>
        <w:ind w:firstLine="420" w:firstLineChars="200"/>
        <w:rPr>
          <w:rFonts w:ascii="Times New Roman" w:hAnsi="Times New Roman"/>
        </w:rPr>
      </w:pPr>
      <w:r>
        <w:rPr>
          <w:rFonts w:ascii="Times New Roman" w:hAnsi="Times New Roman"/>
        </w:rPr>
        <w:t>3.7.3（B）投标文件全部采用电子文档，除投标人须知前附表另有规定外，投标文件所附证书证件均为原件扫描件，并</w:t>
      </w:r>
      <w:r>
        <w:rPr>
          <w:rFonts w:ascii="Times New Roman" w:hAnsi="Times New Roman"/>
          <w:szCs w:val="21"/>
        </w:rPr>
        <w:t>采用单位和个人数字证书，按招标文件要求在相应位置加盖电子印章</w:t>
      </w:r>
      <w:r>
        <w:rPr>
          <w:rFonts w:ascii="Times New Roman" w:hAnsi="Times New Roman"/>
        </w:rPr>
        <w:t>。由投标人的法定代表人签字或加盖电子印章的，应附法定代表人身份证明，由代理人签字或加盖电子印章的，应附由法定代表人签署的授权委托书。签字或盖章的具体要求见投标人须知前附表。</w:t>
      </w:r>
    </w:p>
    <w:p>
      <w:pPr>
        <w:pStyle w:val="9"/>
        <w:spacing w:line="440" w:lineRule="exact"/>
        <w:rPr>
          <w:rFonts w:ascii="Times New Roman" w:hAnsi="Times New Roman"/>
        </w:rPr>
      </w:pPr>
      <w:bookmarkStart w:id="169" w:name="_Toc17599"/>
      <w:r>
        <w:rPr>
          <w:rFonts w:ascii="Times New Roman" w:hAnsi="Times New Roman"/>
        </w:rPr>
        <w:t xml:space="preserve">4. </w:t>
      </w:r>
      <w:r>
        <w:rPr>
          <w:rFonts w:hint="eastAsia" w:ascii="Times New Roman" w:hAnsi="Times New Roman"/>
        </w:rPr>
        <w:t>投标</w:t>
      </w:r>
      <w:bookmarkEnd w:id="169"/>
    </w:p>
    <w:p>
      <w:pPr>
        <w:pStyle w:val="10"/>
        <w:spacing w:line="440" w:lineRule="exact"/>
        <w:ind w:firstLine="137"/>
        <w:rPr>
          <w:rFonts w:ascii="Times New Roman" w:hAnsi="Times New Roman"/>
        </w:rPr>
      </w:pPr>
      <w:r>
        <w:rPr>
          <w:rFonts w:ascii="Times New Roman" w:hAnsi="Times New Roman"/>
        </w:rPr>
        <w:t xml:space="preserve">4.1 </w:t>
      </w:r>
      <w:r>
        <w:rPr>
          <w:rFonts w:hint="eastAsia" w:ascii="Times New Roman" w:hAnsi="Times New Roman"/>
        </w:rPr>
        <w:t>投标文件的密封和标记</w:t>
      </w:r>
    </w:p>
    <w:p>
      <w:pPr>
        <w:spacing w:line="440" w:lineRule="exact"/>
        <w:ind w:firstLine="420" w:firstLineChars="200"/>
        <w:rPr>
          <w:rFonts w:ascii="Times New Roman" w:hAnsi="Times New Roman"/>
        </w:rPr>
      </w:pPr>
      <w:r>
        <w:rPr>
          <w:rFonts w:ascii="Times New Roman" w:hAnsi="Times New Roman"/>
        </w:rPr>
        <w:t>4.1.1 投标人应当按照招标文件和电子招标投标交易平台的要求加密投标文件，具体要求见投标人须知前附表。</w:t>
      </w:r>
    </w:p>
    <w:p>
      <w:pPr>
        <w:spacing w:line="440" w:lineRule="exact"/>
        <w:ind w:firstLine="420" w:firstLineChars="200"/>
        <w:rPr>
          <w:rFonts w:ascii="Times New Roman" w:hAnsi="Times New Roman"/>
        </w:rPr>
      </w:pPr>
      <w:r>
        <w:rPr>
          <w:rFonts w:ascii="Times New Roman" w:hAnsi="Times New Roman"/>
        </w:rPr>
        <w:t>4.1.2 投标文件封套上应写明的内容见投标人须知前附表。</w:t>
      </w:r>
    </w:p>
    <w:p>
      <w:pPr>
        <w:spacing w:line="440" w:lineRule="exact"/>
        <w:ind w:firstLine="420" w:firstLineChars="200"/>
        <w:rPr>
          <w:rFonts w:ascii="Times New Roman" w:hAnsi="Times New Roman"/>
        </w:rPr>
      </w:pPr>
      <w:r>
        <w:rPr>
          <w:rFonts w:ascii="Times New Roman" w:hAnsi="Times New Roman"/>
        </w:rPr>
        <w:t>4.1.3 未按本章第4.1.1项要求密封的投标文件，招标人将予以拒收。</w:t>
      </w:r>
    </w:p>
    <w:p>
      <w:pPr>
        <w:pStyle w:val="10"/>
        <w:spacing w:line="440" w:lineRule="exact"/>
        <w:ind w:firstLine="137"/>
        <w:rPr>
          <w:rFonts w:ascii="Times New Roman" w:hAnsi="Times New Roman"/>
        </w:rPr>
      </w:pPr>
      <w:r>
        <w:rPr>
          <w:rFonts w:ascii="Times New Roman" w:hAnsi="Times New Roman"/>
        </w:rPr>
        <w:t xml:space="preserve">4.2 </w:t>
      </w:r>
      <w:r>
        <w:rPr>
          <w:rFonts w:hint="eastAsia" w:ascii="Times New Roman" w:hAnsi="Times New Roman"/>
        </w:rPr>
        <w:t>投标文件的递交</w:t>
      </w:r>
    </w:p>
    <w:p>
      <w:pPr>
        <w:spacing w:line="440" w:lineRule="exact"/>
        <w:ind w:firstLine="420" w:firstLineChars="200"/>
        <w:rPr>
          <w:rFonts w:ascii="Times New Roman" w:hAnsi="Times New Roman"/>
        </w:rPr>
      </w:pPr>
      <w:r>
        <w:rPr>
          <w:rFonts w:ascii="Times New Roman" w:hAnsi="Times New Roman"/>
        </w:rPr>
        <w:t>4.2.1 投标人应在投标人须知前附表规定的投标截止时间前递交投标文件。</w:t>
      </w:r>
    </w:p>
    <w:p>
      <w:pPr>
        <w:spacing w:line="440" w:lineRule="exact"/>
        <w:ind w:firstLine="420" w:firstLineChars="200"/>
        <w:rPr>
          <w:rFonts w:ascii="Times New Roman" w:hAnsi="Times New Roman"/>
        </w:rPr>
      </w:pPr>
      <w:r>
        <w:rPr>
          <w:rFonts w:ascii="Times New Roman" w:hAnsi="Times New Roman"/>
        </w:rPr>
        <w:t xml:space="preserve">4.2.2 </w:t>
      </w:r>
      <w:r>
        <w:rPr>
          <w:rFonts w:ascii="Times New Roman" w:hAnsi="Times New Roman"/>
          <w:bCs/>
          <w:iCs/>
        </w:rPr>
        <w:t>投标人通过下载招标文件的电子招标投标交易平台递交电子投标文件。</w:t>
      </w:r>
    </w:p>
    <w:p>
      <w:pPr>
        <w:spacing w:line="440" w:lineRule="exact"/>
        <w:ind w:firstLine="420" w:firstLineChars="200"/>
        <w:rPr>
          <w:rFonts w:ascii="Times New Roman" w:hAnsi="Times New Roman"/>
        </w:rPr>
      </w:pPr>
      <w:r>
        <w:rPr>
          <w:rFonts w:ascii="Times New Roman" w:hAnsi="Times New Roman"/>
        </w:rPr>
        <w:t>4.2.3 除投标人须知前附表另有规定外，投标人所递交的投标文件不予退还。</w:t>
      </w:r>
    </w:p>
    <w:p>
      <w:pPr>
        <w:spacing w:line="440" w:lineRule="exact"/>
        <w:ind w:firstLine="420" w:firstLineChars="200"/>
        <w:rPr>
          <w:rFonts w:ascii="Times New Roman" w:hAnsi="Times New Roman"/>
        </w:rPr>
      </w:pPr>
      <w:r>
        <w:rPr>
          <w:rFonts w:ascii="Times New Roman" w:hAnsi="Times New Roman"/>
        </w:rPr>
        <w:t>4.2.4 投标人完成电子投标文件上传后，</w:t>
      </w:r>
      <w:r>
        <w:rPr>
          <w:rFonts w:ascii="Times New Roman" w:hAnsi="Times New Roman"/>
          <w:bCs/>
          <w:iCs/>
        </w:rPr>
        <w:t>电子招标投标交易平台</w:t>
      </w:r>
      <w:r>
        <w:rPr>
          <w:rFonts w:ascii="Times New Roman" w:hAnsi="Times New Roman"/>
        </w:rPr>
        <w:t>即时向投标人发出递交回执通知。递交时间以递交回执通知载明的传输完成时间为准。</w:t>
      </w:r>
    </w:p>
    <w:p>
      <w:pPr>
        <w:spacing w:line="440" w:lineRule="exact"/>
        <w:ind w:firstLine="420" w:firstLineChars="200"/>
        <w:jc w:val="left"/>
        <w:rPr>
          <w:rFonts w:ascii="Times New Roman" w:hAnsi="Times New Roman"/>
        </w:rPr>
      </w:pPr>
      <w:r>
        <w:rPr>
          <w:rFonts w:ascii="Times New Roman" w:hAnsi="Times New Roman"/>
        </w:rPr>
        <w:t>4.2.5 逾期送达的投标文件，电子招标投标交易平台将予以拒收。</w:t>
      </w:r>
    </w:p>
    <w:p>
      <w:pPr>
        <w:pStyle w:val="10"/>
        <w:spacing w:line="440" w:lineRule="exact"/>
        <w:ind w:firstLine="137"/>
        <w:rPr>
          <w:rFonts w:ascii="Times New Roman" w:hAnsi="Times New Roman"/>
        </w:rPr>
      </w:pPr>
      <w:r>
        <w:rPr>
          <w:rFonts w:ascii="Times New Roman" w:hAnsi="Times New Roman"/>
        </w:rPr>
        <w:t xml:space="preserve">4.3 </w:t>
      </w:r>
      <w:r>
        <w:rPr>
          <w:rFonts w:hint="eastAsia" w:ascii="Times New Roman" w:hAnsi="Times New Roman"/>
        </w:rPr>
        <w:t>投标文件的修改与撤回</w:t>
      </w:r>
    </w:p>
    <w:p>
      <w:pPr>
        <w:spacing w:line="440" w:lineRule="exact"/>
        <w:ind w:firstLine="420" w:firstLineChars="200"/>
        <w:rPr>
          <w:rFonts w:ascii="Times New Roman" w:hAnsi="Times New Roman"/>
        </w:rPr>
      </w:pPr>
      <w:r>
        <w:rPr>
          <w:rFonts w:ascii="Times New Roman" w:hAnsi="Times New Roman"/>
        </w:rPr>
        <w:t>4.3.1 在本章第4.2.1项规定的投标截止时间前，投标人可以修改或撤回已递交的投标文件，但应以书面形式通知招标人。</w:t>
      </w:r>
    </w:p>
    <w:p>
      <w:pPr>
        <w:spacing w:line="440" w:lineRule="exact"/>
        <w:ind w:firstLine="420" w:firstLineChars="200"/>
        <w:rPr>
          <w:rFonts w:ascii="Times New Roman" w:hAnsi="Times New Roman"/>
        </w:rPr>
      </w:pPr>
      <w:r>
        <w:rPr>
          <w:rFonts w:ascii="Times New Roman" w:hAnsi="Times New Roman"/>
        </w:rPr>
        <w:t>4.3.2 投标人修改或撤回已递交投标文件的通知，应按照本章第3.7.3（B）项的要求加盖电子印章。</w:t>
      </w:r>
      <w:r>
        <w:rPr>
          <w:rFonts w:ascii="Times New Roman" w:hAnsi="Times New Roman"/>
          <w:bCs/>
          <w:iCs/>
        </w:rPr>
        <w:t>电子招标投标交易平台收到通知后，</w:t>
      </w:r>
      <w:r>
        <w:rPr>
          <w:rFonts w:ascii="Times New Roman" w:hAnsi="Times New Roman"/>
        </w:rPr>
        <w:t>即时向投标人发出确认回执通知。</w:t>
      </w:r>
    </w:p>
    <w:p>
      <w:pPr>
        <w:spacing w:line="440" w:lineRule="exact"/>
        <w:ind w:firstLine="420" w:firstLineChars="200"/>
        <w:rPr>
          <w:rFonts w:ascii="Times New Roman" w:hAnsi="Times New Roman"/>
        </w:rPr>
      </w:pPr>
      <w:r>
        <w:rPr>
          <w:rFonts w:ascii="Times New Roman" w:hAnsi="Times New Roman"/>
        </w:rPr>
        <w:t>4.3.3 投标人撤回投标文件的，招标人自收到投标人书面撤回通知之日起5日内退还已收取的投标保证金。</w:t>
      </w:r>
    </w:p>
    <w:p>
      <w:pPr>
        <w:spacing w:line="440" w:lineRule="exact"/>
        <w:ind w:firstLine="420" w:firstLineChars="200"/>
        <w:rPr>
          <w:rFonts w:ascii="Times New Roman" w:hAnsi="Times New Roman"/>
        </w:rPr>
      </w:pPr>
      <w:r>
        <w:rPr>
          <w:rFonts w:ascii="Times New Roman" w:hAnsi="Times New Roman"/>
        </w:rPr>
        <w:t>4.3.</w:t>
      </w:r>
      <w:bookmarkStart w:id="170" w:name="_Toc144974521"/>
      <w:bookmarkStart w:id="171" w:name="_Toc152042329"/>
      <w:bookmarkStart w:id="172" w:name="_Toc361508610"/>
      <w:bookmarkStart w:id="173" w:name="_Toc247527578"/>
      <w:bookmarkStart w:id="174" w:name="_Toc384308235"/>
      <w:bookmarkStart w:id="175" w:name="_Toc152045553"/>
      <w:bookmarkStart w:id="176" w:name="_Toc300834974"/>
      <w:bookmarkStart w:id="177" w:name="_Toc352691497"/>
      <w:bookmarkStart w:id="178" w:name="_Toc19203"/>
      <w:bookmarkStart w:id="179" w:name="_Toc369531541"/>
      <w:bookmarkStart w:id="180" w:name="_Toc247513977"/>
      <w:r>
        <w:rPr>
          <w:rFonts w:ascii="Times New Roman" w:hAnsi="Times New Roman"/>
        </w:rPr>
        <w:t>4 修改的内容为投标</w:t>
      </w:r>
      <w:bookmarkEnd w:id="170"/>
      <w:bookmarkEnd w:id="171"/>
      <w:bookmarkEnd w:id="172"/>
      <w:bookmarkEnd w:id="173"/>
      <w:bookmarkEnd w:id="174"/>
      <w:bookmarkEnd w:id="175"/>
      <w:bookmarkEnd w:id="176"/>
      <w:bookmarkEnd w:id="177"/>
      <w:bookmarkEnd w:id="178"/>
      <w:bookmarkEnd w:id="179"/>
      <w:bookmarkEnd w:id="180"/>
      <w:r>
        <w:rPr>
          <w:rFonts w:ascii="Times New Roman" w:hAnsi="Times New Roman"/>
        </w:rPr>
        <w:t>文件的组成部分。修改的投标文件应按照本章第3条、第4条的规定进行编制、密封、标记和递交，并标明“修改”字样。</w:t>
      </w:r>
    </w:p>
    <w:p>
      <w:pPr>
        <w:pStyle w:val="10"/>
        <w:spacing w:line="440" w:lineRule="exact"/>
        <w:ind w:firstLine="118"/>
        <w:rPr>
          <w:rFonts w:ascii="Times New Roman" w:hAnsi="Times New Roman"/>
          <w:sz w:val="24"/>
        </w:rPr>
      </w:pPr>
      <w:r>
        <w:rPr>
          <w:rFonts w:ascii="Times New Roman" w:hAnsi="Times New Roman"/>
          <w:sz w:val="24"/>
        </w:rPr>
        <w:t>4.4</w:t>
      </w:r>
      <w:r>
        <w:rPr>
          <w:rFonts w:hint="eastAsia" w:ascii="Times New Roman" w:hAnsi="Times New Roman"/>
          <w:sz w:val="24"/>
        </w:rPr>
        <w:t>投标文件的解密</w:t>
      </w:r>
    </w:p>
    <w:p>
      <w:pPr>
        <w:spacing w:line="440" w:lineRule="exact"/>
        <w:ind w:firstLine="402"/>
        <w:rPr>
          <w:rFonts w:ascii="Times New Roman" w:hAnsi="Times New Roman"/>
          <w:szCs w:val="20"/>
        </w:rPr>
      </w:pPr>
      <w:r>
        <w:rPr>
          <w:rFonts w:ascii="Times New Roman" w:hAnsi="Times New Roman"/>
          <w:szCs w:val="20"/>
        </w:rPr>
        <w:t>4.4.1招标人在本章第4.2.1项规定的</w:t>
      </w:r>
      <w:r>
        <w:rPr>
          <w:rFonts w:hint="eastAsia" w:ascii="Times New Roman" w:hAnsi="Times New Roman"/>
          <w:szCs w:val="20"/>
        </w:rPr>
        <w:t>投标</w:t>
      </w:r>
      <w:r>
        <w:rPr>
          <w:rFonts w:ascii="Times New Roman" w:hAnsi="Times New Roman"/>
          <w:szCs w:val="20"/>
        </w:rPr>
        <w:t>截止时间在电子招标投标交易平台上组织对</w:t>
      </w:r>
      <w:r>
        <w:rPr>
          <w:rFonts w:hint="eastAsia" w:ascii="Times New Roman" w:hAnsi="Times New Roman"/>
          <w:szCs w:val="20"/>
        </w:rPr>
        <w:t>投标</w:t>
      </w:r>
      <w:r>
        <w:rPr>
          <w:rFonts w:ascii="Times New Roman" w:hAnsi="Times New Roman"/>
          <w:szCs w:val="20"/>
        </w:rPr>
        <w:t>文件的解密，所有</w:t>
      </w:r>
      <w:r>
        <w:rPr>
          <w:rFonts w:hint="eastAsia" w:ascii="Times New Roman" w:hAnsi="Times New Roman"/>
          <w:szCs w:val="20"/>
        </w:rPr>
        <w:t>投标</w:t>
      </w:r>
      <w:r>
        <w:rPr>
          <w:rFonts w:ascii="Times New Roman" w:hAnsi="Times New Roman"/>
          <w:szCs w:val="20"/>
        </w:rPr>
        <w:t>人均应当准时在线参加。</w:t>
      </w:r>
    </w:p>
    <w:p>
      <w:pPr>
        <w:spacing w:line="440" w:lineRule="exact"/>
        <w:ind w:firstLine="402"/>
        <w:rPr>
          <w:rFonts w:ascii="Times New Roman" w:hAnsi="Times New Roman"/>
          <w:szCs w:val="20"/>
        </w:rPr>
      </w:pPr>
      <w:r>
        <w:rPr>
          <w:rFonts w:ascii="Times New Roman" w:hAnsi="Times New Roman"/>
          <w:szCs w:val="20"/>
        </w:rPr>
        <w:t>4.4.2</w:t>
      </w:r>
      <w:r>
        <w:rPr>
          <w:rFonts w:hint="eastAsia" w:ascii="Times New Roman" w:hAnsi="Times New Roman"/>
          <w:szCs w:val="20"/>
        </w:rPr>
        <w:t>投标</w:t>
      </w:r>
      <w:r>
        <w:rPr>
          <w:rFonts w:ascii="Times New Roman" w:hAnsi="Times New Roman"/>
          <w:szCs w:val="20"/>
        </w:rPr>
        <w:t>人应登录电子招标投标交易平台，按照</w:t>
      </w:r>
      <w:r>
        <w:rPr>
          <w:rFonts w:hint="eastAsia" w:ascii="Times New Roman" w:hAnsi="Times New Roman"/>
          <w:szCs w:val="20"/>
        </w:rPr>
        <w:t>“</w:t>
      </w:r>
      <w:r>
        <w:rPr>
          <w:rFonts w:ascii="Times New Roman" w:hAnsi="Times New Roman"/>
          <w:szCs w:val="20"/>
        </w:rPr>
        <w:t>投标人须知前附表</w:t>
      </w:r>
      <w:r>
        <w:rPr>
          <w:rFonts w:hint="eastAsia" w:ascii="Times New Roman" w:hAnsi="Times New Roman"/>
          <w:szCs w:val="20"/>
        </w:rPr>
        <w:t>”</w:t>
      </w:r>
      <w:r>
        <w:rPr>
          <w:rFonts w:ascii="Times New Roman" w:hAnsi="Times New Roman"/>
          <w:szCs w:val="20"/>
        </w:rPr>
        <w:t>规定的方式和时间解密电子</w:t>
      </w:r>
      <w:r>
        <w:rPr>
          <w:rFonts w:hint="eastAsia" w:ascii="Times New Roman" w:hAnsi="Times New Roman"/>
          <w:szCs w:val="20"/>
        </w:rPr>
        <w:t>投标</w:t>
      </w:r>
      <w:r>
        <w:rPr>
          <w:rFonts w:ascii="Times New Roman" w:hAnsi="Times New Roman"/>
          <w:szCs w:val="20"/>
        </w:rPr>
        <w:t>文件，招标人公布电子</w:t>
      </w:r>
      <w:r>
        <w:rPr>
          <w:rFonts w:hint="eastAsia" w:ascii="Times New Roman" w:hAnsi="Times New Roman"/>
          <w:szCs w:val="20"/>
        </w:rPr>
        <w:t>投标</w:t>
      </w:r>
      <w:r>
        <w:rPr>
          <w:rFonts w:ascii="Times New Roman" w:hAnsi="Times New Roman"/>
          <w:szCs w:val="20"/>
        </w:rPr>
        <w:t>文件解密情况。</w:t>
      </w:r>
    </w:p>
    <w:p>
      <w:pPr>
        <w:spacing w:line="440" w:lineRule="exact"/>
        <w:ind w:firstLine="402"/>
        <w:rPr>
          <w:rFonts w:ascii="Times New Roman" w:hAnsi="Times New Roman"/>
          <w:szCs w:val="20"/>
        </w:rPr>
      </w:pPr>
      <w:r>
        <w:rPr>
          <w:rFonts w:ascii="Times New Roman" w:hAnsi="Times New Roman"/>
          <w:szCs w:val="20"/>
        </w:rPr>
        <w:t>4.4.3非因电子招标投标交易平台原因造成</w:t>
      </w:r>
      <w:r>
        <w:rPr>
          <w:rFonts w:hint="eastAsia" w:ascii="Times New Roman" w:hAnsi="Times New Roman"/>
          <w:szCs w:val="20"/>
        </w:rPr>
        <w:t>投标</w:t>
      </w:r>
      <w:r>
        <w:rPr>
          <w:rFonts w:ascii="Times New Roman" w:hAnsi="Times New Roman"/>
          <w:szCs w:val="20"/>
        </w:rPr>
        <w:t>文件未解密的，视为</w:t>
      </w:r>
      <w:r>
        <w:rPr>
          <w:rFonts w:hint="eastAsia" w:ascii="Times New Roman" w:hAnsi="Times New Roman"/>
          <w:szCs w:val="20"/>
        </w:rPr>
        <w:t>投标</w:t>
      </w:r>
      <w:r>
        <w:rPr>
          <w:rFonts w:ascii="Times New Roman" w:hAnsi="Times New Roman"/>
          <w:szCs w:val="20"/>
        </w:rPr>
        <w:t>人撤回申请。成功解密的电子</w:t>
      </w:r>
      <w:r>
        <w:rPr>
          <w:rFonts w:hint="eastAsia" w:ascii="Times New Roman" w:hAnsi="Times New Roman"/>
          <w:szCs w:val="20"/>
        </w:rPr>
        <w:t>投标</w:t>
      </w:r>
      <w:r>
        <w:rPr>
          <w:rFonts w:ascii="Times New Roman" w:hAnsi="Times New Roman"/>
          <w:szCs w:val="20"/>
        </w:rPr>
        <w:t>文件少于3个的，招标人重新组织</w:t>
      </w:r>
      <w:r>
        <w:rPr>
          <w:rFonts w:hint="eastAsia" w:ascii="Times New Roman" w:hAnsi="Times New Roman"/>
          <w:szCs w:val="20"/>
        </w:rPr>
        <w:t>招标</w:t>
      </w:r>
      <w:r>
        <w:rPr>
          <w:rFonts w:ascii="Times New Roman" w:hAnsi="Times New Roman"/>
          <w:szCs w:val="20"/>
        </w:rPr>
        <w:t>。</w:t>
      </w:r>
    </w:p>
    <w:p>
      <w:pPr>
        <w:pStyle w:val="10"/>
        <w:spacing w:line="440" w:lineRule="exact"/>
        <w:ind w:firstLine="118"/>
        <w:rPr>
          <w:rFonts w:ascii="Times New Roman" w:hAnsi="Times New Roman"/>
          <w:sz w:val="24"/>
        </w:rPr>
      </w:pPr>
      <w:bookmarkStart w:id="181" w:name="_Toc14291"/>
      <w:bookmarkStart w:id="182" w:name="_Toc519484212"/>
      <w:bookmarkStart w:id="183" w:name="_Toc1225909134"/>
      <w:bookmarkStart w:id="184" w:name="_Toc1822588631"/>
      <w:bookmarkStart w:id="185" w:name="_Toc1930453039"/>
      <w:bookmarkStart w:id="186" w:name="_Toc1629088753"/>
      <w:bookmarkStart w:id="187" w:name="_Toc697203091"/>
      <w:bookmarkStart w:id="188" w:name="_Toc931092878"/>
      <w:bookmarkStart w:id="189" w:name="_Toc2017261623"/>
      <w:bookmarkStart w:id="190" w:name="_Toc1920960586"/>
      <w:bookmarkStart w:id="191" w:name="_Toc29187"/>
      <w:r>
        <w:rPr>
          <w:rFonts w:ascii="Times New Roman" w:hAnsi="Times New Roman"/>
          <w:sz w:val="24"/>
        </w:rPr>
        <w:t>4.5</w:t>
      </w:r>
      <w:r>
        <w:rPr>
          <w:rFonts w:hint="eastAsia" w:ascii="Times New Roman" w:hAnsi="Times New Roman"/>
          <w:sz w:val="24"/>
        </w:rPr>
        <w:t>电子招标投标特殊情况的处置</w:t>
      </w:r>
      <w:bookmarkEnd w:id="181"/>
      <w:bookmarkEnd w:id="182"/>
      <w:bookmarkEnd w:id="183"/>
      <w:bookmarkEnd w:id="184"/>
      <w:bookmarkEnd w:id="185"/>
      <w:bookmarkEnd w:id="186"/>
      <w:bookmarkEnd w:id="187"/>
      <w:bookmarkEnd w:id="188"/>
      <w:bookmarkEnd w:id="189"/>
      <w:bookmarkEnd w:id="190"/>
      <w:bookmarkEnd w:id="191"/>
    </w:p>
    <w:p>
      <w:pPr>
        <w:spacing w:line="440" w:lineRule="exact"/>
        <w:ind w:firstLine="420" w:firstLineChars="200"/>
        <w:rPr>
          <w:rFonts w:ascii="Times New Roman" w:hAnsi="Times New Roman"/>
          <w:szCs w:val="20"/>
        </w:rPr>
      </w:pPr>
      <w:r>
        <w:rPr>
          <w:rFonts w:hint="eastAsia" w:ascii="Times New Roman" w:hAnsi="Times New Roman"/>
          <w:szCs w:val="20"/>
        </w:rPr>
        <w:t>有下列情形之一的，投标人应中止投标文件的递交，并在恢复正常后及时安排时间递交投标文件：</w:t>
      </w:r>
    </w:p>
    <w:p>
      <w:pPr>
        <w:spacing w:line="440" w:lineRule="exact"/>
        <w:ind w:firstLine="420" w:firstLineChars="200"/>
        <w:rPr>
          <w:rFonts w:ascii="Times New Roman" w:hAnsi="Times New Roman"/>
          <w:szCs w:val="20"/>
        </w:rPr>
      </w:pPr>
      <w:r>
        <w:rPr>
          <w:rFonts w:hint="eastAsia" w:ascii="Times New Roman" w:hAnsi="Times New Roman"/>
          <w:szCs w:val="20"/>
        </w:rPr>
        <w:t>（</w:t>
      </w:r>
      <w:r>
        <w:rPr>
          <w:rFonts w:ascii="Times New Roman" w:hAnsi="Times New Roman"/>
          <w:szCs w:val="20"/>
        </w:rPr>
        <w:t>1</w:t>
      </w:r>
      <w:r>
        <w:rPr>
          <w:rFonts w:hint="eastAsia" w:ascii="Times New Roman" w:hAnsi="Times New Roman"/>
          <w:szCs w:val="20"/>
        </w:rPr>
        <w:t>）系统服务器发生故障，无法访问或无法使用系统的；</w:t>
      </w:r>
    </w:p>
    <w:p>
      <w:pPr>
        <w:spacing w:line="440" w:lineRule="exact"/>
        <w:ind w:firstLine="420" w:firstLineChars="200"/>
        <w:rPr>
          <w:rFonts w:ascii="Times New Roman" w:hAnsi="Times New Roman"/>
          <w:szCs w:val="20"/>
        </w:rPr>
      </w:pPr>
      <w:r>
        <w:rPr>
          <w:rFonts w:hint="eastAsia" w:ascii="Times New Roman" w:hAnsi="Times New Roman"/>
          <w:szCs w:val="20"/>
        </w:rPr>
        <w:t>（</w:t>
      </w:r>
      <w:r>
        <w:rPr>
          <w:rFonts w:ascii="Times New Roman" w:hAnsi="Times New Roman"/>
          <w:szCs w:val="20"/>
        </w:rPr>
        <w:t>2</w:t>
      </w:r>
      <w:r>
        <w:rPr>
          <w:rFonts w:hint="eastAsia" w:ascii="Times New Roman" w:hAnsi="Times New Roman"/>
          <w:szCs w:val="20"/>
        </w:rPr>
        <w:t>）系统软件或数据库出现错误，不能进行正常操作的；</w:t>
      </w:r>
    </w:p>
    <w:p>
      <w:pPr>
        <w:spacing w:line="440" w:lineRule="exact"/>
        <w:ind w:firstLine="420" w:firstLineChars="200"/>
        <w:rPr>
          <w:rFonts w:ascii="Times New Roman" w:hAnsi="Times New Roman"/>
          <w:szCs w:val="20"/>
        </w:rPr>
      </w:pPr>
      <w:r>
        <w:rPr>
          <w:rFonts w:hint="eastAsia" w:ascii="Times New Roman" w:hAnsi="Times New Roman"/>
          <w:szCs w:val="20"/>
        </w:rPr>
        <w:t>（</w:t>
      </w:r>
      <w:r>
        <w:rPr>
          <w:rFonts w:ascii="Times New Roman" w:hAnsi="Times New Roman"/>
          <w:szCs w:val="20"/>
        </w:rPr>
        <w:t>3</w:t>
      </w:r>
      <w:r>
        <w:rPr>
          <w:rFonts w:hint="eastAsia" w:ascii="Times New Roman" w:hAnsi="Times New Roman"/>
          <w:szCs w:val="20"/>
        </w:rPr>
        <w:t>）系统发现有安全漏洞，有潜在泄密危险的；</w:t>
      </w:r>
    </w:p>
    <w:p>
      <w:pPr>
        <w:spacing w:line="440" w:lineRule="exact"/>
        <w:ind w:firstLine="420" w:firstLineChars="200"/>
        <w:rPr>
          <w:rFonts w:ascii="Times New Roman" w:hAnsi="Times New Roman"/>
          <w:szCs w:val="20"/>
        </w:rPr>
      </w:pPr>
      <w:r>
        <w:rPr>
          <w:rFonts w:hint="eastAsia" w:ascii="Times New Roman" w:hAnsi="Times New Roman"/>
          <w:szCs w:val="20"/>
        </w:rPr>
        <w:t>（</w:t>
      </w:r>
      <w:r>
        <w:rPr>
          <w:rFonts w:ascii="Times New Roman" w:hAnsi="Times New Roman"/>
          <w:szCs w:val="20"/>
        </w:rPr>
        <w:t>4</w:t>
      </w:r>
      <w:r>
        <w:rPr>
          <w:rFonts w:hint="eastAsia" w:ascii="Times New Roman" w:hAnsi="Times New Roman"/>
          <w:szCs w:val="20"/>
        </w:rPr>
        <w:t>）系统服务器出现断电事故且短时间内无法恢复供电的；</w:t>
      </w:r>
    </w:p>
    <w:p>
      <w:pPr>
        <w:spacing w:line="440" w:lineRule="exact"/>
        <w:ind w:firstLine="420" w:firstLineChars="200"/>
        <w:rPr>
          <w:rFonts w:ascii="Times New Roman" w:hAnsi="Times New Roman"/>
          <w:szCs w:val="20"/>
        </w:rPr>
      </w:pPr>
      <w:r>
        <w:rPr>
          <w:rFonts w:hint="eastAsia" w:ascii="Times New Roman" w:hAnsi="Times New Roman"/>
          <w:szCs w:val="20"/>
        </w:rPr>
        <w:t>（</w:t>
      </w:r>
      <w:r>
        <w:rPr>
          <w:rFonts w:ascii="Times New Roman" w:hAnsi="Times New Roman"/>
          <w:szCs w:val="20"/>
        </w:rPr>
        <w:t>5</w:t>
      </w:r>
      <w:r>
        <w:rPr>
          <w:rFonts w:hint="eastAsia" w:ascii="Times New Roman" w:hAnsi="Times New Roman"/>
          <w:szCs w:val="20"/>
        </w:rPr>
        <w:t>）其他无法保证招投标过程正常进行的情形。</w:t>
      </w:r>
    </w:p>
    <w:p>
      <w:pPr>
        <w:pStyle w:val="24"/>
        <w:spacing w:line="440" w:lineRule="exact"/>
        <w:ind w:firstLine="420" w:firstLineChars="200"/>
        <w:rPr>
          <w:rFonts w:ascii="Times New Roman" w:hAnsi="Times New Roman"/>
        </w:rPr>
      </w:pPr>
    </w:p>
    <w:p>
      <w:pPr>
        <w:pStyle w:val="9"/>
        <w:spacing w:line="440" w:lineRule="exact"/>
        <w:rPr>
          <w:rFonts w:ascii="Times New Roman" w:hAnsi="Times New Roman"/>
        </w:rPr>
      </w:pPr>
      <w:bookmarkStart w:id="192" w:name="_Toc25722"/>
      <w:r>
        <w:rPr>
          <w:rFonts w:ascii="Times New Roman" w:hAnsi="Times New Roman"/>
        </w:rPr>
        <w:t xml:space="preserve">5. </w:t>
      </w:r>
      <w:r>
        <w:rPr>
          <w:rFonts w:hint="eastAsia" w:ascii="Times New Roman" w:hAnsi="Times New Roman"/>
        </w:rPr>
        <w:t>开标</w:t>
      </w:r>
      <w:bookmarkEnd w:id="192"/>
    </w:p>
    <w:p>
      <w:pPr>
        <w:pStyle w:val="10"/>
        <w:spacing w:line="440" w:lineRule="exact"/>
        <w:ind w:firstLine="137"/>
        <w:rPr>
          <w:rFonts w:ascii="Times New Roman" w:hAnsi="Times New Roman"/>
        </w:rPr>
      </w:pPr>
      <w:r>
        <w:rPr>
          <w:rFonts w:ascii="Times New Roman" w:hAnsi="Times New Roman"/>
        </w:rPr>
        <w:t xml:space="preserve">5.1 </w:t>
      </w:r>
      <w:r>
        <w:rPr>
          <w:rFonts w:hint="eastAsia" w:ascii="Times New Roman" w:hAnsi="Times New Roman"/>
        </w:rPr>
        <w:t>开标时间和地点</w:t>
      </w:r>
    </w:p>
    <w:p>
      <w:pPr>
        <w:spacing w:line="440" w:lineRule="exact"/>
        <w:ind w:firstLine="420" w:firstLineChars="200"/>
        <w:rPr>
          <w:rFonts w:ascii="Times New Roman" w:hAnsi="Times New Roman"/>
        </w:rPr>
      </w:pPr>
      <w:r>
        <w:rPr>
          <w:rFonts w:ascii="Times New Roman" w:hAnsi="Times New Roman"/>
        </w:rPr>
        <w:t>招标人在本章第4.2.1项规定的投标截止时间（开标时间）和投标人须知前附表规定的地点公开开标，并邀请所有投标人的法定代表人或其委托代理人准时参加。</w:t>
      </w:r>
    </w:p>
    <w:p>
      <w:pPr>
        <w:pStyle w:val="10"/>
        <w:spacing w:line="440" w:lineRule="exact"/>
        <w:ind w:firstLine="137"/>
        <w:rPr>
          <w:rFonts w:ascii="Times New Roman" w:hAnsi="Times New Roman"/>
        </w:rPr>
      </w:pPr>
      <w:r>
        <w:rPr>
          <w:rFonts w:ascii="Times New Roman" w:hAnsi="Times New Roman"/>
        </w:rPr>
        <w:t xml:space="preserve">5.2 </w:t>
      </w:r>
      <w:r>
        <w:rPr>
          <w:rFonts w:hint="eastAsia" w:ascii="Times New Roman" w:hAnsi="Times New Roman"/>
        </w:rPr>
        <w:t>开标程序</w:t>
      </w:r>
    </w:p>
    <w:p>
      <w:pPr>
        <w:spacing w:line="440" w:lineRule="exact"/>
        <w:ind w:firstLine="420" w:firstLineChars="200"/>
        <w:rPr>
          <w:rFonts w:ascii="Times New Roman" w:hAnsi="Times New Roman"/>
        </w:rPr>
      </w:pPr>
      <w:r>
        <w:rPr>
          <w:rFonts w:ascii="Times New Roman" w:hAnsi="Times New Roman"/>
        </w:rPr>
        <w:t>主持人按下列程序进行开标：</w:t>
      </w:r>
    </w:p>
    <w:p>
      <w:pPr>
        <w:spacing w:line="440" w:lineRule="exact"/>
        <w:ind w:firstLine="420" w:firstLineChars="200"/>
        <w:rPr>
          <w:rFonts w:ascii="Times New Roman" w:hAnsi="Times New Roman"/>
        </w:rPr>
      </w:pPr>
      <w:r>
        <w:rPr>
          <w:rFonts w:ascii="Times New Roman" w:hAnsi="Times New Roman"/>
        </w:rPr>
        <w:t>（1）宣布开标纪律；</w:t>
      </w:r>
    </w:p>
    <w:p>
      <w:pPr>
        <w:spacing w:line="440" w:lineRule="exact"/>
        <w:ind w:firstLine="420" w:firstLineChars="200"/>
        <w:rPr>
          <w:rFonts w:ascii="Times New Roman" w:hAnsi="Times New Roman"/>
        </w:rPr>
      </w:pPr>
      <w:r>
        <w:rPr>
          <w:rFonts w:ascii="Times New Roman" w:hAnsi="Times New Roman"/>
        </w:rPr>
        <w:t>（2）公布在投标截止时间前递交投标文件的投标人名称；</w:t>
      </w:r>
    </w:p>
    <w:p>
      <w:pPr>
        <w:spacing w:line="440" w:lineRule="exact"/>
        <w:ind w:firstLine="420" w:firstLineChars="200"/>
        <w:rPr>
          <w:rFonts w:ascii="Times New Roman" w:hAnsi="Times New Roman"/>
        </w:rPr>
      </w:pPr>
      <w:r>
        <w:rPr>
          <w:rFonts w:ascii="Times New Roman" w:hAnsi="Times New Roman"/>
        </w:rPr>
        <w:t>（3）宣布</w:t>
      </w:r>
      <w:bookmarkStart w:id="193" w:name="_Toc152042330"/>
      <w:bookmarkStart w:id="194" w:name="_Toc361508611"/>
      <w:bookmarkStart w:id="195" w:name="_Toc352691498"/>
      <w:bookmarkStart w:id="196" w:name="_Toc22119"/>
      <w:bookmarkStart w:id="197" w:name="_Toc152045554"/>
      <w:bookmarkStart w:id="198" w:name="_Toc247527579"/>
      <w:bookmarkStart w:id="199" w:name="_Toc144974522"/>
      <w:bookmarkStart w:id="200" w:name="_Toc300834975"/>
      <w:bookmarkStart w:id="201" w:name="_Toc384308236"/>
      <w:bookmarkStart w:id="202" w:name="_Toc247513978"/>
      <w:bookmarkStart w:id="203" w:name="_Toc369531542"/>
      <w:r>
        <w:rPr>
          <w:rFonts w:ascii="Times New Roman" w:hAnsi="Times New Roman"/>
        </w:rPr>
        <w:t>开标人、唱标人、记录人</w:t>
      </w:r>
      <w:bookmarkEnd w:id="193"/>
      <w:bookmarkEnd w:id="194"/>
      <w:bookmarkEnd w:id="195"/>
      <w:bookmarkEnd w:id="196"/>
      <w:bookmarkEnd w:id="197"/>
      <w:bookmarkEnd w:id="198"/>
      <w:bookmarkEnd w:id="199"/>
      <w:bookmarkEnd w:id="200"/>
      <w:bookmarkEnd w:id="201"/>
      <w:bookmarkEnd w:id="202"/>
      <w:bookmarkEnd w:id="203"/>
      <w:r>
        <w:rPr>
          <w:rFonts w:ascii="Times New Roman" w:hAnsi="Times New Roman"/>
        </w:rPr>
        <w:t>、监标人等有关人员姓名；</w:t>
      </w:r>
    </w:p>
    <w:p>
      <w:pPr>
        <w:spacing w:line="440" w:lineRule="exact"/>
        <w:ind w:firstLine="420" w:firstLineChars="200"/>
        <w:rPr>
          <w:rFonts w:ascii="Times New Roman" w:hAnsi="Times New Roman"/>
        </w:rPr>
      </w:pPr>
      <w:r>
        <w:rPr>
          <w:rFonts w:ascii="Times New Roman" w:hAnsi="Times New Roman"/>
        </w:rPr>
        <w:t>（4）投标人通过电子招标投标交易平台对已递交的电子投标文件进行解密，公布招标项目名称、投标人名称、投标保证金的递交情况、投标报价、服务期限及其他内容，并记录在案；</w:t>
      </w:r>
    </w:p>
    <w:p>
      <w:pPr>
        <w:spacing w:line="440" w:lineRule="exact"/>
        <w:ind w:firstLine="420" w:firstLineChars="200"/>
        <w:rPr>
          <w:rFonts w:ascii="Times New Roman" w:hAnsi="Times New Roman"/>
        </w:rPr>
      </w:pPr>
      <w:r>
        <w:rPr>
          <w:rFonts w:ascii="Times New Roman" w:hAnsi="Times New Roman"/>
        </w:rPr>
        <w:t>（5）投标人代表、招标人代表、监标人、记录人等有关人员使用本人的电子印章在开标记录上签字确认；</w:t>
      </w:r>
    </w:p>
    <w:p>
      <w:pPr>
        <w:spacing w:line="440" w:lineRule="exact"/>
        <w:ind w:firstLine="420" w:firstLineChars="200"/>
        <w:rPr>
          <w:rFonts w:ascii="Times New Roman" w:hAnsi="Times New Roman"/>
        </w:rPr>
      </w:pPr>
      <w:r>
        <w:rPr>
          <w:rFonts w:ascii="Times New Roman" w:hAnsi="Times New Roman"/>
        </w:rPr>
        <w:t>（6）开标结束。</w:t>
      </w:r>
    </w:p>
    <w:p>
      <w:pPr>
        <w:pStyle w:val="10"/>
        <w:spacing w:line="440" w:lineRule="exact"/>
        <w:ind w:firstLine="137"/>
        <w:rPr>
          <w:rFonts w:ascii="Times New Roman" w:hAnsi="Times New Roman"/>
        </w:rPr>
      </w:pPr>
      <w:r>
        <w:rPr>
          <w:rFonts w:ascii="Times New Roman" w:hAnsi="Times New Roman"/>
        </w:rPr>
        <w:t xml:space="preserve">5.3 </w:t>
      </w:r>
      <w:r>
        <w:rPr>
          <w:rFonts w:hint="eastAsia" w:ascii="Times New Roman" w:hAnsi="Times New Roman"/>
        </w:rPr>
        <w:t>开标异议</w:t>
      </w:r>
    </w:p>
    <w:p>
      <w:pPr>
        <w:spacing w:line="440" w:lineRule="exact"/>
        <w:ind w:firstLine="359" w:firstLineChars="171"/>
        <w:rPr>
          <w:rFonts w:ascii="Times New Roman" w:hAnsi="Times New Roman"/>
        </w:rPr>
      </w:pPr>
      <w:r>
        <w:rPr>
          <w:rFonts w:ascii="Times New Roman" w:hAnsi="Times New Roman"/>
        </w:rPr>
        <w:t>投标人对开标有异议的，应当在开标现场提出，招标人当场作出答复，并制作记录。</w:t>
      </w:r>
    </w:p>
    <w:p>
      <w:pPr>
        <w:pStyle w:val="9"/>
        <w:spacing w:line="440" w:lineRule="exact"/>
        <w:rPr>
          <w:rFonts w:ascii="Times New Roman" w:hAnsi="Times New Roman"/>
        </w:rPr>
      </w:pPr>
      <w:bookmarkStart w:id="204" w:name="_Toc15241"/>
      <w:r>
        <w:rPr>
          <w:rFonts w:ascii="Times New Roman" w:hAnsi="Times New Roman"/>
        </w:rPr>
        <w:t xml:space="preserve">6. </w:t>
      </w:r>
      <w:r>
        <w:rPr>
          <w:rFonts w:hint="eastAsia" w:ascii="Times New Roman" w:hAnsi="Times New Roman"/>
        </w:rPr>
        <w:t>评标</w:t>
      </w:r>
      <w:bookmarkEnd w:id="204"/>
    </w:p>
    <w:p>
      <w:pPr>
        <w:pStyle w:val="10"/>
        <w:spacing w:line="440" w:lineRule="exact"/>
        <w:ind w:firstLine="137"/>
        <w:rPr>
          <w:rFonts w:ascii="Times New Roman" w:hAnsi="Times New Roman"/>
        </w:rPr>
      </w:pPr>
      <w:r>
        <w:rPr>
          <w:rFonts w:ascii="Times New Roman" w:hAnsi="Times New Roman"/>
        </w:rPr>
        <w:t xml:space="preserve">6.1 </w:t>
      </w:r>
      <w:r>
        <w:rPr>
          <w:rFonts w:hint="eastAsia" w:ascii="Times New Roman" w:hAnsi="Times New Roman"/>
        </w:rPr>
        <w:t>评标委员会</w:t>
      </w:r>
    </w:p>
    <w:p>
      <w:pPr>
        <w:spacing w:line="440" w:lineRule="exact"/>
        <w:ind w:firstLine="420" w:firstLineChars="200"/>
        <w:rPr>
          <w:rFonts w:ascii="Times New Roman" w:hAnsi="Times New Roman"/>
        </w:rPr>
      </w:pPr>
      <w:r>
        <w:rPr>
          <w:rFonts w:ascii="Times New Roman" w:hAnsi="Times New Roma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40" w:lineRule="exact"/>
        <w:ind w:firstLine="420" w:firstLineChars="200"/>
        <w:rPr>
          <w:rFonts w:ascii="Times New Roman" w:hAnsi="Times New Roman"/>
        </w:rPr>
      </w:pPr>
      <w:r>
        <w:rPr>
          <w:rFonts w:ascii="Times New Roman" w:hAnsi="Times New Roman"/>
        </w:rPr>
        <w:t>6.1.2 评标委员会成员有下列情形之一的，应当回避：</w:t>
      </w:r>
    </w:p>
    <w:p>
      <w:pPr>
        <w:spacing w:line="440" w:lineRule="exact"/>
        <w:ind w:firstLine="718" w:firstLineChars="342"/>
        <w:rPr>
          <w:rFonts w:ascii="Times New Roman" w:hAnsi="Times New Roman"/>
        </w:rPr>
      </w:pPr>
      <w:r>
        <w:rPr>
          <w:rFonts w:ascii="Times New Roman" w:hAnsi="Times New Roman"/>
        </w:rPr>
        <w:t>（1）投标人或投标人主要负责人的近亲属；</w:t>
      </w:r>
    </w:p>
    <w:p>
      <w:pPr>
        <w:spacing w:line="440" w:lineRule="exact"/>
        <w:ind w:firstLine="718" w:firstLineChars="342"/>
        <w:rPr>
          <w:rFonts w:ascii="Times New Roman" w:hAnsi="Times New Roman"/>
        </w:rPr>
      </w:pPr>
      <w:r>
        <w:rPr>
          <w:rFonts w:ascii="Times New Roman" w:hAnsi="Times New Roman"/>
        </w:rPr>
        <w:t>（2）项目主管部门或者行政监督部门的人员；</w:t>
      </w:r>
    </w:p>
    <w:p>
      <w:pPr>
        <w:spacing w:line="440" w:lineRule="exact"/>
        <w:ind w:firstLine="718" w:firstLineChars="342"/>
        <w:rPr>
          <w:rFonts w:ascii="Times New Roman" w:hAnsi="Times New Roman"/>
        </w:rPr>
      </w:pPr>
      <w:r>
        <w:rPr>
          <w:rFonts w:ascii="Times New Roman" w:hAnsi="Times New Roman"/>
        </w:rPr>
        <w:t>（3）与投标人有经济利益关系，可能影响对投标公正评审的；</w:t>
      </w:r>
    </w:p>
    <w:p>
      <w:pPr>
        <w:spacing w:line="440" w:lineRule="exact"/>
        <w:ind w:firstLine="718" w:firstLineChars="342"/>
        <w:rPr>
          <w:rFonts w:ascii="Times New Roman" w:hAnsi="Times New Roman"/>
        </w:rPr>
      </w:pPr>
      <w:r>
        <w:rPr>
          <w:rFonts w:ascii="Times New Roman" w:hAnsi="Times New Roman"/>
        </w:rPr>
        <w:t>（4）曾因在招标、评</w:t>
      </w:r>
      <w:bookmarkStart w:id="205" w:name="_Toc247527580"/>
      <w:bookmarkStart w:id="206" w:name="_Toc384308237"/>
      <w:bookmarkStart w:id="207" w:name="_Toc144974523"/>
      <w:bookmarkStart w:id="208" w:name="_Toc6230"/>
      <w:bookmarkStart w:id="209" w:name="_Toc300834976"/>
      <w:bookmarkStart w:id="210" w:name="_Toc152045555"/>
      <w:bookmarkStart w:id="211" w:name="_Toc361508612"/>
      <w:bookmarkStart w:id="212" w:name="_Toc352691499"/>
      <w:bookmarkStart w:id="213" w:name="_Toc247513979"/>
      <w:bookmarkStart w:id="214" w:name="_Toc152042331"/>
      <w:bookmarkStart w:id="215" w:name="_Toc369531543"/>
      <w:r>
        <w:rPr>
          <w:rFonts w:ascii="Times New Roman" w:hAnsi="Times New Roman"/>
        </w:rPr>
        <w:t>标以及其他</w:t>
      </w:r>
      <w:bookmarkEnd w:id="205"/>
      <w:bookmarkEnd w:id="206"/>
      <w:bookmarkEnd w:id="207"/>
      <w:bookmarkEnd w:id="208"/>
      <w:bookmarkEnd w:id="209"/>
      <w:bookmarkEnd w:id="210"/>
      <w:bookmarkEnd w:id="211"/>
      <w:bookmarkEnd w:id="212"/>
      <w:bookmarkEnd w:id="213"/>
      <w:bookmarkEnd w:id="214"/>
      <w:bookmarkEnd w:id="215"/>
      <w:r>
        <w:rPr>
          <w:rFonts w:ascii="Times New Roman" w:hAnsi="Times New Roman"/>
        </w:rPr>
        <w:t>与</w:t>
      </w:r>
      <w:bookmarkStart w:id="216" w:name="_Toc361508613"/>
      <w:bookmarkStart w:id="217" w:name="_Toc352691500"/>
      <w:bookmarkStart w:id="218" w:name="_Toc247527581"/>
      <w:bookmarkStart w:id="219" w:name="_Toc247513980"/>
      <w:bookmarkStart w:id="220" w:name="_Toc384308238"/>
      <w:bookmarkStart w:id="221" w:name="_Toc144974524"/>
      <w:bookmarkStart w:id="222" w:name="_Toc152045556"/>
      <w:bookmarkStart w:id="223" w:name="_Toc300834977"/>
      <w:bookmarkStart w:id="224" w:name="_Toc152042332"/>
      <w:bookmarkStart w:id="225" w:name="_Toc369531544"/>
      <w:bookmarkStart w:id="226" w:name="_Toc17703"/>
      <w:r>
        <w:rPr>
          <w:rFonts w:ascii="Times New Roman" w:hAnsi="Times New Roman"/>
        </w:rPr>
        <w:t>招标投标有关活动中从事违法行</w:t>
      </w:r>
      <w:bookmarkEnd w:id="216"/>
      <w:bookmarkEnd w:id="217"/>
      <w:bookmarkEnd w:id="218"/>
      <w:bookmarkEnd w:id="219"/>
      <w:bookmarkEnd w:id="220"/>
      <w:bookmarkEnd w:id="221"/>
      <w:bookmarkEnd w:id="222"/>
      <w:bookmarkEnd w:id="223"/>
      <w:bookmarkEnd w:id="224"/>
      <w:bookmarkEnd w:id="225"/>
      <w:bookmarkEnd w:id="226"/>
      <w:r>
        <w:rPr>
          <w:rFonts w:ascii="Times New Roman" w:hAnsi="Times New Roman"/>
        </w:rPr>
        <w:t>为而受过行政处罚或刑事处罚的；</w:t>
      </w:r>
    </w:p>
    <w:p>
      <w:pPr>
        <w:spacing w:line="440" w:lineRule="exact"/>
        <w:ind w:firstLine="718" w:firstLineChars="342"/>
        <w:rPr>
          <w:rFonts w:ascii="Times New Roman" w:hAnsi="Times New Roman"/>
        </w:rPr>
      </w:pPr>
      <w:r>
        <w:rPr>
          <w:rFonts w:ascii="Times New Roman" w:hAnsi="Times New Roman"/>
        </w:rPr>
        <w:t>（5）与投标人有其他利害关系。</w:t>
      </w:r>
    </w:p>
    <w:p>
      <w:pPr>
        <w:spacing w:line="44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10"/>
        <w:spacing w:line="440" w:lineRule="exact"/>
        <w:ind w:firstLine="137"/>
        <w:rPr>
          <w:rFonts w:ascii="Times New Roman" w:hAnsi="Times New Roman"/>
        </w:rPr>
      </w:pPr>
      <w:r>
        <w:rPr>
          <w:rFonts w:ascii="Times New Roman" w:hAnsi="Times New Roman"/>
        </w:rPr>
        <w:t xml:space="preserve">6.2 </w:t>
      </w:r>
      <w:r>
        <w:rPr>
          <w:rFonts w:hint="eastAsia" w:ascii="Times New Roman" w:hAnsi="Times New Roman"/>
        </w:rPr>
        <w:t>评标原则</w:t>
      </w:r>
    </w:p>
    <w:p>
      <w:pPr>
        <w:spacing w:line="440" w:lineRule="exact"/>
        <w:ind w:firstLine="420" w:firstLineChars="200"/>
        <w:rPr>
          <w:rFonts w:ascii="Times New Roman" w:hAnsi="Times New Roman"/>
        </w:rPr>
      </w:pPr>
      <w:r>
        <w:rPr>
          <w:rFonts w:ascii="Times New Roman" w:hAnsi="Times New Roman"/>
        </w:rPr>
        <w:t>评标活动遵循公平、公正、科学和择优的原</w:t>
      </w:r>
      <w:bookmarkStart w:id="227" w:name="_Toc384308239"/>
      <w:bookmarkStart w:id="228" w:name="_Toc144974525"/>
      <w:bookmarkStart w:id="229" w:name="_Toc152042333"/>
      <w:bookmarkStart w:id="230" w:name="_Toc352691501"/>
      <w:bookmarkStart w:id="231" w:name="_Toc152045557"/>
      <w:bookmarkStart w:id="232" w:name="_Toc300834978"/>
      <w:bookmarkStart w:id="233" w:name="_Toc369531545"/>
      <w:bookmarkStart w:id="234" w:name="_Toc18949"/>
      <w:bookmarkStart w:id="235" w:name="_Toc247513981"/>
      <w:bookmarkStart w:id="236" w:name="_Toc247527582"/>
      <w:bookmarkStart w:id="237" w:name="_Toc361508614"/>
      <w:r>
        <w:rPr>
          <w:rFonts w:ascii="Times New Roman" w:hAnsi="Times New Roman"/>
        </w:rPr>
        <w:t>则。</w:t>
      </w:r>
    </w:p>
    <w:p>
      <w:pPr>
        <w:pStyle w:val="10"/>
        <w:spacing w:line="440" w:lineRule="exact"/>
        <w:ind w:firstLine="137"/>
        <w:rPr>
          <w:rFonts w:ascii="Times New Roman" w:hAnsi="Times New Roman"/>
        </w:rPr>
      </w:pPr>
      <w:r>
        <w:rPr>
          <w:rFonts w:ascii="Times New Roman" w:hAnsi="Times New Roman"/>
        </w:rPr>
        <w:t xml:space="preserve">6.3 </w:t>
      </w:r>
      <w:r>
        <w:rPr>
          <w:rFonts w:hint="eastAsia" w:ascii="Times New Roman" w:hAnsi="Times New Roman"/>
        </w:rPr>
        <w:t>评标</w:t>
      </w:r>
    </w:p>
    <w:p>
      <w:pPr>
        <w:spacing w:line="440" w:lineRule="exact"/>
        <w:ind w:firstLine="420" w:firstLineChars="200"/>
        <w:rPr>
          <w:rFonts w:ascii="Times New Roman" w:hAnsi="Times New Roman"/>
        </w:rPr>
      </w:pPr>
      <w:r>
        <w:rPr>
          <w:rFonts w:ascii="Times New Roman" w:hAnsi="Times New Roman"/>
        </w:rPr>
        <w:t>6</w:t>
      </w:r>
      <w:bookmarkEnd w:id="227"/>
      <w:bookmarkEnd w:id="228"/>
      <w:bookmarkEnd w:id="229"/>
      <w:bookmarkEnd w:id="230"/>
      <w:bookmarkEnd w:id="231"/>
      <w:bookmarkEnd w:id="232"/>
      <w:bookmarkEnd w:id="233"/>
      <w:bookmarkEnd w:id="234"/>
      <w:bookmarkEnd w:id="235"/>
      <w:bookmarkEnd w:id="236"/>
      <w:bookmarkEnd w:id="237"/>
      <w:r>
        <w:rPr>
          <w:rFonts w:ascii="Times New Roman" w:hAnsi="Times New Roman"/>
        </w:rPr>
        <w:t>.3.1评标委员会按照第三章“评标办法”规定的方法、评审因素、标准和程序对投标文件进行评审。第三章“评标办法”没有规定的方法、评审因素和标准，不作为评标依据。</w:t>
      </w:r>
    </w:p>
    <w:p>
      <w:pPr>
        <w:spacing w:line="44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38" w:name="_Toc361508615"/>
      <w:bookmarkStart w:id="239" w:name="_Toc12259"/>
      <w:bookmarkStart w:id="240" w:name="_Toc300834979"/>
      <w:bookmarkStart w:id="241" w:name="_Toc152045558"/>
      <w:bookmarkStart w:id="242" w:name="_Toc369531546"/>
      <w:bookmarkStart w:id="243" w:name="_Toc152042334"/>
      <w:bookmarkStart w:id="244" w:name="_Toc247513982"/>
      <w:bookmarkStart w:id="245" w:name="_Toc144974526"/>
      <w:bookmarkStart w:id="246" w:name="_Toc247527583"/>
      <w:bookmarkStart w:id="247" w:name="_Toc352691502"/>
      <w:bookmarkStart w:id="248" w:name="_Toc384308240"/>
      <w:r>
        <w:rPr>
          <w:rFonts w:ascii="Times New Roman" w:hAnsi="Times New Roman"/>
        </w:rPr>
        <w:t>候选人的人数见投标人须知前附</w:t>
      </w:r>
      <w:bookmarkEnd w:id="238"/>
      <w:bookmarkEnd w:id="239"/>
      <w:bookmarkEnd w:id="240"/>
      <w:bookmarkEnd w:id="241"/>
      <w:bookmarkEnd w:id="242"/>
      <w:bookmarkEnd w:id="243"/>
      <w:bookmarkEnd w:id="244"/>
      <w:bookmarkEnd w:id="245"/>
      <w:bookmarkEnd w:id="246"/>
      <w:bookmarkEnd w:id="247"/>
      <w:bookmarkEnd w:id="248"/>
      <w:r>
        <w:rPr>
          <w:rFonts w:ascii="Times New Roman" w:hAnsi="Times New Roman"/>
        </w:rPr>
        <w:t>表。</w:t>
      </w:r>
    </w:p>
    <w:p>
      <w:pPr>
        <w:pStyle w:val="9"/>
        <w:spacing w:line="440" w:lineRule="exact"/>
        <w:rPr>
          <w:rFonts w:ascii="Times New Roman" w:hAnsi="Times New Roman"/>
        </w:rPr>
      </w:pPr>
      <w:bookmarkStart w:id="249" w:name="_Toc13707"/>
      <w:r>
        <w:rPr>
          <w:rFonts w:ascii="Times New Roman" w:hAnsi="Times New Roman"/>
        </w:rPr>
        <w:t xml:space="preserve">7. </w:t>
      </w:r>
      <w:r>
        <w:rPr>
          <w:rFonts w:hint="eastAsia" w:ascii="Times New Roman" w:hAnsi="Times New Roman"/>
        </w:rPr>
        <w:t>合同授予</w:t>
      </w:r>
      <w:bookmarkEnd w:id="249"/>
    </w:p>
    <w:p>
      <w:pPr>
        <w:pStyle w:val="10"/>
        <w:spacing w:line="440" w:lineRule="exact"/>
        <w:ind w:firstLine="137"/>
        <w:rPr>
          <w:rFonts w:ascii="Times New Roman" w:hAnsi="Times New Roman"/>
        </w:rPr>
      </w:pPr>
      <w:r>
        <w:rPr>
          <w:rFonts w:ascii="Times New Roman" w:hAnsi="Times New Roman"/>
        </w:rPr>
        <w:t xml:space="preserve">7.1 </w:t>
      </w:r>
      <w:r>
        <w:rPr>
          <w:rFonts w:hint="eastAsia" w:ascii="Times New Roman" w:hAnsi="Times New Roman"/>
        </w:rPr>
        <w:t>中标候选人公示</w:t>
      </w:r>
    </w:p>
    <w:p>
      <w:pPr>
        <w:spacing w:line="440" w:lineRule="exact"/>
        <w:ind w:firstLine="420" w:firstLineChars="200"/>
        <w:rPr>
          <w:rFonts w:ascii="Times New Roman" w:hAnsi="Times New Roman"/>
        </w:rPr>
      </w:pPr>
      <w:r>
        <w:rPr>
          <w:rFonts w:ascii="Times New Roman" w:hAnsi="Times New Roman"/>
        </w:rPr>
        <w:t>招标人在收到评标报告之日起3日内，按照投标人须知前附表规定的公示媒介和期限公示中标候选人，公示期不得少于3天。</w:t>
      </w:r>
    </w:p>
    <w:p>
      <w:pPr>
        <w:pStyle w:val="10"/>
        <w:spacing w:line="440" w:lineRule="exact"/>
        <w:ind w:firstLine="137"/>
        <w:rPr>
          <w:rFonts w:ascii="Times New Roman" w:hAnsi="Times New Roman"/>
        </w:rPr>
      </w:pPr>
      <w:r>
        <w:rPr>
          <w:rFonts w:ascii="Times New Roman" w:hAnsi="Times New Roman"/>
        </w:rPr>
        <w:t xml:space="preserve">7.2 </w:t>
      </w:r>
      <w:r>
        <w:rPr>
          <w:rFonts w:hint="eastAsia" w:ascii="Times New Roman" w:hAnsi="Times New Roman"/>
        </w:rPr>
        <w:t>评标结果异议</w:t>
      </w:r>
    </w:p>
    <w:p>
      <w:pPr>
        <w:spacing w:line="440" w:lineRule="exact"/>
        <w:ind w:firstLine="420" w:firstLineChars="200"/>
        <w:rPr>
          <w:rFonts w:ascii="Times New Roman" w:hAnsi="Times New Roman"/>
        </w:rPr>
      </w:pPr>
      <w:r>
        <w:rPr>
          <w:rFonts w:ascii="Times New Roman" w:hAnsi="Times New Roman"/>
        </w:rPr>
        <w:t>投标人或者其他利</w:t>
      </w:r>
      <w:bookmarkStart w:id="250" w:name="_Toc300834982"/>
      <w:bookmarkStart w:id="251" w:name="_Toc152045561"/>
      <w:bookmarkStart w:id="252" w:name="_Toc361508618"/>
      <w:bookmarkStart w:id="253" w:name="_Toc352691505"/>
      <w:bookmarkStart w:id="254" w:name="_Toc144974529"/>
      <w:bookmarkStart w:id="255" w:name="_Toc247527586"/>
      <w:bookmarkStart w:id="256" w:name="_Toc152042337"/>
      <w:bookmarkStart w:id="257" w:name="_Toc384308243"/>
      <w:bookmarkStart w:id="258" w:name="_Toc30095"/>
      <w:bookmarkStart w:id="259" w:name="_Toc369531549"/>
      <w:bookmarkStart w:id="260" w:name="_Toc247513985"/>
      <w:r>
        <w:rPr>
          <w:rFonts w:ascii="Times New Roman" w:hAnsi="Times New Roman"/>
        </w:rPr>
        <w:t>害关系人对评标结</w:t>
      </w:r>
      <w:bookmarkEnd w:id="250"/>
      <w:bookmarkEnd w:id="251"/>
      <w:bookmarkEnd w:id="252"/>
      <w:bookmarkEnd w:id="253"/>
      <w:bookmarkEnd w:id="254"/>
      <w:bookmarkEnd w:id="255"/>
      <w:bookmarkEnd w:id="256"/>
      <w:bookmarkEnd w:id="257"/>
      <w:bookmarkEnd w:id="258"/>
      <w:bookmarkEnd w:id="259"/>
      <w:bookmarkEnd w:id="260"/>
      <w:r>
        <w:rPr>
          <w:rFonts w:ascii="Times New Roman" w:hAnsi="Times New Roman"/>
        </w:rPr>
        <w:t>果有异议的，应当在中标候选人公示期间提出。招标人将在收到异议之日起3日内作出答复；作出答复前，将暂停招标投标活动。</w:t>
      </w:r>
    </w:p>
    <w:p>
      <w:pPr>
        <w:pStyle w:val="10"/>
        <w:spacing w:line="440" w:lineRule="exact"/>
        <w:ind w:firstLine="137"/>
        <w:rPr>
          <w:rFonts w:ascii="Times New Roman" w:hAnsi="Times New Roman"/>
        </w:rPr>
      </w:pPr>
      <w:r>
        <w:rPr>
          <w:rFonts w:ascii="Times New Roman" w:hAnsi="Times New Roman"/>
        </w:rPr>
        <w:t xml:space="preserve">7.3 </w:t>
      </w:r>
      <w:r>
        <w:rPr>
          <w:rFonts w:hint="eastAsia" w:ascii="Times New Roman" w:hAnsi="Times New Roman"/>
        </w:rPr>
        <w:t>中标候选人履约能力审查</w:t>
      </w:r>
    </w:p>
    <w:p>
      <w:pPr>
        <w:spacing w:line="44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pPr>
        <w:pStyle w:val="10"/>
        <w:spacing w:line="440" w:lineRule="exact"/>
        <w:ind w:firstLine="137"/>
        <w:rPr>
          <w:rFonts w:ascii="Times New Roman" w:hAnsi="Times New Roman"/>
        </w:rPr>
      </w:pPr>
      <w:r>
        <w:rPr>
          <w:rFonts w:ascii="Times New Roman" w:hAnsi="Times New Roman"/>
        </w:rPr>
        <w:t xml:space="preserve">7.4 </w:t>
      </w:r>
      <w:r>
        <w:rPr>
          <w:rFonts w:hint="eastAsia" w:ascii="Times New Roman" w:hAnsi="Times New Roman"/>
        </w:rPr>
        <w:t>定标</w:t>
      </w:r>
    </w:p>
    <w:p>
      <w:pPr>
        <w:spacing w:line="440" w:lineRule="exact"/>
        <w:ind w:firstLine="420" w:firstLineChars="200"/>
        <w:rPr>
          <w:rFonts w:ascii="Times New Roman" w:hAnsi="Times New Roman"/>
        </w:rPr>
      </w:pPr>
      <w:r>
        <w:rPr>
          <w:rFonts w:ascii="Times New Roman" w:hAnsi="Times New Roman"/>
        </w:rPr>
        <w:t>按照投标人须知前附表的规定，招标人或招标人授权的评标委员会依法确定中标人。</w:t>
      </w:r>
    </w:p>
    <w:p>
      <w:pPr>
        <w:pStyle w:val="10"/>
        <w:spacing w:line="440" w:lineRule="exact"/>
        <w:ind w:firstLine="137"/>
        <w:rPr>
          <w:rFonts w:ascii="Times New Roman" w:hAnsi="Times New Roman"/>
        </w:rPr>
      </w:pPr>
      <w:r>
        <w:rPr>
          <w:rFonts w:ascii="Times New Roman" w:hAnsi="Times New Roman"/>
        </w:rPr>
        <w:t xml:space="preserve">7.5 </w:t>
      </w:r>
      <w:r>
        <w:rPr>
          <w:rFonts w:hint="eastAsia" w:ascii="Times New Roman" w:hAnsi="Times New Roman"/>
        </w:rPr>
        <w:t>中标通知</w:t>
      </w:r>
    </w:p>
    <w:p>
      <w:pPr>
        <w:spacing w:line="440" w:lineRule="exact"/>
        <w:ind w:firstLine="420" w:firstLineChars="200"/>
        <w:rPr>
          <w:rFonts w:ascii="Times New Roman" w:hAnsi="Times New Roman"/>
        </w:rPr>
      </w:pPr>
      <w:r>
        <w:rPr>
          <w:rFonts w:ascii="Times New Roman" w:hAnsi="Times New Roman"/>
        </w:rPr>
        <w:t>在本章第3.3款规定的投标有效期内，招标人以书面形式向中标人发出中标</w:t>
      </w:r>
      <w:bookmarkStart w:id="261" w:name="_Toc300834983"/>
      <w:bookmarkStart w:id="262" w:name="_Toc384308244"/>
      <w:bookmarkStart w:id="263" w:name="_Toc369531550"/>
      <w:bookmarkStart w:id="264" w:name="_Toc361508619"/>
      <w:bookmarkStart w:id="265" w:name="_Toc352691506"/>
      <w:bookmarkStart w:id="266" w:name="_Toc5668"/>
      <w:r>
        <w:rPr>
          <w:rFonts w:ascii="Times New Roman" w:hAnsi="Times New Roman"/>
        </w:rPr>
        <w:t>通知书，同时将中</w:t>
      </w:r>
      <w:bookmarkEnd w:id="261"/>
      <w:bookmarkEnd w:id="262"/>
      <w:bookmarkEnd w:id="263"/>
      <w:bookmarkEnd w:id="264"/>
      <w:bookmarkEnd w:id="265"/>
      <w:bookmarkEnd w:id="266"/>
      <w:r>
        <w:rPr>
          <w:rFonts w:ascii="Times New Roman" w:hAnsi="Times New Roman"/>
        </w:rPr>
        <w:t>标结果通知未中标的投标人。</w:t>
      </w:r>
    </w:p>
    <w:p>
      <w:pPr>
        <w:pStyle w:val="10"/>
        <w:spacing w:line="440" w:lineRule="exact"/>
        <w:ind w:firstLine="137"/>
        <w:rPr>
          <w:rFonts w:ascii="Times New Roman" w:hAnsi="Times New Roman"/>
        </w:rPr>
      </w:pPr>
      <w:r>
        <w:rPr>
          <w:rFonts w:ascii="Times New Roman" w:hAnsi="Times New Roman"/>
        </w:rPr>
        <w:t>7.</w:t>
      </w:r>
      <w:r>
        <w:rPr>
          <w:rFonts w:hint="eastAsia" w:ascii="Times New Roman" w:hAnsi="Times New Roman"/>
        </w:rPr>
        <w:t>6</w:t>
      </w:r>
      <w:r>
        <w:rPr>
          <w:rFonts w:ascii="Times New Roman" w:hAnsi="Times New Roman"/>
        </w:rPr>
        <w:t xml:space="preserve"> </w:t>
      </w:r>
      <w:r>
        <w:rPr>
          <w:rFonts w:hint="eastAsia" w:ascii="Times New Roman" w:hAnsi="Times New Roman"/>
        </w:rPr>
        <w:t>履约保证金</w:t>
      </w:r>
    </w:p>
    <w:p>
      <w:pPr>
        <w:spacing w:line="440" w:lineRule="exact"/>
        <w:ind w:firstLine="420" w:firstLineChars="200"/>
        <w:rPr>
          <w:rFonts w:ascii="Times New Roman" w:hAnsi="Times New Roman"/>
        </w:rPr>
      </w:pPr>
      <w:r>
        <w:rPr>
          <w:rFonts w:ascii="Times New Roman" w:hAnsi="Times New Roman"/>
        </w:rPr>
        <w:t>7.</w:t>
      </w:r>
      <w:r>
        <w:rPr>
          <w:rFonts w:hint="eastAsia" w:ascii="Times New Roman" w:hAnsi="Times New Roman"/>
        </w:rPr>
        <w:t>6</w:t>
      </w:r>
      <w:r>
        <w:rPr>
          <w:rFonts w:ascii="Times New Roman" w:hAnsi="Times New Roman"/>
        </w:rPr>
        <w:t xml:space="preserve">.1 </w:t>
      </w:r>
      <w:r>
        <w:rPr>
          <w:rFonts w:hint="eastAsia" w:ascii="Times New Roman" w:hAnsi="Times New Roman"/>
        </w:rPr>
        <w:t>在签订合同前，</w:t>
      </w:r>
      <w:r>
        <w:rPr>
          <w:rFonts w:ascii="Times New Roman" w:hAnsi="Times New Roma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440" w:lineRule="exact"/>
        <w:ind w:firstLine="420" w:firstLineChars="200"/>
        <w:rPr>
          <w:rFonts w:ascii="Times New Roman" w:hAnsi="Times New Roman"/>
        </w:rPr>
      </w:pPr>
      <w:r>
        <w:rPr>
          <w:rFonts w:ascii="Times New Roman" w:hAnsi="Times New Roman"/>
        </w:rPr>
        <w:t>7.</w:t>
      </w:r>
      <w:r>
        <w:rPr>
          <w:rFonts w:hint="eastAsia" w:ascii="Times New Roman" w:hAnsi="Times New Roman"/>
        </w:rPr>
        <w:t>6</w:t>
      </w:r>
      <w:r>
        <w:rPr>
          <w:rFonts w:ascii="Times New Roman" w:hAnsi="Times New Roman"/>
        </w:rPr>
        <w:t>.2 中标人不能按本章第7.</w:t>
      </w:r>
      <w:r>
        <w:rPr>
          <w:rFonts w:hint="eastAsia" w:ascii="Times New Roman" w:hAnsi="Times New Roman"/>
        </w:rPr>
        <w:t>7</w:t>
      </w:r>
      <w:r>
        <w:rPr>
          <w:rFonts w:ascii="Times New Roman" w:hAnsi="Times New Roman"/>
        </w:rPr>
        <w:t>.1项要求提交履约保证金的，视为放弃中标，其投标保证金不予退还，给招标人造成的损失超过投标保证金数额的，中标人还应当对超过部分予以赔偿。</w:t>
      </w:r>
    </w:p>
    <w:p>
      <w:pPr>
        <w:pStyle w:val="10"/>
        <w:spacing w:line="440" w:lineRule="exact"/>
        <w:ind w:firstLine="137"/>
        <w:rPr>
          <w:rFonts w:ascii="Times New Roman" w:hAnsi="Times New Roman"/>
        </w:rPr>
      </w:pPr>
      <w:r>
        <w:rPr>
          <w:rFonts w:ascii="Times New Roman" w:hAnsi="Times New Roman"/>
        </w:rPr>
        <w:t>7.</w:t>
      </w:r>
      <w:r>
        <w:rPr>
          <w:rFonts w:hint="eastAsia" w:ascii="Times New Roman" w:hAnsi="Times New Roman"/>
        </w:rPr>
        <w:t>7</w:t>
      </w:r>
      <w:r>
        <w:rPr>
          <w:rFonts w:ascii="Times New Roman" w:hAnsi="Times New Roman"/>
        </w:rPr>
        <w:t xml:space="preserve"> </w:t>
      </w:r>
      <w:r>
        <w:rPr>
          <w:rFonts w:hint="eastAsia" w:ascii="Times New Roman" w:hAnsi="Times New Roman"/>
        </w:rPr>
        <w:t>签订合同</w:t>
      </w:r>
    </w:p>
    <w:p>
      <w:pPr>
        <w:spacing w:line="440" w:lineRule="exact"/>
        <w:ind w:firstLine="420" w:firstLineChars="200"/>
        <w:rPr>
          <w:rFonts w:ascii="Times New Roman" w:hAnsi="Times New Roman"/>
        </w:rPr>
      </w:pPr>
      <w:r>
        <w:rPr>
          <w:rFonts w:ascii="Times New Roman" w:hAnsi="Times New Roman"/>
        </w:rPr>
        <w:t>7.</w:t>
      </w:r>
      <w:r>
        <w:rPr>
          <w:rFonts w:hint="eastAsia" w:ascii="Times New Roman" w:hAnsi="Times New Roman"/>
        </w:rPr>
        <w:t>7</w:t>
      </w:r>
      <w:r>
        <w:rPr>
          <w:rFonts w:ascii="Times New Roman" w:hAnsi="Times New Roman"/>
        </w:rPr>
        <w:t>.1 招标人和中标人应当在中标通知书发出之日起30日内，根据招标文件和中标人的投标文件订立书面合同。中标人</w:t>
      </w:r>
      <w:r>
        <w:t>无正当理由</w:t>
      </w:r>
      <w:r>
        <w:rPr>
          <w:rFonts w:hint="eastAsia"/>
        </w:rPr>
        <w:t>拒签</w:t>
      </w:r>
      <w:r>
        <w:t>合同，在签订合同时向招标人提出附加条件，或者不按照招标文件要求提交履约保证金的</w:t>
      </w:r>
      <w:r>
        <w:rPr>
          <w:rFonts w:ascii="Times New Roman" w:hAnsi="Times New Roman"/>
        </w:rPr>
        <w:t>，招标人有权取消其中标资格，其投标保证金不予退还；给招标人造成的损失超过投标保证金数额的，中标人还应当对超过部分予以赔偿。</w:t>
      </w:r>
    </w:p>
    <w:p>
      <w:pPr>
        <w:spacing w:line="440" w:lineRule="exact"/>
        <w:ind w:firstLine="420" w:firstLineChars="200"/>
        <w:rPr>
          <w:rFonts w:ascii="Times New Roman" w:hAnsi="Times New Roman"/>
        </w:rPr>
      </w:pPr>
      <w:r>
        <w:rPr>
          <w:rFonts w:ascii="Times New Roman" w:hAnsi="Times New Roman"/>
        </w:rPr>
        <w:t>7.</w:t>
      </w:r>
      <w:r>
        <w:rPr>
          <w:rFonts w:hint="eastAsia" w:ascii="Times New Roman" w:hAnsi="Times New Roman"/>
        </w:rPr>
        <w:t>7</w:t>
      </w:r>
      <w:r>
        <w:rPr>
          <w:rFonts w:ascii="Times New Roman" w:hAnsi="Times New Roman"/>
        </w:rPr>
        <w:t>.2 发出中标通知书后，招标人无正当理由拒签合同，或者</w:t>
      </w:r>
      <w:r>
        <w:t>在签订合同时</w:t>
      </w:r>
      <w:r>
        <w:rPr>
          <w:rFonts w:hint="eastAsia"/>
        </w:rPr>
        <w:t>向中标人</w:t>
      </w:r>
      <w:r>
        <w:rPr>
          <w:rFonts w:ascii="Times New Roman" w:hAnsi="Times New Roman"/>
        </w:rPr>
        <w:t>提出附加条件的，招标人向中标人退还投标保证金；给中标人造成损失的，还应当赔偿损失。</w:t>
      </w:r>
    </w:p>
    <w:p>
      <w:pPr>
        <w:spacing w:line="440" w:lineRule="exact"/>
        <w:ind w:firstLine="420" w:firstLineChars="200"/>
        <w:rPr>
          <w:rFonts w:ascii="Times New Roman" w:hAnsi="Times New Roman"/>
          <w:szCs w:val="21"/>
        </w:rPr>
      </w:pPr>
      <w:r>
        <w:rPr>
          <w:rFonts w:ascii="Times New Roman" w:hAnsi="Times New Roman"/>
        </w:rPr>
        <w:t>7.</w:t>
      </w:r>
      <w:r>
        <w:rPr>
          <w:rFonts w:hint="eastAsia" w:ascii="Times New Roman" w:hAnsi="Times New Roman"/>
        </w:rPr>
        <w:t>7</w:t>
      </w:r>
      <w:r>
        <w:rPr>
          <w:rFonts w:ascii="Times New Roman" w:hAnsi="Times New Roman"/>
        </w:rPr>
        <w:t>.3</w:t>
      </w:r>
      <w:r>
        <w:rPr>
          <w:rFonts w:ascii="Times New Roman" w:hAnsi="Times New Roman"/>
          <w:szCs w:val="21"/>
        </w:rPr>
        <w:t>联合体中标的，联合体各方应当共同与招标人签订合同，就中标项目向招标人承担连带责任。</w:t>
      </w:r>
    </w:p>
    <w:p>
      <w:pPr>
        <w:pStyle w:val="9"/>
        <w:spacing w:line="440" w:lineRule="exact"/>
        <w:rPr>
          <w:rFonts w:ascii="Times New Roman" w:hAnsi="Times New Roman"/>
        </w:rPr>
      </w:pPr>
      <w:bookmarkStart w:id="267" w:name="_Toc384308252"/>
      <w:bookmarkStart w:id="268" w:name="_Toc361508627"/>
      <w:bookmarkStart w:id="269" w:name="_Toc24067"/>
      <w:bookmarkStart w:id="270" w:name="_Toc9251"/>
      <w:bookmarkStart w:id="271" w:name="_Toc300834991"/>
      <w:bookmarkStart w:id="272" w:name="_Toc152045568"/>
      <w:bookmarkStart w:id="273" w:name="_Toc247527593"/>
      <w:bookmarkStart w:id="274" w:name="_Toc247513992"/>
      <w:bookmarkStart w:id="275" w:name="_Toc152042344"/>
      <w:bookmarkStart w:id="276" w:name="_Toc144974536"/>
      <w:r>
        <w:rPr>
          <w:rFonts w:ascii="Times New Roman" w:hAnsi="Times New Roman"/>
        </w:rPr>
        <w:t>8.</w:t>
      </w:r>
      <w:bookmarkEnd w:id="267"/>
      <w:bookmarkEnd w:id="268"/>
      <w:bookmarkEnd w:id="269"/>
      <w:r>
        <w:rPr>
          <w:rFonts w:hint="eastAsia" w:ascii="Times New Roman" w:hAnsi="Times New Roman"/>
        </w:rPr>
        <w:t>纪律和监督</w:t>
      </w:r>
      <w:bookmarkEnd w:id="270"/>
    </w:p>
    <w:p>
      <w:pPr>
        <w:pStyle w:val="10"/>
        <w:spacing w:line="440" w:lineRule="exact"/>
        <w:ind w:firstLine="137"/>
        <w:rPr>
          <w:rFonts w:ascii="Times New Roman" w:hAnsi="Times New Roman"/>
        </w:rPr>
      </w:pPr>
      <w:r>
        <w:rPr>
          <w:rFonts w:ascii="Times New Roman" w:hAnsi="Times New Roman"/>
        </w:rPr>
        <w:t xml:space="preserve">8.1 </w:t>
      </w:r>
      <w:r>
        <w:rPr>
          <w:rFonts w:hint="eastAsia" w:ascii="Times New Roman" w:hAnsi="Times New Roman"/>
        </w:rPr>
        <w:t>对招标人的纪律要求</w:t>
      </w:r>
    </w:p>
    <w:p>
      <w:pPr>
        <w:spacing w:line="44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pPr>
        <w:pStyle w:val="10"/>
        <w:spacing w:line="440" w:lineRule="exact"/>
        <w:ind w:firstLine="137"/>
        <w:rPr>
          <w:rFonts w:ascii="Times New Roman" w:hAnsi="Times New Roman"/>
        </w:rPr>
      </w:pPr>
      <w:r>
        <w:rPr>
          <w:rFonts w:ascii="Times New Roman" w:hAnsi="Times New Roman"/>
        </w:rPr>
        <w:t xml:space="preserve">8.2 </w:t>
      </w:r>
      <w:r>
        <w:rPr>
          <w:rFonts w:hint="eastAsia" w:ascii="Times New Roman" w:hAnsi="Times New Roman"/>
        </w:rPr>
        <w:t>对投标人的纪律要求</w:t>
      </w:r>
    </w:p>
    <w:p>
      <w:pPr>
        <w:spacing w:line="44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0"/>
        <w:spacing w:line="440" w:lineRule="exact"/>
        <w:ind w:firstLine="137"/>
        <w:rPr>
          <w:rFonts w:ascii="Times New Roman" w:hAnsi="Times New Roman"/>
        </w:rPr>
      </w:pPr>
      <w:r>
        <w:rPr>
          <w:rFonts w:ascii="Times New Roman" w:hAnsi="Times New Roman"/>
        </w:rPr>
        <w:t xml:space="preserve">8.3 </w:t>
      </w:r>
      <w:r>
        <w:rPr>
          <w:rFonts w:hint="eastAsia" w:ascii="Times New Roman" w:hAnsi="Times New Roman"/>
        </w:rPr>
        <w:t>对评标委员会成员的纪律要求</w:t>
      </w:r>
    </w:p>
    <w:p>
      <w:pPr>
        <w:spacing w:line="44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277" w:name="_Toc13644"/>
      <w:bookmarkStart w:id="278" w:name="_Toc384308253"/>
      <w:bookmarkStart w:id="279" w:name="_Toc352691515"/>
      <w:bookmarkStart w:id="280" w:name="_Toc361508628"/>
      <w:bookmarkStart w:id="281" w:name="_Toc369531559"/>
      <w:r>
        <w:rPr>
          <w:rFonts w:ascii="Times New Roman" w:hAnsi="Times New Roman"/>
        </w:rPr>
        <w:t>和比较、中标候选人</w:t>
      </w:r>
      <w:bookmarkEnd w:id="271"/>
      <w:bookmarkEnd w:id="272"/>
      <w:bookmarkEnd w:id="273"/>
      <w:bookmarkEnd w:id="274"/>
      <w:bookmarkEnd w:id="275"/>
      <w:bookmarkEnd w:id="276"/>
      <w:bookmarkEnd w:id="277"/>
      <w:bookmarkEnd w:id="278"/>
      <w:bookmarkEnd w:id="279"/>
      <w:bookmarkEnd w:id="280"/>
      <w:bookmarkEnd w:id="281"/>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0"/>
        <w:spacing w:line="440" w:lineRule="exact"/>
        <w:ind w:firstLine="137"/>
        <w:rPr>
          <w:rFonts w:ascii="Times New Roman" w:hAnsi="Times New Roman"/>
        </w:rPr>
      </w:pPr>
      <w:r>
        <w:rPr>
          <w:rFonts w:ascii="Times New Roman" w:hAnsi="Times New Roman"/>
        </w:rPr>
        <w:t xml:space="preserve">8.4 </w:t>
      </w:r>
      <w:r>
        <w:rPr>
          <w:rFonts w:hint="eastAsia" w:ascii="Times New Roman" w:hAnsi="Times New Roman"/>
        </w:rPr>
        <w:t>对与评标活动有关的工作人员的纪律要求</w:t>
      </w:r>
    </w:p>
    <w:p>
      <w:pPr>
        <w:spacing w:line="44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282" w:name="_Toc152042345"/>
      <w:bookmarkStart w:id="283" w:name="_Toc300834992"/>
      <w:bookmarkStart w:id="284" w:name="_Toc247513993"/>
      <w:bookmarkStart w:id="285" w:name="_Toc19429"/>
      <w:bookmarkStart w:id="286" w:name="_Toc361508629"/>
      <w:bookmarkStart w:id="287" w:name="_Toc352691516"/>
      <w:bookmarkStart w:id="288" w:name="_Toc369531560"/>
      <w:bookmarkStart w:id="289" w:name="_Toc384308254"/>
      <w:bookmarkStart w:id="290" w:name="_Toc247527594"/>
      <w:bookmarkStart w:id="291" w:name="_Toc144974537"/>
      <w:bookmarkStart w:id="292" w:name="_Toc152045569"/>
      <w:r>
        <w:rPr>
          <w:rFonts w:ascii="Times New Roman" w:hAnsi="Times New Roman"/>
        </w:rPr>
        <w:t>的评审和比较、中标</w:t>
      </w:r>
      <w:bookmarkEnd w:id="282"/>
      <w:bookmarkEnd w:id="283"/>
      <w:bookmarkEnd w:id="284"/>
      <w:bookmarkEnd w:id="285"/>
      <w:bookmarkEnd w:id="286"/>
      <w:bookmarkEnd w:id="287"/>
      <w:bookmarkEnd w:id="288"/>
      <w:bookmarkEnd w:id="289"/>
      <w:bookmarkEnd w:id="290"/>
      <w:bookmarkEnd w:id="291"/>
      <w:bookmarkEnd w:id="292"/>
      <w:r>
        <w:rPr>
          <w:rFonts w:ascii="Times New Roman" w:hAnsi="Times New Roman"/>
        </w:rPr>
        <w:t>候选人的推荐情况以及评标有关的其他情况。在评标活动中，与评标活动有关的工作人员不得擅离职守，影响评标程序正常进行。</w:t>
      </w:r>
    </w:p>
    <w:p>
      <w:pPr>
        <w:pStyle w:val="10"/>
        <w:spacing w:line="440" w:lineRule="exact"/>
        <w:ind w:firstLine="137"/>
        <w:rPr>
          <w:rFonts w:ascii="Times New Roman" w:hAnsi="Times New Roman"/>
        </w:rPr>
      </w:pPr>
      <w:r>
        <w:rPr>
          <w:rFonts w:ascii="Times New Roman" w:hAnsi="Times New Roman"/>
        </w:rPr>
        <w:t xml:space="preserve">8.5 </w:t>
      </w:r>
      <w:r>
        <w:rPr>
          <w:rFonts w:hint="eastAsia" w:ascii="Times New Roman" w:hAnsi="Times New Roman"/>
        </w:rPr>
        <w:t>投诉</w:t>
      </w:r>
    </w:p>
    <w:p>
      <w:pPr>
        <w:spacing w:line="440" w:lineRule="exact"/>
        <w:ind w:firstLine="420" w:firstLineChars="200"/>
        <w:rPr>
          <w:rFonts w:ascii="Times New Roman" w:hAnsi="Times New Roman"/>
        </w:rPr>
      </w:pPr>
      <w:r>
        <w:rPr>
          <w:rFonts w:ascii="Times New Roman" w:hAnsi="Times New Roman"/>
        </w:rPr>
        <w:t>8.5.1 投标人或者其他利害关系人认为招标投标活动不符合法律、行政法规规定的，可以自知道或者应当知道之日起10日内向有关行政监督部门投诉。投诉应当有明确的请求和必要的证明材料。</w:t>
      </w:r>
    </w:p>
    <w:p>
      <w:pPr>
        <w:spacing w:line="440" w:lineRule="exact"/>
        <w:ind w:firstLine="420" w:firstLineChars="200"/>
        <w:rPr>
          <w:rFonts w:ascii="Times New Roman" w:hAnsi="Times New Roman"/>
        </w:rPr>
      </w:pPr>
      <w:r>
        <w:rPr>
          <w:rFonts w:ascii="Times New Roman" w:hAnsi="Times New Roman"/>
        </w:rPr>
        <w:t>8.5.2 投标人或者其他利害关系人对招标文件、开标和评标结果提出投诉的，应当按照投标人须知第2.4款、第5.3款和第7.2款的规定先向招标人提出异议。异议答复期间</w:t>
      </w:r>
      <w:bookmarkStart w:id="293" w:name="_Toc12776"/>
      <w:bookmarkStart w:id="294" w:name="_Toc152045570"/>
      <w:bookmarkStart w:id="295" w:name="_Toc247513994"/>
      <w:bookmarkStart w:id="296" w:name="_Toc369531561"/>
      <w:bookmarkStart w:id="297" w:name="_Toc384308255"/>
      <w:bookmarkStart w:id="298" w:name="_Toc300834993"/>
      <w:bookmarkStart w:id="299" w:name="_Toc361508630"/>
      <w:bookmarkStart w:id="300" w:name="_Toc352691517"/>
      <w:bookmarkStart w:id="301" w:name="_Toc152042346"/>
      <w:bookmarkStart w:id="302" w:name="_Toc247527595"/>
      <w:bookmarkStart w:id="303" w:name="_Toc144974538"/>
      <w:r>
        <w:rPr>
          <w:rFonts w:ascii="Times New Roman" w:hAnsi="Times New Roman"/>
        </w:rPr>
        <w:t>不计算在第8.5.</w:t>
      </w:r>
      <w:bookmarkEnd w:id="293"/>
      <w:bookmarkEnd w:id="294"/>
      <w:bookmarkEnd w:id="295"/>
      <w:bookmarkEnd w:id="296"/>
      <w:bookmarkEnd w:id="297"/>
      <w:bookmarkEnd w:id="298"/>
      <w:bookmarkEnd w:id="299"/>
      <w:bookmarkEnd w:id="300"/>
      <w:bookmarkEnd w:id="301"/>
      <w:bookmarkEnd w:id="302"/>
      <w:bookmarkEnd w:id="303"/>
      <w:r>
        <w:rPr>
          <w:rFonts w:ascii="Times New Roman" w:hAnsi="Times New Roman"/>
        </w:rPr>
        <w:t>1项规定的期限内。</w:t>
      </w:r>
    </w:p>
    <w:p>
      <w:pPr>
        <w:pStyle w:val="9"/>
        <w:spacing w:line="440" w:lineRule="exact"/>
        <w:rPr>
          <w:rFonts w:ascii="Times New Roman" w:hAnsi="Times New Roman"/>
        </w:rPr>
      </w:pPr>
      <w:bookmarkStart w:id="304" w:name="_Toc477134992"/>
      <w:bookmarkStart w:id="305" w:name="_Toc29683"/>
      <w:r>
        <w:rPr>
          <w:rFonts w:ascii="Times New Roman" w:hAnsi="Times New Roman"/>
        </w:rPr>
        <w:t xml:space="preserve">9. </w:t>
      </w:r>
      <w:r>
        <w:rPr>
          <w:rFonts w:hint="eastAsia" w:ascii="Times New Roman" w:hAnsi="Times New Roman"/>
        </w:rPr>
        <w:t>是否采用电子招标投标</w:t>
      </w:r>
      <w:bookmarkEnd w:id="304"/>
      <w:bookmarkEnd w:id="305"/>
    </w:p>
    <w:p>
      <w:pPr>
        <w:spacing w:line="440" w:lineRule="exact"/>
        <w:ind w:firstLine="420" w:firstLineChars="200"/>
        <w:rPr>
          <w:rFonts w:ascii="Times New Roman" w:hAnsi="Times New Roman"/>
        </w:rPr>
      </w:pPr>
      <w:r>
        <w:rPr>
          <w:rFonts w:ascii="Times New Roman" w:hAnsi="Times New Roman"/>
        </w:rPr>
        <w:t>本招标项目是否采用电子招标投标方式，见投标人须知前附表。</w:t>
      </w:r>
    </w:p>
    <w:p>
      <w:pPr>
        <w:pStyle w:val="9"/>
        <w:spacing w:line="440" w:lineRule="exact"/>
        <w:rPr>
          <w:rFonts w:ascii="Times New Roman" w:hAnsi="Times New Roman"/>
        </w:rPr>
      </w:pPr>
      <w:bookmarkStart w:id="306" w:name="_Toc23918"/>
      <w:r>
        <w:rPr>
          <w:rFonts w:ascii="Times New Roman" w:hAnsi="Times New Roman"/>
        </w:rPr>
        <w:t xml:space="preserve">10. </w:t>
      </w:r>
      <w:r>
        <w:rPr>
          <w:rFonts w:hint="eastAsia" w:ascii="Times New Roman" w:hAnsi="Times New Roman"/>
        </w:rPr>
        <w:t>需要补充的其他内容</w:t>
      </w:r>
      <w:bookmarkEnd w:id="306"/>
    </w:p>
    <w:p>
      <w:pPr>
        <w:spacing w:line="440" w:lineRule="exact"/>
        <w:ind w:firstLine="420" w:firstLineChars="200"/>
        <w:rPr>
          <w:rFonts w:ascii="Times New Roman" w:hAnsi="Times New Roman"/>
        </w:rPr>
      </w:pPr>
      <w:r>
        <w:rPr>
          <w:rFonts w:ascii="Times New Roman" w:hAnsi="Times New Roman"/>
        </w:rPr>
        <w:t>需要补充的其他内容：见投标人须知前附表。</w:t>
      </w:r>
    </w:p>
    <w:p>
      <w:pPr>
        <w:spacing w:line="440" w:lineRule="exact"/>
        <w:ind w:firstLine="420" w:firstLineChars="200"/>
        <w:rPr>
          <w:rFonts w:ascii="Times New Roman" w:hAnsi="Times New Roman"/>
        </w:rPr>
      </w:pPr>
      <w:r>
        <w:rPr>
          <w:rFonts w:ascii="Times New Roman" w:hAnsi="Times New Roman"/>
        </w:rPr>
        <w:br w:type="page"/>
      </w:r>
    </w:p>
    <w:p>
      <w:pPr>
        <w:pStyle w:val="10"/>
        <w:spacing w:line="440" w:lineRule="exact"/>
        <w:ind w:firstLine="137"/>
        <w:rPr>
          <w:rFonts w:ascii="Times New Roman" w:hAnsi="Times New Roman"/>
        </w:rPr>
      </w:pPr>
      <w:r>
        <w:rPr>
          <w:rFonts w:hint="eastAsia" w:ascii="Times New Roman" w:hAnsi="Times New Roman"/>
        </w:rPr>
        <w:t>附件一：开标记录表</w:t>
      </w:r>
    </w:p>
    <w:p>
      <w:pPr>
        <w:spacing w:line="440" w:lineRule="exact"/>
        <w:jc w:val="center"/>
        <w:rPr>
          <w:rFonts w:ascii="Times New Roman" w:hAnsi="Times New Roman" w:eastAsia="黑体"/>
          <w:sz w:val="28"/>
        </w:rPr>
      </w:pPr>
      <w:r>
        <w:rPr>
          <w:rFonts w:ascii="Times New Roman" w:hAnsi="Times New Roman" w:eastAsia="黑体"/>
          <w:sz w:val="28"/>
        </w:rPr>
        <w:t>开标记录表</w:t>
      </w:r>
    </w:p>
    <w:p>
      <w:pPr>
        <w:spacing w:before="120" w:beforeLines="50" w:after="120" w:afterLines="50" w:line="440" w:lineRule="exact"/>
        <w:ind w:right="420"/>
        <w:jc w:val="right"/>
        <w:rPr>
          <w:rFonts w:ascii="Times New Roman" w:hAnsi="Times New Roman"/>
        </w:rPr>
      </w:pPr>
      <w:r>
        <w:rPr>
          <w:rFonts w:ascii="Times New Roman" w:hAnsi="Times New Roman"/>
        </w:rPr>
        <w:t>开标时间：</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w:t>
      </w:r>
      <w:r>
        <w:rPr>
          <w:rFonts w:ascii="Times New Roman" w:hAnsi="Times New Roman"/>
          <w:u w:val="single"/>
        </w:rPr>
        <w:t xml:space="preserve">         </w:t>
      </w:r>
      <w:r>
        <w:rPr>
          <w:rFonts w:ascii="Times New Roman" w:hAnsi="Times New Roman"/>
        </w:rPr>
        <w:t>分</w:t>
      </w:r>
    </w:p>
    <w:tbl>
      <w:tblPr>
        <w:tblStyle w:val="41"/>
        <w:tblW w:w="8500" w:type="dxa"/>
        <w:jc w:val="center"/>
        <w:tblLayout w:type="fixed"/>
        <w:tblCellMar>
          <w:top w:w="0" w:type="dxa"/>
          <w:left w:w="108" w:type="dxa"/>
          <w:bottom w:w="0" w:type="dxa"/>
          <w:right w:w="108" w:type="dxa"/>
        </w:tblCellMar>
      </w:tblPr>
      <w:tblGrid>
        <w:gridCol w:w="846"/>
        <w:gridCol w:w="1820"/>
        <w:gridCol w:w="992"/>
        <w:gridCol w:w="992"/>
        <w:gridCol w:w="993"/>
        <w:gridCol w:w="763"/>
        <w:gridCol w:w="938"/>
        <w:gridCol w:w="1156"/>
      </w:tblGrid>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序号</w:t>
            </w:r>
          </w:p>
        </w:tc>
        <w:tc>
          <w:tcPr>
            <w:tcW w:w="1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投标人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投标保证金</w:t>
            </w:r>
          </w:p>
        </w:tc>
        <w:tc>
          <w:tcPr>
            <w:tcW w:w="9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投标报价</w:t>
            </w:r>
          </w:p>
          <w:p>
            <w:pPr>
              <w:spacing w:line="440" w:lineRule="exact"/>
              <w:jc w:val="center"/>
              <w:rPr>
                <w:rFonts w:ascii="Times New Roman" w:hAnsi="Times New Roman"/>
                <w:sz w:val="18"/>
              </w:rPr>
            </w:pPr>
            <w:r>
              <w:rPr>
                <w:rFonts w:ascii="Times New Roman" w:hAnsi="Times New Roman"/>
                <w:sz w:val="18"/>
              </w:rPr>
              <w:t>（万元）</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项目负责人</w:t>
            </w:r>
          </w:p>
        </w:tc>
        <w:tc>
          <w:tcPr>
            <w:tcW w:w="76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服务期限</w:t>
            </w:r>
          </w:p>
        </w:tc>
        <w:tc>
          <w:tcPr>
            <w:tcW w:w="9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备注</w:t>
            </w:r>
          </w:p>
        </w:tc>
        <w:tc>
          <w:tcPr>
            <w:tcW w:w="11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18"/>
              </w:rPr>
            </w:pPr>
            <w:r>
              <w:rPr>
                <w:rFonts w:ascii="Times New Roman" w:hAnsi="Times New Roman"/>
                <w:sz w:val="18"/>
              </w:rPr>
              <w:t>投标人代表签名</w:t>
            </w: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trHeight w:val="502" w:hRule="atLeast"/>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bookmarkStart w:id="307" w:name="_Toc17638"/>
          </w:p>
        </w:tc>
      </w:tr>
      <w:tr>
        <w:tblPrEx>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820"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9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763"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938"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c>
          <w:tcPr>
            <w:tcW w:w="1156" w:type="dxa"/>
            <w:tcBorders>
              <w:top w:val="single" w:color="auto" w:sz="4" w:space="0"/>
              <w:left w:val="single" w:color="auto" w:sz="4" w:space="0"/>
              <w:bottom w:val="single" w:color="auto" w:sz="4" w:space="0"/>
              <w:right w:val="single" w:color="auto" w:sz="4" w:space="0"/>
            </w:tcBorders>
          </w:tcPr>
          <w:p>
            <w:pPr>
              <w:spacing w:line="440" w:lineRule="exact"/>
              <w:jc w:val="left"/>
              <w:rPr>
                <w:rFonts w:ascii="Times New Roman" w:hAnsi="Times New Roman"/>
              </w:rPr>
            </w:pPr>
          </w:p>
        </w:tc>
      </w:tr>
      <w:bookmarkEnd w:id="307"/>
    </w:tbl>
    <w:p>
      <w:pPr>
        <w:spacing w:line="440" w:lineRule="exact"/>
        <w:rPr>
          <w:rFonts w:ascii="Times New Roman" w:hAnsi="Times New Roman"/>
        </w:rPr>
      </w:pPr>
      <w:r>
        <w:rPr>
          <w:rFonts w:ascii="Times New Roman" w:hAnsi="Times New Roman"/>
        </w:rPr>
        <w:t>　　　</w:t>
      </w:r>
    </w:p>
    <w:p>
      <w:pPr>
        <w:spacing w:line="440" w:lineRule="exact"/>
        <w:rPr>
          <w:rFonts w:ascii="Times New Roman" w:hAnsi="Times New Roman"/>
        </w:rPr>
      </w:pPr>
      <w:r>
        <w:rPr>
          <w:rFonts w:ascii="Times New Roman" w:hAnsi="Times New Roman"/>
        </w:rPr>
        <w:t>招标人代表：</w:t>
      </w:r>
      <w:r>
        <w:rPr>
          <w:rFonts w:ascii="Times New Roman" w:hAnsi="Times New Roman"/>
          <w:u w:val="single"/>
        </w:rPr>
        <w:t xml:space="preserve">       </w:t>
      </w:r>
      <w:r>
        <w:rPr>
          <w:rFonts w:ascii="Times New Roman" w:hAnsi="Times New Roman"/>
        </w:rPr>
        <w:t xml:space="preserve">        记录人：</w:t>
      </w:r>
      <w:r>
        <w:rPr>
          <w:rFonts w:ascii="Times New Roman" w:hAnsi="Times New Roman"/>
          <w:u w:val="single"/>
        </w:rPr>
        <w:t xml:space="preserve">       </w:t>
      </w:r>
      <w:r>
        <w:rPr>
          <w:rFonts w:ascii="Times New Roman" w:hAnsi="Times New Roman"/>
        </w:rPr>
        <w:t xml:space="preserve">       监标人：</w:t>
      </w:r>
      <w:r>
        <w:rPr>
          <w:rFonts w:ascii="Times New Roman" w:hAnsi="Times New Roman"/>
          <w:u w:val="single"/>
        </w:rPr>
        <w:t xml:space="preserve">       </w:t>
      </w:r>
    </w:p>
    <w:p>
      <w:pPr>
        <w:spacing w:line="440" w:lineRule="exact"/>
        <w:jc w:val="right"/>
        <w:rPr>
          <w:rFonts w:ascii="Times New Roman" w:hAnsi="Times New Roman"/>
          <w:sz w:val="20"/>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rPr>
          <w:rFonts w:ascii="Times New Roman" w:hAnsi="Times New Roman"/>
          <w:b/>
          <w:bCs/>
        </w:rPr>
      </w:pPr>
      <w:r>
        <w:rPr>
          <w:rFonts w:hint="eastAsia" w:ascii="Times New Roman" w:hAnsi="Times New Roman"/>
          <w:b/>
          <w:bCs/>
        </w:rPr>
        <w:t>（注：格式以广东公共资源交易中心版本为准）</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br w:type="page"/>
      </w:r>
    </w:p>
    <w:p>
      <w:pPr>
        <w:pStyle w:val="10"/>
        <w:spacing w:line="440" w:lineRule="exact"/>
        <w:ind w:firstLine="137"/>
        <w:rPr>
          <w:rFonts w:ascii="Times New Roman" w:hAnsi="Times New Roman"/>
        </w:rPr>
      </w:pPr>
      <w:r>
        <w:rPr>
          <w:rFonts w:hint="eastAsia" w:ascii="Times New Roman" w:hAnsi="Times New Roman"/>
        </w:rPr>
        <w:t>附件二：问题澄清通知</w:t>
      </w:r>
    </w:p>
    <w:p>
      <w:pPr>
        <w:spacing w:line="440" w:lineRule="exact"/>
        <w:jc w:val="center"/>
        <w:rPr>
          <w:rFonts w:ascii="Times New Roman" w:hAnsi="Times New Roman"/>
        </w:rPr>
      </w:pPr>
    </w:p>
    <w:p>
      <w:pPr>
        <w:spacing w:line="440" w:lineRule="exact"/>
        <w:jc w:val="center"/>
        <w:rPr>
          <w:rFonts w:ascii="Times New Roman" w:hAnsi="Times New Roman" w:eastAsia="黑体"/>
          <w:sz w:val="28"/>
        </w:rPr>
      </w:pPr>
      <w:r>
        <w:rPr>
          <w:rFonts w:ascii="Times New Roman" w:hAnsi="Times New Roman" w:eastAsia="黑体"/>
          <w:sz w:val="28"/>
        </w:rPr>
        <w:t>问题澄清通知</w:t>
      </w:r>
    </w:p>
    <w:p>
      <w:pPr>
        <w:spacing w:line="440" w:lineRule="exact"/>
        <w:jc w:val="center"/>
        <w:rPr>
          <w:rFonts w:ascii="Times New Roman" w:hAnsi="Times New Roman"/>
        </w:rPr>
      </w:pPr>
      <w:r>
        <w:rPr>
          <w:rFonts w:ascii="Times New Roman" w:hAnsi="Times New Roman"/>
        </w:rPr>
        <w:t>（编号：</w:t>
      </w:r>
      <w:r>
        <w:rPr>
          <w:rFonts w:ascii="Times New Roman" w:hAnsi="Times New Roman" w:eastAsia="黑体"/>
          <w:sz w:val="28"/>
          <w:u w:val="single"/>
        </w:rPr>
        <w:t xml:space="preserve">               </w:t>
      </w:r>
      <w:r>
        <w:rPr>
          <w:rFonts w:ascii="Times New Roman" w:hAnsi="Times New Roman"/>
        </w:rPr>
        <w:t>）</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（投标人名称）：</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评标委员会对你方的投标文件进行了仔细的审查，现需你方对下列问题以书</w:t>
      </w:r>
      <w:bookmarkStart w:id="308" w:name="_Toc369531565"/>
      <w:bookmarkStart w:id="309" w:name="_Toc247514000"/>
      <w:bookmarkStart w:id="310" w:name="_Toc352691521"/>
      <w:bookmarkStart w:id="311" w:name="_Toc144974544"/>
      <w:bookmarkStart w:id="312" w:name="_Toc152042352"/>
      <w:bookmarkStart w:id="313" w:name="_Toc361508634"/>
      <w:bookmarkStart w:id="314" w:name="_Toc152045576"/>
      <w:bookmarkStart w:id="315" w:name="_Toc247527601"/>
      <w:bookmarkStart w:id="316" w:name="_Toc23050"/>
      <w:bookmarkStart w:id="317" w:name="_Toc384308260"/>
      <w:bookmarkStart w:id="318" w:name="_Toc300834996"/>
      <w:r>
        <w:rPr>
          <w:rFonts w:ascii="Times New Roman" w:hAnsi="Times New Roman"/>
        </w:rPr>
        <w:t>面形式予以澄清、说明或补正：</w:t>
      </w:r>
    </w:p>
    <w:p>
      <w:pPr>
        <w:spacing w:line="440" w:lineRule="exact"/>
        <w:rPr>
          <w:rFonts w:ascii="Times New Roman" w:hAnsi="Times New Roman"/>
        </w:rPr>
      </w:pPr>
      <w:r>
        <w:rPr>
          <w:rFonts w:ascii="Times New Roman" w:hAnsi="Times New Roman"/>
        </w:rPr>
        <w:t>　　</w:t>
      </w:r>
    </w:p>
    <w:bookmarkEnd w:id="308"/>
    <w:bookmarkEnd w:id="309"/>
    <w:bookmarkEnd w:id="310"/>
    <w:bookmarkEnd w:id="311"/>
    <w:bookmarkEnd w:id="312"/>
    <w:bookmarkEnd w:id="313"/>
    <w:bookmarkEnd w:id="314"/>
    <w:bookmarkEnd w:id="315"/>
    <w:bookmarkEnd w:id="316"/>
    <w:bookmarkEnd w:id="317"/>
    <w:bookmarkEnd w:id="318"/>
    <w:p>
      <w:pPr>
        <w:spacing w:line="440" w:lineRule="exact"/>
        <w:rPr>
          <w:rFonts w:ascii="Times New Roman" w:hAnsi="Times New Roman"/>
        </w:rPr>
      </w:pPr>
      <w:r>
        <w:rPr>
          <w:rFonts w:ascii="Times New Roman" w:hAnsi="Times New Roman"/>
        </w:rPr>
        <w:t xml:space="preserve">    1.</w:t>
      </w:r>
    </w:p>
    <w:p>
      <w:pPr>
        <w:spacing w:line="440" w:lineRule="exact"/>
        <w:rPr>
          <w:rFonts w:ascii="Times New Roman" w:hAnsi="Times New Roman"/>
        </w:rPr>
      </w:pPr>
      <w:r>
        <w:rPr>
          <w:rFonts w:ascii="Times New Roman" w:hAnsi="Times New Roman"/>
        </w:rPr>
        <w:t xml:space="preserve">    2.</w:t>
      </w:r>
    </w:p>
    <w:p>
      <w:pPr>
        <w:spacing w:line="440" w:lineRule="exact"/>
        <w:rPr>
          <w:rFonts w:ascii="Times New Roman" w:hAnsi="Times New Roman"/>
        </w:rPr>
      </w:pPr>
      <w:r>
        <w:rPr>
          <w:rFonts w:ascii="Times New Roman" w:hAnsi="Times New Roman"/>
        </w:rPr>
        <w:t xml:space="preserve">     ......   </w:t>
      </w:r>
    </w:p>
    <w:p>
      <w:pPr>
        <w:spacing w:line="440" w:lineRule="exact"/>
        <w:rPr>
          <w:rFonts w:ascii="Times New Roman" w:hAnsi="Times New Roman"/>
        </w:rPr>
      </w:pPr>
      <w:r>
        <w:rPr>
          <w:rFonts w:ascii="Times New Roman" w:hAnsi="Times New Roman"/>
        </w:rPr>
        <w:t>　　　</w:t>
      </w:r>
    </w:p>
    <w:p>
      <w:pPr>
        <w:spacing w:line="440" w:lineRule="exact"/>
        <w:ind w:firstLine="405"/>
        <w:rPr>
          <w:rFonts w:ascii="Times New Roman" w:hAnsi="Times New Roman"/>
        </w:rPr>
      </w:pPr>
      <w:r>
        <w:rPr>
          <w:rFonts w:ascii="Times New Roman" w:hAnsi="Times New Roman"/>
        </w:rPr>
        <w:t>请将上述问题的澄清、说明或补正于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时前递交至</w:t>
      </w:r>
      <w:bookmarkStart w:id="319" w:name="_Toc352691522"/>
      <w:bookmarkStart w:id="320" w:name="_Toc384308261"/>
      <w:bookmarkStart w:id="321" w:name="_Toc152042353"/>
      <w:bookmarkStart w:id="322" w:name="_Toc247514001"/>
      <w:bookmarkStart w:id="323" w:name="_Toc369531566"/>
      <w:bookmarkStart w:id="324" w:name="_Toc247527602"/>
      <w:bookmarkStart w:id="325" w:name="_Toc144974545"/>
      <w:bookmarkStart w:id="326" w:name="_Toc28385"/>
      <w:bookmarkStart w:id="327" w:name="_Toc361508635"/>
      <w:bookmarkStart w:id="328" w:name="_Toc152045577"/>
      <w:bookmarkStart w:id="329" w:name="_Toc300834997"/>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（详细地址）或传真至</w:t>
      </w:r>
      <w:bookmarkEnd w:id="319"/>
      <w:bookmarkEnd w:id="320"/>
      <w:bookmarkEnd w:id="321"/>
      <w:bookmarkEnd w:id="322"/>
      <w:bookmarkEnd w:id="323"/>
      <w:bookmarkEnd w:id="324"/>
      <w:bookmarkEnd w:id="325"/>
      <w:bookmarkEnd w:id="326"/>
      <w:bookmarkEnd w:id="327"/>
      <w:bookmarkEnd w:id="328"/>
      <w:bookmarkEnd w:id="329"/>
      <w:r>
        <w:rPr>
          <w:rFonts w:ascii="Times New Roman" w:hAnsi="Times New Roman"/>
          <w:u w:val="single"/>
        </w:rPr>
        <w:t xml:space="preserve">                     </w:t>
      </w:r>
      <w:r>
        <w:rPr>
          <w:rFonts w:ascii="Times New Roman" w:hAnsi="Times New Roman"/>
        </w:rPr>
        <w:t>（传真号码）或通过下载招标文件的电子招标交易平台上传。采用传真方式的，应在</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时前将原件递交至</w:t>
      </w:r>
      <w:r>
        <w:rPr>
          <w:rFonts w:ascii="Times New Roman" w:hAnsi="Times New Roman"/>
          <w:u w:val="single"/>
        </w:rPr>
        <w:t xml:space="preserve">                     </w:t>
      </w:r>
      <w:r>
        <w:rPr>
          <w:rFonts w:ascii="Times New Roman" w:hAnsi="Times New Roman"/>
        </w:rPr>
        <w:t>（详细地址）。</w:t>
      </w:r>
    </w:p>
    <w:p>
      <w:pPr>
        <w:spacing w:line="440" w:lineRule="exact"/>
        <w:rPr>
          <w:rFonts w:ascii="Times New Roman" w:hAnsi="Times New Roman"/>
        </w:rPr>
      </w:pPr>
    </w:p>
    <w:p>
      <w:pPr>
        <w:spacing w:line="440" w:lineRule="exact"/>
        <w:rPr>
          <w:rFonts w:ascii="Times New Roman" w:hAnsi="Times New Roman"/>
        </w:rPr>
      </w:pPr>
    </w:p>
    <w:p>
      <w:pPr>
        <w:spacing w:line="440" w:lineRule="exact"/>
        <w:ind w:firstLine="2100" w:firstLineChars="1000"/>
        <w:rPr>
          <w:rFonts w:ascii="Times New Roman" w:hAnsi="Times New Roman"/>
        </w:rPr>
      </w:pPr>
      <w:r>
        <w:rPr>
          <w:rFonts w:ascii="Times New Roman" w:hAnsi="Times New Roman"/>
        </w:rPr>
        <w:t>评标委员会授权的招标人或招标代理机构：</w:t>
      </w:r>
      <w:r>
        <w:rPr>
          <w:rFonts w:ascii="Times New Roman" w:hAnsi="Times New Roman" w:eastAsia="黑体"/>
          <w:sz w:val="28"/>
          <w:u w:val="single"/>
        </w:rPr>
        <w:t xml:space="preserve">      </w:t>
      </w:r>
      <w:r>
        <w:rPr>
          <w:rFonts w:ascii="Times New Roman" w:hAnsi="Times New Roman"/>
        </w:rPr>
        <w:t>（签字或盖章）</w:t>
      </w:r>
      <w:bookmarkStart w:id="330" w:name="_Toc247514002"/>
      <w:bookmarkStart w:id="331" w:name="_Toc352691523"/>
      <w:bookmarkStart w:id="332" w:name="_Toc152042354"/>
      <w:bookmarkStart w:id="333" w:name="_Toc369531567"/>
      <w:bookmarkStart w:id="334" w:name="_Toc361508636"/>
      <w:bookmarkStart w:id="335" w:name="_Toc6580"/>
      <w:bookmarkStart w:id="336" w:name="_Toc384308262"/>
      <w:bookmarkStart w:id="337" w:name="_Toc300834998"/>
      <w:bookmarkStart w:id="338" w:name="_Toc247527603"/>
      <w:bookmarkStart w:id="339" w:name="_Toc152045578"/>
      <w:bookmarkStart w:id="340" w:name="_Toc144974546"/>
    </w:p>
    <w:bookmarkEnd w:id="330"/>
    <w:bookmarkEnd w:id="331"/>
    <w:bookmarkEnd w:id="332"/>
    <w:bookmarkEnd w:id="333"/>
    <w:bookmarkEnd w:id="334"/>
    <w:bookmarkEnd w:id="335"/>
    <w:bookmarkEnd w:id="336"/>
    <w:bookmarkEnd w:id="337"/>
    <w:bookmarkEnd w:id="338"/>
    <w:bookmarkEnd w:id="339"/>
    <w:p>
      <w:pPr>
        <w:spacing w:line="440" w:lineRule="exact"/>
        <w:rPr>
          <w:rFonts w:ascii="Times New Roman" w:hAnsi="Times New Roman"/>
        </w:rPr>
      </w:pPr>
      <w:bookmarkStart w:id="341" w:name="_Toc152042355"/>
    </w:p>
    <w:p>
      <w:pPr>
        <w:spacing w:line="440" w:lineRule="exact"/>
        <w:ind w:right="840"/>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br w:type="page"/>
      </w:r>
    </w:p>
    <w:p>
      <w:pPr>
        <w:pStyle w:val="10"/>
        <w:spacing w:line="440" w:lineRule="exact"/>
        <w:ind w:firstLine="137"/>
        <w:rPr>
          <w:rFonts w:ascii="Times New Roman" w:hAnsi="Times New Roman"/>
        </w:rPr>
      </w:pPr>
      <w:r>
        <w:rPr>
          <w:rFonts w:hint="eastAsia" w:ascii="Times New Roman" w:hAnsi="Times New Roman"/>
        </w:rPr>
        <w:t>附件三：问题的澄清</w:t>
      </w:r>
    </w:p>
    <w:p>
      <w:pPr>
        <w:spacing w:line="440" w:lineRule="exact"/>
        <w:jc w:val="center"/>
        <w:rPr>
          <w:rFonts w:ascii="Times New Roman" w:hAnsi="Times New Roman" w:eastAsia="黑体"/>
          <w:sz w:val="28"/>
        </w:rPr>
      </w:pPr>
    </w:p>
    <w:p>
      <w:pPr>
        <w:spacing w:line="440" w:lineRule="exact"/>
        <w:jc w:val="center"/>
        <w:rPr>
          <w:rFonts w:ascii="Times New Roman" w:hAnsi="Times New Roman" w:eastAsia="黑体"/>
          <w:sz w:val="28"/>
        </w:rPr>
      </w:pPr>
      <w:r>
        <w:rPr>
          <w:rFonts w:ascii="Times New Roman" w:hAnsi="Times New Roman" w:eastAsia="黑体"/>
          <w:sz w:val="28"/>
        </w:rPr>
        <w:t>问</w:t>
      </w:r>
      <w:bookmarkEnd w:id="341"/>
      <w:r>
        <w:rPr>
          <w:rFonts w:ascii="Times New Roman" w:hAnsi="Times New Roman" w:eastAsia="黑体"/>
          <w:sz w:val="28"/>
        </w:rPr>
        <w:t>题</w:t>
      </w:r>
      <w:bookmarkStart w:id="342" w:name="_Toc384308263"/>
      <w:bookmarkStart w:id="343" w:name="_Toc152045579"/>
      <w:bookmarkStart w:id="344" w:name="_Toc247527604"/>
      <w:bookmarkStart w:id="345" w:name="_Toc247514003"/>
      <w:bookmarkStart w:id="346" w:name="_Toc300834999"/>
      <w:bookmarkStart w:id="347" w:name="_Toc352691524"/>
      <w:bookmarkStart w:id="348" w:name="_Toc152042356"/>
      <w:bookmarkStart w:id="349" w:name="_Toc361508637"/>
      <w:bookmarkStart w:id="350" w:name="_Toc369531568"/>
      <w:bookmarkStart w:id="351" w:name="_Toc3622"/>
      <w:r>
        <w:rPr>
          <w:rFonts w:ascii="Times New Roman" w:hAnsi="Times New Roman" w:eastAsia="黑体"/>
          <w:sz w:val="28"/>
        </w:rPr>
        <w:t>的澄清</w:t>
      </w:r>
    </w:p>
    <w:p>
      <w:pPr>
        <w:spacing w:line="440" w:lineRule="exact"/>
        <w:ind w:firstLine="3465" w:firstLineChars="1650"/>
        <w:rPr>
          <w:rFonts w:ascii="Times New Roman" w:hAnsi="Times New Roman"/>
        </w:rPr>
      </w:pPr>
      <w:r>
        <w:rPr>
          <w:rFonts w:ascii="Times New Roman" w:hAnsi="Times New Roman"/>
        </w:rPr>
        <w:t>（编号</w:t>
      </w:r>
      <w:bookmarkEnd w:id="340"/>
      <w:bookmarkEnd w:id="342"/>
      <w:bookmarkEnd w:id="343"/>
      <w:bookmarkEnd w:id="344"/>
      <w:bookmarkEnd w:id="345"/>
      <w:bookmarkEnd w:id="346"/>
      <w:bookmarkEnd w:id="347"/>
      <w:bookmarkEnd w:id="348"/>
      <w:bookmarkEnd w:id="349"/>
      <w:bookmarkEnd w:id="350"/>
      <w:bookmarkEnd w:id="351"/>
      <w:r>
        <w:rPr>
          <w:rFonts w:ascii="Times New Roman" w:hAnsi="Times New Roman"/>
        </w:rPr>
        <w:t>：</w:t>
      </w:r>
      <w:r>
        <w:rPr>
          <w:rFonts w:ascii="Times New Roman" w:hAnsi="Times New Roman" w:eastAsia="黑体"/>
          <w:sz w:val="28"/>
          <w:u w:val="single"/>
        </w:rPr>
        <w:t xml:space="preserve">           </w:t>
      </w:r>
      <w:r>
        <w:rPr>
          <w:rFonts w:ascii="Times New Roman" w:hAnsi="Times New Roman"/>
        </w:rPr>
        <w:t>）</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评标委员会：</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问题澄清通知（编号：</w:t>
      </w:r>
      <w:r>
        <w:rPr>
          <w:rFonts w:ascii="Times New Roman" w:hAnsi="Times New Roman" w:eastAsia="黑体"/>
          <w:sz w:val="28"/>
          <w:u w:val="single"/>
        </w:rPr>
        <w:t xml:space="preserve">      </w:t>
      </w:r>
      <w:r>
        <w:rPr>
          <w:rFonts w:ascii="Times New Roman" w:hAnsi="Times New Roman"/>
        </w:rPr>
        <w:t>）已收悉，现澄清、说明或补正如下：</w:t>
      </w:r>
    </w:p>
    <w:p>
      <w:pPr>
        <w:spacing w:line="440" w:lineRule="exact"/>
        <w:rPr>
          <w:rFonts w:ascii="Times New Roman" w:hAnsi="Times New Roman"/>
        </w:rPr>
      </w:pPr>
      <w:r>
        <w:rPr>
          <w:rFonts w:ascii="Times New Roman" w:hAnsi="Times New Roman"/>
        </w:rPr>
        <w:t>　     1.</w:t>
      </w:r>
    </w:p>
    <w:p>
      <w:pPr>
        <w:spacing w:line="440" w:lineRule="exact"/>
        <w:rPr>
          <w:rFonts w:ascii="Times New Roman" w:hAnsi="Times New Roman"/>
        </w:rPr>
      </w:pPr>
      <w:r>
        <w:rPr>
          <w:rFonts w:ascii="Times New Roman" w:hAnsi="Times New Roman"/>
        </w:rPr>
        <w:t>　     2.</w:t>
      </w:r>
    </w:p>
    <w:p>
      <w:pPr>
        <w:spacing w:line="440" w:lineRule="exact"/>
        <w:rPr>
          <w:rFonts w:ascii="Times New Roman" w:hAnsi="Times New Roman"/>
        </w:rPr>
      </w:pPr>
      <w:r>
        <w:rPr>
          <w:rFonts w:ascii="Times New Roman" w:hAnsi="Times New Roman"/>
        </w:rPr>
        <w:t>　    .....</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w:t>
      </w:r>
    </w:p>
    <w:p>
      <w:pPr>
        <w:spacing w:line="440" w:lineRule="exact"/>
        <w:rPr>
          <w:rFonts w:ascii="Times New Roman" w:hAnsi="Times New Roman"/>
        </w:rPr>
      </w:pPr>
    </w:p>
    <w:p>
      <w:pPr>
        <w:spacing w:line="440" w:lineRule="exact"/>
        <w:ind w:firstLine="420" w:firstLineChars="200"/>
        <w:rPr>
          <w:rFonts w:ascii="Times New Roman" w:hAnsi="Times New Roman"/>
        </w:rPr>
      </w:pPr>
      <w:r>
        <w:rPr>
          <w:rFonts w:ascii="Times New Roman" w:hAnsi="Times New Roman"/>
        </w:rPr>
        <w:t>上述问题澄清、说明或补正，不改变我方投标文件的实质性内容，构成我方投标文件的组成部分。</w:t>
      </w: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投标人：</w:t>
      </w:r>
      <w:r>
        <w:rPr>
          <w:rFonts w:ascii="Times New Roman" w:hAnsi="Times New Roman" w:eastAsia="黑体"/>
          <w:sz w:val="28"/>
          <w:u w:val="single"/>
        </w:rPr>
        <w:t xml:space="preserve">                         </w:t>
      </w:r>
      <w:r>
        <w:rPr>
          <w:rFonts w:ascii="Times New Roman" w:hAnsi="Times New Roman"/>
        </w:rPr>
        <w:t>（盖单位章）</w:t>
      </w:r>
    </w:p>
    <w:p>
      <w:pPr>
        <w:spacing w:line="440" w:lineRule="exact"/>
        <w:ind w:firstLine="2835" w:firstLineChars="1350"/>
        <w:rPr>
          <w:rFonts w:ascii="Times New Roman" w:hAnsi="Times New Roman"/>
        </w:rPr>
      </w:pPr>
      <w:r>
        <w:rPr>
          <w:rFonts w:hint="eastAsia" w:ascii="Times New Roman" w:hAnsi="Times New Roman"/>
        </w:rPr>
        <w:t xml:space="preserve"> </w:t>
      </w:r>
      <w:r>
        <w:rPr>
          <w:rFonts w:ascii="Times New Roman" w:hAnsi="Times New Roman"/>
        </w:rPr>
        <w:t>法定代表人或其委托代理人：</w:t>
      </w:r>
      <w:r>
        <w:rPr>
          <w:rFonts w:ascii="Times New Roman" w:hAnsi="Times New Roman"/>
          <w:u w:val="single"/>
        </w:rPr>
        <w:t xml:space="preserve">        </w:t>
      </w:r>
      <w:r>
        <w:rPr>
          <w:rFonts w:ascii="Times New Roman" w:hAnsi="Times New Roman"/>
        </w:rPr>
        <w:t>（签字）</w:t>
      </w:r>
    </w:p>
    <w:p>
      <w:pPr>
        <w:spacing w:line="440" w:lineRule="exact"/>
        <w:rPr>
          <w:rFonts w:ascii="Times New Roman" w:hAnsi="Times New Roman"/>
        </w:rPr>
      </w:pPr>
      <w:r>
        <w:rPr>
          <w:rFonts w:ascii="Times New Roman" w:hAnsi="Times New Roman"/>
        </w:rPr>
        <w:t>　　　　　　　　　　　　　　　</w:t>
      </w:r>
    </w:p>
    <w:p>
      <w:pPr>
        <w:spacing w:line="440" w:lineRule="exact"/>
        <w:jc w:val="right"/>
        <w:rPr>
          <w:rFonts w:ascii="Times New Roman" w:hAnsi="Times New Roman"/>
        </w:rPr>
      </w:pPr>
      <w:r>
        <w:rPr>
          <w:rFonts w:ascii="Times New Roman" w:hAnsi="Times New Roman"/>
        </w:rPr>
        <w:t>　　　　　　　　　　　　　　　</w:t>
      </w:r>
      <w:r>
        <w:rPr>
          <w:rFonts w:ascii="Times New Roman" w:hAnsi="Times New Roman"/>
          <w:u w:val="single"/>
        </w:rPr>
        <w:t xml:space="preserve">        </w:t>
      </w:r>
      <w:r>
        <w:rPr>
          <w:rFonts w:ascii="Times New Roman" w:hAnsi="Times New Roman"/>
        </w:rPr>
        <w:t>年</w:t>
      </w:r>
      <w:bookmarkStart w:id="352" w:name="_Toc144974548"/>
      <w:bookmarkStart w:id="353" w:name="_Toc152042358"/>
      <w:bookmarkStart w:id="354" w:name="_Toc247527606"/>
      <w:bookmarkStart w:id="355" w:name="_Toc300835002"/>
      <w:bookmarkStart w:id="356" w:name="_Toc352691527"/>
      <w:bookmarkStart w:id="357" w:name="_Toc152045581"/>
      <w:bookmarkStart w:id="358" w:name="_Toc247514005"/>
      <w:bookmarkStart w:id="359" w:name="_Toc361508640"/>
      <w:bookmarkStart w:id="360" w:name="_Toc15139"/>
      <w:bookmarkStart w:id="361" w:name="_Toc384308266"/>
      <w:bookmarkStart w:id="362" w:name="_Toc369531571"/>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bookmarkEnd w:id="352"/>
    <w:bookmarkEnd w:id="353"/>
    <w:bookmarkEnd w:id="354"/>
    <w:bookmarkEnd w:id="355"/>
    <w:bookmarkEnd w:id="356"/>
    <w:bookmarkEnd w:id="357"/>
    <w:bookmarkEnd w:id="358"/>
    <w:bookmarkEnd w:id="359"/>
    <w:bookmarkEnd w:id="360"/>
    <w:bookmarkEnd w:id="361"/>
    <w:bookmarkEnd w:id="362"/>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br w:type="page"/>
      </w:r>
    </w:p>
    <w:p>
      <w:pPr>
        <w:pStyle w:val="10"/>
        <w:spacing w:line="440" w:lineRule="exact"/>
        <w:ind w:firstLine="137"/>
        <w:rPr>
          <w:rFonts w:ascii="Times New Roman" w:hAnsi="Times New Roman"/>
        </w:rPr>
      </w:pPr>
      <w:r>
        <w:rPr>
          <w:rFonts w:hint="eastAsia" w:ascii="Times New Roman" w:hAnsi="Times New Roman"/>
        </w:rPr>
        <w:t>附件四：中标通知书</w:t>
      </w:r>
    </w:p>
    <w:p>
      <w:pPr>
        <w:spacing w:line="440" w:lineRule="exact"/>
        <w:rPr>
          <w:rFonts w:ascii="Times New Roman" w:hAnsi="Times New Roman"/>
        </w:rPr>
      </w:pPr>
    </w:p>
    <w:p>
      <w:pPr>
        <w:spacing w:line="440" w:lineRule="exact"/>
        <w:jc w:val="center"/>
        <w:rPr>
          <w:rFonts w:ascii="Times New Roman" w:hAnsi="Times New Roman" w:eastAsia="黑体"/>
          <w:sz w:val="28"/>
        </w:rPr>
      </w:pPr>
      <w:r>
        <w:rPr>
          <w:rFonts w:ascii="Times New Roman" w:hAnsi="Times New Roman" w:eastAsia="黑体"/>
          <w:sz w:val="28"/>
        </w:rPr>
        <w:t>中标通知书</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（中标人名称）：</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　　你方于</w:t>
      </w:r>
      <w:r>
        <w:rPr>
          <w:rFonts w:ascii="Times New Roman" w:hAnsi="Times New Roman"/>
          <w:u w:val="single"/>
        </w:rPr>
        <w:t xml:space="preserve">                </w:t>
      </w:r>
      <w:r>
        <w:rPr>
          <w:rFonts w:ascii="Times New Roman" w:hAnsi="Times New Roman"/>
        </w:rPr>
        <w:t>（投标日期）所递交的</w:t>
      </w:r>
      <w:r>
        <w:rPr>
          <w:rFonts w:ascii="Times New Roman" w:hAnsi="Times New Roman"/>
          <w:u w:val="single"/>
        </w:rPr>
        <w:t xml:space="preserve">                 </w:t>
      </w:r>
      <w:r>
        <w:rPr>
          <w:rFonts w:ascii="Times New Roman" w:hAnsi="Times New Roman"/>
        </w:rPr>
        <w:t>（</w:t>
      </w:r>
      <w:r>
        <w:rPr>
          <w:rFonts w:hint="eastAsia" w:ascii="Times New Roman" w:hAnsi="Times New Roman"/>
        </w:rPr>
        <w:t>招标</w:t>
      </w:r>
      <w:r>
        <w:rPr>
          <w:rFonts w:ascii="Times New Roman" w:hAnsi="Times New Roman"/>
        </w:rPr>
        <w:t>项目名称）的投标文件已被我方接受，被确定为中标人。</w:t>
      </w:r>
    </w:p>
    <w:p>
      <w:pPr>
        <w:spacing w:line="440" w:lineRule="exact"/>
        <w:ind w:firstLine="405"/>
        <w:rPr>
          <w:rFonts w:ascii="Times New Roman" w:hAnsi="Times New Roman"/>
        </w:rPr>
      </w:pPr>
      <w:r>
        <w:rPr>
          <w:rFonts w:ascii="Times New Roman" w:hAnsi="Times New Roman"/>
        </w:rPr>
        <w:t>中标价：</w:t>
      </w:r>
      <w:r>
        <w:rPr>
          <w:rFonts w:ascii="Times New Roman" w:hAnsi="Times New Roman"/>
          <w:u w:val="single"/>
        </w:rPr>
        <w:t xml:space="preserve">                </w:t>
      </w:r>
      <w:r>
        <w:rPr>
          <w:rFonts w:ascii="Times New Roman" w:hAnsi="Times New Roman"/>
        </w:rPr>
        <w:t>元。</w:t>
      </w:r>
    </w:p>
    <w:p>
      <w:pPr>
        <w:spacing w:line="440" w:lineRule="exact"/>
        <w:rPr>
          <w:rFonts w:ascii="Times New Roman" w:hAnsi="Times New Roman"/>
        </w:rPr>
      </w:pPr>
      <w:r>
        <w:rPr>
          <w:rFonts w:ascii="Times New Roman" w:hAnsi="Times New Roman"/>
        </w:rPr>
        <w:t>　　特此通知。</w:t>
      </w:r>
    </w:p>
    <w:p>
      <w:pPr>
        <w:spacing w:line="440" w:lineRule="exact"/>
        <w:rPr>
          <w:rFonts w:ascii="Times New Roman" w:hAnsi="Times New Roman"/>
        </w:rPr>
      </w:pPr>
    </w:p>
    <w:p>
      <w:pPr>
        <w:spacing w:line="440" w:lineRule="exact"/>
        <w:ind w:firstLine="3238" w:firstLineChars="1542"/>
        <w:rPr>
          <w:rFonts w:ascii="Times New Roman" w:hAnsi="Times New Roman"/>
        </w:rPr>
      </w:pPr>
      <w:r>
        <w:rPr>
          <w:rFonts w:ascii="Times New Roman" w:hAnsi="Times New Roman"/>
        </w:rPr>
        <w:t>招标人：</w:t>
      </w:r>
      <w:r>
        <w:rPr>
          <w:rFonts w:ascii="Times New Roman" w:hAnsi="Times New Roman"/>
          <w:u w:val="single"/>
        </w:rPr>
        <w:t xml:space="preserve">                             </w:t>
      </w:r>
      <w:r>
        <w:rPr>
          <w:rFonts w:ascii="Times New Roman" w:hAnsi="Times New Roman"/>
        </w:rPr>
        <w:t>（盖单位章）</w:t>
      </w:r>
      <w:bookmarkStart w:id="363" w:name="_Toc25205"/>
      <w:bookmarkStart w:id="364" w:name="_Toc152045582"/>
      <w:bookmarkStart w:id="365" w:name="_Toc247514006"/>
      <w:bookmarkStart w:id="366" w:name="_Toc361508641"/>
      <w:bookmarkStart w:id="367" w:name="_Toc300835003"/>
      <w:bookmarkStart w:id="368" w:name="_Toc152042359"/>
      <w:bookmarkStart w:id="369" w:name="_Toc144974549"/>
      <w:bookmarkStart w:id="370" w:name="_Toc352691528"/>
      <w:bookmarkStart w:id="371" w:name="_Toc384308267"/>
      <w:bookmarkStart w:id="372" w:name="_Toc247527607"/>
      <w:bookmarkStart w:id="373" w:name="_Toc369531572"/>
    </w:p>
    <w:p>
      <w:pPr>
        <w:spacing w:line="440" w:lineRule="exact"/>
        <w:ind w:firstLine="3238" w:firstLineChars="1542"/>
        <w:rPr>
          <w:rFonts w:ascii="Times New Roman" w:hAnsi="Times New Roman"/>
        </w:rPr>
      </w:pPr>
      <w:r>
        <w:rPr>
          <w:rFonts w:ascii="Times New Roman" w:hAnsi="Times New Roman"/>
        </w:rPr>
        <w:t>法定代表人</w:t>
      </w:r>
      <w:r>
        <w:rPr>
          <w:rFonts w:hint="eastAsia" w:ascii="Times New Roman" w:hAnsi="Times New Roman"/>
        </w:rPr>
        <w:t>：</w:t>
      </w:r>
      <w:r>
        <w:rPr>
          <w:rFonts w:ascii="Times New Roman" w:hAnsi="Times New Roman"/>
          <w:u w:val="single"/>
        </w:rPr>
        <w:t xml:space="preserve">               </w:t>
      </w:r>
      <w:r>
        <w:rPr>
          <w:rFonts w:ascii="Times New Roman" w:hAnsi="Times New Roman"/>
        </w:rPr>
        <w:t>（签字）</w:t>
      </w:r>
    </w:p>
    <w:bookmarkEnd w:id="363"/>
    <w:bookmarkEnd w:id="364"/>
    <w:bookmarkEnd w:id="365"/>
    <w:bookmarkEnd w:id="366"/>
    <w:bookmarkEnd w:id="367"/>
    <w:bookmarkEnd w:id="368"/>
    <w:bookmarkEnd w:id="369"/>
    <w:bookmarkEnd w:id="370"/>
    <w:bookmarkEnd w:id="371"/>
    <w:bookmarkEnd w:id="372"/>
    <w:bookmarkEnd w:id="373"/>
    <w:p>
      <w:pPr>
        <w:spacing w:line="440" w:lineRule="exact"/>
        <w:ind w:firstLine="3863" w:firstLineChars="1840"/>
        <w:jc w:val="center"/>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rPr>
          <w:rFonts w:ascii="Times New Roman" w:hAnsi="Times New Roman"/>
        </w:rPr>
      </w:pPr>
    </w:p>
    <w:p>
      <w:pPr>
        <w:pStyle w:val="24"/>
        <w:spacing w:line="440" w:lineRule="exact"/>
      </w:pPr>
    </w:p>
    <w:p>
      <w:pPr>
        <w:spacing w:line="440" w:lineRule="exact"/>
        <w:rPr>
          <w:rFonts w:ascii="Times New Roman" w:hAnsi="Times New Roman"/>
          <w:b/>
          <w:bCs/>
        </w:rPr>
      </w:pPr>
      <w:r>
        <w:rPr>
          <w:rFonts w:hint="eastAsia" w:ascii="Times New Roman" w:hAnsi="Times New Roman"/>
          <w:b/>
          <w:bCs/>
        </w:rPr>
        <w:t>（注：格式以广东公共资源交易中心版本为准）</w:t>
      </w:r>
    </w:p>
    <w:p>
      <w:pPr>
        <w:spacing w:line="440" w:lineRule="exact"/>
        <w:rPr>
          <w:rFonts w:ascii="Times New Roman" w:hAnsi="Times New Roman"/>
        </w:rPr>
      </w:pPr>
      <w:r>
        <w:rPr>
          <w:rFonts w:ascii="Times New Roman" w:hAnsi="Times New Roman"/>
        </w:rPr>
        <w:br w:type="page"/>
      </w:r>
    </w:p>
    <w:p>
      <w:pPr>
        <w:pStyle w:val="10"/>
        <w:spacing w:line="440" w:lineRule="exact"/>
        <w:ind w:firstLine="137"/>
        <w:rPr>
          <w:rFonts w:ascii="Times New Roman" w:hAnsi="Times New Roman"/>
        </w:rPr>
      </w:pPr>
      <w:r>
        <w:rPr>
          <w:rFonts w:hint="eastAsia" w:ascii="Times New Roman" w:hAnsi="Times New Roman"/>
        </w:rPr>
        <w:t>附件五：中标结果通知书</w:t>
      </w:r>
    </w:p>
    <w:p>
      <w:pPr>
        <w:spacing w:line="440" w:lineRule="exact"/>
        <w:rPr>
          <w:rFonts w:ascii="Times New Roman" w:hAnsi="Times New Roman"/>
        </w:rPr>
      </w:pPr>
    </w:p>
    <w:p>
      <w:pPr>
        <w:spacing w:line="440" w:lineRule="exact"/>
        <w:jc w:val="center"/>
        <w:rPr>
          <w:rFonts w:ascii="Times New Roman" w:hAnsi="Times New Roman" w:eastAsia="黑体"/>
          <w:sz w:val="28"/>
        </w:rPr>
      </w:pPr>
      <w:r>
        <w:rPr>
          <w:rFonts w:ascii="Times New Roman" w:hAnsi="Times New Roman" w:eastAsia="黑体"/>
          <w:sz w:val="28"/>
        </w:rPr>
        <w:t>中标结果通知书</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u w:val="single"/>
        </w:rPr>
        <w:t xml:space="preserve">                     </w:t>
      </w:r>
      <w:r>
        <w:rPr>
          <w:rFonts w:ascii="Times New Roman" w:hAnsi="Times New Roman"/>
        </w:rPr>
        <w:t>（未中标人名称）：</w:t>
      </w:r>
    </w:p>
    <w:p>
      <w:pPr>
        <w:spacing w:line="440" w:lineRule="exact"/>
        <w:rPr>
          <w:rFonts w:ascii="Times New Roman" w:hAnsi="Times New Roman"/>
        </w:rPr>
      </w:pPr>
    </w:p>
    <w:p>
      <w:pPr>
        <w:spacing w:line="440" w:lineRule="exact"/>
        <w:ind w:firstLine="420"/>
        <w:rPr>
          <w:rFonts w:ascii="Times New Roman" w:hAnsi="Times New Roman"/>
        </w:rPr>
      </w:pPr>
      <w:r>
        <w:rPr>
          <w:rFonts w:ascii="Times New Roman" w:hAnsi="Times New Roman"/>
        </w:rPr>
        <w:t>我方已接受</w:t>
      </w:r>
      <w:r>
        <w:rPr>
          <w:rFonts w:ascii="Times New Roman" w:hAnsi="Times New Roman"/>
          <w:u w:val="single"/>
        </w:rPr>
        <w:t xml:space="preserve">          </w:t>
      </w:r>
      <w:r>
        <w:rPr>
          <w:rFonts w:ascii="Times New Roman" w:hAnsi="Times New Roman"/>
        </w:rPr>
        <w:t>（中标人名称）于</w:t>
      </w:r>
      <w:r>
        <w:rPr>
          <w:rFonts w:ascii="Times New Roman" w:hAnsi="Times New Roman"/>
          <w:u w:val="single"/>
        </w:rPr>
        <w:t xml:space="preserve">        </w:t>
      </w:r>
      <w:r>
        <w:rPr>
          <w:rFonts w:ascii="Times New Roman" w:hAnsi="Times New Roman"/>
        </w:rPr>
        <w:t>（投标日期）所递交的</w:t>
      </w:r>
      <w:r>
        <w:rPr>
          <w:rFonts w:ascii="Times New Roman" w:hAnsi="Times New Roman"/>
          <w:u w:val="single"/>
        </w:rPr>
        <w:t xml:space="preserve">               </w:t>
      </w:r>
      <w:r>
        <w:rPr>
          <w:rFonts w:ascii="Times New Roman" w:hAnsi="Times New Roman"/>
        </w:rPr>
        <w:t>（</w:t>
      </w:r>
      <w:r>
        <w:rPr>
          <w:rFonts w:hint="eastAsia" w:ascii="Times New Roman" w:hAnsi="Times New Roman"/>
        </w:rPr>
        <w:t>招标</w:t>
      </w:r>
      <w:r>
        <w:rPr>
          <w:rFonts w:ascii="Times New Roman" w:hAnsi="Times New Roman"/>
        </w:rPr>
        <w:t>项目名称）的投标文件，确定</w:t>
      </w:r>
      <w:r>
        <w:rPr>
          <w:rFonts w:ascii="Times New Roman" w:hAnsi="Times New Roman"/>
          <w:u w:val="single"/>
        </w:rPr>
        <w:t xml:space="preserve">                     </w:t>
      </w:r>
      <w:r>
        <w:rPr>
          <w:rFonts w:ascii="Times New Roman" w:hAnsi="Times New Roman"/>
        </w:rPr>
        <w:t>（中标人名称）为中标人。</w:t>
      </w:r>
    </w:p>
    <w:p>
      <w:pPr>
        <w:spacing w:line="440" w:lineRule="exact"/>
        <w:rPr>
          <w:rFonts w:ascii="Times New Roman" w:hAnsi="Times New Roman"/>
        </w:rPr>
      </w:pPr>
      <w:r>
        <w:rPr>
          <w:rFonts w:ascii="Times New Roman" w:hAnsi="Times New Roman"/>
        </w:rPr>
        <w:t>　　感谢你单位对招标项目的参与！</w:t>
      </w: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ind w:firstLine="3045" w:firstLineChars="1450"/>
        <w:rPr>
          <w:rFonts w:ascii="Times New Roman" w:hAnsi="Times New Roman"/>
        </w:rPr>
      </w:pPr>
      <w:r>
        <w:rPr>
          <w:rFonts w:ascii="Times New Roman" w:hAnsi="Times New Roman"/>
        </w:rPr>
        <w:t>招标人：</w:t>
      </w:r>
      <w:r>
        <w:rPr>
          <w:rFonts w:ascii="Times New Roman" w:hAnsi="Times New Roman" w:eastAsia="黑体"/>
          <w:sz w:val="28"/>
          <w:u w:val="single"/>
        </w:rPr>
        <w:t xml:space="preserve">               </w:t>
      </w:r>
      <w:r>
        <w:rPr>
          <w:rFonts w:ascii="Times New Roman" w:hAnsi="Times New Roman"/>
        </w:rPr>
        <w:t>（盖单位章）</w:t>
      </w:r>
    </w:p>
    <w:p>
      <w:pPr>
        <w:spacing w:line="440" w:lineRule="exact"/>
        <w:rPr>
          <w:rFonts w:ascii="Times New Roman" w:hAnsi="Times New Roman"/>
        </w:rPr>
      </w:pPr>
    </w:p>
    <w:p>
      <w:pPr>
        <w:spacing w:line="440" w:lineRule="exact"/>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br w:type="page"/>
      </w:r>
    </w:p>
    <w:p>
      <w:pPr>
        <w:pStyle w:val="8"/>
        <w:spacing w:line="440" w:lineRule="exact"/>
        <w:jc w:val="center"/>
      </w:pPr>
      <w:bookmarkStart w:id="374" w:name="_Toc21294"/>
      <w:r>
        <w:rPr>
          <w:rFonts w:hint="eastAsia"/>
        </w:rPr>
        <w:t>第三章评标办法（综合评估法）</w:t>
      </w:r>
      <w:bookmarkEnd w:id="374"/>
    </w:p>
    <w:p>
      <w:pPr>
        <w:pStyle w:val="9"/>
        <w:spacing w:line="440" w:lineRule="exact"/>
        <w:rPr>
          <w:rFonts w:ascii="Times New Roman" w:hAnsi="Times New Roman"/>
        </w:rPr>
      </w:pPr>
      <w:bookmarkStart w:id="375" w:name="_Toc25740"/>
      <w:r>
        <w:rPr>
          <w:rFonts w:hint="eastAsia" w:ascii="Times New Roman" w:hAnsi="Times New Roman"/>
        </w:rPr>
        <w:t>评标办法前附表</w:t>
      </w:r>
      <w:bookmarkEnd w:id="375"/>
    </w:p>
    <w:tbl>
      <w:tblPr>
        <w:tblStyle w:val="41"/>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75"/>
        <w:gridCol w:w="950"/>
        <w:gridCol w:w="174"/>
        <w:gridCol w:w="974"/>
        <w:gridCol w:w="433"/>
        <w:gridCol w:w="4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4"/>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评审因素</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1</w:t>
            </w:r>
            <w:r>
              <w:rPr>
                <w:rFonts w:hint="eastAsia" w:ascii="Times New Roman" w:hAnsi="Times New Roman"/>
              </w:rPr>
              <w:t>.1.1</w:t>
            </w:r>
          </w:p>
        </w:tc>
        <w:tc>
          <w:tcPr>
            <w:tcW w:w="112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评标方法</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中标候选人排序方法</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综合评分相等时，以投标报价低的优先；投标报价也相等的</w:t>
            </w:r>
            <w:r>
              <w:rPr>
                <w:rFonts w:hint="eastAsia" w:ascii="Times New Roman" w:hAnsi="Times New Roman"/>
              </w:rPr>
              <w:t>，以技术</w:t>
            </w:r>
            <w:r>
              <w:rPr>
                <w:rFonts w:ascii="Times New Roman" w:hAnsi="Times New Roman"/>
              </w:rPr>
              <w:t>得分高的优先</w:t>
            </w:r>
            <w:r>
              <w:rPr>
                <w:rFonts w:hint="eastAsia" w:ascii="Times New Roman" w:hAnsi="Times New Roman"/>
              </w:rPr>
              <w:t>，</w:t>
            </w:r>
            <w:r>
              <w:rPr>
                <w:rFonts w:ascii="Times New Roman" w:hAnsi="Times New Roman"/>
              </w:rPr>
              <w:t>如果</w:t>
            </w:r>
            <w:r>
              <w:rPr>
                <w:rFonts w:hint="eastAsia" w:ascii="Times New Roman" w:hAnsi="Times New Roman"/>
              </w:rPr>
              <w:t>技术</w:t>
            </w:r>
            <w:r>
              <w:rPr>
                <w:rFonts w:ascii="Times New Roman" w:hAnsi="Times New Roman"/>
              </w:rPr>
              <w:t>得分也相</w:t>
            </w:r>
            <w:r>
              <w:rPr>
                <w:rFonts w:hint="eastAsia" w:ascii="Times New Roman" w:hAnsi="Times New Roman"/>
              </w:rPr>
              <w:t>等，由评标委员会以记名形式投票确定排序的先后（按少数服从多数原则）。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900" w:type="dxa"/>
            <w:gridSpan w:val="2"/>
            <w:vMerge w:val="restart"/>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2.1.1</w:t>
            </w:r>
          </w:p>
        </w:tc>
        <w:tc>
          <w:tcPr>
            <w:tcW w:w="1124" w:type="dxa"/>
            <w:gridSpan w:val="2"/>
            <w:vMerge w:val="restart"/>
            <w:tcBorders>
              <w:top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w:t>
            </w:r>
            <w:r>
              <w:rPr>
                <w:rFonts w:ascii="Times New Roman" w:hAnsi="Times New Roman"/>
              </w:rPr>
              <w:t>形式评审标准</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投标人名称</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投标函</w:t>
            </w:r>
            <w:r>
              <w:rPr>
                <w:rFonts w:hint="eastAsia" w:ascii="Times New Roman" w:hAnsi="Times New Roman"/>
              </w:rPr>
              <w:t>及投标函附录</w:t>
            </w:r>
            <w:r>
              <w:rPr>
                <w:rFonts w:ascii="Times New Roman" w:hAnsi="Times New Roman"/>
              </w:rPr>
              <w:t>签字盖章</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有法定代表人</w:t>
            </w:r>
            <w:bookmarkStart w:id="376" w:name="_Toc247527609"/>
            <w:bookmarkStart w:id="377" w:name="_Toc144974551"/>
            <w:bookmarkStart w:id="378" w:name="_Toc361508643"/>
            <w:bookmarkStart w:id="379" w:name="_Toc352691530"/>
            <w:bookmarkStart w:id="380" w:name="_Toc369531574"/>
            <w:bookmarkStart w:id="381" w:name="_Toc300835005"/>
            <w:bookmarkStart w:id="382" w:name="_Toc6546"/>
            <w:bookmarkStart w:id="383" w:name="_Toc384308269"/>
            <w:bookmarkStart w:id="384" w:name="_Toc152045584"/>
            <w:bookmarkStart w:id="385" w:name="_Toc152042361"/>
            <w:bookmarkStart w:id="386" w:name="_Toc247514008"/>
            <w:r>
              <w:rPr>
                <w:rFonts w:ascii="Times New Roman" w:hAnsi="Times New Roman"/>
              </w:rPr>
              <w:t>或其委托</w:t>
            </w:r>
            <w:bookmarkEnd w:id="376"/>
            <w:bookmarkEnd w:id="377"/>
            <w:bookmarkEnd w:id="378"/>
            <w:bookmarkEnd w:id="379"/>
            <w:bookmarkEnd w:id="380"/>
            <w:bookmarkEnd w:id="381"/>
            <w:bookmarkEnd w:id="382"/>
            <w:bookmarkEnd w:id="383"/>
            <w:bookmarkEnd w:id="384"/>
            <w:bookmarkEnd w:id="385"/>
            <w:bookmarkEnd w:id="386"/>
            <w:r>
              <w:rPr>
                <w:rFonts w:ascii="Times New Roman" w:hAnsi="Times New Roman"/>
              </w:rPr>
              <w:t>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nil"/>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备选投标方案</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restart"/>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2.1.2</w:t>
            </w:r>
          </w:p>
        </w:tc>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※资格评审标准</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营业执照和组织机构代码证</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符合第二章“投标人须知”第3.5项规定，具备有效的营业执照和组织机构代码证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资质要求</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信誉要求</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项目负责人</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其他要求</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不存在禁止投标的情形</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ascii="Times New Roman" w:hAnsi="Times New Roma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restart"/>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2.1.3</w:t>
            </w:r>
          </w:p>
        </w:tc>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w:t>
            </w:r>
            <w:r>
              <w:rPr>
                <w:rFonts w:ascii="Times New Roman" w:hAnsi="Times New Roman"/>
              </w:rPr>
              <w:t>响应性评审标准</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投标报价</w:t>
            </w:r>
          </w:p>
        </w:tc>
        <w:tc>
          <w:tcPr>
            <w:tcW w:w="4820" w:type="dxa"/>
            <w:tcBorders>
              <w:top w:val="single" w:color="auto" w:sz="4" w:space="0"/>
              <w:left w:val="single" w:color="auto" w:sz="4" w:space="0"/>
              <w:bottom w:val="single" w:color="auto" w:sz="4" w:space="0"/>
            </w:tcBorders>
            <w:vAlign w:val="center"/>
          </w:tcPr>
          <w:p>
            <w:pPr>
              <w:spacing w:line="440" w:lineRule="exact"/>
              <w:rPr>
                <w:rFonts w:ascii="Times New Roman" w:hAnsi="Times New Roman"/>
              </w:rPr>
            </w:pPr>
            <w:r>
              <w:rPr>
                <w:rFonts w:ascii="Times New Roman" w:hAnsi="Times New Roma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投标内容</w:t>
            </w:r>
          </w:p>
        </w:tc>
        <w:tc>
          <w:tcPr>
            <w:tcW w:w="4820"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rPr>
            </w:pPr>
            <w:r>
              <w:rPr>
                <w:rFonts w:ascii="Times New Roman" w:hAnsi="Times New Roma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服务期限</w:t>
            </w:r>
          </w:p>
        </w:tc>
        <w:tc>
          <w:tcPr>
            <w:tcW w:w="4820"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rPr>
            </w:pPr>
            <w:r>
              <w:rPr>
                <w:rFonts w:ascii="Times New Roman" w:hAnsi="Times New Roma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hint="eastAsia" w:ascii="Times New Roman" w:hAnsi="Times New Roman"/>
              </w:rPr>
              <w:t>质量标准</w:t>
            </w:r>
          </w:p>
        </w:tc>
        <w:tc>
          <w:tcPr>
            <w:tcW w:w="4820"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rPr>
            </w:pPr>
            <w:r>
              <w:rPr>
                <w:rFonts w:ascii="Times New Roman" w:hAnsi="Times New Roman"/>
              </w:rPr>
              <w:t>符合第二章“投标人须知”第1.3.</w:t>
            </w:r>
            <w:r>
              <w:rPr>
                <w:rFonts w:hint="eastAsia" w:ascii="Times New Roman" w:hAnsi="Times New Roman"/>
              </w:rPr>
              <w:t>3</w:t>
            </w:r>
            <w:r>
              <w:rPr>
                <w:rFonts w:ascii="Times New Roman" w:hAnsi="Times New Roma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rPr>
            </w:pPr>
            <w:r>
              <w:rPr>
                <w:rFonts w:ascii="Times New Roman" w:hAnsi="Times New Roman"/>
              </w:rPr>
              <w:t>投标有效期</w:t>
            </w:r>
          </w:p>
        </w:tc>
        <w:tc>
          <w:tcPr>
            <w:tcW w:w="4820"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ascii="Times New Roman" w:hAnsi="Times New Roma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rPr>
            </w:pPr>
            <w:r>
              <w:rPr>
                <w:rFonts w:ascii="Times New Roman" w:hAnsi="Times New Roman"/>
              </w:rPr>
              <w:t>投标保证金</w:t>
            </w:r>
          </w:p>
        </w:tc>
        <w:tc>
          <w:tcPr>
            <w:tcW w:w="4820"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ascii="Times New Roman" w:hAnsi="Times New Roman"/>
              </w:rPr>
              <w:t>符合第二章“投标人须知”第3.4</w:t>
            </w:r>
            <w:r>
              <w:rPr>
                <w:rFonts w:hint="eastAsia" w:ascii="Times New Roman" w:hAnsi="Times New Roman"/>
              </w:rPr>
              <w:t>.1项</w:t>
            </w:r>
            <w:r>
              <w:rPr>
                <w:rFonts w:ascii="Times New Roman" w:hAnsi="Times New Roma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rPr>
            </w:pPr>
            <w:r>
              <w:rPr>
                <w:rFonts w:ascii="Times New Roman" w:hAnsi="Times New Roman"/>
              </w:rPr>
              <w:t>权利义务</w:t>
            </w:r>
          </w:p>
        </w:tc>
        <w:tc>
          <w:tcPr>
            <w:tcW w:w="4820"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ascii="Times New Roman" w:hAnsi="Times New Roman"/>
              </w:rPr>
              <w:t>符合第二章“投标人须知”</w:t>
            </w:r>
            <w:r>
              <w:rPr>
                <w:rFonts w:hint="eastAsia" w:ascii="Times New Roman" w:hAnsi="Times New Roman"/>
              </w:rPr>
              <w:t>第1.12.1项规定和</w:t>
            </w:r>
            <w:r>
              <w:rPr>
                <w:rFonts w:ascii="Times New Roman" w:hAnsi="Times New Roman"/>
              </w:rPr>
              <w:t>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900" w:type="dxa"/>
            <w:gridSpan w:val="2"/>
            <w:vMerge w:val="continue"/>
            <w:tcBorders>
              <w:top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p>
        </w:tc>
        <w:tc>
          <w:tcPr>
            <w:tcW w:w="140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rPr>
            </w:pPr>
            <w:r>
              <w:rPr>
                <w:rFonts w:hint="eastAsia" w:ascii="Times New Roman" w:hAnsi="Times New Roman"/>
              </w:rPr>
              <w:t>实质性响应</w:t>
            </w:r>
          </w:p>
        </w:tc>
        <w:tc>
          <w:tcPr>
            <w:tcW w:w="4820" w:type="dxa"/>
            <w:tcBorders>
              <w:top w:val="single" w:color="auto" w:sz="4" w:space="0"/>
              <w:left w:val="single" w:color="auto" w:sz="4" w:space="0"/>
              <w:bottom w:val="single" w:color="auto" w:sz="4" w:space="0"/>
            </w:tcBorders>
          </w:tcPr>
          <w:p>
            <w:pPr>
              <w:spacing w:line="440" w:lineRule="exact"/>
              <w:rPr>
                <w:rFonts w:ascii="Times New Roman" w:hAnsi="Times New Roman"/>
              </w:rPr>
            </w:pPr>
            <w:r>
              <w:rPr>
                <w:rFonts w:ascii="Times New Roman" w:hAnsi="Times New Roman"/>
              </w:rPr>
              <w:t>符合第五章“发包人要求”中的实质性要求和条件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4"/>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条款号</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条款内容</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rPr>
            </w:pPr>
            <w:r>
              <w:rPr>
                <w:rFonts w:ascii="Times New Roman" w:hAnsi="Times New Roman"/>
                <w:b/>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4"/>
            <w:tcBorders>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2.2.1</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分值构成</w:t>
            </w:r>
          </w:p>
          <w:p>
            <w:pPr>
              <w:spacing w:line="440" w:lineRule="exact"/>
              <w:jc w:val="center"/>
              <w:rPr>
                <w:rFonts w:ascii="Times New Roman" w:hAnsi="Times New Roman"/>
              </w:rPr>
            </w:pPr>
            <w:r>
              <w:rPr>
                <w:rFonts w:ascii="Times New Roman" w:hAnsi="Times New Roman"/>
              </w:rPr>
              <w:t>(总分100分)</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商务部分：</w:t>
            </w:r>
            <w:r>
              <w:rPr>
                <w:rFonts w:hint="eastAsia" w:ascii="Times New Roman" w:hAnsi="Times New Roman"/>
                <w:u w:val="single"/>
              </w:rPr>
              <w:t>25</w:t>
            </w:r>
            <w:r>
              <w:rPr>
                <w:rFonts w:hint="eastAsia" w:ascii="Times New Roman" w:hAnsi="Times New Roman"/>
              </w:rPr>
              <w:t>分</w:t>
            </w:r>
          </w:p>
          <w:p>
            <w:pPr>
              <w:spacing w:line="440" w:lineRule="exact"/>
              <w:rPr>
                <w:rFonts w:ascii="Times New Roman" w:hAnsi="Times New Roman"/>
              </w:rPr>
            </w:pPr>
            <w:r>
              <w:rPr>
                <w:rFonts w:hint="eastAsia" w:ascii="Times New Roman" w:hAnsi="Times New Roman"/>
              </w:rPr>
              <w:t>技术部分：</w:t>
            </w:r>
            <w:r>
              <w:rPr>
                <w:rFonts w:hint="eastAsia" w:ascii="Times New Roman" w:hAnsi="Times New Roman"/>
                <w:u w:val="single"/>
              </w:rPr>
              <w:t>35</w:t>
            </w:r>
            <w:r>
              <w:rPr>
                <w:rFonts w:hint="eastAsia" w:ascii="Times New Roman" w:hAnsi="Times New Roman"/>
              </w:rPr>
              <w:t>分</w:t>
            </w:r>
          </w:p>
          <w:p>
            <w:pPr>
              <w:spacing w:line="440" w:lineRule="exact"/>
              <w:rPr>
                <w:rFonts w:ascii="Times New Roman" w:hAnsi="Times New Roman"/>
              </w:rPr>
            </w:pPr>
            <w:r>
              <w:rPr>
                <w:rFonts w:hint="eastAsia" w:ascii="Times New Roman" w:hAnsi="Times New Roman"/>
              </w:rPr>
              <w:t>投标报价：</w:t>
            </w:r>
            <w:r>
              <w:rPr>
                <w:rFonts w:hint="eastAsia" w:ascii="Times New Roman" w:hAnsi="Times New Roman"/>
                <w:u w:val="single"/>
              </w:rPr>
              <w:t>4</w:t>
            </w:r>
            <w:r>
              <w:rPr>
                <w:rFonts w:ascii="Times New Roman" w:hAnsi="Times New Roman"/>
                <w:u w:val="single"/>
              </w:rPr>
              <w:t>0</w:t>
            </w:r>
            <w:r>
              <w:rPr>
                <w:rFonts w:hint="eastAsia" w:ascii="Times New Roman" w:hAnsi="Times New Roma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4"/>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2.2.2</w:t>
            </w:r>
          </w:p>
        </w:tc>
        <w:tc>
          <w:tcPr>
            <w:tcW w:w="140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评标基准价计算方法</w:t>
            </w:r>
          </w:p>
        </w:tc>
        <w:tc>
          <w:tcPr>
            <w:tcW w:w="482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w:t>
            </w:r>
            <w:r>
              <w:rPr>
                <w:rFonts w:ascii="Times New Roman" w:hAnsi="Times New Roman"/>
              </w:rPr>
              <w:t>投标报价评分标准</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4"/>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2.2.3</w:t>
            </w:r>
          </w:p>
        </w:tc>
        <w:tc>
          <w:tcPr>
            <w:tcW w:w="1407" w:type="dxa"/>
            <w:gridSpan w:val="2"/>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rPr>
            </w:pPr>
            <w:r>
              <w:rPr>
                <w:rFonts w:ascii="Times New Roman" w:hAnsi="Times New Roman"/>
              </w:rPr>
              <w:t>投标报价的偏差率</w:t>
            </w:r>
          </w:p>
          <w:p>
            <w:pPr>
              <w:spacing w:line="440" w:lineRule="exact"/>
              <w:jc w:val="center"/>
              <w:rPr>
                <w:rFonts w:ascii="Times New Roman" w:hAnsi="Times New Roman"/>
              </w:rPr>
            </w:pPr>
            <w:r>
              <w:rPr>
                <w:rFonts w:ascii="Times New Roman" w:hAnsi="Times New Roman"/>
              </w:rPr>
              <w:t>计算公式</w:t>
            </w:r>
          </w:p>
        </w:tc>
        <w:tc>
          <w:tcPr>
            <w:tcW w:w="4820" w:type="dxa"/>
            <w:tcBorders>
              <w:top w:val="single" w:color="auto" w:sz="4" w:space="0"/>
              <w:left w:val="single" w:color="auto" w:sz="4" w:space="0"/>
              <w:right w:val="single" w:color="auto" w:sz="4" w:space="0"/>
            </w:tcBorders>
            <w:vAlign w:val="center"/>
          </w:tcPr>
          <w:p>
            <w:pPr>
              <w:spacing w:line="440" w:lineRule="exact"/>
              <w:rPr>
                <w:rFonts w:ascii="Times New Roman" w:hAnsi="Times New Roman"/>
              </w:rPr>
            </w:pPr>
            <w:r>
              <w:rPr>
                <w:rFonts w:hint="eastAsia" w:ascii="Times New Roman" w:hAnsi="Times New Roman"/>
              </w:rPr>
              <w:t>见</w:t>
            </w:r>
            <w:r>
              <w:rPr>
                <w:rFonts w:ascii="Times New Roman" w:hAnsi="Times New Roman"/>
              </w:rPr>
              <w:t>投标报价评分标准</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gridSpan w:val="3"/>
            <w:vAlign w:val="center"/>
          </w:tcPr>
          <w:p>
            <w:pPr>
              <w:spacing w:line="440" w:lineRule="exact"/>
              <w:jc w:val="center"/>
              <w:rPr>
                <w:rFonts w:ascii="Times New Roman" w:hAnsi="Times New Roman"/>
                <w:b/>
              </w:rPr>
            </w:pPr>
            <w:r>
              <w:rPr>
                <w:rFonts w:ascii="Times New Roman" w:hAnsi="Times New Roman"/>
                <w:b/>
              </w:rPr>
              <w:t>条款号</w:t>
            </w:r>
          </w:p>
        </w:tc>
        <w:tc>
          <w:tcPr>
            <w:tcW w:w="1148" w:type="dxa"/>
            <w:gridSpan w:val="2"/>
            <w:vAlign w:val="center"/>
          </w:tcPr>
          <w:p>
            <w:pPr>
              <w:spacing w:line="440" w:lineRule="exact"/>
              <w:jc w:val="center"/>
              <w:rPr>
                <w:rFonts w:ascii="Times New Roman" w:hAnsi="Times New Roman"/>
                <w:b/>
              </w:rPr>
            </w:pPr>
            <w:r>
              <w:rPr>
                <w:rFonts w:ascii="Times New Roman" w:hAnsi="Times New Roman"/>
                <w:b/>
              </w:rPr>
              <w:t>评分因素</w:t>
            </w:r>
          </w:p>
        </w:tc>
        <w:tc>
          <w:tcPr>
            <w:tcW w:w="5253" w:type="dxa"/>
            <w:gridSpan w:val="2"/>
            <w:vAlign w:val="center"/>
          </w:tcPr>
          <w:p>
            <w:pPr>
              <w:spacing w:line="440" w:lineRule="exact"/>
              <w:jc w:val="center"/>
              <w:rPr>
                <w:rFonts w:ascii="Times New Roman" w:hAnsi="Times New Roman"/>
                <w:b/>
              </w:rPr>
            </w:pPr>
            <w:r>
              <w:rPr>
                <w:rFonts w:ascii="Times New Roman" w:hAnsi="Times New Roman"/>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825" w:type="dxa"/>
            <w:vMerge w:val="restart"/>
            <w:vAlign w:val="center"/>
          </w:tcPr>
          <w:p>
            <w:pPr>
              <w:spacing w:line="440" w:lineRule="exact"/>
              <w:jc w:val="center"/>
              <w:rPr>
                <w:rFonts w:ascii="Times New Roman" w:hAnsi="Times New Roman"/>
              </w:rPr>
            </w:pPr>
            <w:r>
              <w:rPr>
                <w:rFonts w:ascii="Times New Roman" w:hAnsi="Times New Roman"/>
              </w:rPr>
              <w:t>2.2.4（1）</w:t>
            </w:r>
          </w:p>
        </w:tc>
        <w:tc>
          <w:tcPr>
            <w:tcW w:w="1025" w:type="dxa"/>
            <w:gridSpan w:val="2"/>
            <w:vMerge w:val="restart"/>
            <w:vAlign w:val="center"/>
          </w:tcPr>
          <w:p>
            <w:pPr>
              <w:spacing w:line="440" w:lineRule="exact"/>
              <w:jc w:val="center"/>
              <w:rPr>
                <w:rFonts w:ascii="Times New Roman" w:hAnsi="Times New Roman"/>
                <w:bCs/>
              </w:rPr>
            </w:pPr>
            <w:r>
              <w:rPr>
                <w:rFonts w:hint="eastAsia" w:ascii="Times New Roman" w:hAnsi="Times New Roman"/>
                <w:bCs/>
              </w:rPr>
              <w:t>商务部分</w:t>
            </w:r>
            <w:r>
              <w:rPr>
                <w:rFonts w:ascii="Times New Roman" w:hAnsi="Times New Roman"/>
                <w:bCs/>
              </w:rPr>
              <w:t>评分标准</w:t>
            </w:r>
          </w:p>
          <w:p>
            <w:pPr>
              <w:spacing w:line="440" w:lineRule="exact"/>
              <w:jc w:val="center"/>
              <w:rPr>
                <w:rFonts w:ascii="Times New Roman" w:hAnsi="Times New Roman"/>
                <w:bCs/>
              </w:rPr>
            </w:pPr>
            <w:r>
              <w:rPr>
                <w:rFonts w:hint="eastAsia" w:ascii="Times New Roman" w:hAnsi="Times New Roman"/>
                <w:bCs/>
              </w:rPr>
              <w:t>（25分）</w:t>
            </w:r>
          </w:p>
        </w:tc>
        <w:tc>
          <w:tcPr>
            <w:tcW w:w="1148" w:type="dxa"/>
            <w:gridSpan w:val="2"/>
            <w:vAlign w:val="center"/>
          </w:tcPr>
          <w:p>
            <w:pPr>
              <w:widowControl/>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投标人资质</w:t>
            </w:r>
          </w:p>
          <w:p>
            <w:pPr>
              <w:widowControl/>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（3.5分）</w:t>
            </w:r>
          </w:p>
        </w:tc>
        <w:tc>
          <w:tcPr>
            <w:tcW w:w="5253" w:type="dxa"/>
            <w:gridSpan w:val="2"/>
            <w:vAlign w:val="center"/>
          </w:tcPr>
          <w:p>
            <w:pPr>
              <w:spacing w:line="440" w:lineRule="exact"/>
              <w:jc w:val="left"/>
              <w:rPr>
                <w:rStyle w:val="98"/>
                <w:rFonts w:cs="华文细黑" w:asciiTheme="minorEastAsia" w:hAnsiTheme="minorEastAsia" w:eastAsiaTheme="minorEastAsia"/>
                <w:bCs/>
                <w:szCs w:val="21"/>
              </w:rPr>
            </w:pPr>
            <w:bookmarkStart w:id="387" w:name="_Toc247514010"/>
            <w:bookmarkStart w:id="388" w:name="_Toc300835007"/>
            <w:bookmarkStart w:id="389" w:name="_Toc152045586"/>
            <w:bookmarkStart w:id="390" w:name="_Toc247527611"/>
            <w:bookmarkStart w:id="391" w:name="_Toc361508645"/>
            <w:bookmarkStart w:id="392" w:name="_Toc384308271"/>
            <w:bookmarkStart w:id="393" w:name="_Toc12369"/>
            <w:bookmarkStart w:id="394" w:name="_Toc144974553"/>
            <w:bookmarkStart w:id="395" w:name="_Toc152042363"/>
            <w:bookmarkStart w:id="396" w:name="_Toc352691532"/>
            <w:bookmarkStart w:id="397" w:name="_Toc369531576"/>
            <w:r>
              <w:rPr>
                <w:rStyle w:val="98"/>
                <w:rFonts w:hint="eastAsia" w:cs="华文细黑" w:asciiTheme="minorEastAsia" w:hAnsiTheme="minorEastAsia" w:eastAsiaTheme="minorEastAsia"/>
                <w:bCs/>
                <w:szCs w:val="21"/>
              </w:rPr>
              <w:t>投标人每具有以下1项有效的证书得0.5分，本项最高得3.5分：</w:t>
            </w:r>
          </w:p>
          <w:p>
            <w:pPr>
              <w:spacing w:line="440" w:lineRule="exact"/>
              <w:jc w:val="left"/>
              <w:rPr>
                <w:rStyle w:val="98"/>
                <w:rFonts w:cs="华文细黑" w:asciiTheme="minorEastAsia" w:hAnsiTheme="minorEastAsia" w:eastAsiaTheme="minorEastAsia"/>
                <w:bCs/>
                <w:szCs w:val="21"/>
              </w:rPr>
            </w:pPr>
            <w:r>
              <w:rPr>
                <w:rStyle w:val="98"/>
                <w:rFonts w:hint="eastAsia" w:cs="华文细黑" w:asciiTheme="minorEastAsia" w:hAnsiTheme="minorEastAsia" w:eastAsiaTheme="minorEastAsia"/>
                <w:bCs/>
                <w:szCs w:val="21"/>
              </w:rPr>
              <w:t>高新技术企业证书、知识产权管理体系认证证书、质量管理体系认证证书、环境管理体系认证证书、职业健康安全管理体系认证证书、信息系统建设和服务能力CS2级及以上证书、信息安全管理体系认证证书。</w:t>
            </w:r>
          </w:p>
          <w:p>
            <w:pPr>
              <w:spacing w:line="440" w:lineRule="exact"/>
              <w:jc w:val="left"/>
              <w:rPr>
                <w:rStyle w:val="98"/>
                <w:rFonts w:cs="华文细黑" w:asciiTheme="minorEastAsia" w:hAnsiTheme="minorEastAsia" w:eastAsiaTheme="minorEastAsia"/>
                <w:bCs/>
                <w:szCs w:val="21"/>
              </w:rPr>
            </w:pPr>
          </w:p>
          <w:p>
            <w:pPr>
              <w:spacing w:line="440" w:lineRule="exact"/>
              <w:jc w:val="left"/>
              <w:rPr>
                <w:rFonts w:asciiTheme="minorEastAsia" w:hAnsiTheme="minorEastAsia" w:eastAsiaTheme="minorEastAsia"/>
                <w:bCs/>
                <w:szCs w:val="21"/>
              </w:rPr>
            </w:pPr>
            <w:r>
              <w:rPr>
                <w:rStyle w:val="98"/>
                <w:rFonts w:hint="eastAsia" w:cs="华文细黑" w:asciiTheme="minorEastAsia" w:hAnsiTheme="minorEastAsia" w:eastAsiaTheme="minorEastAsia"/>
                <w:bCs/>
                <w:szCs w:val="21"/>
              </w:rPr>
              <w:t>注：需提供证明材料复印件并加盖公章，否则不得分。</w:t>
            </w:r>
          </w:p>
        </w:tc>
      </w:tr>
      <w:bookmarkEnd w:id="387"/>
      <w:bookmarkEnd w:id="388"/>
      <w:bookmarkEnd w:id="389"/>
      <w:bookmarkEnd w:id="390"/>
      <w:bookmarkEnd w:id="391"/>
      <w:bookmarkEnd w:id="392"/>
      <w:bookmarkEnd w:id="393"/>
      <w:bookmarkEnd w:id="394"/>
      <w:bookmarkEnd w:id="395"/>
      <w:bookmarkEnd w:id="396"/>
      <w:bookmarkEnd w:id="3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1" w:hRule="atLeast"/>
        </w:trPr>
        <w:tc>
          <w:tcPr>
            <w:tcW w:w="825" w:type="dxa"/>
            <w:vMerge w:val="continue"/>
          </w:tcPr>
          <w:p>
            <w:pPr>
              <w:spacing w:line="440" w:lineRule="exact"/>
              <w:rPr>
                <w:rFonts w:ascii="Times New Roman" w:hAnsi="Times New Roman"/>
              </w:rPr>
            </w:pPr>
          </w:p>
        </w:tc>
        <w:tc>
          <w:tcPr>
            <w:tcW w:w="1025" w:type="dxa"/>
            <w:gridSpan w:val="2"/>
            <w:vMerge w:val="continue"/>
          </w:tcPr>
          <w:p>
            <w:pPr>
              <w:spacing w:line="440" w:lineRule="exact"/>
              <w:rPr>
                <w:rFonts w:ascii="Times New Roman" w:hAnsi="Times New Roman"/>
                <w:bCs/>
              </w:rPr>
            </w:pPr>
          </w:p>
        </w:tc>
        <w:tc>
          <w:tcPr>
            <w:tcW w:w="1148" w:type="dxa"/>
            <w:gridSpan w:val="2"/>
            <w:vAlign w:val="center"/>
          </w:tcPr>
          <w:p>
            <w:pPr>
              <w:widowControl/>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投标人研发能力（7.5分）</w:t>
            </w:r>
          </w:p>
        </w:tc>
        <w:tc>
          <w:tcPr>
            <w:tcW w:w="5253" w:type="dxa"/>
            <w:gridSpan w:val="2"/>
            <w:vAlign w:val="center"/>
          </w:tcPr>
          <w:p>
            <w:pPr>
              <w:spacing w:line="4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1.投标人每具有1项可应用于港口信息化或计算机相关的发明专利证书得0.5分，最高2分。</w:t>
            </w:r>
          </w:p>
          <w:p>
            <w:pPr>
              <w:spacing w:line="4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2.投标人具有散杂货码头操作管理系统软件产品证书得2分。</w:t>
            </w:r>
          </w:p>
          <w:p>
            <w:pPr>
              <w:spacing w:line="4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3.投标人每具有1项散杂货管理系统类软件著作权证书（含“散杂货”或“散货”或“散装货物”等关键字）得0.5分，最高得3.5分。</w:t>
            </w:r>
          </w:p>
          <w:p>
            <w:pPr>
              <w:spacing w:line="44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注：需提供证明材料复印件并加盖公章，否则不得分。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6" w:hRule="atLeast"/>
        </w:trPr>
        <w:tc>
          <w:tcPr>
            <w:tcW w:w="825" w:type="dxa"/>
            <w:vMerge w:val="continue"/>
          </w:tcPr>
          <w:p>
            <w:pPr>
              <w:spacing w:line="440" w:lineRule="exact"/>
              <w:rPr>
                <w:rFonts w:ascii="Times New Roman" w:hAnsi="Times New Roman"/>
              </w:rPr>
            </w:pPr>
          </w:p>
        </w:tc>
        <w:tc>
          <w:tcPr>
            <w:tcW w:w="1025" w:type="dxa"/>
            <w:gridSpan w:val="2"/>
            <w:vMerge w:val="continue"/>
          </w:tcPr>
          <w:p>
            <w:pPr>
              <w:spacing w:line="440" w:lineRule="exact"/>
              <w:rPr>
                <w:rFonts w:ascii="Times New Roman" w:hAnsi="Times New Roman"/>
                <w:bCs/>
              </w:rPr>
            </w:pPr>
          </w:p>
        </w:tc>
        <w:tc>
          <w:tcPr>
            <w:tcW w:w="1148" w:type="dxa"/>
            <w:gridSpan w:val="2"/>
            <w:vAlign w:val="center"/>
          </w:tcPr>
          <w:p>
            <w:pPr>
              <w:widowControl/>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项目业绩</w:t>
            </w:r>
          </w:p>
          <w:p>
            <w:pPr>
              <w:widowControl/>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（7分）</w:t>
            </w:r>
          </w:p>
        </w:tc>
        <w:tc>
          <w:tcPr>
            <w:tcW w:w="5253" w:type="dxa"/>
            <w:gridSpan w:val="2"/>
            <w:vAlign w:val="center"/>
          </w:tcPr>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1.自2022年1月1日起至今（以合同签订时间为准），投标人每实施过1个合同金额不少于300万元人民币的港口行业系统集成类项目得1分，最高得4分。</w:t>
            </w:r>
          </w:p>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2.自2022年1月1日起至今（以合同签订时间为准），投标人每实施过1个合同金额不少于200万元人民币的港口行业软件开发类项目得1分，最高3分。</w:t>
            </w:r>
          </w:p>
          <w:p>
            <w:pPr>
              <w:pStyle w:val="4"/>
              <w:spacing w:after="0" w:line="440" w:lineRule="exact"/>
              <w:ind w:left="0" w:leftChars="0"/>
              <w:jc w:val="left"/>
              <w:rPr>
                <w:rFonts w:asciiTheme="minorEastAsia" w:hAnsiTheme="minorEastAsia" w:eastAsiaTheme="minorEastAsia"/>
                <w:bCs/>
                <w:szCs w:val="21"/>
              </w:rPr>
            </w:pPr>
          </w:p>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注：需提供业绩合同的主页、金额页、盖章页等关键页复印件，否则不得分；单个合同只计取最高得分，不重复计分。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825" w:type="dxa"/>
            <w:vMerge w:val="continue"/>
          </w:tcPr>
          <w:p>
            <w:pPr>
              <w:spacing w:line="440" w:lineRule="exact"/>
              <w:rPr>
                <w:rFonts w:ascii="Times New Roman" w:hAnsi="Times New Roman"/>
              </w:rPr>
            </w:pPr>
          </w:p>
        </w:tc>
        <w:tc>
          <w:tcPr>
            <w:tcW w:w="1025" w:type="dxa"/>
            <w:gridSpan w:val="2"/>
            <w:vMerge w:val="continue"/>
          </w:tcPr>
          <w:p>
            <w:pPr>
              <w:spacing w:line="440" w:lineRule="exact"/>
              <w:rPr>
                <w:rFonts w:ascii="Times New Roman" w:hAnsi="Times New Roman"/>
                <w:bCs/>
              </w:rPr>
            </w:pPr>
          </w:p>
        </w:tc>
        <w:tc>
          <w:tcPr>
            <w:tcW w:w="1148" w:type="dxa"/>
            <w:gridSpan w:val="2"/>
            <w:vMerge w:val="restart"/>
            <w:vAlign w:val="center"/>
          </w:tcPr>
          <w:p>
            <w:pPr>
              <w:widowControl/>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项目团队</w:t>
            </w:r>
          </w:p>
          <w:p>
            <w:pPr>
              <w:widowControl/>
              <w:spacing w:line="4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（7分）</w:t>
            </w:r>
          </w:p>
        </w:tc>
        <w:tc>
          <w:tcPr>
            <w:tcW w:w="5253" w:type="dxa"/>
            <w:gridSpan w:val="2"/>
            <w:vAlign w:val="center"/>
          </w:tcPr>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拟委派本项目任职的项目经理每具有1项以下有效的证书得</w:t>
            </w:r>
            <w:r>
              <w:rPr>
                <w:rFonts w:asciiTheme="minorEastAsia" w:hAnsiTheme="minorEastAsia" w:eastAsiaTheme="minorEastAsia"/>
                <w:bCs/>
                <w:szCs w:val="21"/>
              </w:rPr>
              <w:t>1</w:t>
            </w:r>
            <w:r>
              <w:rPr>
                <w:rFonts w:hint="eastAsia" w:asciiTheme="minorEastAsia" w:hAnsiTheme="minorEastAsia" w:eastAsiaTheme="minorEastAsia"/>
                <w:bCs/>
                <w:szCs w:val="21"/>
              </w:rPr>
              <w:t>分，最高得2分：</w:t>
            </w:r>
          </w:p>
          <w:p>
            <w:pPr>
              <w:pStyle w:val="4"/>
              <w:numPr>
                <w:ilvl w:val="0"/>
                <w:numId w:val="2"/>
              </w:numPr>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信息系统项目管理师（高级）</w:t>
            </w:r>
          </w:p>
          <w:p>
            <w:pPr>
              <w:pStyle w:val="4"/>
              <w:numPr>
                <w:ilvl w:val="0"/>
                <w:numId w:val="2"/>
              </w:numPr>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注册信息安全管理人员(CISO或CISP)证书</w:t>
            </w:r>
          </w:p>
          <w:p>
            <w:pPr>
              <w:pStyle w:val="4"/>
              <w:spacing w:after="0" w:line="440" w:lineRule="exact"/>
              <w:ind w:left="0" w:leftChars="0"/>
              <w:jc w:val="left"/>
              <w:rPr>
                <w:rFonts w:asciiTheme="minorEastAsia" w:hAnsiTheme="minorEastAsia" w:eastAsiaTheme="minorEastAsia"/>
                <w:bCs/>
                <w:szCs w:val="21"/>
              </w:rPr>
            </w:pPr>
          </w:p>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注：须提供有效的证书扫描件、投标人为其缴纳社保的证明（本项目投标截止日之前6个月内连续3个月）。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825" w:type="dxa"/>
            <w:vMerge w:val="continue"/>
          </w:tcPr>
          <w:p>
            <w:pPr>
              <w:pStyle w:val="4"/>
              <w:spacing w:after="0" w:line="440" w:lineRule="exact"/>
              <w:ind w:left="0" w:leftChars="0"/>
              <w:jc w:val="left"/>
            </w:pPr>
          </w:p>
        </w:tc>
        <w:tc>
          <w:tcPr>
            <w:tcW w:w="1025" w:type="dxa"/>
            <w:gridSpan w:val="2"/>
            <w:vMerge w:val="continue"/>
          </w:tcPr>
          <w:p>
            <w:pPr>
              <w:pStyle w:val="4"/>
              <w:spacing w:after="0" w:line="440" w:lineRule="exact"/>
              <w:ind w:left="0" w:leftChars="0"/>
              <w:jc w:val="left"/>
              <w:rPr>
                <w:bCs/>
              </w:rPr>
            </w:pPr>
          </w:p>
        </w:tc>
        <w:tc>
          <w:tcPr>
            <w:tcW w:w="1148" w:type="dxa"/>
            <w:gridSpan w:val="2"/>
            <w:vMerge w:val="continue"/>
            <w:vAlign w:val="center"/>
          </w:tcPr>
          <w:p>
            <w:pPr>
              <w:pStyle w:val="4"/>
              <w:spacing w:after="0" w:line="440" w:lineRule="exact"/>
              <w:ind w:left="0" w:leftChars="0"/>
              <w:jc w:val="left"/>
              <w:rPr>
                <w:bCs/>
              </w:rPr>
            </w:pPr>
          </w:p>
        </w:tc>
        <w:tc>
          <w:tcPr>
            <w:tcW w:w="5253" w:type="dxa"/>
            <w:gridSpan w:val="2"/>
            <w:vAlign w:val="center"/>
          </w:tcPr>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项目团队（不含项目经理）：</w:t>
            </w:r>
          </w:p>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1.每投入1名具有计算机类高级或以上职称的人员得1分，最高得3分；</w:t>
            </w:r>
          </w:p>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2.每投入1名具有计算机类中级职称的人员得0.5分，最高得2分。</w:t>
            </w:r>
          </w:p>
          <w:p>
            <w:pPr>
              <w:pStyle w:val="4"/>
              <w:spacing w:after="0" w:line="440" w:lineRule="exact"/>
              <w:ind w:left="0" w:leftChars="0"/>
              <w:jc w:val="left"/>
              <w:rPr>
                <w:rFonts w:asciiTheme="minorEastAsia" w:hAnsiTheme="minorEastAsia" w:eastAsiaTheme="minorEastAsia"/>
                <w:bCs/>
                <w:szCs w:val="21"/>
              </w:rPr>
            </w:pPr>
          </w:p>
          <w:p>
            <w:pPr>
              <w:pStyle w:val="4"/>
              <w:spacing w:after="0" w:line="440" w:lineRule="exact"/>
              <w:ind w:left="0" w:leftChars="0"/>
              <w:jc w:val="left"/>
              <w:rPr>
                <w:rFonts w:asciiTheme="minorEastAsia" w:hAnsiTheme="minorEastAsia" w:eastAsiaTheme="minorEastAsia"/>
                <w:bCs/>
                <w:szCs w:val="21"/>
              </w:rPr>
            </w:pPr>
            <w:r>
              <w:rPr>
                <w:rFonts w:hint="eastAsia" w:asciiTheme="minorEastAsia" w:hAnsiTheme="minorEastAsia" w:eastAsiaTheme="minorEastAsia"/>
                <w:bCs/>
                <w:szCs w:val="21"/>
              </w:rPr>
              <w:t>注：1.同一人员不累计得分；2.提供有效的证书扫描件；3.提供投标人为其缴纳社保的证明（本项目投标截止日之前6个月内连续3个月）。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825" w:type="dxa"/>
            <w:vMerge w:val="restart"/>
            <w:vAlign w:val="center"/>
          </w:tcPr>
          <w:p>
            <w:pPr>
              <w:spacing w:line="440" w:lineRule="exact"/>
              <w:jc w:val="center"/>
              <w:rPr>
                <w:rFonts w:ascii="Times New Roman" w:hAnsi="Times New Roman"/>
              </w:rPr>
            </w:pPr>
            <w:r>
              <w:rPr>
                <w:rFonts w:hint="eastAsia" w:ascii="Times New Roman" w:hAnsi="Times New Roman"/>
              </w:rPr>
              <w:t>2.2.4（2）</w:t>
            </w:r>
          </w:p>
        </w:tc>
        <w:tc>
          <w:tcPr>
            <w:tcW w:w="1025" w:type="dxa"/>
            <w:gridSpan w:val="2"/>
            <w:vMerge w:val="restart"/>
            <w:vAlign w:val="center"/>
          </w:tcPr>
          <w:p>
            <w:pPr>
              <w:spacing w:line="440" w:lineRule="exact"/>
              <w:jc w:val="center"/>
              <w:rPr>
                <w:rFonts w:ascii="Times New Roman" w:hAnsi="Times New Roman"/>
                <w:bCs/>
              </w:rPr>
            </w:pPr>
            <w:r>
              <w:rPr>
                <w:rFonts w:hint="eastAsia" w:ascii="Times New Roman" w:hAnsi="Times New Roman"/>
                <w:bCs/>
              </w:rPr>
              <w:t>技术部分评分标准</w:t>
            </w:r>
          </w:p>
          <w:p>
            <w:pPr>
              <w:spacing w:line="440" w:lineRule="exact"/>
              <w:jc w:val="center"/>
              <w:rPr>
                <w:rFonts w:ascii="Times New Roman" w:hAnsi="Times New Roman"/>
                <w:bCs/>
              </w:rPr>
            </w:pPr>
            <w:r>
              <w:rPr>
                <w:rFonts w:hint="eastAsia" w:ascii="Times New Roman" w:hAnsi="Times New Roman"/>
                <w:bCs/>
              </w:rPr>
              <w:t>（35分）</w:t>
            </w:r>
          </w:p>
        </w:tc>
        <w:tc>
          <w:tcPr>
            <w:tcW w:w="1148" w:type="dxa"/>
            <w:gridSpan w:val="2"/>
            <w:vAlign w:val="center"/>
          </w:tcPr>
          <w:p>
            <w:pPr>
              <w:spacing w:line="440" w:lineRule="exact"/>
              <w:jc w:val="center"/>
              <w:rPr>
                <w:rStyle w:val="98"/>
                <w:rFonts w:ascii="宋体" w:hAnsi="宋体" w:cs="华文细黑"/>
                <w:bCs/>
              </w:rPr>
            </w:pPr>
            <w:r>
              <w:rPr>
                <w:rStyle w:val="98"/>
                <w:rFonts w:hint="eastAsia" w:ascii="宋体" w:hAnsi="宋体" w:cs="华文细黑"/>
                <w:bCs/>
              </w:rPr>
              <w:t>方案设计</w:t>
            </w:r>
          </w:p>
          <w:p>
            <w:pPr>
              <w:spacing w:line="440" w:lineRule="exact"/>
              <w:jc w:val="center"/>
              <w:rPr>
                <w:rFonts w:ascii="Times New Roman" w:hAnsi="Times New Roman"/>
                <w:bCs/>
              </w:rPr>
            </w:pPr>
            <w:r>
              <w:rPr>
                <w:rStyle w:val="98"/>
                <w:rFonts w:hint="eastAsia" w:ascii="宋体" w:hAnsi="宋体" w:cs="华文细黑"/>
                <w:bCs/>
              </w:rPr>
              <w:t>（15分）</w:t>
            </w:r>
          </w:p>
        </w:tc>
        <w:tc>
          <w:tcPr>
            <w:tcW w:w="5253" w:type="dxa"/>
            <w:gridSpan w:val="2"/>
            <w:vAlign w:val="center"/>
          </w:tcPr>
          <w:p>
            <w:pPr>
              <w:spacing w:line="440" w:lineRule="exact"/>
              <w:jc w:val="left"/>
              <w:rPr>
                <w:rStyle w:val="98"/>
                <w:rFonts w:ascii="宋体" w:hAnsi="宋体" w:cs="华文细黑"/>
                <w:bCs/>
              </w:rPr>
            </w:pPr>
            <w:r>
              <w:rPr>
                <w:rStyle w:val="98"/>
                <w:rFonts w:hint="eastAsia" w:ascii="宋体" w:hAnsi="宋体" w:cs="华文细黑"/>
                <w:bCs/>
              </w:rPr>
              <w:t>投标人提供科学合理、可靠可行、具有可扩展性、完善详细的项目设计方案得12-15分。</w:t>
            </w:r>
          </w:p>
          <w:p>
            <w:pPr>
              <w:spacing w:line="440" w:lineRule="exact"/>
              <w:jc w:val="left"/>
              <w:rPr>
                <w:rStyle w:val="98"/>
                <w:rFonts w:ascii="宋体" w:hAnsi="宋体" w:cs="华文细黑"/>
                <w:bCs/>
              </w:rPr>
            </w:pPr>
            <w:r>
              <w:rPr>
                <w:rStyle w:val="98"/>
                <w:rFonts w:hint="eastAsia" w:ascii="宋体" w:hAnsi="宋体" w:cs="华文细黑"/>
                <w:bCs/>
              </w:rPr>
              <w:t>投标人提供较合理、较可行、具有一定的可扩展性、完整但不详细的项目设计方案得8-12（不含）分。</w:t>
            </w:r>
          </w:p>
          <w:p>
            <w:pPr>
              <w:spacing w:line="440" w:lineRule="exact"/>
              <w:jc w:val="left"/>
              <w:rPr>
                <w:rStyle w:val="98"/>
                <w:rFonts w:ascii="宋体" w:hAnsi="宋体" w:cs="华文细黑"/>
                <w:bCs/>
              </w:rPr>
            </w:pPr>
            <w:r>
              <w:rPr>
                <w:rStyle w:val="98"/>
                <w:rFonts w:hint="eastAsia" w:ascii="宋体" w:hAnsi="宋体" w:cs="华文细黑"/>
                <w:bCs/>
              </w:rPr>
              <w:t>投标人提供有一定合理性、可行性一般、具有一定的可扩展性、完整但不详细的项目设计方案得4-8（不含）分。</w:t>
            </w:r>
          </w:p>
          <w:p>
            <w:pPr>
              <w:spacing w:line="440" w:lineRule="exact"/>
              <w:jc w:val="left"/>
              <w:rPr>
                <w:rFonts w:ascii="Times New Roman" w:hAnsi="Times New Roman"/>
                <w:bCs/>
              </w:rPr>
            </w:pPr>
            <w:r>
              <w:rPr>
                <w:rStyle w:val="98"/>
                <w:rFonts w:hint="eastAsia" w:ascii="宋体" w:hAnsi="宋体" w:cs="华文细黑"/>
                <w:bCs/>
              </w:rPr>
              <w:t>投标人提供合理性一般、可行性差、可扩展性差、不详细的项目设计方案得0-4（不含）分。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825" w:type="dxa"/>
            <w:vMerge w:val="continue"/>
            <w:vAlign w:val="center"/>
          </w:tcPr>
          <w:p>
            <w:pPr>
              <w:spacing w:line="440" w:lineRule="exact"/>
              <w:jc w:val="center"/>
              <w:rPr>
                <w:rFonts w:ascii="Times New Roman" w:hAnsi="Times New Roman"/>
              </w:rPr>
            </w:pPr>
          </w:p>
        </w:tc>
        <w:tc>
          <w:tcPr>
            <w:tcW w:w="1025" w:type="dxa"/>
            <w:gridSpan w:val="2"/>
            <w:vMerge w:val="continue"/>
            <w:vAlign w:val="center"/>
          </w:tcPr>
          <w:p>
            <w:pPr>
              <w:spacing w:line="440" w:lineRule="exact"/>
              <w:jc w:val="center"/>
              <w:rPr>
                <w:rFonts w:ascii="Times New Roman" w:hAnsi="Times New Roman"/>
                <w:bCs/>
              </w:rPr>
            </w:pPr>
          </w:p>
        </w:tc>
        <w:tc>
          <w:tcPr>
            <w:tcW w:w="1148" w:type="dxa"/>
            <w:gridSpan w:val="2"/>
            <w:vAlign w:val="center"/>
          </w:tcPr>
          <w:p>
            <w:pPr>
              <w:spacing w:line="440" w:lineRule="exact"/>
              <w:jc w:val="center"/>
              <w:rPr>
                <w:rStyle w:val="98"/>
                <w:rFonts w:ascii="宋体" w:hAnsi="宋体" w:cs="华文细黑"/>
                <w:bCs/>
              </w:rPr>
            </w:pPr>
            <w:r>
              <w:rPr>
                <w:rStyle w:val="98"/>
                <w:rFonts w:hint="eastAsia" w:ascii="宋体" w:hAnsi="宋体" w:cs="华文细黑"/>
                <w:bCs/>
              </w:rPr>
              <w:t>项目质量与服务保障方案</w:t>
            </w:r>
          </w:p>
          <w:p>
            <w:pPr>
              <w:spacing w:line="440" w:lineRule="exact"/>
              <w:jc w:val="center"/>
              <w:rPr>
                <w:rStyle w:val="98"/>
                <w:rFonts w:ascii="宋体" w:hAnsi="宋体" w:cs="华文细黑"/>
                <w:bCs/>
              </w:rPr>
            </w:pPr>
            <w:r>
              <w:rPr>
                <w:rStyle w:val="98"/>
                <w:rFonts w:hint="eastAsia" w:ascii="宋体" w:hAnsi="宋体" w:cs="华文细黑"/>
                <w:bCs/>
              </w:rPr>
              <w:t>（11分）</w:t>
            </w:r>
          </w:p>
        </w:tc>
        <w:tc>
          <w:tcPr>
            <w:tcW w:w="5253" w:type="dxa"/>
            <w:gridSpan w:val="2"/>
            <w:vAlign w:val="center"/>
          </w:tcPr>
          <w:p>
            <w:pPr>
              <w:spacing w:line="440" w:lineRule="exact"/>
              <w:jc w:val="left"/>
              <w:rPr>
                <w:rStyle w:val="98"/>
                <w:rFonts w:ascii="宋体" w:hAnsi="宋体" w:cs="华文细黑"/>
                <w:bCs/>
              </w:rPr>
            </w:pPr>
            <w:r>
              <w:rPr>
                <w:rStyle w:val="98"/>
                <w:rFonts w:hint="eastAsia" w:ascii="宋体" w:hAnsi="宋体" w:cs="华文细黑"/>
                <w:bCs/>
              </w:rPr>
              <w:t>投标人针对本项目情况提供项目质量与服务保障方案包括项目实施质量管理、出现质量问题的责任承担及赔偿方案、服务保障等内容。</w:t>
            </w:r>
          </w:p>
          <w:p>
            <w:pPr>
              <w:spacing w:line="440" w:lineRule="exact"/>
              <w:jc w:val="left"/>
              <w:rPr>
                <w:rStyle w:val="98"/>
                <w:rFonts w:ascii="宋体" w:hAnsi="宋体" w:cs="华文细黑"/>
                <w:bCs/>
              </w:rPr>
            </w:pPr>
            <w:r>
              <w:rPr>
                <w:rStyle w:val="98"/>
                <w:rFonts w:hint="eastAsia" w:ascii="宋体" w:hAnsi="宋体" w:cs="华文细黑"/>
                <w:bCs/>
              </w:rPr>
              <w:t>供应商提供科学合理、实际可行、完善详细的项目质量与服务保障方案得9-11分。</w:t>
            </w:r>
          </w:p>
          <w:p>
            <w:pPr>
              <w:spacing w:line="440" w:lineRule="exact"/>
              <w:jc w:val="left"/>
              <w:rPr>
                <w:rStyle w:val="98"/>
                <w:rFonts w:ascii="宋体" w:hAnsi="宋体" w:cs="华文细黑"/>
                <w:bCs/>
              </w:rPr>
            </w:pPr>
            <w:r>
              <w:rPr>
                <w:rStyle w:val="98"/>
                <w:rFonts w:hint="eastAsia" w:ascii="宋体" w:hAnsi="宋体" w:cs="华文细黑"/>
                <w:bCs/>
              </w:rPr>
              <w:t>投标人提供合理可行、完整但不详细的项目质量与服务保障方案得6-9（不含）分。</w:t>
            </w:r>
          </w:p>
          <w:p>
            <w:pPr>
              <w:spacing w:line="440" w:lineRule="exact"/>
              <w:jc w:val="left"/>
              <w:rPr>
                <w:rStyle w:val="98"/>
                <w:rFonts w:ascii="宋体" w:hAnsi="宋体" w:cs="华文细黑"/>
                <w:bCs/>
              </w:rPr>
            </w:pPr>
            <w:r>
              <w:rPr>
                <w:rStyle w:val="98"/>
                <w:rFonts w:hint="eastAsia" w:ascii="宋体" w:hAnsi="宋体" w:cs="华文细黑"/>
                <w:bCs/>
              </w:rPr>
              <w:t>投标人提供有一定合理性、完整但不详细的项目质量与服务保障方案得3-6（不含）分。</w:t>
            </w:r>
          </w:p>
          <w:p>
            <w:pPr>
              <w:spacing w:line="440" w:lineRule="exact"/>
              <w:jc w:val="left"/>
              <w:rPr>
                <w:rStyle w:val="98"/>
                <w:rFonts w:ascii="宋体" w:hAnsi="宋体" w:cs="华文细黑"/>
                <w:bCs/>
              </w:rPr>
            </w:pPr>
            <w:r>
              <w:rPr>
                <w:rStyle w:val="98"/>
                <w:rFonts w:hint="eastAsia" w:ascii="宋体" w:hAnsi="宋体" w:cs="华文细黑"/>
                <w:bCs/>
              </w:rPr>
              <w:t>投标人提供的质量管理方案合理性差、不详细的项目质量与服务保障方案得0-3（不含）分。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trPr>
        <w:tc>
          <w:tcPr>
            <w:tcW w:w="825" w:type="dxa"/>
            <w:vMerge w:val="continue"/>
          </w:tcPr>
          <w:p>
            <w:pPr>
              <w:spacing w:line="440" w:lineRule="exact"/>
              <w:jc w:val="center"/>
              <w:rPr>
                <w:rFonts w:ascii="Times New Roman" w:hAnsi="Times New Roman"/>
              </w:rPr>
            </w:pPr>
          </w:p>
        </w:tc>
        <w:tc>
          <w:tcPr>
            <w:tcW w:w="1025" w:type="dxa"/>
            <w:gridSpan w:val="2"/>
            <w:vMerge w:val="continue"/>
          </w:tcPr>
          <w:p>
            <w:pPr>
              <w:spacing w:line="440" w:lineRule="exact"/>
              <w:rPr>
                <w:rFonts w:ascii="Times New Roman" w:hAnsi="Times New Roman"/>
                <w:bCs/>
              </w:rPr>
            </w:pPr>
          </w:p>
        </w:tc>
        <w:tc>
          <w:tcPr>
            <w:tcW w:w="1148" w:type="dxa"/>
            <w:gridSpan w:val="2"/>
            <w:tcMar>
              <w:left w:w="57" w:type="dxa"/>
              <w:right w:w="57" w:type="dxa"/>
            </w:tcMar>
            <w:vAlign w:val="center"/>
          </w:tcPr>
          <w:p>
            <w:pPr>
              <w:spacing w:line="440" w:lineRule="exact"/>
              <w:jc w:val="center"/>
              <w:rPr>
                <w:rFonts w:ascii="Times New Roman" w:hAnsi="Times New Roman"/>
                <w:bCs/>
              </w:rPr>
            </w:pPr>
            <w:r>
              <w:rPr>
                <w:rStyle w:val="98"/>
                <w:rFonts w:hint="eastAsia" w:ascii="宋体" w:hAnsi="宋体" w:cs="华文细黑"/>
                <w:bCs/>
              </w:rPr>
              <w:t>售后服务方案（9分）</w:t>
            </w:r>
          </w:p>
        </w:tc>
        <w:tc>
          <w:tcPr>
            <w:tcW w:w="5253" w:type="dxa"/>
            <w:gridSpan w:val="2"/>
            <w:tcMar>
              <w:left w:w="57" w:type="dxa"/>
              <w:right w:w="57" w:type="dxa"/>
            </w:tcMar>
            <w:vAlign w:val="center"/>
          </w:tcPr>
          <w:p>
            <w:pPr>
              <w:spacing w:line="440" w:lineRule="exact"/>
              <w:jc w:val="left"/>
              <w:rPr>
                <w:rStyle w:val="98"/>
                <w:rFonts w:ascii="宋体" w:hAnsi="宋体" w:cs="华文细黑"/>
                <w:bCs/>
              </w:rPr>
            </w:pPr>
            <w:r>
              <w:rPr>
                <w:rStyle w:val="98"/>
                <w:rFonts w:hint="eastAsia" w:ascii="宋体" w:hAnsi="宋体" w:cs="华文细黑"/>
                <w:bCs/>
              </w:rPr>
              <w:t>投标人根据项目情况的售后服务方案包括免费维护期后维护费用情况、免费维护期后持续技术支持服务、免费维护期后故障响应速度等内容。</w:t>
            </w:r>
          </w:p>
          <w:p>
            <w:pPr>
              <w:spacing w:line="440" w:lineRule="exact"/>
              <w:jc w:val="left"/>
              <w:rPr>
                <w:rStyle w:val="98"/>
                <w:rFonts w:ascii="宋体" w:hAnsi="宋体" w:cs="华文细黑"/>
                <w:bCs/>
              </w:rPr>
            </w:pPr>
            <w:r>
              <w:rPr>
                <w:rStyle w:val="98"/>
                <w:rFonts w:hint="eastAsia" w:ascii="宋体" w:hAnsi="宋体" w:cs="华文细黑"/>
                <w:bCs/>
              </w:rPr>
              <w:t>投标人提供合理、实际可行、完善详细的售后服务方案得7-9分。</w:t>
            </w:r>
          </w:p>
          <w:p>
            <w:pPr>
              <w:spacing w:line="440" w:lineRule="exact"/>
              <w:jc w:val="left"/>
              <w:rPr>
                <w:rStyle w:val="98"/>
                <w:rFonts w:ascii="宋体" w:hAnsi="宋体" w:cs="华文细黑"/>
                <w:bCs/>
              </w:rPr>
            </w:pPr>
            <w:r>
              <w:rPr>
                <w:rStyle w:val="98"/>
                <w:rFonts w:hint="eastAsia" w:ascii="宋体" w:hAnsi="宋体" w:cs="华文细黑"/>
                <w:bCs/>
              </w:rPr>
              <w:t>投标人提供合理可行、完整但不详细的售后服务方案得5-7（不含）分。</w:t>
            </w:r>
          </w:p>
          <w:p>
            <w:pPr>
              <w:spacing w:line="440" w:lineRule="exact"/>
              <w:jc w:val="left"/>
              <w:rPr>
                <w:rStyle w:val="98"/>
                <w:rFonts w:ascii="宋体" w:hAnsi="宋体" w:cs="华文细黑"/>
                <w:bCs/>
              </w:rPr>
            </w:pPr>
            <w:r>
              <w:rPr>
                <w:rStyle w:val="98"/>
                <w:rFonts w:hint="eastAsia" w:ascii="宋体" w:hAnsi="宋体" w:cs="华文细黑"/>
                <w:bCs/>
              </w:rPr>
              <w:t>投标人提供有一定合理性、完整但不详细的售后服务方案得3-5（不含）分。</w:t>
            </w:r>
          </w:p>
          <w:p>
            <w:pPr>
              <w:spacing w:line="440" w:lineRule="exact"/>
              <w:jc w:val="left"/>
              <w:rPr>
                <w:rFonts w:ascii="Times New Roman" w:hAnsi="Times New Roman"/>
                <w:bCs/>
              </w:rPr>
            </w:pPr>
            <w:r>
              <w:rPr>
                <w:rStyle w:val="98"/>
                <w:rFonts w:hint="eastAsia" w:ascii="宋体" w:hAnsi="宋体" w:cs="华文细黑"/>
                <w:bCs/>
              </w:rPr>
              <w:t>投标人提供的质量管理方案合理性差、不详细的售后服务方案得0-3（不含）分。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vAlign w:val="center"/>
          </w:tcPr>
          <w:p>
            <w:pPr>
              <w:spacing w:line="440" w:lineRule="exact"/>
              <w:jc w:val="center"/>
              <w:rPr>
                <w:rFonts w:ascii="Times New Roman" w:hAnsi="Times New Roman"/>
              </w:rPr>
            </w:pPr>
            <w:r>
              <w:rPr>
                <w:rFonts w:ascii="Times New Roman" w:hAnsi="Times New Roman"/>
              </w:rPr>
              <w:t>2.2.4（</w:t>
            </w:r>
            <w:r>
              <w:rPr>
                <w:rFonts w:hint="eastAsia" w:ascii="Times New Roman" w:hAnsi="Times New Roman"/>
              </w:rPr>
              <w:t>3</w:t>
            </w:r>
            <w:r>
              <w:rPr>
                <w:rFonts w:ascii="Times New Roman" w:hAnsi="Times New Roman"/>
              </w:rPr>
              <w:t>）</w:t>
            </w:r>
          </w:p>
        </w:tc>
        <w:tc>
          <w:tcPr>
            <w:tcW w:w="1025" w:type="dxa"/>
            <w:gridSpan w:val="2"/>
            <w:vMerge w:val="restart"/>
            <w:vAlign w:val="center"/>
          </w:tcPr>
          <w:p>
            <w:pPr>
              <w:spacing w:line="440" w:lineRule="exact"/>
              <w:jc w:val="center"/>
              <w:rPr>
                <w:rFonts w:ascii="Times New Roman" w:hAnsi="Times New Roman"/>
              </w:rPr>
            </w:pPr>
            <w:r>
              <w:rPr>
                <w:rFonts w:hint="eastAsia" w:ascii="Times New Roman" w:hAnsi="Times New Roman"/>
              </w:rPr>
              <w:t>投标报价评分标准（40分）</w:t>
            </w:r>
          </w:p>
        </w:tc>
        <w:tc>
          <w:tcPr>
            <w:tcW w:w="1148" w:type="dxa"/>
            <w:gridSpan w:val="2"/>
            <w:vAlign w:val="center"/>
          </w:tcPr>
          <w:p>
            <w:pPr>
              <w:spacing w:line="440" w:lineRule="exact"/>
              <w:jc w:val="center"/>
              <w:rPr>
                <w:rFonts w:ascii="Times New Roman" w:hAnsi="Times New Roman"/>
              </w:rPr>
            </w:pPr>
            <w:r>
              <w:rPr>
                <w:rFonts w:hint="eastAsia" w:ascii="Times New Roman" w:hAnsi="Times New Roman"/>
              </w:rPr>
              <w:t>报价得分</w:t>
            </w:r>
          </w:p>
        </w:tc>
        <w:tc>
          <w:tcPr>
            <w:tcW w:w="5253" w:type="dxa"/>
            <w:gridSpan w:val="2"/>
          </w:tcPr>
          <w:p>
            <w:pPr>
              <w:spacing w:line="440" w:lineRule="exact"/>
              <w:jc w:val="left"/>
              <w:rPr>
                <w:rFonts w:ascii="Times New Roman" w:hAnsi="Times New Roman"/>
              </w:rPr>
            </w:pPr>
            <w:r>
              <w:rPr>
                <w:rFonts w:hint="eastAsia" w:ascii="Times New Roman" w:hAnsi="Times New Roman"/>
              </w:rPr>
              <w:t>评标价得分计算公式：</w:t>
            </w:r>
          </w:p>
          <w:p>
            <w:pPr>
              <w:spacing w:line="440" w:lineRule="exact"/>
              <w:jc w:val="left"/>
              <w:rPr>
                <w:rFonts w:ascii="Times New Roman" w:hAnsi="Times New Roman"/>
              </w:rPr>
            </w:pPr>
            <w:r>
              <w:rPr>
                <w:rFonts w:hint="eastAsia" w:ascii="Times New Roman" w:hAnsi="Times New Roman"/>
              </w:rPr>
              <w:t>(1)若评标价＞评标基准价，则评标价得分＝P-偏差率×100×E1；</w:t>
            </w:r>
          </w:p>
          <w:p>
            <w:pPr>
              <w:spacing w:line="440" w:lineRule="exact"/>
              <w:jc w:val="left"/>
              <w:rPr>
                <w:rFonts w:ascii="Times New Roman" w:hAnsi="Times New Roman"/>
              </w:rPr>
            </w:pPr>
            <w:r>
              <w:rPr>
                <w:rFonts w:hint="eastAsia" w:ascii="Times New Roman" w:hAnsi="Times New Roman"/>
              </w:rPr>
              <w:t>(2)若评标价≤评标基准价，则评标价得分＝P+偏差率×100×E2；</w:t>
            </w:r>
          </w:p>
          <w:p>
            <w:pPr>
              <w:spacing w:line="440" w:lineRule="exact"/>
              <w:jc w:val="left"/>
              <w:rPr>
                <w:rFonts w:ascii="Times New Roman" w:hAnsi="Times New Roman"/>
              </w:rPr>
            </w:pPr>
            <w:r>
              <w:rPr>
                <w:rFonts w:hint="eastAsia" w:ascii="Times New Roman" w:hAnsi="Times New Roman"/>
              </w:rPr>
              <w:t>E1＝0.6；E2＝0.4；P=40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vAlign w:val="center"/>
          </w:tcPr>
          <w:p>
            <w:pPr>
              <w:spacing w:line="440" w:lineRule="exact"/>
              <w:jc w:val="center"/>
              <w:rPr>
                <w:rFonts w:ascii="Times New Roman" w:hAnsi="Times New Roman"/>
              </w:rPr>
            </w:pPr>
          </w:p>
        </w:tc>
        <w:tc>
          <w:tcPr>
            <w:tcW w:w="1025" w:type="dxa"/>
            <w:gridSpan w:val="2"/>
            <w:vMerge w:val="continue"/>
            <w:vAlign w:val="center"/>
          </w:tcPr>
          <w:p>
            <w:pPr>
              <w:spacing w:line="440" w:lineRule="exact"/>
              <w:jc w:val="center"/>
              <w:rPr>
                <w:rFonts w:ascii="Times New Roman" w:hAnsi="Times New Roman"/>
              </w:rPr>
            </w:pPr>
          </w:p>
        </w:tc>
        <w:tc>
          <w:tcPr>
            <w:tcW w:w="1148" w:type="dxa"/>
            <w:gridSpan w:val="2"/>
            <w:vAlign w:val="center"/>
          </w:tcPr>
          <w:p>
            <w:pPr>
              <w:spacing w:line="440" w:lineRule="exact"/>
              <w:jc w:val="center"/>
              <w:rPr>
                <w:rFonts w:ascii="Times New Roman" w:hAnsi="Times New Roman"/>
              </w:rPr>
            </w:pPr>
            <w:r>
              <w:rPr>
                <w:rFonts w:hint="eastAsia" w:ascii="Times New Roman" w:hAnsi="Times New Roman"/>
              </w:rPr>
              <w:t>偏差率</w:t>
            </w:r>
          </w:p>
        </w:tc>
        <w:tc>
          <w:tcPr>
            <w:tcW w:w="5253" w:type="dxa"/>
            <w:gridSpan w:val="2"/>
          </w:tcPr>
          <w:p>
            <w:pPr>
              <w:spacing w:line="440" w:lineRule="exact"/>
              <w:jc w:val="center"/>
              <w:rPr>
                <w:rFonts w:ascii="宋体" w:hAnsi="宋体" w:cs="宋体"/>
              </w:rPr>
            </w:pPr>
            <w:r>
              <w:rPr>
                <w:rFonts w:hint="eastAsia" w:ascii="宋体" w:hAnsi="宋体" w:cs="宋体"/>
              </w:rPr>
              <w:t>偏差率=100%×（投标人报价-评标基准价）/评标基准价。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825" w:type="dxa"/>
            <w:vMerge w:val="continue"/>
          </w:tcPr>
          <w:p>
            <w:pPr>
              <w:spacing w:line="440" w:lineRule="exact"/>
              <w:rPr>
                <w:rFonts w:ascii="Times New Roman" w:hAnsi="Times New Roman"/>
              </w:rPr>
            </w:pPr>
          </w:p>
        </w:tc>
        <w:tc>
          <w:tcPr>
            <w:tcW w:w="1025" w:type="dxa"/>
            <w:gridSpan w:val="2"/>
            <w:vMerge w:val="continue"/>
          </w:tcPr>
          <w:p>
            <w:pPr>
              <w:spacing w:line="440" w:lineRule="exact"/>
              <w:rPr>
                <w:rFonts w:ascii="Times New Roman" w:hAnsi="Times New Roman"/>
              </w:rPr>
            </w:pPr>
          </w:p>
        </w:tc>
        <w:tc>
          <w:tcPr>
            <w:tcW w:w="1148" w:type="dxa"/>
            <w:gridSpan w:val="2"/>
            <w:vAlign w:val="center"/>
          </w:tcPr>
          <w:p>
            <w:pPr>
              <w:spacing w:line="440" w:lineRule="exact"/>
              <w:jc w:val="center"/>
              <w:rPr>
                <w:rFonts w:ascii="Times New Roman" w:hAnsi="Times New Roman"/>
              </w:rPr>
            </w:pPr>
            <w:r>
              <w:rPr>
                <w:rFonts w:hint="eastAsia" w:ascii="宋体" w:hAnsi="宋体" w:cs="宋体"/>
              </w:rPr>
              <w:t>评标基准价计算方法</w:t>
            </w:r>
          </w:p>
        </w:tc>
        <w:tc>
          <w:tcPr>
            <w:tcW w:w="5253" w:type="dxa"/>
            <w:gridSpan w:val="2"/>
            <w:vAlign w:val="center"/>
          </w:tcPr>
          <w:p>
            <w:pPr>
              <w:spacing w:line="440" w:lineRule="exact"/>
              <w:rPr>
                <w:rFonts w:ascii="Times New Roman" w:hAnsi="Times New Roman"/>
              </w:rPr>
            </w:pPr>
            <w:r>
              <w:rPr>
                <w:rFonts w:hint="eastAsia" w:ascii="宋体" w:hAnsi="宋体" w:cs="宋体"/>
              </w:rPr>
              <w:t>评标基准价计算方法（有效投标人超过5家时，在所有有效投标人的投标报价中，去掉一个最高价和一个最低价后，取剩余报价的算术平均值的95%为评标基准价；有效投标人少于5家（含5家）时，直接取所有有效投标人的投标报价的算术平均值的95%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825" w:type="dxa"/>
            <w:vAlign w:val="center"/>
          </w:tcPr>
          <w:p>
            <w:pPr>
              <w:spacing w:line="440" w:lineRule="exact"/>
              <w:jc w:val="center"/>
              <w:rPr>
                <w:rFonts w:ascii="Times New Roman" w:hAnsi="Times New Roman"/>
              </w:rPr>
            </w:pPr>
            <w:r>
              <w:rPr>
                <w:rFonts w:ascii="Times New Roman" w:hAnsi="Times New Roman"/>
              </w:rPr>
              <w:t>3.2.2</w:t>
            </w:r>
          </w:p>
        </w:tc>
        <w:tc>
          <w:tcPr>
            <w:tcW w:w="2173" w:type="dxa"/>
            <w:gridSpan w:val="4"/>
            <w:vAlign w:val="center"/>
          </w:tcPr>
          <w:p>
            <w:pPr>
              <w:spacing w:line="440" w:lineRule="exact"/>
              <w:jc w:val="center"/>
              <w:rPr>
                <w:rFonts w:ascii="宋体" w:hAnsi="宋体" w:cs="宋体"/>
              </w:rPr>
            </w:pPr>
            <w:r>
              <w:rPr>
                <w:rFonts w:hint="eastAsia" w:ascii="宋体" w:hAnsi="宋体" w:cs="宋体"/>
              </w:rPr>
              <w:t>评分汇总计算方法</w:t>
            </w:r>
          </w:p>
        </w:tc>
        <w:tc>
          <w:tcPr>
            <w:tcW w:w="5253" w:type="dxa"/>
            <w:gridSpan w:val="2"/>
            <w:vAlign w:val="center"/>
          </w:tcPr>
          <w:p>
            <w:pPr>
              <w:adjustRightInd w:val="0"/>
              <w:snapToGrid w:val="0"/>
              <w:spacing w:line="440" w:lineRule="exact"/>
              <w:rPr>
                <w:rFonts w:ascii="宋体" w:hAnsi="宋体" w:cs="宋体"/>
              </w:rPr>
            </w:pPr>
            <w:r>
              <w:rPr>
                <w:rFonts w:hint="eastAsia" w:ascii="宋体" w:hAnsi="宋体" w:cs="宋体"/>
              </w:rPr>
              <w:t>商务、技术部分得分</w:t>
            </w:r>
            <w:r>
              <w:rPr>
                <w:rFonts w:ascii="宋体" w:hAnsi="宋体" w:cs="宋体"/>
              </w:rPr>
              <w:t>汇总得分计算方法：将所有评标委员会成员对某份投标文件相应部分评分总分取算术平均值（精确到小数点后两位，第三位四舍五入）。</w:t>
            </w:r>
          </w:p>
        </w:tc>
      </w:tr>
    </w:tbl>
    <w:p>
      <w:pPr>
        <w:spacing w:line="440" w:lineRule="exact"/>
        <w:rPr>
          <w:rFonts w:ascii="Times New Roman" w:hAnsi="Times New Roman"/>
        </w:rPr>
      </w:pPr>
      <w:r>
        <w:rPr>
          <w:rFonts w:ascii="Times New Roman" w:hAnsi="Times New Roman"/>
        </w:rPr>
        <w:br w:type="page"/>
      </w:r>
    </w:p>
    <w:p>
      <w:pPr>
        <w:pStyle w:val="9"/>
        <w:spacing w:line="440" w:lineRule="exact"/>
        <w:rPr>
          <w:rFonts w:ascii="Times New Roman" w:hAnsi="Times New Roman"/>
        </w:rPr>
      </w:pPr>
      <w:bookmarkStart w:id="398" w:name="_Toc32006"/>
      <w:r>
        <w:rPr>
          <w:rFonts w:ascii="Times New Roman" w:hAnsi="Times New Roman"/>
        </w:rPr>
        <w:t>1. 评标方法</w:t>
      </w:r>
      <w:bookmarkEnd w:id="398"/>
    </w:p>
    <w:p>
      <w:pPr>
        <w:spacing w:line="440" w:lineRule="exact"/>
        <w:ind w:firstLine="420" w:firstLineChars="200"/>
        <w:rPr>
          <w:rFonts w:ascii="Times New Roman" w:hAnsi="Times New Roman"/>
        </w:rPr>
      </w:pPr>
      <w:r>
        <w:rPr>
          <w:rFonts w:ascii="Times New Roman" w:hAnsi="Times New Roma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99" w:name="_Toc352691533"/>
      <w:bookmarkStart w:id="400" w:name="_Toc247514022"/>
      <w:bookmarkStart w:id="401" w:name="_Toc152045598"/>
      <w:bookmarkStart w:id="402" w:name="_Toc384308272"/>
      <w:bookmarkStart w:id="403" w:name="_Toc361508646"/>
      <w:bookmarkStart w:id="404" w:name="_Toc369531577"/>
      <w:bookmarkStart w:id="405" w:name="_Toc144974565"/>
      <w:bookmarkStart w:id="406" w:name="_Toc152042375"/>
      <w:bookmarkStart w:id="407" w:name="_Toc4497"/>
      <w:bookmarkStart w:id="408" w:name="_Toc300835008"/>
      <w:bookmarkStart w:id="409" w:name="_Toc247527623"/>
      <w:r>
        <w:rPr>
          <w:rFonts w:ascii="Times New Roman" w:hAnsi="Times New Roman"/>
        </w:rPr>
        <w:t>外。</w:t>
      </w:r>
      <w:bookmarkEnd w:id="399"/>
      <w:bookmarkEnd w:id="400"/>
      <w:bookmarkEnd w:id="401"/>
      <w:bookmarkEnd w:id="402"/>
      <w:bookmarkEnd w:id="403"/>
      <w:bookmarkEnd w:id="404"/>
      <w:bookmarkEnd w:id="405"/>
      <w:bookmarkEnd w:id="406"/>
      <w:bookmarkEnd w:id="407"/>
      <w:bookmarkEnd w:id="408"/>
      <w:bookmarkEnd w:id="409"/>
      <w:r>
        <w:rPr>
          <w:rFonts w:hint="eastAsia" w:ascii="Times New Roman" w:hAnsi="Times New Roman"/>
        </w:rPr>
        <w:t>综合评分相等时，以投标报价低的优先；投标报价也相等的，以技术得分高的优先，如果技术得分也相等，由评标委员会以记名形式投票确定排序的先后（按少数服从多数原则）</w:t>
      </w:r>
      <w:r>
        <w:rPr>
          <w:rFonts w:ascii="Times New Roman" w:hAnsi="Times New Roman"/>
        </w:rPr>
        <w:t>。</w:t>
      </w:r>
    </w:p>
    <w:p>
      <w:pPr>
        <w:pStyle w:val="9"/>
        <w:spacing w:line="440" w:lineRule="exact"/>
        <w:rPr>
          <w:rFonts w:ascii="Times New Roman" w:hAnsi="Times New Roman"/>
        </w:rPr>
      </w:pPr>
      <w:bookmarkStart w:id="410" w:name="_Toc8330"/>
      <w:r>
        <w:rPr>
          <w:rFonts w:ascii="Times New Roman" w:hAnsi="Times New Roman"/>
        </w:rPr>
        <w:t xml:space="preserve">2. </w:t>
      </w:r>
      <w:r>
        <w:rPr>
          <w:rFonts w:hint="eastAsia" w:ascii="Times New Roman" w:hAnsi="Times New Roman"/>
        </w:rPr>
        <w:t>评审标准</w:t>
      </w:r>
      <w:bookmarkEnd w:id="410"/>
    </w:p>
    <w:p>
      <w:pPr>
        <w:pStyle w:val="10"/>
        <w:spacing w:line="440" w:lineRule="exact"/>
        <w:ind w:firstLine="137"/>
        <w:rPr>
          <w:rFonts w:ascii="Times New Roman" w:hAnsi="Times New Roman"/>
        </w:rPr>
      </w:pPr>
      <w:r>
        <w:rPr>
          <w:rFonts w:ascii="Times New Roman" w:hAnsi="Times New Roman"/>
        </w:rPr>
        <w:t xml:space="preserve">2.1 </w:t>
      </w:r>
      <w:r>
        <w:rPr>
          <w:rFonts w:hint="eastAsia" w:ascii="Times New Roman" w:hAnsi="Times New Roman"/>
        </w:rPr>
        <w:t>初步评审标准</w:t>
      </w:r>
    </w:p>
    <w:p>
      <w:pPr>
        <w:spacing w:line="440" w:lineRule="exact"/>
        <w:ind w:firstLine="420" w:firstLineChars="200"/>
        <w:rPr>
          <w:rFonts w:ascii="Times New Roman" w:hAnsi="Times New Roman"/>
        </w:rPr>
      </w:pPr>
      <w:r>
        <w:rPr>
          <w:rFonts w:ascii="Times New Roman" w:hAnsi="Times New Roman"/>
        </w:rPr>
        <w:t>2.1.1 形式评审标准：见评标办法前附表。</w:t>
      </w:r>
    </w:p>
    <w:p>
      <w:pPr>
        <w:spacing w:line="440" w:lineRule="exact"/>
        <w:ind w:firstLine="420" w:firstLineChars="200"/>
        <w:rPr>
          <w:rFonts w:ascii="Times New Roman" w:hAnsi="Times New Roman"/>
        </w:rPr>
      </w:pPr>
      <w:r>
        <w:rPr>
          <w:rFonts w:ascii="Times New Roman" w:hAnsi="Times New Roman"/>
        </w:rPr>
        <w:t>2.1.2 资格评审标准：见评标办法前附表。</w:t>
      </w:r>
    </w:p>
    <w:p>
      <w:pPr>
        <w:spacing w:line="440" w:lineRule="exact"/>
        <w:ind w:firstLine="420" w:firstLineChars="200"/>
        <w:rPr>
          <w:rFonts w:ascii="Times New Roman" w:hAnsi="Times New Roman"/>
        </w:rPr>
      </w:pPr>
      <w:r>
        <w:rPr>
          <w:rFonts w:ascii="Times New Roman" w:hAnsi="Times New Roman"/>
        </w:rPr>
        <w:t>2.1.3 响应性评审标准：见评标办法前附表。</w:t>
      </w:r>
    </w:p>
    <w:p>
      <w:pPr>
        <w:pStyle w:val="10"/>
        <w:spacing w:line="440" w:lineRule="exact"/>
        <w:ind w:firstLine="137"/>
        <w:rPr>
          <w:rFonts w:ascii="Times New Roman" w:hAnsi="Times New Roman"/>
        </w:rPr>
      </w:pPr>
      <w:r>
        <w:rPr>
          <w:rFonts w:ascii="Times New Roman" w:hAnsi="Times New Roman"/>
        </w:rPr>
        <w:t xml:space="preserve">2.2 </w:t>
      </w:r>
      <w:r>
        <w:rPr>
          <w:rFonts w:hint="eastAsia" w:ascii="Times New Roman" w:hAnsi="Times New Roman"/>
        </w:rPr>
        <w:t>分值构成与评分标准</w:t>
      </w:r>
    </w:p>
    <w:p>
      <w:pPr>
        <w:spacing w:line="440" w:lineRule="exact"/>
        <w:ind w:firstLine="420" w:firstLineChars="200"/>
        <w:rPr>
          <w:rFonts w:ascii="Times New Roman" w:hAnsi="Times New Roman"/>
        </w:rPr>
      </w:pPr>
      <w:r>
        <w:rPr>
          <w:rFonts w:ascii="Times New Roman" w:hAnsi="Times New Roman"/>
        </w:rPr>
        <w:t>2.2.1 分值构成</w:t>
      </w:r>
    </w:p>
    <w:p>
      <w:pPr>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商务</w:t>
      </w:r>
      <w:r>
        <w:rPr>
          <w:rFonts w:ascii="Times New Roman" w:hAnsi="Times New Roman"/>
        </w:rPr>
        <w:t>部分：见评标办法前附表；</w:t>
      </w:r>
    </w:p>
    <w:p>
      <w:pPr>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技术部分</w:t>
      </w:r>
      <w:r>
        <w:rPr>
          <w:rFonts w:ascii="Times New Roman" w:hAnsi="Times New Roman"/>
        </w:rPr>
        <w:t>：见评标办法前附表；</w:t>
      </w:r>
    </w:p>
    <w:p>
      <w:pPr>
        <w:spacing w:line="440" w:lineRule="exact"/>
        <w:ind w:firstLine="420" w:firstLineChars="200"/>
        <w:rPr>
          <w:rFonts w:ascii="Times New Roman" w:hAnsi="Times New Roman"/>
        </w:rPr>
      </w:pPr>
      <w:r>
        <w:rPr>
          <w:rFonts w:hint="eastAsia" w:ascii="Times New Roman" w:hAnsi="Times New Roman"/>
        </w:rPr>
        <w:t>（3）投标报价：见评标办法前附表</w:t>
      </w:r>
    </w:p>
    <w:p>
      <w:pPr>
        <w:spacing w:line="440" w:lineRule="exact"/>
        <w:ind w:firstLine="420" w:firstLineChars="200"/>
        <w:rPr>
          <w:rFonts w:ascii="Times New Roman" w:hAnsi="Times New Roman"/>
        </w:rPr>
      </w:pPr>
      <w:r>
        <w:rPr>
          <w:rFonts w:hint="eastAsia" w:ascii="Times New Roman" w:hAnsi="Times New Roman"/>
        </w:rPr>
        <w:t>（4）</w:t>
      </w:r>
      <w:r>
        <w:rPr>
          <w:rFonts w:ascii="Times New Roman" w:hAnsi="Times New Roman"/>
        </w:rPr>
        <w:t>其他评分因素：见评标办法前附表。</w:t>
      </w:r>
    </w:p>
    <w:p>
      <w:pPr>
        <w:spacing w:line="440" w:lineRule="exact"/>
        <w:ind w:firstLine="420" w:firstLineChars="200"/>
        <w:rPr>
          <w:rFonts w:ascii="Times New Roman" w:hAnsi="Times New Roman"/>
        </w:rPr>
      </w:pPr>
      <w:r>
        <w:rPr>
          <w:rFonts w:ascii="Times New Roman" w:hAnsi="Times New Roman"/>
        </w:rPr>
        <w:t>2.2.2 评标基准价计算</w:t>
      </w:r>
    </w:p>
    <w:p>
      <w:pPr>
        <w:spacing w:line="440" w:lineRule="exact"/>
        <w:ind w:firstLine="420" w:firstLineChars="200"/>
        <w:rPr>
          <w:rFonts w:ascii="Times New Roman" w:hAnsi="Times New Roman"/>
        </w:rPr>
      </w:pPr>
      <w:r>
        <w:rPr>
          <w:rFonts w:ascii="Times New Roman" w:hAnsi="Times New Roman"/>
        </w:rPr>
        <w:t>评标基准价计算方法：见评标办法前附表。</w:t>
      </w:r>
    </w:p>
    <w:p>
      <w:pPr>
        <w:spacing w:line="440" w:lineRule="exact"/>
        <w:ind w:firstLine="420" w:firstLineChars="200"/>
        <w:rPr>
          <w:rFonts w:ascii="Times New Roman" w:hAnsi="Times New Roman"/>
        </w:rPr>
      </w:pPr>
      <w:r>
        <w:rPr>
          <w:rFonts w:ascii="Times New Roman" w:hAnsi="Times New Roman"/>
        </w:rPr>
        <w:t>2.2.3 投标报价的偏差率计算</w:t>
      </w:r>
    </w:p>
    <w:p>
      <w:pPr>
        <w:spacing w:line="440" w:lineRule="exact"/>
        <w:ind w:firstLine="420" w:firstLineChars="200"/>
        <w:rPr>
          <w:rFonts w:ascii="Times New Roman" w:hAnsi="Times New Roman"/>
        </w:rPr>
      </w:pPr>
      <w:r>
        <w:rPr>
          <w:rFonts w:ascii="Times New Roman" w:hAnsi="Times New Roman"/>
        </w:rPr>
        <w:t>投标报价的偏差率计算公式：见评标办法前附表。</w:t>
      </w:r>
    </w:p>
    <w:p>
      <w:pPr>
        <w:spacing w:line="440" w:lineRule="exact"/>
        <w:ind w:firstLine="420" w:firstLineChars="200"/>
        <w:rPr>
          <w:rFonts w:ascii="Times New Roman" w:hAnsi="Times New Roman"/>
        </w:rPr>
      </w:pPr>
      <w:r>
        <w:rPr>
          <w:rFonts w:ascii="Times New Roman" w:hAnsi="Times New Roman"/>
        </w:rPr>
        <w:t>2.2.4 评分标准</w:t>
      </w:r>
    </w:p>
    <w:p>
      <w:pPr>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商务部分</w:t>
      </w:r>
      <w:r>
        <w:rPr>
          <w:rFonts w:ascii="Times New Roman" w:hAnsi="Times New Roman"/>
        </w:rPr>
        <w:t>评分标准：见评标办法前附表；</w:t>
      </w:r>
    </w:p>
    <w:p>
      <w:pPr>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技术部分评分标准：见评标办法前附表</w:t>
      </w:r>
      <w:r>
        <w:rPr>
          <w:rFonts w:ascii="Times New Roman" w:hAnsi="Times New Roman"/>
        </w:rPr>
        <w:t>；</w:t>
      </w:r>
    </w:p>
    <w:p>
      <w:pPr>
        <w:spacing w:line="440" w:lineRule="exact"/>
        <w:ind w:firstLine="420" w:firstLineChars="200"/>
        <w:rPr>
          <w:rFonts w:ascii="Times New Roman" w:hAnsi="Times New Roman"/>
        </w:rPr>
      </w:pPr>
      <w:r>
        <w:rPr>
          <w:rFonts w:hint="eastAsia" w:ascii="Times New Roman" w:hAnsi="Times New Roman"/>
        </w:rPr>
        <w:t>（3）投标报价评分标准：见评标办法前附表；</w:t>
      </w:r>
    </w:p>
    <w:p>
      <w:pPr>
        <w:spacing w:line="440" w:lineRule="exact"/>
        <w:ind w:firstLine="420" w:firstLineChars="200"/>
        <w:rPr>
          <w:rFonts w:ascii="Times New Roman" w:hAnsi="Times New Roman"/>
        </w:rPr>
      </w:pPr>
      <w:r>
        <w:rPr>
          <w:rFonts w:hint="eastAsia" w:ascii="Times New Roman" w:hAnsi="Times New Roman"/>
        </w:rPr>
        <w:t>（4）</w:t>
      </w:r>
      <w:r>
        <w:rPr>
          <w:rFonts w:ascii="Times New Roman" w:hAnsi="Times New Roman"/>
        </w:rPr>
        <w:t>其他因素评分标准：见评标办法前附表。</w:t>
      </w:r>
    </w:p>
    <w:p>
      <w:pPr>
        <w:pStyle w:val="9"/>
        <w:spacing w:line="440" w:lineRule="exact"/>
        <w:rPr>
          <w:rFonts w:ascii="Times New Roman" w:hAnsi="Times New Roman"/>
        </w:rPr>
      </w:pPr>
      <w:bookmarkStart w:id="411" w:name="_Toc14106"/>
      <w:r>
        <w:rPr>
          <w:rFonts w:ascii="Times New Roman" w:hAnsi="Times New Roman"/>
        </w:rPr>
        <w:t xml:space="preserve">3. </w:t>
      </w:r>
      <w:r>
        <w:rPr>
          <w:rFonts w:hint="eastAsia" w:ascii="Times New Roman" w:hAnsi="Times New Roman"/>
        </w:rPr>
        <w:t>评标程序</w:t>
      </w:r>
      <w:bookmarkEnd w:id="411"/>
    </w:p>
    <w:p>
      <w:pPr>
        <w:pStyle w:val="10"/>
        <w:spacing w:line="440" w:lineRule="exact"/>
        <w:ind w:firstLine="137"/>
        <w:rPr>
          <w:rFonts w:ascii="Times New Roman" w:hAnsi="Times New Roman"/>
        </w:rPr>
      </w:pPr>
      <w:r>
        <w:rPr>
          <w:rFonts w:ascii="Times New Roman" w:hAnsi="Times New Roman"/>
        </w:rPr>
        <w:t xml:space="preserve">3.1 </w:t>
      </w:r>
      <w:r>
        <w:rPr>
          <w:rFonts w:hint="eastAsia" w:ascii="Times New Roman" w:hAnsi="Times New Roman"/>
        </w:rPr>
        <w:t>初步评审</w:t>
      </w:r>
    </w:p>
    <w:p>
      <w:pPr>
        <w:spacing w:line="440" w:lineRule="exact"/>
        <w:ind w:firstLine="420" w:firstLineChars="200"/>
        <w:rPr>
          <w:rFonts w:ascii="Times New Roman" w:hAnsi="Times New Roman"/>
        </w:rPr>
      </w:pPr>
      <w:r>
        <w:rPr>
          <w:rFonts w:ascii="Times New Roman" w:hAnsi="Times New Roma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440" w:lineRule="exact"/>
        <w:ind w:firstLine="420" w:firstLineChars="200"/>
        <w:rPr>
          <w:rFonts w:ascii="Times New Roman" w:hAnsi="Times New Roman"/>
        </w:rPr>
      </w:pPr>
      <w:r>
        <w:rPr>
          <w:rFonts w:ascii="Times New Roman" w:hAnsi="Times New Roman"/>
        </w:rPr>
        <w:t>3.1.2 投标人有以下情形之一的，评标委员会应当否决其投标：</w:t>
      </w:r>
    </w:p>
    <w:p>
      <w:pPr>
        <w:spacing w:line="440" w:lineRule="exact"/>
        <w:ind w:firstLine="420" w:firstLineChars="200"/>
        <w:rPr>
          <w:rFonts w:ascii="Times New Roman" w:hAnsi="Times New Roman"/>
        </w:rPr>
      </w:pPr>
      <w:r>
        <w:rPr>
          <w:rFonts w:ascii="Times New Roman" w:hAnsi="Times New Roman"/>
        </w:rPr>
        <w:t>（1）投标文件没有对招标文件的实质性要求和条件作出响应，或者对招标文件的偏差超出招标文件规定的偏差范围或最高项数；</w:t>
      </w:r>
    </w:p>
    <w:p>
      <w:pPr>
        <w:spacing w:line="440" w:lineRule="exact"/>
        <w:ind w:firstLine="420" w:firstLineChars="200"/>
        <w:rPr>
          <w:rFonts w:ascii="Times New Roman" w:hAnsi="Times New Roman"/>
        </w:rPr>
      </w:pPr>
      <w:r>
        <w:rPr>
          <w:rFonts w:ascii="Times New Roman" w:hAnsi="Times New Roman"/>
        </w:rPr>
        <w:t>（2）有串通投标、弄虚作假、行贿等违法行为。</w:t>
      </w:r>
    </w:p>
    <w:p>
      <w:pPr>
        <w:spacing w:line="440" w:lineRule="exact"/>
        <w:ind w:firstLine="420" w:firstLineChars="200"/>
        <w:rPr>
          <w:rFonts w:ascii="Times New Roman" w:hAnsi="Times New Roman"/>
        </w:rPr>
      </w:pPr>
      <w:r>
        <w:rPr>
          <w:rFonts w:ascii="Times New Roman" w:hAnsi="Times New Roman"/>
        </w:rPr>
        <w:t>3.1.3 投标报价有算术错误及其他错误的，评标委员会按以下原则要求投标人对投标报价进</w:t>
      </w:r>
      <w:bookmarkStart w:id="412" w:name="_Toc384308277"/>
      <w:bookmarkStart w:id="413" w:name="_Toc300835013"/>
      <w:bookmarkStart w:id="414" w:name="_Toc144974570"/>
      <w:bookmarkStart w:id="415" w:name="_Toc352691538"/>
      <w:bookmarkStart w:id="416" w:name="_Toc247527628"/>
      <w:bookmarkStart w:id="417" w:name="_Toc152042380"/>
      <w:bookmarkStart w:id="418" w:name="_Toc369531582"/>
      <w:bookmarkStart w:id="419" w:name="_Toc247514027"/>
      <w:bookmarkStart w:id="420" w:name="_Toc152045603"/>
      <w:bookmarkStart w:id="421" w:name="_Toc2907"/>
      <w:bookmarkStart w:id="422" w:name="_Toc361508651"/>
      <w:r>
        <w:rPr>
          <w:rFonts w:ascii="Times New Roman" w:hAnsi="Times New Roman"/>
        </w:rPr>
        <w:t>行修正，并要求投标人书面澄清确认。</w:t>
      </w:r>
      <w:bookmarkEnd w:id="412"/>
      <w:bookmarkEnd w:id="413"/>
      <w:bookmarkEnd w:id="414"/>
      <w:bookmarkEnd w:id="415"/>
      <w:bookmarkEnd w:id="416"/>
      <w:bookmarkEnd w:id="417"/>
      <w:bookmarkEnd w:id="418"/>
      <w:bookmarkEnd w:id="419"/>
      <w:bookmarkEnd w:id="420"/>
      <w:bookmarkEnd w:id="421"/>
      <w:bookmarkEnd w:id="422"/>
      <w:r>
        <w:rPr>
          <w:rFonts w:ascii="Times New Roman" w:hAnsi="Times New Roman"/>
        </w:rPr>
        <w:t>投标人拒不澄清确认的，评标委员会应当否决其投标：</w:t>
      </w:r>
    </w:p>
    <w:p>
      <w:pPr>
        <w:spacing w:line="440" w:lineRule="exact"/>
        <w:ind w:firstLine="420" w:firstLineChars="200"/>
        <w:rPr>
          <w:rFonts w:ascii="Times New Roman" w:hAnsi="Times New Roman"/>
        </w:rPr>
      </w:pPr>
      <w:r>
        <w:rPr>
          <w:rFonts w:ascii="Times New Roman" w:hAnsi="Times New Roman"/>
        </w:rPr>
        <w:t>（1）投标文件中的大写金额与小写金额不一致的，以大写金额为准；</w:t>
      </w:r>
    </w:p>
    <w:p>
      <w:pPr>
        <w:spacing w:line="440" w:lineRule="exact"/>
        <w:ind w:firstLine="420" w:firstLineChars="200"/>
        <w:rPr>
          <w:rFonts w:ascii="Times New Roman" w:hAnsi="Times New Roman"/>
        </w:rPr>
      </w:pPr>
      <w:r>
        <w:rPr>
          <w:rFonts w:ascii="Times New Roman" w:hAnsi="Times New Roman"/>
        </w:rPr>
        <w:t>（2）总价金额与单价金额不一致的，以单价金额为准，但单价金额小数点有明显错误的除外</w:t>
      </w:r>
      <w:r>
        <w:rPr>
          <w:rFonts w:hint="eastAsia" w:ascii="Times New Roman" w:hAnsi="Times New Roman"/>
        </w:rPr>
        <w:t>。</w:t>
      </w:r>
    </w:p>
    <w:p>
      <w:pPr>
        <w:pStyle w:val="10"/>
        <w:spacing w:line="440" w:lineRule="exact"/>
        <w:ind w:firstLine="137"/>
        <w:rPr>
          <w:rFonts w:ascii="Times New Roman" w:hAnsi="Times New Roman"/>
        </w:rPr>
      </w:pPr>
      <w:r>
        <w:rPr>
          <w:rFonts w:ascii="Times New Roman" w:hAnsi="Times New Roman"/>
        </w:rPr>
        <w:t xml:space="preserve">3.2 </w:t>
      </w:r>
      <w:r>
        <w:rPr>
          <w:rFonts w:hint="eastAsia" w:ascii="Times New Roman" w:hAnsi="Times New Roman"/>
        </w:rPr>
        <w:t>详细评审</w:t>
      </w:r>
    </w:p>
    <w:p>
      <w:pPr>
        <w:spacing w:line="440" w:lineRule="exact"/>
        <w:ind w:firstLine="420" w:firstLineChars="200"/>
        <w:rPr>
          <w:rFonts w:ascii="Times New Roman" w:hAnsi="Times New Roman"/>
        </w:rPr>
      </w:pPr>
      <w:r>
        <w:rPr>
          <w:rFonts w:ascii="Times New Roman" w:hAnsi="Times New Roman"/>
        </w:rPr>
        <w:t>3.2.1 评标委员会按本章第2.2款规定的量化因素和分值进行打分，并计算出综合评估得分。</w:t>
      </w:r>
    </w:p>
    <w:p>
      <w:pPr>
        <w:spacing w:line="440" w:lineRule="exact"/>
        <w:ind w:firstLine="420" w:firstLineChars="200"/>
        <w:rPr>
          <w:rFonts w:ascii="Times New Roman" w:hAnsi="Times New Roman"/>
        </w:rPr>
      </w:pPr>
      <w:r>
        <w:rPr>
          <w:rFonts w:ascii="Times New Roman" w:hAnsi="Times New Roman"/>
        </w:rPr>
        <w:t>（1）按本章第2.2.4（1）目规定的评审因素和分值对</w:t>
      </w:r>
      <w:r>
        <w:rPr>
          <w:rFonts w:hint="eastAsia" w:ascii="Times New Roman" w:hAnsi="Times New Roman"/>
        </w:rPr>
        <w:t>商务</w:t>
      </w:r>
      <w:r>
        <w:rPr>
          <w:rFonts w:ascii="Times New Roman" w:hAnsi="Times New Roman"/>
        </w:rPr>
        <w:t>部分计算出得分A；</w:t>
      </w:r>
    </w:p>
    <w:p>
      <w:pPr>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按本章第2.2.4（2）目规定的评审因素和分值对技术部分计算出得分B</w:t>
      </w:r>
      <w:r>
        <w:rPr>
          <w:rFonts w:ascii="Times New Roman" w:hAnsi="Times New Roman"/>
        </w:rPr>
        <w:t>；</w:t>
      </w:r>
    </w:p>
    <w:p>
      <w:pPr>
        <w:spacing w:line="440" w:lineRule="exact"/>
        <w:ind w:firstLine="420" w:firstLineChars="200"/>
        <w:rPr>
          <w:rFonts w:ascii="Times New Roman" w:hAnsi="Times New Roman"/>
        </w:rPr>
      </w:pPr>
      <w:r>
        <w:rPr>
          <w:rFonts w:hint="eastAsia" w:ascii="Times New Roman" w:hAnsi="Times New Roman"/>
        </w:rPr>
        <w:t>（3）按本章第2.2.4（3）目规定的评审因素和分值对投标报价部分计算出得分C。</w:t>
      </w:r>
    </w:p>
    <w:p>
      <w:pPr>
        <w:spacing w:line="440" w:lineRule="exact"/>
        <w:ind w:firstLine="420" w:firstLineChars="200"/>
        <w:rPr>
          <w:rFonts w:ascii="Times New Roman" w:hAnsi="Times New Roman"/>
        </w:rPr>
      </w:pPr>
      <w:r>
        <w:rPr>
          <w:rFonts w:ascii="Times New Roman" w:hAnsi="Times New Roman"/>
        </w:rPr>
        <w:t>3.2.2 评分分值计算保留小数点后两位，小数点后第三位“四舍五入”。</w:t>
      </w:r>
    </w:p>
    <w:p>
      <w:pPr>
        <w:spacing w:line="440" w:lineRule="exact"/>
        <w:ind w:firstLine="420" w:firstLineChars="200"/>
        <w:rPr>
          <w:rFonts w:ascii="Times New Roman" w:hAnsi="Times New Roman"/>
        </w:rPr>
      </w:pPr>
      <w:r>
        <w:rPr>
          <w:rFonts w:ascii="Times New Roman" w:hAnsi="Times New Roman"/>
        </w:rPr>
        <w:t>3.2.3 投标人得分=A+B</w:t>
      </w:r>
      <w:r>
        <w:rPr>
          <w:rFonts w:hint="eastAsia" w:ascii="Times New Roman" w:hAnsi="Times New Roman"/>
        </w:rPr>
        <w:t>+C</w:t>
      </w:r>
      <w:r>
        <w:rPr>
          <w:rFonts w:ascii="Times New Roman" w:hAnsi="Times New Roman"/>
        </w:rPr>
        <w:t>。</w:t>
      </w:r>
    </w:p>
    <w:p>
      <w:pPr>
        <w:spacing w:line="440" w:lineRule="exact"/>
        <w:ind w:firstLine="420" w:firstLineChars="200"/>
        <w:rPr>
          <w:rFonts w:ascii="Times New Roman" w:hAnsi="Times New Roman"/>
        </w:rPr>
      </w:pPr>
      <w:r>
        <w:rPr>
          <w:rFonts w:ascii="Times New Roman" w:hAnsi="Times New Roma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10"/>
        <w:spacing w:line="440" w:lineRule="exact"/>
        <w:ind w:firstLine="137"/>
        <w:rPr>
          <w:rFonts w:ascii="Times New Roman" w:hAnsi="Times New Roman"/>
        </w:rPr>
      </w:pPr>
      <w:r>
        <w:rPr>
          <w:rFonts w:ascii="Times New Roman" w:hAnsi="Times New Roman"/>
        </w:rPr>
        <w:t xml:space="preserve">3.3 </w:t>
      </w:r>
      <w:r>
        <w:rPr>
          <w:rFonts w:hint="eastAsia" w:ascii="Times New Roman" w:hAnsi="Times New Roman"/>
        </w:rPr>
        <w:t>投标文件的澄清</w:t>
      </w:r>
    </w:p>
    <w:p>
      <w:pPr>
        <w:spacing w:line="440" w:lineRule="exact"/>
        <w:ind w:firstLine="420" w:firstLineChars="200"/>
        <w:rPr>
          <w:rFonts w:ascii="Times New Roman" w:hAnsi="Times New Roman"/>
        </w:rPr>
      </w:pPr>
      <w:r>
        <w:rPr>
          <w:rFonts w:ascii="Times New Roman" w:hAnsi="Times New Roma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40" w:lineRule="exact"/>
        <w:ind w:firstLine="420" w:firstLineChars="200"/>
        <w:rPr>
          <w:rFonts w:ascii="Times New Roman" w:hAnsi="Times New Roman"/>
        </w:rPr>
      </w:pPr>
      <w:r>
        <w:rPr>
          <w:rFonts w:ascii="Times New Roman" w:hAnsi="Times New Roman"/>
        </w:rPr>
        <w:t>3.3.2 澄清、说明或补正不得超出投标文件的范围且不得改变投标文件的实质性内容，并构成投标文件的组成部分。</w:t>
      </w:r>
    </w:p>
    <w:p>
      <w:pPr>
        <w:spacing w:line="440" w:lineRule="exact"/>
        <w:ind w:firstLine="420" w:firstLineChars="200"/>
        <w:rPr>
          <w:rFonts w:ascii="Times New Roman" w:hAnsi="Times New Roman"/>
        </w:rPr>
      </w:pPr>
      <w:r>
        <w:rPr>
          <w:rFonts w:ascii="Times New Roman" w:hAnsi="Times New Roman"/>
        </w:rPr>
        <w:t>3.3.3 评标委员会对投标人提交的澄清、说明或补正有疑问的，可以要求投标人进一步澄清、说明或补正，直至满足评标委员会的要求。</w:t>
      </w:r>
    </w:p>
    <w:p>
      <w:pPr>
        <w:pStyle w:val="10"/>
        <w:spacing w:line="440" w:lineRule="exact"/>
        <w:ind w:firstLine="137"/>
        <w:rPr>
          <w:rFonts w:ascii="Times New Roman" w:hAnsi="Times New Roman"/>
        </w:rPr>
      </w:pPr>
      <w:r>
        <w:rPr>
          <w:rFonts w:ascii="Times New Roman" w:hAnsi="Times New Roman"/>
        </w:rPr>
        <w:t xml:space="preserve">3.4 </w:t>
      </w:r>
      <w:r>
        <w:rPr>
          <w:rFonts w:hint="eastAsia" w:ascii="Times New Roman" w:hAnsi="Times New Roman"/>
        </w:rPr>
        <w:t>评标结果</w:t>
      </w:r>
    </w:p>
    <w:p>
      <w:pPr>
        <w:spacing w:line="440" w:lineRule="exact"/>
        <w:ind w:firstLine="420" w:firstLineChars="200"/>
        <w:rPr>
          <w:rFonts w:ascii="Times New Roman" w:hAnsi="Times New Roman"/>
        </w:rPr>
      </w:pPr>
      <w:r>
        <w:rPr>
          <w:rFonts w:ascii="Times New Roman" w:hAnsi="Times New Roman"/>
        </w:rPr>
        <w:t>3.4.1 除第二章“投标人须知”前附表授权直接确定中标人外，评标委员会按照得分由高到低的顺序推荐中标候选人，并标明排序。</w:t>
      </w:r>
    </w:p>
    <w:p>
      <w:pPr>
        <w:spacing w:line="440" w:lineRule="exact"/>
        <w:ind w:firstLine="420" w:firstLineChars="200"/>
        <w:rPr>
          <w:rFonts w:ascii="Times New Roman" w:hAnsi="Times New Roman"/>
        </w:rPr>
      </w:pPr>
      <w:r>
        <w:rPr>
          <w:rFonts w:ascii="Times New Roman" w:hAnsi="Times New Roman"/>
        </w:rPr>
        <w:t>3.4.2 评标委员会完成评标后，应当向招标人提交书面评标报告和中标候选人名单。</w:t>
      </w:r>
    </w:p>
    <w:p>
      <w:pPr>
        <w:spacing w:line="440" w:lineRule="exact"/>
      </w:pPr>
      <w:r>
        <w:br w:type="page"/>
      </w:r>
    </w:p>
    <w:p>
      <w:pPr>
        <w:spacing w:line="440" w:lineRule="exact"/>
        <w:jc w:val="center"/>
        <w:rPr>
          <w:rFonts w:ascii="仿宋_GB2312" w:eastAsia="仿宋_GB2312"/>
          <w:b/>
          <w:bCs/>
          <w:sz w:val="52"/>
          <w:szCs w:val="52"/>
          <w:u w:val="single"/>
        </w:rPr>
      </w:pPr>
    </w:p>
    <w:p>
      <w:pPr>
        <w:pStyle w:val="8"/>
        <w:spacing w:line="440" w:lineRule="exact"/>
        <w:jc w:val="center"/>
      </w:pPr>
      <w:bookmarkStart w:id="423" w:name="_Toc22597"/>
      <w:r>
        <w:rPr>
          <w:rFonts w:hint="eastAsia"/>
        </w:rPr>
        <w:t>第四章合同条款及格式</w:t>
      </w:r>
      <w:bookmarkEnd w:id="423"/>
    </w:p>
    <w:p>
      <w:pPr>
        <w:spacing w:line="440" w:lineRule="exact"/>
      </w:pPr>
    </w:p>
    <w:p>
      <w:pPr>
        <w:widowControl/>
        <w:spacing w:line="440" w:lineRule="exact"/>
        <w:jc w:val="left"/>
        <w:rPr>
          <w:rFonts w:ascii="仿宋_GB2312" w:eastAsia="仿宋_GB2312"/>
          <w:b/>
          <w:bCs/>
          <w:sz w:val="32"/>
          <w:szCs w:val="32"/>
        </w:rPr>
      </w:pPr>
    </w:p>
    <w:p>
      <w:pPr>
        <w:adjustRightInd w:val="0"/>
        <w:snapToGrid w:val="0"/>
        <w:spacing w:line="360" w:lineRule="auto"/>
        <w:jc w:val="center"/>
        <w:rPr>
          <w:rFonts w:ascii="宋体" w:hAnsi="宋体" w:cs="宋体"/>
          <w:b/>
          <w:spacing w:val="20"/>
          <w:sz w:val="36"/>
          <w:szCs w:val="36"/>
        </w:rPr>
      </w:pPr>
      <w:bookmarkStart w:id="424" w:name="_Toc246997081"/>
      <w:bookmarkStart w:id="425" w:name="_Toc247085853"/>
      <w:bookmarkStart w:id="426" w:name="_Toc246996338"/>
      <w:bookmarkStart w:id="427" w:name="_Toc179632787"/>
      <w:bookmarkStart w:id="428" w:name="_Toc152042549"/>
      <w:bookmarkStart w:id="429" w:name="_Toc152045610"/>
      <w:bookmarkStart w:id="430" w:name="_Toc152042388"/>
      <w:bookmarkStart w:id="431" w:name="_Toc144974578"/>
      <w:bookmarkStart w:id="432" w:name="_Toc247527798"/>
      <w:bookmarkStart w:id="433" w:name="_Toc247514197"/>
      <w:bookmarkStart w:id="434" w:name="_Toc300835199"/>
      <w:bookmarkStart w:id="435" w:name="_Toc144974829"/>
      <w:bookmarkStart w:id="436" w:name="_Toc184635122"/>
      <w:r>
        <w:rPr>
          <w:rFonts w:hint="eastAsia" w:ascii="宋体" w:hAnsi="宋体" w:cs="宋体"/>
          <w:b/>
          <w:spacing w:val="20"/>
          <w:sz w:val="36"/>
          <w:szCs w:val="36"/>
        </w:rPr>
        <w:t>潮州港亚太通用码头智慧环保改造工程生产业务管理系统建设项目</w:t>
      </w:r>
    </w:p>
    <w:p>
      <w:pPr>
        <w:adjustRightInd w:val="0"/>
        <w:snapToGrid w:val="0"/>
        <w:spacing w:line="360" w:lineRule="auto"/>
        <w:jc w:val="center"/>
        <w:rPr>
          <w:rFonts w:ascii="宋体" w:hAnsi="宋体" w:cs="宋体"/>
          <w:b/>
          <w:sz w:val="48"/>
          <w:szCs w:val="48"/>
        </w:rPr>
      </w:pPr>
    </w:p>
    <w:p>
      <w:pPr>
        <w:adjustRightInd w:val="0"/>
        <w:snapToGrid w:val="0"/>
        <w:spacing w:line="360" w:lineRule="auto"/>
        <w:jc w:val="center"/>
        <w:rPr>
          <w:rFonts w:ascii="宋体" w:hAnsi="宋体" w:cs="宋体"/>
          <w:b/>
          <w:sz w:val="48"/>
          <w:szCs w:val="48"/>
        </w:rPr>
      </w:pPr>
    </w:p>
    <w:p>
      <w:pPr>
        <w:adjustRightInd w:val="0"/>
        <w:snapToGrid w:val="0"/>
        <w:spacing w:line="360" w:lineRule="auto"/>
        <w:jc w:val="center"/>
        <w:rPr>
          <w:rFonts w:ascii="宋体" w:hAnsi="宋体" w:cs="宋体"/>
          <w:b/>
          <w:spacing w:val="200"/>
          <w:sz w:val="72"/>
          <w:szCs w:val="72"/>
        </w:rPr>
      </w:pPr>
      <w:r>
        <w:rPr>
          <w:rFonts w:hint="eastAsia" w:ascii="宋体" w:hAnsi="宋体" w:cs="宋体"/>
          <w:b/>
          <w:spacing w:val="200"/>
          <w:sz w:val="72"/>
          <w:szCs w:val="72"/>
        </w:rPr>
        <w:t>合同书</w:t>
      </w:r>
    </w:p>
    <w:p>
      <w:pPr>
        <w:adjustRightInd w:val="0"/>
        <w:snapToGrid w:val="0"/>
        <w:spacing w:line="360" w:lineRule="auto"/>
        <w:jc w:val="center"/>
        <w:rPr>
          <w:rFonts w:ascii="宋体" w:hAnsi="宋体" w:cs="宋体"/>
          <w:b/>
          <w:sz w:val="32"/>
        </w:rPr>
      </w:pPr>
    </w:p>
    <w:p>
      <w:pPr>
        <w:adjustRightInd w:val="0"/>
        <w:snapToGrid w:val="0"/>
        <w:spacing w:line="360" w:lineRule="auto"/>
        <w:jc w:val="center"/>
        <w:rPr>
          <w:rFonts w:ascii="宋体" w:hAnsi="宋体" w:cs="宋体"/>
          <w:b/>
          <w:sz w:val="32"/>
        </w:rPr>
      </w:pPr>
    </w:p>
    <w:p>
      <w:pPr>
        <w:adjustRightInd w:val="0"/>
        <w:snapToGrid w:val="0"/>
        <w:spacing w:line="360" w:lineRule="auto"/>
        <w:ind w:left="1680"/>
        <w:rPr>
          <w:rFonts w:ascii="宋体" w:hAnsi="宋体" w:cs="宋体"/>
          <w:b/>
          <w:sz w:val="28"/>
          <w:u w:val="single"/>
        </w:rPr>
      </w:pPr>
      <w:r>
        <w:rPr>
          <w:rFonts w:hint="eastAsia" w:ascii="宋体" w:hAnsi="宋体" w:cs="宋体"/>
          <w:b/>
          <w:sz w:val="28"/>
        </w:rPr>
        <w:t>项目名称：</w:t>
      </w:r>
      <w:r>
        <w:rPr>
          <w:rFonts w:hint="eastAsia" w:ascii="宋体" w:hAnsi="宋体" w:cs="宋体"/>
          <w:b/>
          <w:sz w:val="28"/>
          <w:u w:val="single"/>
        </w:rPr>
        <w:t xml:space="preserve">                           </w:t>
      </w:r>
    </w:p>
    <w:p>
      <w:pPr>
        <w:adjustRightInd w:val="0"/>
        <w:snapToGrid w:val="0"/>
        <w:spacing w:line="360" w:lineRule="auto"/>
        <w:ind w:left="1680"/>
        <w:rPr>
          <w:rFonts w:ascii="宋体" w:hAnsi="宋体" w:cs="宋体"/>
          <w:b/>
          <w:sz w:val="28"/>
        </w:rPr>
      </w:pPr>
      <w:r>
        <w:rPr>
          <w:rFonts w:hint="eastAsia" w:ascii="宋体" w:hAnsi="宋体" w:cs="宋体"/>
          <w:b/>
          <w:sz w:val="28"/>
        </w:rPr>
        <w:t>合同编号：</w:t>
      </w:r>
      <w:r>
        <w:rPr>
          <w:rFonts w:hint="eastAsia" w:ascii="宋体" w:hAnsi="宋体" w:cs="宋体"/>
          <w:b/>
          <w:sz w:val="28"/>
          <w:u w:val="single"/>
        </w:rPr>
        <w:t xml:space="preserve">                           </w:t>
      </w:r>
    </w:p>
    <w:p>
      <w:pPr>
        <w:adjustRightInd w:val="0"/>
        <w:snapToGrid w:val="0"/>
        <w:spacing w:line="360" w:lineRule="auto"/>
        <w:ind w:left="1680"/>
        <w:rPr>
          <w:rFonts w:ascii="宋体" w:hAnsi="宋体" w:cs="宋体"/>
          <w:b/>
          <w:sz w:val="28"/>
        </w:rPr>
      </w:pPr>
      <w:r>
        <w:rPr>
          <w:rFonts w:hint="eastAsia" w:ascii="宋体" w:hAnsi="宋体" w:cs="宋体"/>
          <w:b/>
          <w:sz w:val="28"/>
        </w:rPr>
        <w:t>签约地点：</w:t>
      </w:r>
      <w:r>
        <w:rPr>
          <w:rFonts w:hint="eastAsia" w:ascii="宋体" w:hAnsi="宋体" w:cs="宋体"/>
          <w:b/>
          <w:sz w:val="28"/>
          <w:u w:val="single"/>
        </w:rPr>
        <w:t xml:space="preserve">                           </w:t>
      </w:r>
    </w:p>
    <w:p>
      <w:pPr>
        <w:adjustRightInd w:val="0"/>
        <w:snapToGrid w:val="0"/>
        <w:spacing w:line="360" w:lineRule="auto"/>
        <w:ind w:left="1680"/>
        <w:rPr>
          <w:rFonts w:ascii="宋体" w:hAnsi="宋体" w:cs="宋体"/>
          <w:b/>
          <w:sz w:val="28"/>
        </w:rPr>
      </w:pPr>
      <w:r>
        <w:rPr>
          <w:rFonts w:hint="eastAsia" w:ascii="宋体" w:hAnsi="宋体" w:cs="宋体"/>
          <w:b/>
          <w:sz w:val="28"/>
        </w:rPr>
        <w:t>签订日期：       年    月     日</w:t>
      </w:r>
    </w:p>
    <w:p>
      <w:pPr>
        <w:adjustRightInd w:val="0"/>
        <w:snapToGrid w:val="0"/>
        <w:spacing w:line="360" w:lineRule="auto"/>
        <w:ind w:right="-1"/>
        <w:jc w:val="left"/>
        <w:rPr>
          <w:rFonts w:ascii="宋体" w:hAnsi="宋体" w:cs="宋体"/>
          <w:szCs w:val="21"/>
        </w:rPr>
      </w:pPr>
    </w:p>
    <w:p>
      <w:pPr>
        <w:spacing w:line="360" w:lineRule="auto"/>
        <w:rPr>
          <w:rFonts w:ascii="宋体" w:hAnsi="宋体" w:cs="宋体"/>
          <w:kern w:val="0"/>
          <w:position w:val="-2"/>
          <w:szCs w:val="21"/>
          <w:lang w:bidi="ar"/>
        </w:rPr>
      </w:pPr>
    </w:p>
    <w:p>
      <w:pPr>
        <w:spacing w:line="360" w:lineRule="auto"/>
        <w:rPr>
          <w:rFonts w:ascii="宋体" w:hAnsi="宋体" w:cs="宋体"/>
          <w:kern w:val="0"/>
          <w:position w:val="-2"/>
          <w:szCs w:val="21"/>
          <w:lang w:bidi="ar"/>
        </w:rPr>
      </w:pPr>
      <w:r>
        <w:rPr>
          <w:rFonts w:hint="eastAsia" w:ascii="宋体" w:hAnsi="宋体" w:cs="宋体"/>
          <w:kern w:val="0"/>
          <w:position w:val="-2"/>
          <w:szCs w:val="21"/>
          <w:lang w:bidi="ar"/>
        </w:rPr>
        <w:t xml:space="preserve"> </w:t>
      </w:r>
    </w:p>
    <w:p>
      <w:pPr>
        <w:adjustRightInd w:val="0"/>
        <w:snapToGrid w:val="0"/>
        <w:spacing w:line="360" w:lineRule="auto"/>
        <w:jc w:val="center"/>
        <w:rPr>
          <w:rFonts w:ascii="宋体" w:hAnsi="宋体" w:cs="宋体"/>
          <w:b/>
          <w:spacing w:val="20"/>
          <w:sz w:val="36"/>
          <w:szCs w:val="36"/>
        </w:rPr>
      </w:pPr>
      <w:r>
        <w:rPr>
          <w:rFonts w:hint="eastAsia" w:ascii="宋体" w:hAnsi="宋体" w:cs="宋体"/>
          <w:kern w:val="0"/>
          <w:position w:val="-2"/>
          <w:szCs w:val="21"/>
          <w:lang w:bidi="ar"/>
        </w:rPr>
        <w:br w:type="page"/>
      </w:r>
      <w:bookmarkStart w:id="437" w:name="_Toc14614"/>
      <w:r>
        <w:rPr>
          <w:rFonts w:hint="eastAsia" w:ascii="宋体" w:hAnsi="宋体" w:cs="宋体"/>
          <w:b/>
          <w:spacing w:val="20"/>
          <w:sz w:val="36"/>
          <w:szCs w:val="36"/>
        </w:rPr>
        <w:t>潮州港亚太通用码头智慧环保改造工程生产业务管理系统建设项目合同</w:t>
      </w:r>
    </w:p>
    <w:p>
      <w:pPr>
        <w:pStyle w:val="79"/>
        <w:tabs>
          <w:tab w:val="left" w:pos="851"/>
        </w:tabs>
        <w:autoSpaceDE w:val="0"/>
        <w:autoSpaceDN w:val="0"/>
        <w:spacing w:line="360" w:lineRule="auto"/>
        <w:ind w:firstLine="422"/>
        <w:rPr>
          <w:rFonts w:ascii="宋体" w:hAnsi="宋体" w:cs="宋体"/>
          <w:b/>
          <w:kern w:val="0"/>
          <w:position w:val="-2"/>
          <w:szCs w:val="21"/>
          <w:lang w:bidi="ar"/>
        </w:rPr>
      </w:pPr>
    </w:p>
    <w:p>
      <w:pPr>
        <w:pStyle w:val="79"/>
        <w:tabs>
          <w:tab w:val="left" w:pos="851"/>
        </w:tabs>
        <w:autoSpaceDE w:val="0"/>
        <w:autoSpaceDN w:val="0"/>
        <w:spacing w:line="360" w:lineRule="auto"/>
        <w:rPr>
          <w:rFonts w:ascii="宋体" w:hAnsi="宋体" w:cs="宋体"/>
          <w:b/>
          <w:kern w:val="0"/>
          <w:position w:val="-2"/>
          <w:szCs w:val="21"/>
          <w:lang w:bidi="ar"/>
        </w:rPr>
      </w:pPr>
      <w:r>
        <w:rPr>
          <w:rFonts w:hint="eastAsia" w:ascii="宋体" w:hAnsi="宋体" w:cs="宋体"/>
          <w:kern w:val="0"/>
          <w:position w:val="-2"/>
          <w:szCs w:val="21"/>
          <w:lang w:bidi="ar"/>
        </w:rPr>
        <w:t xml:space="preserve"> 甲方：</w:t>
      </w:r>
    </w:p>
    <w:p>
      <w:pPr>
        <w:pStyle w:val="79"/>
        <w:tabs>
          <w:tab w:val="left" w:pos="851"/>
        </w:tabs>
        <w:autoSpaceDE w:val="0"/>
        <w:autoSpaceDN w:val="0"/>
        <w:spacing w:line="360" w:lineRule="auto"/>
        <w:ind w:firstLine="525" w:firstLineChars="250"/>
        <w:rPr>
          <w:rFonts w:ascii="宋体" w:hAnsi="宋体" w:cs="宋体"/>
          <w:b/>
          <w:bCs/>
          <w:kern w:val="0"/>
          <w:position w:val="-2"/>
          <w:szCs w:val="21"/>
          <w:lang w:bidi="ar"/>
        </w:rPr>
      </w:pPr>
      <w:r>
        <w:rPr>
          <w:rFonts w:hint="eastAsia" w:ascii="宋体" w:hAnsi="宋体" w:cs="宋体"/>
          <w:kern w:val="0"/>
          <w:position w:val="-2"/>
          <w:szCs w:val="21"/>
          <w:lang w:bidi="ar"/>
        </w:rPr>
        <w:t>乙方：</w:t>
      </w:r>
    </w:p>
    <w:p>
      <w:pPr>
        <w:pStyle w:val="79"/>
        <w:tabs>
          <w:tab w:val="left" w:pos="851"/>
        </w:tabs>
        <w:autoSpaceDE w:val="0"/>
        <w:autoSpaceDN w:val="0"/>
        <w:spacing w:line="360" w:lineRule="auto"/>
        <w:ind w:firstLine="422"/>
        <w:rPr>
          <w:rFonts w:ascii="宋体" w:hAnsi="宋体" w:cs="宋体"/>
          <w:b/>
          <w:kern w:val="0"/>
          <w:position w:val="-2"/>
          <w:szCs w:val="21"/>
          <w:lang w:bidi="ar"/>
        </w:rPr>
      </w:pPr>
    </w:p>
    <w:p>
      <w:pPr>
        <w:pStyle w:val="79"/>
        <w:tabs>
          <w:tab w:val="left" w:pos="851"/>
        </w:tabs>
        <w:autoSpaceDE w:val="0"/>
        <w:autoSpaceDN w:val="0"/>
        <w:spacing w:line="360" w:lineRule="auto"/>
        <w:rPr>
          <w:rFonts w:ascii="宋体" w:hAnsi="宋体" w:cs="宋体"/>
          <w:kern w:val="0"/>
          <w:position w:val="-2"/>
          <w:szCs w:val="21"/>
          <w:lang w:bidi="ar"/>
        </w:rPr>
      </w:pPr>
      <w:bookmarkStart w:id="438" w:name="_Toc113016247"/>
      <w:bookmarkStart w:id="439" w:name="_Toc120614526"/>
      <w:bookmarkStart w:id="440" w:name="_Toc140049733"/>
      <w:bookmarkStart w:id="441" w:name="_Toc88983093"/>
      <w:bookmarkStart w:id="442" w:name="_Toc154649049"/>
      <w:r>
        <w:rPr>
          <w:rFonts w:hint="eastAsia" w:ascii="宋体" w:hAnsi="宋体" w:cs="宋体"/>
          <w:kern w:val="0"/>
          <w:position w:val="-2"/>
          <w:szCs w:val="21"/>
          <w:lang w:bidi="ar"/>
        </w:rPr>
        <w:t>甲方</w:t>
      </w:r>
      <w:r>
        <w:rPr>
          <w:rFonts w:ascii="宋体" w:hAnsi="宋体" w:cs="宋体"/>
          <w:kern w:val="0"/>
          <w:position w:val="-2"/>
          <w:szCs w:val="21"/>
          <w:lang w:bidi="ar"/>
        </w:rPr>
        <w:t>与</w:t>
      </w:r>
      <w:r>
        <w:rPr>
          <w:rFonts w:hint="eastAsia" w:ascii="宋体" w:hAnsi="宋体" w:cs="宋体"/>
          <w:kern w:val="0"/>
          <w:position w:val="-2"/>
          <w:szCs w:val="21"/>
          <w:lang w:bidi="ar"/>
        </w:rPr>
        <w:t>乙方</w:t>
      </w:r>
      <w:r>
        <w:rPr>
          <w:rFonts w:ascii="宋体" w:hAnsi="宋体" w:cs="宋体"/>
          <w:kern w:val="0"/>
          <w:position w:val="-2"/>
          <w:szCs w:val="21"/>
          <w:lang w:bidi="ar"/>
        </w:rPr>
        <w:t>针对</w:t>
      </w:r>
      <w:r>
        <w:rPr>
          <w:rFonts w:hint="eastAsia" w:ascii="宋体" w:hAnsi="宋体" w:cs="宋体"/>
          <w:kern w:val="0"/>
          <w:position w:val="-2"/>
          <w:szCs w:val="21"/>
          <w:lang w:bidi="ar"/>
        </w:rPr>
        <w:t>甲方潮州港亚太通用码头智慧环保改造工程生产业务管理系统建设项目等相关事宜</w:t>
      </w:r>
      <w:r>
        <w:rPr>
          <w:rFonts w:ascii="宋体" w:hAnsi="宋体" w:cs="宋体"/>
          <w:kern w:val="0"/>
          <w:position w:val="-2"/>
          <w:szCs w:val="21"/>
          <w:lang w:bidi="ar"/>
        </w:rPr>
        <w:t>进行</w:t>
      </w:r>
      <w:r>
        <w:rPr>
          <w:rFonts w:hint="eastAsia" w:ascii="宋体" w:hAnsi="宋体" w:cs="宋体"/>
          <w:kern w:val="0"/>
          <w:position w:val="-2"/>
          <w:szCs w:val="21"/>
          <w:lang w:bidi="ar"/>
        </w:rPr>
        <w:t>磋商</w:t>
      </w:r>
      <w:r>
        <w:rPr>
          <w:rFonts w:ascii="宋体" w:hAnsi="宋体" w:cs="宋体"/>
          <w:kern w:val="0"/>
          <w:position w:val="-2"/>
          <w:szCs w:val="21"/>
          <w:lang w:bidi="ar"/>
        </w:rPr>
        <w:t>，达成下述共识并签订本合同。双方均同意按照本合同中各条款的约定，承担和履行各自的全部的义务和责任，为昭公信，特此立约，以共遵守。</w:t>
      </w:r>
      <w:bookmarkEnd w:id="438"/>
      <w:bookmarkEnd w:id="439"/>
    </w:p>
    <w:p>
      <w:pPr>
        <w:pStyle w:val="79"/>
        <w:numPr>
          <w:ilvl w:val="0"/>
          <w:numId w:val="3"/>
        </w:numPr>
        <w:tabs>
          <w:tab w:val="left" w:pos="851"/>
        </w:tabs>
        <w:autoSpaceDE w:val="0"/>
        <w:autoSpaceDN w:val="0"/>
        <w:ind w:firstLineChars="0"/>
        <w:rPr>
          <w:rFonts w:ascii="宋体" w:hAnsi="宋体" w:cs="宋体"/>
          <w:b/>
          <w:kern w:val="0"/>
          <w:position w:val="-2"/>
          <w:szCs w:val="21"/>
          <w:lang w:bidi="ar"/>
        </w:rPr>
      </w:pPr>
      <w:bookmarkStart w:id="443" w:name="_Toc12107"/>
      <w:bookmarkStart w:id="444" w:name="_Toc159253377"/>
      <w:r>
        <w:rPr>
          <w:rFonts w:hint="eastAsia" w:ascii="宋体" w:hAnsi="宋体" w:cs="宋体"/>
          <w:b/>
          <w:kern w:val="0"/>
          <w:position w:val="-2"/>
          <w:szCs w:val="21"/>
          <w:lang w:bidi="ar"/>
        </w:rPr>
        <w:t>总则</w:t>
      </w:r>
      <w:bookmarkEnd w:id="440"/>
      <w:bookmarkEnd w:id="441"/>
      <w:bookmarkEnd w:id="442"/>
      <w:bookmarkEnd w:id="443"/>
      <w:bookmarkEnd w:id="444"/>
    </w:p>
    <w:p>
      <w:pPr>
        <w:pStyle w:val="79"/>
        <w:tabs>
          <w:tab w:val="left" w:pos="851"/>
        </w:tabs>
        <w:autoSpaceDE w:val="0"/>
        <w:autoSpaceDN w:val="0"/>
        <w:ind w:left="782" w:firstLine="0" w:firstLineChars="0"/>
        <w:rPr>
          <w:rFonts w:ascii="宋体" w:hAnsi="宋体" w:cs="宋体"/>
          <w:b/>
          <w:kern w:val="0"/>
          <w:position w:val="-2"/>
          <w:szCs w:val="21"/>
          <w:lang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45" w:name="_Toc154649050"/>
      <w:bookmarkStart w:id="446" w:name="_Toc159253378"/>
      <w:bookmarkStart w:id="447" w:name="_Toc140049738"/>
      <w:bookmarkStart w:id="448" w:name="_Toc3426"/>
      <w:bookmarkStart w:id="449" w:name="_Toc140049734"/>
      <w:r>
        <w:rPr>
          <w:rFonts w:ascii="宋体" w:hAnsi="宋体" w:cs="宋体"/>
          <w:b/>
          <w:kern w:val="0"/>
          <w:position w:val="-2"/>
          <w:szCs w:val="21"/>
          <w:lang w:bidi="ar"/>
        </w:rPr>
        <w:t>1.</w:t>
      </w:r>
      <w:r>
        <w:rPr>
          <w:rFonts w:hint="eastAsia" w:ascii="宋体" w:hAnsi="宋体" w:cs="宋体"/>
          <w:b/>
          <w:kern w:val="0"/>
          <w:position w:val="-2"/>
          <w:szCs w:val="21"/>
          <w:lang w:bidi="ar"/>
        </w:rPr>
        <w:t>1法律依据与合同语言</w:t>
      </w:r>
      <w:bookmarkEnd w:id="445"/>
      <w:bookmarkEnd w:id="446"/>
      <w:bookmarkEnd w:id="447"/>
      <w:bookmarkEnd w:id="448"/>
    </w:p>
    <w:bookmarkEnd w:id="449"/>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本合同受中华人民共和国颁发的法律管辖，其订立、生效、解释、变更和争议等的裁决都以中国法律为依据。本合同文件使用汉语语言书写、解释和说明。</w:t>
      </w:r>
    </w:p>
    <w:p>
      <w:pPr>
        <w:pStyle w:val="79"/>
        <w:tabs>
          <w:tab w:val="left" w:pos="851"/>
        </w:tabs>
        <w:autoSpaceDE w:val="0"/>
        <w:autoSpaceDN w:val="0"/>
        <w:spacing w:line="360" w:lineRule="auto"/>
        <w:rPr>
          <w:rFonts w:ascii="宋体" w:hAnsi="宋体" w:cs="宋体"/>
          <w:kern w:val="0"/>
          <w:position w:val="-2"/>
          <w:szCs w:val="21"/>
          <w:lang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50" w:name="_Toc154649051"/>
      <w:bookmarkStart w:id="451" w:name="_Toc140049735"/>
      <w:bookmarkStart w:id="452" w:name="_Toc159253379"/>
      <w:bookmarkStart w:id="453" w:name="_Toc1448"/>
      <w:r>
        <w:rPr>
          <w:rFonts w:ascii="宋体" w:hAnsi="宋体" w:cs="宋体"/>
          <w:b/>
          <w:kern w:val="0"/>
          <w:position w:val="-2"/>
          <w:szCs w:val="21"/>
          <w:lang w:bidi="ar"/>
        </w:rPr>
        <w:t>1.</w:t>
      </w:r>
      <w:r>
        <w:rPr>
          <w:rFonts w:hint="eastAsia" w:ascii="宋体" w:hAnsi="宋体" w:cs="宋体"/>
          <w:b/>
          <w:kern w:val="0"/>
          <w:position w:val="-2"/>
          <w:szCs w:val="21"/>
          <w:lang w:bidi="ar"/>
        </w:rPr>
        <w:t>2</w:t>
      </w:r>
      <w:r>
        <w:rPr>
          <w:rFonts w:ascii="宋体" w:hAnsi="宋体" w:cs="宋体"/>
          <w:b/>
          <w:kern w:val="0"/>
          <w:position w:val="-2"/>
          <w:szCs w:val="21"/>
          <w:lang w:bidi="ar"/>
        </w:rPr>
        <w:t xml:space="preserve"> </w:t>
      </w:r>
      <w:bookmarkEnd w:id="450"/>
      <w:bookmarkEnd w:id="451"/>
      <w:r>
        <w:rPr>
          <w:rFonts w:hint="eastAsia" w:ascii="宋体" w:hAnsi="宋体" w:cs="宋体"/>
          <w:b/>
          <w:kern w:val="0"/>
          <w:position w:val="-2"/>
          <w:szCs w:val="21"/>
          <w:lang w:bidi="ar"/>
        </w:rPr>
        <w:t>合同构成</w:t>
      </w:r>
      <w:bookmarkEnd w:id="452"/>
      <w:bookmarkEnd w:id="453"/>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下列文件为本项目合同文件(下称“本合同”)不可分割的整体，各文件相互补充，若有不明确或不一致之处，以其签认的时间较迟者为准。甲乙双方同意按本合同的约定，履行和承担各自的全部义务和责任。</w:t>
      </w:r>
    </w:p>
    <w:p>
      <w:pPr>
        <w:pStyle w:val="79"/>
        <w:tabs>
          <w:tab w:val="left" w:pos="851"/>
        </w:tabs>
        <w:autoSpaceDE w:val="0"/>
        <w:autoSpaceDN w:val="0"/>
        <w:spacing w:line="360" w:lineRule="auto"/>
        <w:rPr>
          <w:rFonts w:ascii="宋体" w:hAnsi="宋体" w:cs="宋体"/>
          <w:kern w:val="0"/>
          <w:position w:val="-2"/>
          <w:szCs w:val="21"/>
          <w:lang w:bidi="ar"/>
        </w:rPr>
      </w:pPr>
      <w:bookmarkStart w:id="454" w:name="_Toc3369"/>
      <w:bookmarkStart w:id="455" w:name="_Toc154649052"/>
      <w:bookmarkStart w:id="456" w:name="_Toc159253380"/>
      <w:r>
        <w:rPr>
          <w:rFonts w:hint="eastAsia" w:ascii="宋体" w:hAnsi="宋体" w:cs="宋体"/>
          <w:kern w:val="0"/>
          <w:position w:val="-2"/>
          <w:szCs w:val="21"/>
          <w:lang w:bidi="ar"/>
        </w:rPr>
        <w:t>a.买卖双方共同签定的《潮州港亚太通用码头智慧环保改造工程生产业务管理系统建设项目合同》；</w:t>
      </w:r>
      <w:bookmarkEnd w:id="454"/>
    </w:p>
    <w:p>
      <w:pPr>
        <w:pStyle w:val="79"/>
        <w:tabs>
          <w:tab w:val="left" w:pos="851"/>
        </w:tabs>
        <w:autoSpaceDE w:val="0"/>
        <w:autoSpaceDN w:val="0"/>
        <w:spacing w:line="360" w:lineRule="auto"/>
        <w:rPr>
          <w:rFonts w:ascii="宋体" w:hAnsi="宋体" w:cs="宋体"/>
          <w:kern w:val="0"/>
          <w:position w:val="-2"/>
          <w:szCs w:val="21"/>
          <w:lang w:bidi="ar"/>
        </w:rPr>
      </w:pPr>
      <w:bookmarkStart w:id="457" w:name="_Toc28122"/>
      <w:r>
        <w:rPr>
          <w:rFonts w:hint="eastAsia" w:ascii="宋体" w:hAnsi="宋体" w:cs="宋体"/>
          <w:kern w:val="0"/>
          <w:position w:val="-2"/>
          <w:szCs w:val="21"/>
          <w:lang w:bidi="ar"/>
        </w:rPr>
        <w:t>b.附件1：在本合同履行过程行中甲乙双方共同签订的补充协议；</w:t>
      </w:r>
      <w:bookmarkEnd w:id="457"/>
    </w:p>
    <w:p>
      <w:pPr>
        <w:pStyle w:val="79"/>
        <w:tabs>
          <w:tab w:val="left" w:pos="851"/>
        </w:tabs>
        <w:autoSpaceDE w:val="0"/>
        <w:autoSpaceDN w:val="0"/>
        <w:spacing w:line="360" w:lineRule="auto"/>
        <w:rPr>
          <w:rFonts w:ascii="宋体" w:hAnsi="宋体" w:cs="宋体"/>
          <w:kern w:val="0"/>
          <w:position w:val="-2"/>
          <w:szCs w:val="21"/>
          <w:lang w:bidi="ar"/>
        </w:rPr>
      </w:pPr>
      <w:bookmarkStart w:id="458" w:name="_Toc19869"/>
      <w:r>
        <w:rPr>
          <w:rFonts w:hint="eastAsia" w:ascii="宋体" w:hAnsi="宋体" w:cs="宋体"/>
          <w:kern w:val="0"/>
          <w:position w:val="-2"/>
          <w:szCs w:val="21"/>
          <w:lang w:bidi="ar"/>
        </w:rPr>
        <w:t>c.附件2：甲方发给已方的《中标通知书》；</w:t>
      </w:r>
      <w:bookmarkEnd w:id="458"/>
    </w:p>
    <w:p>
      <w:pPr>
        <w:tabs>
          <w:tab w:val="left" w:pos="851"/>
        </w:tabs>
        <w:autoSpaceDE w:val="0"/>
        <w:autoSpaceDN w:val="0"/>
        <w:spacing w:line="360" w:lineRule="auto"/>
        <w:ind w:firstLine="420" w:firstLineChars="200"/>
        <w:rPr>
          <w:lang w:bidi="ar"/>
        </w:rPr>
      </w:pPr>
      <w:bookmarkStart w:id="459" w:name="_Toc12928"/>
      <w:r>
        <w:rPr>
          <w:rFonts w:hint="eastAsia" w:ascii="宋体" w:hAnsi="宋体" w:cs="宋体"/>
          <w:kern w:val="0"/>
          <w:position w:val="-2"/>
          <w:szCs w:val="21"/>
          <w:lang w:bidi="ar"/>
        </w:rPr>
        <w:t>d.附件3：甲方上级单位要求签订的《廉洁协议书》和《工程施工安全</w:t>
      </w:r>
      <w:bookmarkEnd w:id="459"/>
      <w:r>
        <w:rPr>
          <w:rFonts w:hint="eastAsia" w:ascii="宋体" w:hAnsi="宋体" w:cs="宋体"/>
          <w:kern w:val="0"/>
          <w:position w:val="-2"/>
          <w:szCs w:val="21"/>
          <w:lang w:bidi="ar"/>
        </w:rPr>
        <w:t xml:space="preserve">                    </w:t>
      </w:r>
      <w:bookmarkStart w:id="460" w:name="_Toc6721"/>
      <w:r>
        <w:rPr>
          <w:rFonts w:hint="eastAsia" w:ascii="宋体" w:hAnsi="宋体" w:cs="宋体"/>
          <w:kern w:val="0"/>
          <w:position w:val="-2"/>
          <w:szCs w:val="21"/>
          <w:lang w:bidi="ar"/>
        </w:rPr>
        <w:t>生产管理协议》(代号分别为“a”、“b”)；</w:t>
      </w:r>
      <w:bookmarkEnd w:id="460"/>
    </w:p>
    <w:p>
      <w:pPr>
        <w:pStyle w:val="79"/>
        <w:tabs>
          <w:tab w:val="left" w:pos="851"/>
        </w:tabs>
        <w:autoSpaceDE w:val="0"/>
        <w:autoSpaceDN w:val="0"/>
        <w:spacing w:line="360" w:lineRule="auto"/>
        <w:rPr>
          <w:rFonts w:ascii="宋体" w:hAnsi="宋体" w:cs="宋体"/>
          <w:kern w:val="0"/>
          <w:position w:val="-2"/>
          <w:szCs w:val="21"/>
          <w:lang w:bidi="ar"/>
        </w:rPr>
      </w:pPr>
      <w:bookmarkStart w:id="461" w:name="_Toc30442"/>
      <w:r>
        <w:rPr>
          <w:rFonts w:hint="eastAsia" w:ascii="宋体" w:hAnsi="宋体" w:cs="宋体"/>
          <w:kern w:val="0"/>
          <w:position w:val="-2"/>
          <w:szCs w:val="21"/>
          <w:lang w:bidi="ar"/>
        </w:rPr>
        <w:t>e.附件4：甲方的合同和乙方的投标文件；</w:t>
      </w:r>
      <w:bookmarkEnd w:id="461"/>
    </w:p>
    <w:p>
      <w:pPr>
        <w:pStyle w:val="79"/>
        <w:tabs>
          <w:tab w:val="left" w:pos="851"/>
        </w:tabs>
        <w:autoSpaceDE w:val="0"/>
        <w:autoSpaceDN w:val="0"/>
        <w:spacing w:line="360" w:lineRule="auto"/>
        <w:rPr>
          <w:rFonts w:ascii="宋体" w:hAnsi="宋体" w:cs="宋体"/>
          <w:kern w:val="0"/>
          <w:position w:val="-2"/>
          <w:szCs w:val="21"/>
          <w:lang w:bidi="ar"/>
        </w:rPr>
      </w:pPr>
      <w:bookmarkStart w:id="462" w:name="_Toc24476"/>
      <w:r>
        <w:rPr>
          <w:rFonts w:hint="eastAsia" w:ascii="宋体" w:hAnsi="宋体" w:cs="宋体"/>
          <w:kern w:val="0"/>
          <w:position w:val="-2"/>
          <w:szCs w:val="21"/>
          <w:lang w:bidi="ar"/>
        </w:rPr>
        <w:t>f.附件5：甲乙双方同意列入本合同的其他文件。</w:t>
      </w:r>
      <w:bookmarkEnd w:id="462"/>
    </w:p>
    <w:p>
      <w:pPr>
        <w:pStyle w:val="79"/>
        <w:tabs>
          <w:tab w:val="left" w:pos="851"/>
        </w:tabs>
        <w:autoSpaceDE w:val="0"/>
        <w:autoSpaceDN w:val="0"/>
        <w:spacing w:line="360" w:lineRule="auto"/>
        <w:rPr>
          <w:rFonts w:ascii="宋体" w:hAnsi="宋体" w:cs="宋体"/>
          <w:kern w:val="0"/>
          <w:position w:val="-2"/>
          <w:szCs w:val="21"/>
          <w:lang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63" w:name="_Toc14899"/>
      <w:r>
        <w:rPr>
          <w:rFonts w:hint="eastAsia" w:ascii="宋体" w:hAnsi="宋体" w:cs="宋体"/>
          <w:b/>
          <w:kern w:val="0"/>
          <w:position w:val="-2"/>
          <w:szCs w:val="21"/>
          <w:lang w:bidi="ar"/>
        </w:rPr>
        <w:t>1.3</w:t>
      </w:r>
      <w:bookmarkEnd w:id="455"/>
      <w:r>
        <w:rPr>
          <w:rFonts w:hint="eastAsia" w:ascii="宋体" w:hAnsi="宋体" w:cs="宋体"/>
          <w:b/>
          <w:kern w:val="0"/>
          <w:position w:val="-2"/>
          <w:szCs w:val="21"/>
          <w:lang w:bidi="ar"/>
        </w:rPr>
        <w:t>合同内容的变更、修改与终止</w:t>
      </w:r>
      <w:bookmarkEnd w:id="456"/>
      <w:bookmarkEnd w:id="463"/>
    </w:p>
    <w:p>
      <w:pPr>
        <w:pStyle w:val="79"/>
        <w:spacing w:line="360" w:lineRule="auto"/>
        <w:rPr>
          <w:rFonts w:ascii="宋体" w:hAnsi="宋体" w:cs="宋体"/>
          <w:kern w:val="0"/>
          <w:position w:val="-2"/>
          <w:szCs w:val="21"/>
          <w:lang w:val="en-GB" w:bidi="ar"/>
        </w:rPr>
      </w:pPr>
      <w:r>
        <w:rPr>
          <w:rFonts w:ascii="宋体" w:hAnsi="宋体" w:cs="宋体"/>
          <w:kern w:val="0"/>
          <w:position w:val="-2"/>
          <w:szCs w:val="21"/>
          <w:lang w:val="en-GB" w:bidi="ar"/>
        </w:rPr>
        <w:t>a</w:t>
      </w:r>
      <w:r>
        <w:rPr>
          <w:rFonts w:hint="eastAsia" w:ascii="宋体" w:hAnsi="宋体" w:cs="宋体"/>
          <w:kern w:val="0"/>
          <w:position w:val="-2"/>
          <w:szCs w:val="21"/>
          <w:lang w:val="en-GB" w:bidi="ar"/>
        </w:rPr>
        <w:t>.合同条款若需做出任何改动或偏离，则应由甲乙双方签署书面的合同修改书才能生效。</w:t>
      </w:r>
    </w:p>
    <w:p>
      <w:pPr>
        <w:pStyle w:val="79"/>
        <w:spacing w:line="360" w:lineRule="auto"/>
        <w:rPr>
          <w:rFonts w:ascii="宋体" w:hAnsi="宋体" w:cs="宋体"/>
          <w:kern w:val="0"/>
          <w:position w:val="-2"/>
          <w:szCs w:val="21"/>
          <w:lang w:val="en-GB" w:bidi="ar"/>
        </w:rPr>
      </w:pPr>
      <w:r>
        <w:rPr>
          <w:rFonts w:ascii="宋体" w:hAnsi="宋体" w:cs="宋体"/>
          <w:kern w:val="0"/>
          <w:position w:val="-2"/>
          <w:szCs w:val="21"/>
          <w:lang w:val="en-GB" w:bidi="ar"/>
        </w:rPr>
        <w:t>b.</w:t>
      </w:r>
      <w:r>
        <w:rPr>
          <w:rFonts w:hint="eastAsia" w:ascii="宋体" w:hAnsi="宋体" w:cs="宋体"/>
          <w:kern w:val="0"/>
          <w:position w:val="-2"/>
          <w:szCs w:val="21"/>
          <w:lang w:val="en-GB" w:bidi="ar"/>
        </w:rPr>
        <w:t>若乙方存在违背合同条款、没有合理的理由而延误保养维修工期等行为，甲方将视其为无法履行本合同并有权利终止此合同。</w:t>
      </w:r>
    </w:p>
    <w:p>
      <w:pPr>
        <w:pStyle w:val="79"/>
        <w:spacing w:line="360" w:lineRule="auto"/>
        <w:rPr>
          <w:rFonts w:ascii="宋体" w:hAnsi="宋体" w:cs="宋体"/>
          <w:kern w:val="0"/>
          <w:position w:val="-2"/>
          <w:szCs w:val="21"/>
          <w:lang w:val="en-GB" w:bidi="ar"/>
        </w:rPr>
      </w:pPr>
      <w:r>
        <w:rPr>
          <w:rFonts w:hint="eastAsia" w:ascii="宋体" w:hAnsi="宋体" w:cs="宋体"/>
          <w:kern w:val="0"/>
          <w:position w:val="-2"/>
          <w:szCs w:val="21"/>
          <w:lang w:val="en-GB" w:bidi="ar"/>
        </w:rPr>
        <w:t>c</w:t>
      </w:r>
      <w:r>
        <w:rPr>
          <w:rFonts w:ascii="宋体" w:hAnsi="宋体" w:cs="宋体"/>
          <w:kern w:val="0"/>
          <w:position w:val="-2"/>
          <w:szCs w:val="21"/>
          <w:lang w:val="en-GB" w:bidi="ar"/>
        </w:rPr>
        <w:t>.</w:t>
      </w:r>
      <w:r>
        <w:rPr>
          <w:rFonts w:hint="eastAsia" w:ascii="宋体" w:hAnsi="宋体" w:cs="宋体"/>
          <w:kern w:val="0"/>
          <w:position w:val="-2"/>
          <w:szCs w:val="21"/>
          <w:lang w:val="en-GB" w:bidi="ar"/>
        </w:rPr>
        <w:t>合同有效期满而不再续约且甲方已付清所有已发生的合同款项，则本合同自动终止。</w:t>
      </w: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64" w:name="_Toc154649053"/>
      <w:bookmarkStart w:id="465" w:name="_Toc140049737"/>
      <w:bookmarkStart w:id="466" w:name="_Toc159253381"/>
      <w:bookmarkStart w:id="467" w:name="_Toc31326"/>
      <w:r>
        <w:rPr>
          <w:rFonts w:ascii="宋体" w:hAnsi="宋体" w:cs="宋体"/>
          <w:b/>
          <w:kern w:val="0"/>
          <w:position w:val="-2"/>
          <w:szCs w:val="21"/>
          <w:lang w:bidi="ar"/>
        </w:rPr>
        <w:t>1.</w:t>
      </w:r>
      <w:r>
        <w:rPr>
          <w:rFonts w:hint="eastAsia" w:ascii="宋体" w:hAnsi="宋体" w:cs="宋体"/>
          <w:b/>
          <w:kern w:val="0"/>
          <w:position w:val="-2"/>
          <w:szCs w:val="21"/>
          <w:lang w:bidi="ar"/>
        </w:rPr>
        <w:t>4</w:t>
      </w:r>
      <w:bookmarkEnd w:id="464"/>
      <w:bookmarkEnd w:id="465"/>
      <w:r>
        <w:rPr>
          <w:rFonts w:ascii="宋体" w:hAnsi="宋体" w:cs="宋体"/>
          <w:b/>
          <w:kern w:val="0"/>
          <w:position w:val="-2"/>
          <w:szCs w:val="21"/>
          <w:lang w:bidi="ar"/>
        </w:rPr>
        <w:t>合同份数</w:t>
      </w:r>
      <w:bookmarkEnd w:id="466"/>
      <w:bookmarkEnd w:id="467"/>
    </w:p>
    <w:p>
      <w:pPr>
        <w:pStyle w:val="79"/>
        <w:spacing w:line="360" w:lineRule="auto"/>
        <w:rPr>
          <w:rFonts w:ascii="宋体" w:hAnsi="宋体" w:cs="宋体"/>
          <w:kern w:val="0"/>
          <w:position w:val="-2"/>
          <w:szCs w:val="21"/>
          <w:lang w:val="en-GB" w:bidi="ar"/>
        </w:rPr>
      </w:pPr>
      <w:r>
        <w:rPr>
          <w:rFonts w:ascii="宋体" w:hAnsi="宋体" w:cs="宋体"/>
          <w:kern w:val="0"/>
          <w:position w:val="-2"/>
          <w:szCs w:val="21"/>
          <w:lang w:val="en-GB" w:bidi="ar"/>
        </w:rPr>
        <w:t>a.</w:t>
      </w:r>
      <w:r>
        <w:rPr>
          <w:rFonts w:hint="eastAsia" w:ascii="宋体" w:hAnsi="宋体" w:cs="宋体"/>
          <w:kern w:val="0"/>
          <w:position w:val="-2"/>
          <w:szCs w:val="21"/>
          <w:lang w:val="en-GB" w:bidi="ar"/>
        </w:rPr>
        <w:t>本合同所有的正本和副本都具有同等法律效力，其中正本壹式贰份，甲乙双方各执壹份，副本壹式肆份，甲乙双方各执贰份；</w:t>
      </w:r>
    </w:p>
    <w:p>
      <w:pPr>
        <w:pStyle w:val="79"/>
        <w:spacing w:line="360" w:lineRule="auto"/>
        <w:rPr>
          <w:rFonts w:ascii="宋体" w:hAnsi="宋体" w:cs="宋体"/>
          <w:kern w:val="0"/>
          <w:position w:val="-2"/>
          <w:szCs w:val="21"/>
          <w:lang w:val="en-GB" w:bidi="ar"/>
        </w:rPr>
      </w:pPr>
      <w:r>
        <w:rPr>
          <w:rFonts w:ascii="宋体" w:hAnsi="宋体" w:cs="宋体"/>
          <w:kern w:val="0"/>
          <w:position w:val="-2"/>
          <w:szCs w:val="21"/>
          <w:lang w:val="en-GB" w:bidi="ar"/>
        </w:rPr>
        <w:t>b.</w:t>
      </w:r>
      <w:r>
        <w:rPr>
          <w:rFonts w:hint="eastAsia" w:ascii="宋体" w:hAnsi="宋体" w:cs="宋体"/>
          <w:kern w:val="0"/>
          <w:position w:val="-2"/>
          <w:szCs w:val="21"/>
          <w:lang w:val="en-GB" w:bidi="ar"/>
        </w:rPr>
        <w:t>当副本与正本不一致时，以正本为准。</w:t>
      </w:r>
    </w:p>
    <w:p>
      <w:pPr>
        <w:pStyle w:val="79"/>
        <w:spacing w:line="360" w:lineRule="auto"/>
        <w:rPr>
          <w:rFonts w:ascii="宋体" w:hAnsi="宋体" w:cs="宋体"/>
          <w:kern w:val="0"/>
          <w:position w:val="-2"/>
          <w:szCs w:val="21"/>
          <w:lang w:val="en-GB"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68" w:name="_Toc154649057"/>
      <w:bookmarkStart w:id="469" w:name="_Toc24636"/>
      <w:bookmarkStart w:id="470" w:name="_Toc140049741"/>
      <w:bookmarkStart w:id="471" w:name="_Toc159253382"/>
      <w:r>
        <w:rPr>
          <w:rFonts w:ascii="宋体" w:hAnsi="宋体" w:cs="宋体"/>
          <w:b/>
          <w:kern w:val="0"/>
          <w:position w:val="-2"/>
          <w:szCs w:val="21"/>
          <w:lang w:bidi="ar"/>
        </w:rPr>
        <w:t xml:space="preserve">1.5 </w:t>
      </w:r>
      <w:r>
        <w:rPr>
          <w:rFonts w:hint="eastAsia" w:ascii="宋体" w:hAnsi="宋体" w:cs="宋体"/>
          <w:b/>
          <w:kern w:val="0"/>
          <w:position w:val="-2"/>
          <w:szCs w:val="21"/>
          <w:lang w:bidi="ar"/>
        </w:rPr>
        <w:t>合同生效</w:t>
      </w:r>
      <w:bookmarkEnd w:id="468"/>
      <w:bookmarkEnd w:id="469"/>
      <w:bookmarkEnd w:id="470"/>
      <w:bookmarkEnd w:id="471"/>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所有正本与副本合同经双方法定代表人或其授权的代理人在协议书上签字并加盖公章后生效。</w:t>
      </w:r>
    </w:p>
    <w:p>
      <w:pPr>
        <w:pStyle w:val="79"/>
        <w:tabs>
          <w:tab w:val="left" w:pos="851"/>
        </w:tabs>
        <w:autoSpaceDE w:val="0"/>
        <w:autoSpaceDN w:val="0"/>
        <w:spacing w:line="360" w:lineRule="auto"/>
        <w:rPr>
          <w:rFonts w:ascii="宋体" w:hAnsi="宋体" w:cs="宋体"/>
          <w:kern w:val="0"/>
          <w:position w:val="-2"/>
          <w:szCs w:val="21"/>
          <w:lang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72" w:name="_Toc159253383"/>
      <w:bookmarkStart w:id="473" w:name="_Toc14576"/>
      <w:r>
        <w:rPr>
          <w:rFonts w:ascii="宋体" w:hAnsi="宋体" w:cs="宋体"/>
          <w:b/>
          <w:kern w:val="0"/>
          <w:position w:val="-2"/>
          <w:szCs w:val="21"/>
          <w:lang w:bidi="ar"/>
        </w:rPr>
        <w:t xml:space="preserve">1.6 </w:t>
      </w:r>
      <w:r>
        <w:rPr>
          <w:rFonts w:hint="eastAsia" w:ascii="宋体" w:hAnsi="宋体" w:cs="宋体"/>
          <w:b/>
          <w:kern w:val="0"/>
          <w:position w:val="-2"/>
          <w:szCs w:val="21"/>
          <w:lang w:bidi="ar"/>
        </w:rPr>
        <w:t>违约责任</w:t>
      </w:r>
      <w:bookmarkEnd w:id="472"/>
      <w:bookmarkEnd w:id="473"/>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a.在合同履行期间，甲方要求终止或解除合同，乙方未开始技术服务工作的，不退还甲方已付的定金(若有定金时)；</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b.乙方交付本合同项下物品质量或软件服务若不符合本合同约定的，或货物有潜在的隐蔽瑕疵无法在交货时查验的，甲方有权拒收或退回货物，并应向乙方提出书面异议，乙方应接到甲方通知后立即免费修理、更换、采取其他补救措施以使货物达到合格标准后再次验收，同时甲方有权追究乙方因此产生的逾期交货等违约责任。再次验收产生的所有费用由乙方承担。如再次验收的结论仍为不合格，甲方有权单方解除合同、退回不合格货物或软件技术服务，已支付的合同款项乙方应退还甲方，同时乙方应按合同总价款的20%向甲方支付违约金。</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c.合同生效后，乙方要求终止或解除合同，乙方必须按本款(2)支付违约金。</w:t>
      </w:r>
    </w:p>
    <w:p>
      <w:pPr>
        <w:pStyle w:val="79"/>
        <w:tabs>
          <w:tab w:val="left" w:pos="851"/>
        </w:tabs>
        <w:autoSpaceDE w:val="0"/>
        <w:autoSpaceDN w:val="0"/>
        <w:spacing w:line="360" w:lineRule="auto"/>
        <w:rPr>
          <w:rFonts w:ascii="宋体" w:hAnsi="宋体" w:cs="宋体"/>
          <w:kern w:val="0"/>
          <w:position w:val="-2"/>
          <w:szCs w:val="21"/>
          <w:lang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74" w:name="_Toc154649054"/>
      <w:bookmarkStart w:id="475" w:name="_Toc22425"/>
      <w:bookmarkStart w:id="476" w:name="_Toc159253384"/>
      <w:r>
        <w:rPr>
          <w:rFonts w:ascii="宋体" w:hAnsi="宋体" w:cs="宋体"/>
          <w:b/>
          <w:kern w:val="0"/>
          <w:position w:val="-2"/>
          <w:szCs w:val="21"/>
          <w:lang w:bidi="ar"/>
        </w:rPr>
        <w:t xml:space="preserve">1.7 </w:t>
      </w:r>
      <w:r>
        <w:rPr>
          <w:rFonts w:hint="eastAsia" w:ascii="宋体" w:hAnsi="宋体" w:cs="宋体"/>
          <w:b/>
          <w:kern w:val="0"/>
          <w:position w:val="-2"/>
          <w:szCs w:val="21"/>
          <w:lang w:bidi="ar"/>
        </w:rPr>
        <w:t>纠纷处理</w:t>
      </w:r>
      <w:bookmarkEnd w:id="474"/>
      <w:bookmarkEnd w:id="475"/>
      <w:bookmarkEnd w:id="476"/>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履约期间若发生争议，由甲乙双方本着友好、合理、平等、诚信的原则协商解决，经协商在60天内不能达成协议时，应提交诉讼：</w:t>
      </w:r>
    </w:p>
    <w:p>
      <w:pPr>
        <w:pStyle w:val="79"/>
        <w:tabs>
          <w:tab w:val="left" w:pos="851"/>
        </w:tabs>
        <w:autoSpaceDE w:val="0"/>
        <w:autoSpaceDN w:val="0"/>
        <w:spacing w:line="360" w:lineRule="auto"/>
        <w:rPr>
          <w:rFonts w:ascii="宋体" w:hAnsi="宋体" w:cs="宋体"/>
          <w:kern w:val="0"/>
          <w:position w:val="-2"/>
          <w:szCs w:val="21"/>
          <w:lang w:val="en-GB" w:bidi="ar"/>
        </w:rPr>
      </w:pPr>
      <w:r>
        <w:rPr>
          <w:rFonts w:hint="eastAsia" w:ascii="宋体" w:hAnsi="宋体" w:cs="宋体"/>
          <w:kern w:val="0"/>
          <w:position w:val="-2"/>
          <w:szCs w:val="21"/>
          <w:lang w:val="en-GB" w:bidi="ar"/>
        </w:rPr>
        <w:t>a. 诉讼应在甲方所在地的人民法院进行。</w:t>
      </w:r>
    </w:p>
    <w:p>
      <w:pPr>
        <w:pStyle w:val="79"/>
        <w:tabs>
          <w:tab w:val="left" w:pos="851"/>
        </w:tabs>
        <w:autoSpaceDE w:val="0"/>
        <w:autoSpaceDN w:val="0"/>
        <w:spacing w:line="360" w:lineRule="auto"/>
        <w:rPr>
          <w:rFonts w:ascii="宋体" w:hAnsi="宋体" w:cs="宋体"/>
          <w:kern w:val="0"/>
          <w:position w:val="-2"/>
          <w:szCs w:val="21"/>
          <w:lang w:val="en-GB" w:bidi="ar"/>
        </w:rPr>
      </w:pPr>
      <w:r>
        <w:rPr>
          <w:rFonts w:hint="eastAsia" w:ascii="宋体" w:hAnsi="宋体" w:cs="宋体"/>
          <w:kern w:val="0"/>
          <w:position w:val="-2"/>
          <w:szCs w:val="21"/>
          <w:lang w:val="en-GB" w:bidi="ar"/>
        </w:rPr>
        <w:t>b. 诉讼判决应为最终决定，并对双方具有约束力。</w:t>
      </w:r>
    </w:p>
    <w:p>
      <w:pPr>
        <w:pStyle w:val="79"/>
        <w:tabs>
          <w:tab w:val="left" w:pos="851"/>
        </w:tabs>
        <w:autoSpaceDE w:val="0"/>
        <w:autoSpaceDN w:val="0"/>
        <w:spacing w:line="360" w:lineRule="auto"/>
        <w:rPr>
          <w:rFonts w:ascii="宋体" w:hAnsi="宋体" w:cs="宋体"/>
          <w:kern w:val="0"/>
          <w:position w:val="-2"/>
          <w:szCs w:val="21"/>
          <w:lang w:val="en-GB" w:bidi="ar"/>
        </w:rPr>
      </w:pPr>
      <w:r>
        <w:rPr>
          <w:rFonts w:hint="eastAsia" w:ascii="宋体" w:hAnsi="宋体" w:cs="宋体"/>
          <w:kern w:val="0"/>
          <w:position w:val="-2"/>
          <w:szCs w:val="21"/>
          <w:lang w:val="en-GB" w:bidi="ar"/>
        </w:rPr>
        <w:t>c. 除另有判决外，诉讼费应由败诉方负担。</w:t>
      </w:r>
    </w:p>
    <w:p>
      <w:pPr>
        <w:pStyle w:val="79"/>
        <w:tabs>
          <w:tab w:val="left" w:pos="851"/>
        </w:tabs>
        <w:autoSpaceDE w:val="0"/>
        <w:autoSpaceDN w:val="0"/>
        <w:spacing w:line="360" w:lineRule="auto"/>
        <w:rPr>
          <w:rFonts w:ascii="宋体" w:hAnsi="宋体" w:cs="宋体"/>
          <w:kern w:val="0"/>
          <w:position w:val="-2"/>
          <w:szCs w:val="21"/>
          <w:lang w:val="en-GB" w:bidi="ar"/>
        </w:rPr>
      </w:pPr>
      <w:r>
        <w:rPr>
          <w:rFonts w:hint="eastAsia" w:ascii="宋体" w:hAnsi="宋体" w:cs="宋体"/>
          <w:kern w:val="0"/>
          <w:position w:val="-2"/>
          <w:szCs w:val="21"/>
          <w:lang w:val="en-GB" w:bidi="ar"/>
        </w:rPr>
        <w:t>d. 在诉讼期间，除正在进行诉讼部分外，合同其它部分仍继续执行。</w:t>
      </w:r>
    </w:p>
    <w:p>
      <w:pPr>
        <w:pStyle w:val="79"/>
        <w:tabs>
          <w:tab w:val="left" w:pos="851"/>
        </w:tabs>
        <w:autoSpaceDE w:val="0"/>
        <w:autoSpaceDN w:val="0"/>
        <w:spacing w:line="360" w:lineRule="auto"/>
        <w:rPr>
          <w:rFonts w:ascii="宋体" w:hAnsi="宋体" w:cs="宋体"/>
          <w:kern w:val="0"/>
          <w:position w:val="-2"/>
          <w:szCs w:val="21"/>
          <w:lang w:val="en-GB"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77" w:name="_Toc27197"/>
      <w:bookmarkStart w:id="478" w:name="_Toc159253385"/>
      <w:bookmarkStart w:id="479" w:name="_Toc154649055"/>
      <w:bookmarkStart w:id="480" w:name="_Toc140049739"/>
      <w:r>
        <w:rPr>
          <w:rFonts w:ascii="宋体" w:hAnsi="宋体" w:cs="宋体"/>
          <w:b/>
          <w:kern w:val="0"/>
          <w:position w:val="-2"/>
          <w:szCs w:val="21"/>
          <w:lang w:bidi="ar"/>
        </w:rPr>
        <w:t xml:space="preserve">1.8 </w:t>
      </w:r>
      <w:r>
        <w:rPr>
          <w:rFonts w:hint="eastAsia" w:ascii="宋体" w:hAnsi="宋体" w:cs="宋体"/>
          <w:b/>
          <w:kern w:val="0"/>
          <w:position w:val="-2"/>
          <w:szCs w:val="21"/>
          <w:lang w:bidi="ar"/>
        </w:rPr>
        <w:t>未尽事宜</w:t>
      </w:r>
      <w:bookmarkEnd w:id="477"/>
      <w:bookmarkEnd w:id="478"/>
      <w:bookmarkEnd w:id="479"/>
      <w:bookmarkEnd w:id="480"/>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本合同未尽事项，相关各方按照国家有关规定另行议定书面补充协议，经签章确认后与本合同具有同等效力。</w:t>
      </w:r>
    </w:p>
    <w:p>
      <w:pPr>
        <w:pStyle w:val="79"/>
        <w:tabs>
          <w:tab w:val="left" w:pos="851"/>
        </w:tabs>
        <w:autoSpaceDE w:val="0"/>
        <w:autoSpaceDN w:val="0"/>
        <w:spacing w:line="360" w:lineRule="auto"/>
        <w:rPr>
          <w:rFonts w:ascii="宋体" w:hAnsi="宋体" w:cs="宋体"/>
          <w:kern w:val="0"/>
          <w:position w:val="-2"/>
          <w:szCs w:val="21"/>
          <w:lang w:bidi="ar"/>
        </w:rPr>
      </w:pPr>
    </w:p>
    <w:p>
      <w:pPr>
        <w:pStyle w:val="79"/>
        <w:tabs>
          <w:tab w:val="left" w:pos="851"/>
        </w:tabs>
        <w:autoSpaceDE w:val="0"/>
        <w:autoSpaceDN w:val="0"/>
        <w:spacing w:line="360" w:lineRule="auto"/>
        <w:ind w:firstLine="422"/>
        <w:rPr>
          <w:rFonts w:ascii="宋体" w:hAnsi="宋体" w:cs="宋体"/>
          <w:b/>
          <w:kern w:val="0"/>
          <w:position w:val="-2"/>
          <w:szCs w:val="21"/>
          <w:lang w:bidi="ar"/>
        </w:rPr>
      </w:pPr>
      <w:bookmarkStart w:id="481" w:name="_Toc154649056"/>
      <w:bookmarkStart w:id="482" w:name="_Toc140049740"/>
      <w:bookmarkStart w:id="483" w:name="_Toc27555"/>
      <w:bookmarkStart w:id="484" w:name="_Toc159253386"/>
      <w:r>
        <w:rPr>
          <w:rFonts w:hint="eastAsia" w:ascii="宋体" w:hAnsi="宋体" w:cs="宋体"/>
          <w:b/>
          <w:kern w:val="0"/>
          <w:position w:val="-2"/>
          <w:szCs w:val="21"/>
          <w:lang w:bidi="ar"/>
        </w:rPr>
        <w:t>1.</w:t>
      </w:r>
      <w:r>
        <w:rPr>
          <w:rFonts w:ascii="宋体" w:hAnsi="宋体" w:cs="宋体"/>
          <w:b/>
          <w:kern w:val="0"/>
          <w:position w:val="-2"/>
          <w:szCs w:val="21"/>
          <w:lang w:bidi="ar"/>
        </w:rPr>
        <w:t xml:space="preserve">9 </w:t>
      </w:r>
      <w:r>
        <w:rPr>
          <w:rFonts w:hint="eastAsia" w:ascii="宋体" w:hAnsi="宋体" w:cs="宋体"/>
          <w:b/>
          <w:kern w:val="0"/>
          <w:position w:val="-2"/>
          <w:szCs w:val="21"/>
          <w:lang w:bidi="ar"/>
        </w:rPr>
        <w:t>不可抗力因素</w:t>
      </w:r>
      <w:bookmarkEnd w:id="481"/>
      <w:bookmarkEnd w:id="482"/>
      <w:bookmarkEnd w:id="483"/>
      <w:bookmarkEnd w:id="484"/>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签约双方任一方由于受诸如战争、严重火灾、洪水、台风、地震等不可抗力因素的影响而不能执行合同时，履行合同的期限应予以延长，延长的期限应相当于事故所影响的时间。另外，因不可抗力对人员和设备造成的损害由各自负责。</w:t>
      </w:r>
    </w:p>
    <w:p>
      <w:pPr>
        <w:pStyle w:val="79"/>
        <w:tabs>
          <w:tab w:val="left" w:pos="851"/>
        </w:tabs>
        <w:autoSpaceDE w:val="0"/>
        <w:autoSpaceDN w:val="0"/>
        <w:spacing w:line="360" w:lineRule="auto"/>
        <w:rPr>
          <w:rFonts w:ascii="宋体" w:hAnsi="宋体" w:cs="宋体"/>
          <w:kern w:val="0"/>
          <w:position w:val="-2"/>
          <w:szCs w:val="21"/>
          <w:lang w:bidi="ar"/>
        </w:rPr>
      </w:pPr>
    </w:p>
    <w:p>
      <w:pPr>
        <w:pStyle w:val="79"/>
        <w:numPr>
          <w:ilvl w:val="0"/>
          <w:numId w:val="3"/>
        </w:numPr>
        <w:tabs>
          <w:tab w:val="left" w:pos="851"/>
        </w:tabs>
        <w:autoSpaceDE w:val="0"/>
        <w:autoSpaceDN w:val="0"/>
        <w:ind w:firstLineChars="0"/>
        <w:rPr>
          <w:rFonts w:ascii="宋体" w:hAnsi="宋体" w:cs="宋体"/>
          <w:b/>
          <w:kern w:val="0"/>
          <w:position w:val="-2"/>
          <w:szCs w:val="21"/>
          <w:lang w:bidi="ar"/>
        </w:rPr>
      </w:pPr>
      <w:bookmarkStart w:id="485" w:name="_Toc27631"/>
      <w:bookmarkStart w:id="486" w:name="_Toc159253387"/>
      <w:r>
        <w:rPr>
          <w:rFonts w:hint="eastAsia" w:ascii="宋体" w:hAnsi="宋体" w:cs="宋体"/>
          <w:b/>
          <w:kern w:val="0"/>
          <w:position w:val="-2"/>
          <w:szCs w:val="21"/>
          <w:lang w:bidi="ar"/>
        </w:rPr>
        <w:t>合同范围</w:t>
      </w:r>
      <w:bookmarkEnd w:id="485"/>
      <w:bookmarkEnd w:id="486"/>
    </w:p>
    <w:p>
      <w:pPr>
        <w:tabs>
          <w:tab w:val="left" w:pos="851"/>
        </w:tabs>
        <w:autoSpaceDE w:val="0"/>
        <w:autoSpaceDN w:val="0"/>
        <w:spacing w:line="360" w:lineRule="auto"/>
        <w:ind w:firstLine="420" w:firstLineChars="200"/>
        <w:rPr>
          <w:rFonts w:ascii="宋体" w:hAnsi="宋体" w:cs="宋体"/>
          <w:szCs w:val="21"/>
          <w:lang w:bidi="ar"/>
        </w:rPr>
      </w:pPr>
      <w:r>
        <w:rPr>
          <w:rFonts w:hint="eastAsia" w:ascii="宋体" w:hAnsi="宋体" w:cs="宋体"/>
          <w:szCs w:val="21"/>
          <w:lang w:bidi="ar"/>
        </w:rPr>
        <w:t>乙方向甲方提供潮州港亚太通用码头智慧环保改造工程生产业务管理系统建设项目服务。</w:t>
      </w:r>
    </w:p>
    <w:p>
      <w:pPr>
        <w:pStyle w:val="79"/>
        <w:tabs>
          <w:tab w:val="left" w:pos="851"/>
        </w:tabs>
        <w:autoSpaceDE w:val="0"/>
        <w:autoSpaceDN w:val="0"/>
        <w:spacing w:line="360" w:lineRule="auto"/>
        <w:rPr>
          <w:rFonts w:ascii="宋体" w:hAnsi="宋体" w:cs="宋体"/>
          <w:kern w:val="0"/>
          <w:position w:val="-2"/>
          <w:szCs w:val="21"/>
          <w:lang w:bidi="ar"/>
        </w:rPr>
      </w:pPr>
      <w:bookmarkStart w:id="487" w:name="_Toc159253388"/>
      <w:bookmarkStart w:id="488" w:name="_Toc3142"/>
      <w:r>
        <w:rPr>
          <w:rFonts w:hint="eastAsia" w:ascii="宋体" w:hAnsi="宋体" w:cs="宋体"/>
          <w:kern w:val="0"/>
          <w:position w:val="-2"/>
          <w:szCs w:val="21"/>
          <w:lang w:bidi="ar"/>
        </w:rPr>
        <w:t>2.1</w:t>
      </w:r>
      <w:r>
        <w:rPr>
          <w:rFonts w:ascii="宋体" w:hAnsi="宋体" w:cs="宋体"/>
          <w:kern w:val="0"/>
          <w:position w:val="-2"/>
          <w:szCs w:val="21"/>
          <w:lang w:bidi="ar"/>
        </w:rPr>
        <w:t xml:space="preserve"> </w:t>
      </w:r>
      <w:r>
        <w:rPr>
          <w:rFonts w:hint="eastAsia" w:ascii="宋体" w:hAnsi="宋体" w:cs="宋体"/>
          <w:kern w:val="0"/>
          <w:position w:val="-2"/>
          <w:szCs w:val="21"/>
          <w:lang w:bidi="ar"/>
        </w:rPr>
        <w:t>承包责任范围</w:t>
      </w:r>
      <w:bookmarkEnd w:id="487"/>
      <w:bookmarkEnd w:id="488"/>
      <w:r>
        <w:rPr>
          <w:rFonts w:hint="eastAsia" w:ascii="宋体" w:hAnsi="宋体" w:cs="宋体"/>
          <w:kern w:val="0"/>
          <w:position w:val="-2"/>
          <w:szCs w:val="21"/>
          <w:lang w:bidi="ar"/>
        </w:rPr>
        <w:t>包含</w:t>
      </w:r>
      <w:r>
        <w:rPr>
          <w:rFonts w:ascii="宋体" w:hAnsi="宋体" w:cs="宋体"/>
          <w:kern w:val="0"/>
          <w:position w:val="-2"/>
          <w:szCs w:val="21"/>
          <w:lang w:bidi="ar"/>
        </w:rPr>
        <w:t>但不局限于</w:t>
      </w:r>
      <w:r>
        <w:rPr>
          <w:rFonts w:hint="eastAsia" w:ascii="宋体" w:hAnsi="宋体" w:cs="宋体"/>
          <w:kern w:val="0"/>
          <w:position w:val="-2"/>
          <w:szCs w:val="21"/>
          <w:lang w:bidi="ar"/>
        </w:rPr>
        <w:t>以下</w:t>
      </w:r>
      <w:r>
        <w:rPr>
          <w:rFonts w:ascii="宋体" w:hAnsi="宋体" w:cs="宋体"/>
          <w:kern w:val="0"/>
          <w:position w:val="-2"/>
          <w:szCs w:val="21"/>
          <w:lang w:bidi="ar"/>
        </w:rPr>
        <w:t>：</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建设</w:t>
      </w:r>
      <w:r>
        <w:rPr>
          <w:rFonts w:ascii="宋体" w:hAnsi="宋体" w:cs="宋体"/>
          <w:kern w:val="0"/>
          <w:position w:val="-2"/>
          <w:szCs w:val="21"/>
          <w:lang w:bidi="ar"/>
        </w:rPr>
        <w:t>一套</w:t>
      </w:r>
      <w:r>
        <w:rPr>
          <w:rFonts w:hint="eastAsia" w:ascii="宋体" w:hAnsi="宋体" w:cs="宋体"/>
          <w:kern w:val="0"/>
          <w:position w:val="-2"/>
          <w:szCs w:val="21"/>
          <w:lang w:bidi="ar"/>
        </w:rPr>
        <w:t>贴合潮州亚太港口生产业务需求的</w:t>
      </w:r>
      <w:r>
        <w:rPr>
          <w:rFonts w:ascii="宋体" w:hAnsi="宋体" w:cs="宋体"/>
          <w:kern w:val="0"/>
          <w:position w:val="-2"/>
          <w:szCs w:val="21"/>
          <w:lang w:bidi="ar"/>
        </w:rPr>
        <w:t>管理系统</w:t>
      </w:r>
      <w:r>
        <w:rPr>
          <w:rFonts w:hint="eastAsia" w:ascii="宋体" w:hAnsi="宋体" w:cs="宋体"/>
          <w:kern w:val="0"/>
          <w:position w:val="-2"/>
          <w:szCs w:val="21"/>
          <w:lang w:bidi="ar"/>
        </w:rPr>
        <w:t>，优化现有生产作业流程，系统</w:t>
      </w:r>
      <w:r>
        <w:rPr>
          <w:rFonts w:ascii="宋体" w:hAnsi="宋体" w:cs="宋体"/>
          <w:kern w:val="0"/>
          <w:position w:val="-2"/>
          <w:szCs w:val="21"/>
          <w:lang w:bidi="ar"/>
        </w:rPr>
        <w:t>涵盖码头</w:t>
      </w:r>
      <w:r>
        <w:rPr>
          <w:rFonts w:hint="eastAsia" w:ascii="宋体" w:hAnsi="宋体" w:cs="宋体"/>
          <w:kern w:val="0"/>
          <w:position w:val="-2"/>
          <w:szCs w:val="21"/>
          <w:lang w:bidi="ar"/>
        </w:rPr>
        <w:t>泊位靠</w:t>
      </w:r>
      <w:r>
        <w:rPr>
          <w:rFonts w:ascii="宋体" w:hAnsi="宋体" w:cs="宋体"/>
          <w:kern w:val="0"/>
          <w:position w:val="-2"/>
          <w:szCs w:val="21"/>
          <w:lang w:bidi="ar"/>
        </w:rPr>
        <w:t>离计划</w:t>
      </w:r>
      <w:r>
        <w:rPr>
          <w:rFonts w:hint="eastAsia" w:ascii="宋体" w:hAnsi="宋体" w:cs="宋体"/>
          <w:kern w:val="0"/>
          <w:position w:val="-2"/>
          <w:szCs w:val="21"/>
          <w:lang w:bidi="ar"/>
        </w:rPr>
        <w:t>及</w:t>
      </w:r>
      <w:r>
        <w:rPr>
          <w:rFonts w:ascii="宋体" w:hAnsi="宋体" w:cs="宋体"/>
          <w:kern w:val="0"/>
          <w:position w:val="-2"/>
          <w:szCs w:val="21"/>
          <w:lang w:bidi="ar"/>
        </w:rPr>
        <w:t>动态跟踪</w:t>
      </w:r>
      <w:r>
        <w:rPr>
          <w:rFonts w:hint="eastAsia" w:ascii="宋体" w:hAnsi="宋体" w:cs="宋体"/>
          <w:kern w:val="0"/>
          <w:position w:val="-2"/>
          <w:szCs w:val="21"/>
          <w:lang w:bidi="ar"/>
        </w:rPr>
        <w:t>、</w:t>
      </w:r>
      <w:r>
        <w:rPr>
          <w:rFonts w:ascii="宋体" w:hAnsi="宋体" w:cs="宋体"/>
          <w:kern w:val="0"/>
          <w:position w:val="-2"/>
          <w:szCs w:val="21"/>
          <w:lang w:bidi="ar"/>
        </w:rPr>
        <w:t>装卸</w:t>
      </w:r>
      <w:r>
        <w:rPr>
          <w:rFonts w:hint="eastAsia" w:ascii="宋体" w:hAnsi="宋体" w:cs="宋体"/>
          <w:kern w:val="0"/>
          <w:position w:val="-2"/>
          <w:szCs w:val="21"/>
          <w:lang w:bidi="ar"/>
        </w:rPr>
        <w:t>船</w:t>
      </w:r>
      <w:r>
        <w:rPr>
          <w:rFonts w:ascii="宋体" w:hAnsi="宋体" w:cs="宋体"/>
          <w:kern w:val="0"/>
          <w:position w:val="-2"/>
          <w:szCs w:val="21"/>
          <w:lang w:bidi="ar"/>
        </w:rPr>
        <w:t>计划</w:t>
      </w:r>
      <w:r>
        <w:rPr>
          <w:rFonts w:hint="eastAsia" w:ascii="宋体" w:hAnsi="宋体" w:cs="宋体"/>
          <w:kern w:val="0"/>
          <w:position w:val="-2"/>
          <w:szCs w:val="21"/>
          <w:lang w:bidi="ar"/>
        </w:rPr>
        <w:t>及</w:t>
      </w:r>
      <w:r>
        <w:rPr>
          <w:rFonts w:ascii="宋体" w:hAnsi="宋体" w:cs="宋体"/>
          <w:kern w:val="0"/>
          <w:position w:val="-2"/>
          <w:szCs w:val="21"/>
          <w:lang w:bidi="ar"/>
        </w:rPr>
        <w:t>动态</w:t>
      </w:r>
      <w:r>
        <w:rPr>
          <w:rFonts w:hint="eastAsia" w:ascii="宋体" w:hAnsi="宋体" w:cs="宋体"/>
          <w:kern w:val="0"/>
          <w:position w:val="-2"/>
          <w:szCs w:val="21"/>
          <w:lang w:bidi="ar"/>
        </w:rPr>
        <w:t>跟踪、库</w:t>
      </w:r>
      <w:r>
        <w:rPr>
          <w:rFonts w:ascii="宋体" w:hAnsi="宋体" w:cs="宋体"/>
          <w:kern w:val="0"/>
          <w:position w:val="-2"/>
          <w:szCs w:val="21"/>
          <w:lang w:bidi="ar"/>
        </w:rPr>
        <w:t>场</w:t>
      </w:r>
      <w:r>
        <w:rPr>
          <w:rFonts w:hint="eastAsia" w:ascii="宋体" w:hAnsi="宋体" w:cs="宋体"/>
          <w:kern w:val="0"/>
          <w:position w:val="-2"/>
          <w:szCs w:val="21"/>
          <w:lang w:bidi="ar"/>
        </w:rPr>
        <w:t>作业</w:t>
      </w:r>
      <w:r>
        <w:rPr>
          <w:rFonts w:ascii="宋体" w:hAnsi="宋体" w:cs="宋体"/>
          <w:kern w:val="0"/>
          <w:position w:val="-2"/>
          <w:szCs w:val="21"/>
          <w:lang w:bidi="ar"/>
        </w:rPr>
        <w:t>安排及</w:t>
      </w:r>
      <w:r>
        <w:rPr>
          <w:rFonts w:hint="eastAsia" w:ascii="宋体" w:hAnsi="宋体" w:cs="宋体"/>
          <w:kern w:val="0"/>
          <w:position w:val="-2"/>
          <w:szCs w:val="21"/>
          <w:lang w:bidi="ar"/>
        </w:rPr>
        <w:t>库存</w:t>
      </w:r>
      <w:r>
        <w:rPr>
          <w:rFonts w:ascii="宋体" w:hAnsi="宋体" w:cs="宋体"/>
          <w:kern w:val="0"/>
          <w:position w:val="-2"/>
          <w:szCs w:val="21"/>
          <w:lang w:bidi="ar"/>
        </w:rPr>
        <w:t>货物动态</w:t>
      </w:r>
      <w:r>
        <w:rPr>
          <w:rFonts w:hint="eastAsia" w:ascii="宋体" w:hAnsi="宋体" w:cs="宋体"/>
          <w:kern w:val="0"/>
          <w:position w:val="-2"/>
          <w:szCs w:val="21"/>
          <w:lang w:bidi="ar"/>
        </w:rPr>
        <w:t>跟踪、汽车提货</w:t>
      </w:r>
      <w:r>
        <w:rPr>
          <w:rFonts w:ascii="宋体" w:hAnsi="宋体" w:cs="宋体"/>
          <w:kern w:val="0"/>
          <w:position w:val="-2"/>
          <w:szCs w:val="21"/>
          <w:lang w:bidi="ar"/>
        </w:rPr>
        <w:t>作业管理、转栈</w:t>
      </w:r>
      <w:r>
        <w:rPr>
          <w:rFonts w:hint="eastAsia" w:ascii="宋体" w:hAnsi="宋体" w:cs="宋体"/>
          <w:kern w:val="0"/>
          <w:position w:val="-2"/>
          <w:szCs w:val="21"/>
          <w:lang w:bidi="ar"/>
        </w:rPr>
        <w:t>作业</w:t>
      </w:r>
      <w:r>
        <w:rPr>
          <w:rFonts w:ascii="宋体" w:hAnsi="宋体" w:cs="宋体"/>
          <w:kern w:val="0"/>
          <w:position w:val="-2"/>
          <w:szCs w:val="21"/>
          <w:lang w:bidi="ar"/>
        </w:rPr>
        <w:t>管理、业务单证管理、</w:t>
      </w:r>
      <w:r>
        <w:rPr>
          <w:rFonts w:hint="eastAsia" w:ascii="宋体" w:hAnsi="宋体" w:cs="宋体"/>
          <w:kern w:val="0"/>
          <w:position w:val="-2"/>
          <w:szCs w:val="21"/>
          <w:lang w:bidi="ar"/>
        </w:rPr>
        <w:t>合同费</w:t>
      </w:r>
      <w:r>
        <w:rPr>
          <w:rFonts w:ascii="宋体" w:hAnsi="宋体" w:cs="宋体"/>
          <w:kern w:val="0"/>
          <w:position w:val="-2"/>
          <w:szCs w:val="21"/>
          <w:lang w:bidi="ar"/>
        </w:rPr>
        <w:t>收管理</w:t>
      </w:r>
      <w:r>
        <w:rPr>
          <w:rFonts w:hint="eastAsia" w:ascii="宋体" w:hAnsi="宋体" w:cs="宋体"/>
          <w:kern w:val="0"/>
          <w:position w:val="-2"/>
          <w:szCs w:val="21"/>
          <w:lang w:bidi="ar"/>
        </w:rPr>
        <w:t>、</w:t>
      </w:r>
      <w:r>
        <w:rPr>
          <w:rFonts w:ascii="宋体" w:hAnsi="宋体" w:cs="宋体"/>
          <w:kern w:val="0"/>
          <w:position w:val="-2"/>
          <w:szCs w:val="21"/>
          <w:lang w:bidi="ar"/>
        </w:rPr>
        <w:t>统计查询</w:t>
      </w:r>
      <w:r>
        <w:rPr>
          <w:rFonts w:hint="eastAsia" w:ascii="宋体" w:hAnsi="宋体" w:cs="宋体"/>
          <w:kern w:val="0"/>
          <w:position w:val="-2"/>
          <w:szCs w:val="21"/>
          <w:lang w:bidi="ar"/>
        </w:rPr>
        <w:t>、</w:t>
      </w:r>
      <w:r>
        <w:rPr>
          <w:rFonts w:ascii="宋体" w:hAnsi="宋体" w:cs="宋体"/>
          <w:kern w:val="0"/>
          <w:position w:val="-2"/>
          <w:szCs w:val="21"/>
          <w:lang w:bidi="ar"/>
        </w:rPr>
        <w:t>系统管理权限等功能，</w:t>
      </w:r>
      <w:r>
        <w:rPr>
          <w:rFonts w:hint="eastAsia" w:ascii="宋体" w:hAnsi="宋体" w:cs="宋体"/>
          <w:kern w:val="0"/>
          <w:position w:val="-2"/>
          <w:szCs w:val="21"/>
          <w:lang w:bidi="ar"/>
        </w:rPr>
        <w:t>实现各生产环节的无缝衔接与高效运作。</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实现与属地海关辅助系统的数据共享对接，让港口与海关之间的数据交互更加及时、准确，从而提升通关效率，加快货物周转速度。</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将港区现有6台</w:t>
      </w:r>
      <w:r>
        <w:rPr>
          <w:rFonts w:ascii="宋体" w:hAnsi="宋体" w:cs="宋体"/>
          <w:kern w:val="0"/>
          <w:position w:val="-2"/>
          <w:szCs w:val="21"/>
          <w:lang w:bidi="ar"/>
        </w:rPr>
        <w:t>地磅改造成</w:t>
      </w:r>
      <w:r>
        <w:rPr>
          <w:rFonts w:hint="eastAsia" w:ascii="宋体" w:hAnsi="宋体" w:cs="宋体"/>
          <w:kern w:val="0"/>
          <w:position w:val="-2"/>
          <w:szCs w:val="21"/>
          <w:lang w:bidi="ar"/>
        </w:rPr>
        <w:t>无人化地磅作业模式，使地磅作业实现自动化，提高作业效率，降低人力成本，同时减少人为因素对作业准确性的影响。</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有效</w:t>
      </w:r>
      <w:r>
        <w:rPr>
          <w:rFonts w:ascii="宋体" w:hAnsi="宋体" w:cs="宋体"/>
          <w:kern w:val="0"/>
          <w:position w:val="-2"/>
          <w:szCs w:val="21"/>
          <w:lang w:bidi="ar"/>
        </w:rPr>
        <w:t>实现</w:t>
      </w:r>
      <w:r>
        <w:rPr>
          <w:rFonts w:hint="eastAsia" w:ascii="宋体" w:hAnsi="宋体" w:cs="宋体"/>
          <w:kern w:val="0"/>
          <w:position w:val="-2"/>
          <w:szCs w:val="21"/>
          <w:lang w:bidi="ar"/>
        </w:rPr>
        <w:t>来港</w:t>
      </w:r>
      <w:r>
        <w:rPr>
          <w:rFonts w:ascii="宋体" w:hAnsi="宋体" w:cs="宋体"/>
          <w:kern w:val="0"/>
          <w:position w:val="-2"/>
          <w:szCs w:val="21"/>
          <w:lang w:bidi="ar"/>
        </w:rPr>
        <w:t>提货车辆预约机制，</w:t>
      </w:r>
      <w:r>
        <w:rPr>
          <w:rFonts w:hint="eastAsia" w:ascii="宋体" w:hAnsi="宋体" w:cs="宋体"/>
          <w:kern w:val="0"/>
          <w:position w:val="-2"/>
          <w:szCs w:val="21"/>
          <w:lang w:bidi="ar"/>
        </w:rPr>
        <w:t>合理有序调配车辆进出港，缓解港区内外部道路的交通压力，</w:t>
      </w:r>
      <w:r>
        <w:rPr>
          <w:rFonts w:ascii="宋体" w:hAnsi="宋体" w:cs="宋体"/>
          <w:kern w:val="0"/>
          <w:position w:val="-2"/>
          <w:szCs w:val="21"/>
          <w:lang w:bidi="ar"/>
        </w:rPr>
        <w:t>减少司机</w:t>
      </w:r>
      <w:r>
        <w:rPr>
          <w:rFonts w:hint="eastAsia" w:ascii="宋体" w:hAnsi="宋体" w:cs="宋体"/>
          <w:kern w:val="0"/>
          <w:position w:val="-2"/>
          <w:szCs w:val="21"/>
          <w:lang w:bidi="ar"/>
        </w:rPr>
        <w:t>在港</w:t>
      </w:r>
      <w:r>
        <w:rPr>
          <w:rFonts w:ascii="宋体" w:hAnsi="宋体" w:cs="宋体"/>
          <w:kern w:val="0"/>
          <w:position w:val="-2"/>
          <w:szCs w:val="21"/>
          <w:lang w:bidi="ar"/>
        </w:rPr>
        <w:t>等待时</w:t>
      </w:r>
      <w:r>
        <w:rPr>
          <w:rFonts w:hint="eastAsia" w:ascii="宋体" w:hAnsi="宋体" w:cs="宋体"/>
          <w:kern w:val="0"/>
          <w:position w:val="-2"/>
          <w:szCs w:val="21"/>
          <w:lang w:bidi="ar"/>
        </w:rPr>
        <w:t>长</w:t>
      </w:r>
      <w:r>
        <w:rPr>
          <w:rFonts w:ascii="宋体" w:hAnsi="宋体" w:cs="宋体"/>
          <w:kern w:val="0"/>
          <w:position w:val="-2"/>
          <w:szCs w:val="21"/>
          <w:lang w:bidi="ar"/>
        </w:rPr>
        <w:t>。</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推动业务单证电子化进程，实现提货车辆作业</w:t>
      </w:r>
      <w:r>
        <w:rPr>
          <w:rFonts w:ascii="宋体" w:hAnsi="宋体" w:cs="宋体"/>
          <w:kern w:val="0"/>
          <w:position w:val="-2"/>
          <w:szCs w:val="21"/>
          <w:lang w:bidi="ar"/>
        </w:rPr>
        <w:t>流程监管</w:t>
      </w:r>
      <w:r>
        <w:rPr>
          <w:rFonts w:hint="eastAsia" w:ascii="宋体" w:hAnsi="宋体" w:cs="宋体"/>
          <w:kern w:val="0"/>
          <w:position w:val="-2"/>
          <w:szCs w:val="21"/>
          <w:lang w:bidi="ar"/>
        </w:rPr>
        <w:t>及作业数据及时上传，避免</w:t>
      </w:r>
      <w:r>
        <w:rPr>
          <w:rFonts w:ascii="宋体" w:hAnsi="宋体" w:cs="宋体"/>
          <w:kern w:val="0"/>
          <w:position w:val="-2"/>
          <w:szCs w:val="21"/>
          <w:lang w:bidi="ar"/>
        </w:rPr>
        <w:t>货运质量</w:t>
      </w:r>
      <w:r>
        <w:rPr>
          <w:rFonts w:hint="eastAsia" w:ascii="宋体" w:hAnsi="宋体" w:cs="宋体"/>
          <w:kern w:val="0"/>
          <w:position w:val="-2"/>
          <w:szCs w:val="21"/>
          <w:lang w:bidi="ar"/>
        </w:rPr>
        <w:t>管理</w:t>
      </w:r>
      <w:r>
        <w:rPr>
          <w:rFonts w:ascii="宋体" w:hAnsi="宋体" w:cs="宋体"/>
          <w:kern w:val="0"/>
          <w:position w:val="-2"/>
          <w:szCs w:val="21"/>
          <w:lang w:bidi="ar"/>
        </w:rPr>
        <w:t>风险</w:t>
      </w:r>
      <w:r>
        <w:rPr>
          <w:rFonts w:hint="eastAsia" w:ascii="宋体" w:hAnsi="宋体" w:cs="宋体"/>
          <w:kern w:val="0"/>
          <w:position w:val="-2"/>
          <w:szCs w:val="21"/>
          <w:lang w:bidi="ar"/>
        </w:rPr>
        <w:t>。</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通过信息传输自动化、管理决策数字化以及地磅作业无人化等改造，提高现场作业生产效率，满足客户的作业需求。</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确保</w:t>
      </w:r>
      <w:r>
        <w:rPr>
          <w:rFonts w:ascii="宋体" w:hAnsi="宋体" w:cs="宋体"/>
          <w:kern w:val="0"/>
          <w:position w:val="-2"/>
          <w:szCs w:val="21"/>
          <w:lang w:bidi="ar"/>
        </w:rPr>
        <w:t>系统</w:t>
      </w:r>
      <w:r>
        <w:rPr>
          <w:rFonts w:hint="eastAsia" w:ascii="宋体" w:hAnsi="宋体" w:cs="宋体"/>
          <w:kern w:val="0"/>
          <w:position w:val="-2"/>
          <w:szCs w:val="21"/>
          <w:lang w:bidi="ar"/>
        </w:rPr>
        <w:t>稳定</w:t>
      </w:r>
      <w:r>
        <w:rPr>
          <w:rFonts w:ascii="宋体" w:hAnsi="宋体" w:cs="宋体"/>
          <w:kern w:val="0"/>
          <w:position w:val="-2"/>
          <w:szCs w:val="21"/>
          <w:lang w:bidi="ar"/>
        </w:rPr>
        <w:t>运行</w:t>
      </w:r>
      <w:r>
        <w:rPr>
          <w:rFonts w:hint="eastAsia" w:ascii="宋体" w:hAnsi="宋体" w:cs="宋体"/>
          <w:kern w:val="0"/>
          <w:position w:val="-2"/>
          <w:szCs w:val="21"/>
          <w:lang w:bidi="ar"/>
        </w:rPr>
        <w:t>及</w:t>
      </w:r>
      <w:r>
        <w:rPr>
          <w:rFonts w:ascii="宋体" w:hAnsi="宋体" w:cs="宋体"/>
          <w:kern w:val="0"/>
          <w:position w:val="-2"/>
          <w:szCs w:val="21"/>
          <w:lang w:bidi="ar"/>
        </w:rPr>
        <w:t>数据</w:t>
      </w:r>
      <w:r>
        <w:rPr>
          <w:rFonts w:hint="eastAsia" w:ascii="宋体" w:hAnsi="宋体" w:cs="宋体"/>
          <w:kern w:val="0"/>
          <w:position w:val="-2"/>
          <w:szCs w:val="21"/>
          <w:lang w:bidi="ar"/>
        </w:rPr>
        <w:t>传输</w:t>
      </w:r>
      <w:r>
        <w:rPr>
          <w:rFonts w:ascii="宋体" w:hAnsi="宋体" w:cs="宋体"/>
          <w:kern w:val="0"/>
          <w:position w:val="-2"/>
          <w:szCs w:val="21"/>
          <w:lang w:bidi="ar"/>
        </w:rPr>
        <w:t>安全，</w:t>
      </w:r>
      <w:r>
        <w:rPr>
          <w:rFonts w:hint="eastAsia" w:ascii="宋体" w:hAnsi="宋体" w:cs="宋体"/>
          <w:kern w:val="0"/>
          <w:position w:val="-2"/>
          <w:szCs w:val="21"/>
          <w:lang w:bidi="ar"/>
        </w:rPr>
        <w:t>能够有效</w:t>
      </w:r>
      <w:r>
        <w:rPr>
          <w:rFonts w:ascii="宋体" w:hAnsi="宋体" w:cs="宋体"/>
          <w:kern w:val="0"/>
          <w:position w:val="-2"/>
          <w:szCs w:val="21"/>
          <w:lang w:bidi="ar"/>
        </w:rPr>
        <w:t>抵御各</w:t>
      </w:r>
      <w:r>
        <w:rPr>
          <w:rFonts w:hint="eastAsia" w:ascii="宋体" w:hAnsi="宋体" w:cs="宋体"/>
          <w:kern w:val="0"/>
          <w:position w:val="-2"/>
          <w:szCs w:val="21"/>
          <w:lang w:bidi="ar"/>
        </w:rPr>
        <w:t>类恶意</w:t>
      </w:r>
      <w:r>
        <w:rPr>
          <w:rFonts w:ascii="宋体" w:hAnsi="宋体" w:cs="宋体"/>
          <w:kern w:val="0"/>
          <w:position w:val="-2"/>
          <w:szCs w:val="21"/>
          <w:lang w:bidi="ar"/>
        </w:rPr>
        <w:t>攻击。</w:t>
      </w:r>
    </w:p>
    <w:p>
      <w:pPr>
        <w:pStyle w:val="79"/>
        <w:numPr>
          <w:ilvl w:val="0"/>
          <w:numId w:val="4"/>
        </w:numPr>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预留</w:t>
      </w:r>
      <w:r>
        <w:rPr>
          <w:rFonts w:ascii="宋体" w:hAnsi="宋体" w:cs="宋体"/>
          <w:kern w:val="0"/>
          <w:position w:val="-2"/>
          <w:szCs w:val="21"/>
          <w:lang w:bidi="ar"/>
        </w:rPr>
        <w:t>相关数据接口，</w:t>
      </w:r>
      <w:r>
        <w:rPr>
          <w:rFonts w:hint="eastAsia" w:ascii="宋体" w:hAnsi="宋体" w:cs="宋体"/>
          <w:kern w:val="0"/>
          <w:position w:val="-2"/>
          <w:szCs w:val="21"/>
          <w:lang w:bidi="ar"/>
        </w:rPr>
        <w:t>便于</w:t>
      </w:r>
      <w:r>
        <w:rPr>
          <w:rFonts w:ascii="宋体" w:hAnsi="宋体" w:cs="宋体"/>
          <w:kern w:val="0"/>
          <w:position w:val="-2"/>
          <w:szCs w:val="21"/>
          <w:lang w:bidi="ar"/>
        </w:rPr>
        <w:t>后续</w:t>
      </w:r>
      <w:r>
        <w:rPr>
          <w:rFonts w:hint="eastAsia" w:ascii="宋体" w:hAnsi="宋体" w:cs="宋体"/>
          <w:kern w:val="0"/>
          <w:position w:val="-2"/>
          <w:szCs w:val="21"/>
          <w:lang w:bidi="ar"/>
        </w:rPr>
        <w:t>港区生产</w:t>
      </w:r>
      <w:r>
        <w:rPr>
          <w:rFonts w:ascii="宋体" w:hAnsi="宋体" w:cs="宋体"/>
          <w:kern w:val="0"/>
          <w:position w:val="-2"/>
          <w:szCs w:val="21"/>
          <w:lang w:bidi="ar"/>
        </w:rPr>
        <w:t>工艺改造</w:t>
      </w:r>
      <w:r>
        <w:rPr>
          <w:rFonts w:hint="eastAsia" w:ascii="宋体" w:hAnsi="宋体" w:cs="宋体"/>
          <w:kern w:val="0"/>
          <w:position w:val="-2"/>
          <w:szCs w:val="21"/>
          <w:lang w:bidi="ar"/>
        </w:rPr>
        <w:t>项目</w:t>
      </w:r>
      <w:r>
        <w:rPr>
          <w:rFonts w:ascii="宋体" w:hAnsi="宋体" w:cs="宋体"/>
          <w:kern w:val="0"/>
          <w:position w:val="-2"/>
          <w:szCs w:val="21"/>
          <w:lang w:bidi="ar"/>
        </w:rPr>
        <w:t>、</w:t>
      </w:r>
      <w:r>
        <w:rPr>
          <w:rFonts w:hint="eastAsia" w:ascii="宋体" w:hAnsi="宋体" w:cs="宋体"/>
          <w:kern w:val="0"/>
          <w:position w:val="-2"/>
          <w:szCs w:val="21"/>
          <w:lang w:bidi="ar"/>
        </w:rPr>
        <w:t>口岸管理</w:t>
      </w:r>
      <w:r>
        <w:rPr>
          <w:rFonts w:ascii="宋体" w:hAnsi="宋体" w:cs="宋体"/>
          <w:kern w:val="0"/>
          <w:position w:val="-2"/>
          <w:szCs w:val="21"/>
          <w:lang w:bidi="ar"/>
        </w:rPr>
        <w:t>部门</w:t>
      </w:r>
      <w:r>
        <w:rPr>
          <w:rFonts w:hint="eastAsia" w:ascii="宋体" w:hAnsi="宋体" w:cs="宋体"/>
          <w:kern w:val="0"/>
          <w:position w:val="-2"/>
          <w:szCs w:val="21"/>
          <w:lang w:bidi="ar"/>
        </w:rPr>
        <w:t>新</w:t>
      </w:r>
      <w:r>
        <w:rPr>
          <w:rFonts w:ascii="宋体" w:hAnsi="宋体" w:cs="宋体"/>
          <w:kern w:val="0"/>
          <w:position w:val="-2"/>
          <w:szCs w:val="21"/>
          <w:lang w:bidi="ar"/>
        </w:rPr>
        <w:t>系统数据接入</w:t>
      </w:r>
      <w:r>
        <w:rPr>
          <w:rFonts w:hint="eastAsia" w:ascii="宋体" w:hAnsi="宋体" w:cs="宋体"/>
          <w:kern w:val="0"/>
          <w:position w:val="-2"/>
          <w:szCs w:val="21"/>
          <w:lang w:bidi="ar"/>
        </w:rPr>
        <w:t>。</w:t>
      </w:r>
    </w:p>
    <w:p>
      <w:pPr>
        <w:pStyle w:val="79"/>
        <w:tabs>
          <w:tab w:val="left" w:pos="851"/>
        </w:tabs>
        <w:autoSpaceDE w:val="0"/>
        <w:autoSpaceDN w:val="0"/>
        <w:spacing w:line="360" w:lineRule="auto"/>
        <w:ind w:left="420" w:firstLine="0" w:firstLineChars="0"/>
        <w:rPr>
          <w:rFonts w:ascii="宋体" w:hAnsi="宋体" w:cs="宋体"/>
          <w:kern w:val="0"/>
          <w:position w:val="-2"/>
          <w:szCs w:val="21"/>
          <w:lang w:bidi="ar"/>
        </w:rPr>
      </w:pPr>
    </w:p>
    <w:p>
      <w:pPr>
        <w:pStyle w:val="79"/>
        <w:tabs>
          <w:tab w:val="left" w:pos="851"/>
        </w:tabs>
        <w:autoSpaceDE w:val="0"/>
        <w:autoSpaceDN w:val="0"/>
        <w:spacing w:line="360" w:lineRule="auto"/>
        <w:ind w:left="420" w:firstLine="0" w:firstLineChars="0"/>
        <w:rPr>
          <w:rFonts w:ascii="宋体" w:hAnsi="宋体" w:cs="宋体"/>
          <w:b/>
          <w:kern w:val="0"/>
          <w:position w:val="-2"/>
          <w:szCs w:val="21"/>
          <w:lang w:bidi="ar"/>
        </w:rPr>
      </w:pPr>
      <w:r>
        <w:rPr>
          <w:rFonts w:hint="eastAsia" w:ascii="宋体" w:hAnsi="宋体" w:cs="宋体"/>
          <w:b/>
          <w:kern w:val="0"/>
          <w:position w:val="-2"/>
          <w:szCs w:val="21"/>
          <w:lang w:bidi="ar"/>
        </w:rPr>
        <w:t>3</w:t>
      </w:r>
      <w:r>
        <w:rPr>
          <w:rFonts w:hint="eastAsia" w:ascii="宋体" w:hAnsi="宋体" w:cs="宋体"/>
          <w:b/>
          <w:kern w:val="0"/>
          <w:position w:val="-2"/>
          <w:szCs w:val="21"/>
          <w:lang w:bidi="ar"/>
        </w:rPr>
        <w:tab/>
      </w:r>
      <w:r>
        <w:rPr>
          <w:rFonts w:hint="eastAsia" w:ascii="宋体" w:hAnsi="宋体" w:cs="宋体"/>
          <w:b/>
          <w:kern w:val="0"/>
          <w:position w:val="-2"/>
          <w:szCs w:val="21"/>
          <w:lang w:bidi="ar"/>
        </w:rPr>
        <w:t>合同工期</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3.1</w:t>
      </w:r>
      <w:r>
        <w:rPr>
          <w:rFonts w:hint="eastAsia" w:ascii="宋体" w:hAnsi="宋体" w:cs="宋体"/>
          <w:kern w:val="0"/>
          <w:position w:val="-2"/>
          <w:szCs w:val="21"/>
          <w:lang w:bidi="ar"/>
        </w:rPr>
        <w:t>工期：乙方收到甲方通知后，</w:t>
      </w:r>
      <w:r>
        <w:rPr>
          <w:rFonts w:ascii="宋体" w:hAnsi="宋体" w:cs="宋体"/>
          <w:kern w:val="0"/>
          <w:position w:val="-2"/>
          <w:szCs w:val="21"/>
          <w:lang w:bidi="ar"/>
        </w:rPr>
        <w:t>10</w:t>
      </w:r>
      <w:r>
        <w:rPr>
          <w:rFonts w:hint="eastAsia" w:ascii="宋体" w:hAnsi="宋体" w:cs="宋体"/>
          <w:kern w:val="0"/>
          <w:position w:val="-2"/>
          <w:szCs w:val="21"/>
          <w:lang w:bidi="ar"/>
        </w:rPr>
        <w:t>个自然月内完成系统开发、调试，系统具备</w:t>
      </w:r>
      <w:r>
        <w:rPr>
          <w:rFonts w:ascii="宋体" w:hAnsi="宋体" w:cs="宋体"/>
          <w:kern w:val="0"/>
          <w:position w:val="-2"/>
          <w:szCs w:val="21"/>
          <w:lang w:bidi="ar"/>
        </w:rPr>
        <w:t>上线条件</w:t>
      </w:r>
      <w:r>
        <w:rPr>
          <w:rFonts w:hint="eastAsia" w:ascii="宋体" w:hAnsi="宋体" w:cs="宋体"/>
          <w:kern w:val="0"/>
          <w:position w:val="-2"/>
          <w:szCs w:val="21"/>
          <w:lang w:bidi="ar"/>
        </w:rPr>
        <w:t>，如有变动，乙方应及时通知甲方，并需得到甲方许可，由于需求变更或其他甲方原因导致的项目实施时间延误不计算在合同约定交付时间内。</w:t>
      </w:r>
    </w:p>
    <w:p>
      <w:pPr>
        <w:tabs>
          <w:tab w:val="left" w:pos="851"/>
        </w:tabs>
        <w:autoSpaceDE w:val="0"/>
        <w:autoSpaceDN w:val="0"/>
        <w:spacing w:line="360" w:lineRule="auto"/>
        <w:ind w:firstLine="420" w:firstLineChars="200"/>
        <w:rPr>
          <w:rFonts w:ascii="宋体" w:hAnsi="宋体" w:cs="宋体"/>
          <w:szCs w:val="21"/>
          <w:lang w:bidi="ar"/>
        </w:rPr>
      </w:pPr>
      <w:r>
        <w:rPr>
          <w:rFonts w:ascii="宋体" w:hAnsi="宋体" w:cs="宋体"/>
          <w:szCs w:val="21"/>
          <w:lang w:bidi="ar"/>
        </w:rPr>
        <w:t>3.2</w:t>
      </w:r>
      <w:r>
        <w:rPr>
          <w:rFonts w:hint="eastAsia" w:ascii="宋体" w:hAnsi="宋体" w:cs="宋体"/>
          <w:szCs w:val="21"/>
          <w:lang w:bidi="ar"/>
        </w:rPr>
        <w:t>项目验收原则</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a.</w:t>
      </w:r>
      <w:r>
        <w:rPr>
          <w:rFonts w:hint="eastAsia" w:ascii="宋体" w:hAnsi="宋体" w:cs="宋体"/>
          <w:kern w:val="0"/>
          <w:position w:val="-2"/>
          <w:szCs w:val="21"/>
          <w:lang w:bidi="ar"/>
        </w:rPr>
        <w:t>审查提供项目验收的各类文档的正确性、完整性和统一性，审查项目验收文档是否齐全、合理；</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b.</w:t>
      </w:r>
      <w:r>
        <w:rPr>
          <w:rFonts w:hint="eastAsia" w:ascii="宋体" w:hAnsi="宋体" w:cs="宋体"/>
          <w:kern w:val="0"/>
          <w:position w:val="-2"/>
          <w:szCs w:val="21"/>
          <w:lang w:bidi="ar"/>
        </w:rPr>
        <w:t>审查项目功能是否达到了合同规定的要求；</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c.</w:t>
      </w:r>
      <w:r>
        <w:rPr>
          <w:rFonts w:hint="eastAsia" w:ascii="宋体" w:hAnsi="宋体" w:cs="宋体"/>
          <w:kern w:val="0"/>
          <w:position w:val="-2"/>
          <w:szCs w:val="21"/>
          <w:lang w:bidi="ar"/>
        </w:rPr>
        <w:t>审查项目有关服务指标是否达到了最终合同的要求；</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d.</w:t>
      </w:r>
      <w:r>
        <w:rPr>
          <w:rFonts w:hint="eastAsia" w:ascii="宋体" w:hAnsi="宋体" w:cs="宋体"/>
          <w:kern w:val="0"/>
          <w:position w:val="-2"/>
          <w:szCs w:val="21"/>
          <w:lang w:bidi="ar"/>
        </w:rPr>
        <w:t>审查项目实施进度的情况。</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3</w:t>
      </w:r>
      <w:r>
        <w:rPr>
          <w:rFonts w:hint="eastAsia" w:ascii="宋体" w:hAnsi="宋体" w:cs="宋体"/>
          <w:kern w:val="0"/>
          <w:position w:val="-2"/>
          <w:szCs w:val="21"/>
          <w:lang w:bidi="ar"/>
        </w:rPr>
        <w:t>.3项目验收内容</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a.</w:t>
      </w:r>
      <w:r>
        <w:rPr>
          <w:rFonts w:hint="eastAsia" w:ascii="宋体" w:hAnsi="宋体" w:cs="宋体"/>
          <w:kern w:val="0"/>
          <w:position w:val="-2"/>
          <w:szCs w:val="21"/>
          <w:lang w:bidi="ar"/>
        </w:rPr>
        <w:t>项目文档验收：提供最终甲方要求的验收文档；</w:t>
      </w:r>
    </w:p>
    <w:p>
      <w:pPr>
        <w:pStyle w:val="79"/>
        <w:tabs>
          <w:tab w:val="left" w:pos="851"/>
        </w:tabs>
        <w:autoSpaceDE w:val="0"/>
        <w:autoSpaceDN w:val="0"/>
        <w:spacing w:line="360" w:lineRule="auto"/>
        <w:rPr>
          <w:rFonts w:ascii="宋体" w:hAnsi="宋体" w:cs="宋体"/>
          <w:kern w:val="0"/>
          <w:position w:val="-2"/>
          <w:szCs w:val="21"/>
          <w:lang w:bidi="ar"/>
        </w:rPr>
      </w:pPr>
      <w:r>
        <w:rPr>
          <w:rFonts w:ascii="宋体" w:hAnsi="宋体" w:cs="宋体"/>
          <w:kern w:val="0"/>
          <w:position w:val="-2"/>
          <w:szCs w:val="21"/>
          <w:lang w:bidi="ar"/>
        </w:rPr>
        <w:t>b.</w:t>
      </w:r>
      <w:r>
        <w:rPr>
          <w:rFonts w:hint="eastAsia" w:ascii="宋体" w:hAnsi="宋体" w:cs="宋体"/>
          <w:kern w:val="0"/>
          <w:position w:val="-2"/>
          <w:szCs w:val="21"/>
          <w:lang w:bidi="ar"/>
        </w:rPr>
        <w:t>合同中约定的其他项目验收内容。</w:t>
      </w:r>
    </w:p>
    <w:p>
      <w:pPr>
        <w:pStyle w:val="79"/>
        <w:tabs>
          <w:tab w:val="left" w:pos="851"/>
        </w:tabs>
        <w:autoSpaceDE w:val="0"/>
        <w:autoSpaceDN w:val="0"/>
        <w:spacing w:line="360" w:lineRule="auto"/>
        <w:ind w:left="360"/>
        <w:rPr>
          <w:rFonts w:ascii="宋体" w:hAnsi="宋体" w:cs="宋体"/>
          <w:szCs w:val="21"/>
          <w:lang w:bidi="ar"/>
        </w:rPr>
      </w:pPr>
    </w:p>
    <w:p>
      <w:pPr>
        <w:tabs>
          <w:tab w:val="left" w:pos="851"/>
        </w:tabs>
        <w:autoSpaceDE w:val="0"/>
        <w:autoSpaceDN w:val="0"/>
        <w:spacing w:line="360" w:lineRule="auto"/>
        <w:ind w:firstLine="422" w:firstLineChars="200"/>
        <w:rPr>
          <w:rFonts w:ascii="宋体" w:hAnsi="宋体" w:cs="宋体"/>
          <w:b/>
          <w:szCs w:val="21"/>
          <w:lang w:bidi="ar"/>
        </w:rPr>
      </w:pPr>
      <w:bookmarkStart w:id="489" w:name="_Toc25754"/>
      <w:bookmarkStart w:id="490" w:name="_Toc159253391"/>
      <w:r>
        <w:rPr>
          <w:rFonts w:hint="eastAsia" w:ascii="宋体" w:hAnsi="宋体" w:cs="宋体"/>
          <w:b/>
          <w:szCs w:val="21"/>
          <w:lang w:bidi="ar"/>
        </w:rPr>
        <w:t>4  合同价格及付款方式</w:t>
      </w:r>
      <w:bookmarkEnd w:id="489"/>
      <w:bookmarkEnd w:id="490"/>
    </w:p>
    <w:p>
      <w:pPr>
        <w:tabs>
          <w:tab w:val="left" w:pos="851"/>
        </w:tabs>
        <w:autoSpaceDE w:val="0"/>
        <w:autoSpaceDN w:val="0"/>
        <w:spacing w:line="360" w:lineRule="auto"/>
        <w:ind w:firstLine="422" w:firstLineChars="200"/>
        <w:rPr>
          <w:rFonts w:ascii="宋体" w:hAnsi="宋体" w:cs="宋体"/>
          <w:szCs w:val="21"/>
          <w:lang w:bidi="ar"/>
        </w:rPr>
      </w:pPr>
      <w:bookmarkStart w:id="491" w:name="_Toc20327"/>
      <w:bookmarkStart w:id="492" w:name="_Toc159253392"/>
      <w:r>
        <w:rPr>
          <w:rFonts w:hint="eastAsia" w:ascii="宋体" w:hAnsi="宋体" w:cs="宋体"/>
          <w:b/>
          <w:szCs w:val="21"/>
          <w:lang w:bidi="ar"/>
        </w:rPr>
        <w:t>4.1</w:t>
      </w:r>
      <w:r>
        <w:rPr>
          <w:rFonts w:ascii="宋体" w:hAnsi="宋体" w:cs="宋体"/>
          <w:b/>
          <w:szCs w:val="21"/>
          <w:lang w:bidi="ar"/>
        </w:rPr>
        <w:t xml:space="preserve"> </w:t>
      </w:r>
      <w:r>
        <w:rPr>
          <w:rFonts w:hint="eastAsia" w:ascii="宋体" w:hAnsi="宋体" w:cs="宋体"/>
          <w:b/>
          <w:szCs w:val="21"/>
          <w:lang w:bidi="ar"/>
        </w:rPr>
        <w:t>合同价格：</w:t>
      </w:r>
      <w:bookmarkEnd w:id="491"/>
      <w:bookmarkEnd w:id="492"/>
      <w:r>
        <w:rPr>
          <w:rFonts w:hint="eastAsia" w:ascii="宋体" w:hAnsi="宋体" w:cs="宋体"/>
          <w:szCs w:val="21"/>
          <w:lang w:bidi="ar"/>
        </w:rPr>
        <w:t xml:space="preserve"> </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a.本合同总额为人民币大写：人民币_____________万元( ¥：</w:t>
      </w:r>
      <w:r>
        <w:rPr>
          <w:rFonts w:ascii="宋体" w:hAnsi="宋体" w:cs="宋体"/>
          <w:kern w:val="0"/>
          <w:position w:val="-2"/>
          <w:szCs w:val="21"/>
          <w:lang w:bidi="ar"/>
        </w:rPr>
        <w:t>_________________</w:t>
      </w:r>
      <w:r>
        <w:rPr>
          <w:rFonts w:hint="eastAsia" w:ascii="宋体" w:hAnsi="宋体" w:cs="宋体"/>
          <w:kern w:val="0"/>
          <w:position w:val="-2"/>
          <w:szCs w:val="21"/>
          <w:lang w:bidi="ar"/>
        </w:rPr>
        <w:t>万元)，含增值税专用发票（税率为</w:t>
      </w:r>
      <w:r>
        <w:rPr>
          <w:rFonts w:ascii="宋体" w:hAnsi="宋体" w:cs="宋体"/>
          <w:kern w:val="0"/>
          <w:position w:val="-2"/>
          <w:szCs w:val="21"/>
          <w:lang w:bidi="ar"/>
        </w:rPr>
        <w:t>6</w:t>
      </w:r>
      <w:r>
        <w:rPr>
          <w:rFonts w:hint="eastAsia" w:ascii="宋体" w:hAnsi="宋体" w:cs="宋体"/>
          <w:kern w:val="0"/>
          <w:position w:val="-2"/>
          <w:szCs w:val="21"/>
          <w:lang w:bidi="ar"/>
        </w:rPr>
        <w:t>%），</w:t>
      </w:r>
      <w:r>
        <w:rPr>
          <w:rFonts w:ascii="宋体" w:hAnsi="宋体" w:cs="宋体"/>
          <w:kern w:val="0"/>
          <w:position w:val="-2"/>
          <w:szCs w:val="21"/>
          <w:lang w:bidi="ar"/>
        </w:rPr>
        <w:t>不含税</w:t>
      </w:r>
      <w:r>
        <w:rPr>
          <w:rFonts w:hint="eastAsia" w:ascii="宋体" w:hAnsi="宋体" w:cs="宋体"/>
          <w:kern w:val="0"/>
          <w:position w:val="-2"/>
          <w:szCs w:val="21"/>
          <w:lang w:bidi="ar"/>
        </w:rPr>
        <w:t>¥：</w:t>
      </w:r>
      <w:r>
        <w:rPr>
          <w:rFonts w:ascii="宋体" w:hAnsi="宋体" w:cs="宋体"/>
          <w:kern w:val="0"/>
          <w:position w:val="-2"/>
          <w:szCs w:val="21"/>
          <w:lang w:bidi="ar"/>
        </w:rPr>
        <w:t>_________________</w:t>
      </w:r>
      <w:r>
        <w:rPr>
          <w:rFonts w:hint="eastAsia" w:ascii="宋体" w:hAnsi="宋体" w:cs="宋体"/>
          <w:kern w:val="0"/>
          <w:position w:val="-2"/>
          <w:szCs w:val="21"/>
          <w:lang w:bidi="ar"/>
        </w:rPr>
        <w:t>万元，</w:t>
      </w:r>
      <w:r>
        <w:rPr>
          <w:rFonts w:ascii="宋体" w:hAnsi="宋体" w:cs="宋体"/>
          <w:kern w:val="0"/>
          <w:position w:val="-2"/>
          <w:szCs w:val="21"/>
          <w:lang w:bidi="ar"/>
        </w:rPr>
        <w:t>税</w:t>
      </w:r>
      <w:r>
        <w:rPr>
          <w:rFonts w:hint="eastAsia" w:ascii="宋体" w:hAnsi="宋体" w:cs="宋体"/>
          <w:kern w:val="0"/>
          <w:position w:val="-2"/>
          <w:szCs w:val="21"/>
          <w:lang w:bidi="ar"/>
        </w:rPr>
        <w:t>额¥：</w:t>
      </w:r>
      <w:r>
        <w:rPr>
          <w:rFonts w:ascii="宋体" w:hAnsi="宋体" w:cs="宋体"/>
          <w:kern w:val="0"/>
          <w:position w:val="-2"/>
          <w:szCs w:val="21"/>
          <w:lang w:bidi="ar"/>
        </w:rPr>
        <w:t>_________________</w:t>
      </w:r>
      <w:r>
        <w:rPr>
          <w:rFonts w:hint="eastAsia" w:ascii="宋体" w:hAnsi="宋体" w:cs="宋体"/>
          <w:kern w:val="0"/>
          <w:position w:val="-2"/>
          <w:szCs w:val="21"/>
          <w:lang w:bidi="ar"/>
        </w:rPr>
        <w:t>万元；</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b.合同总价包括合同标的的设计、制造、相应工具及备件费、按中国法律规定应交纳的一切税费（包括应付的销售税、增值税等）、技术资料费、运输费、装卸费、保险费、安装费、调试费、培训费、生产</w:t>
      </w:r>
      <w:r>
        <w:rPr>
          <w:rFonts w:ascii="宋体" w:hAnsi="宋体" w:cs="宋体"/>
          <w:kern w:val="0"/>
          <w:position w:val="-2"/>
          <w:szCs w:val="21"/>
          <w:lang w:bidi="ar"/>
        </w:rPr>
        <w:t>业务管理</w:t>
      </w:r>
      <w:r>
        <w:rPr>
          <w:rFonts w:hint="eastAsia" w:ascii="宋体" w:hAnsi="宋体" w:cs="宋体"/>
          <w:kern w:val="0"/>
          <w:position w:val="-2"/>
          <w:szCs w:val="21"/>
          <w:lang w:bidi="ar"/>
        </w:rPr>
        <w:t>系统永久软件使用许可费用、深化设计费以及售后服务费、验收费以及质量保证期内的维护费等一切与合同执行有关的费用。</w:t>
      </w:r>
    </w:p>
    <w:p>
      <w:pPr>
        <w:tabs>
          <w:tab w:val="left" w:pos="851"/>
        </w:tabs>
        <w:autoSpaceDE w:val="0"/>
        <w:autoSpaceDN w:val="0"/>
        <w:spacing w:line="360" w:lineRule="auto"/>
        <w:ind w:firstLine="422" w:firstLineChars="200"/>
        <w:rPr>
          <w:rFonts w:ascii="宋体" w:hAnsi="宋体" w:cs="宋体"/>
          <w:b/>
          <w:szCs w:val="21"/>
          <w:lang w:bidi="ar"/>
        </w:rPr>
      </w:pPr>
      <w:bookmarkStart w:id="493" w:name="_Toc15679"/>
      <w:bookmarkStart w:id="494" w:name="_Toc159253393"/>
      <w:r>
        <w:rPr>
          <w:rFonts w:hint="eastAsia" w:ascii="宋体" w:hAnsi="宋体" w:cs="宋体"/>
          <w:b/>
          <w:szCs w:val="21"/>
          <w:lang w:bidi="ar"/>
        </w:rPr>
        <w:t>4.2</w:t>
      </w:r>
      <w:r>
        <w:rPr>
          <w:rFonts w:ascii="宋体" w:hAnsi="宋体" w:cs="宋体"/>
          <w:b/>
          <w:szCs w:val="21"/>
          <w:lang w:bidi="ar"/>
        </w:rPr>
        <w:t xml:space="preserve"> </w:t>
      </w:r>
      <w:r>
        <w:rPr>
          <w:rFonts w:hint="eastAsia" w:ascii="宋体" w:hAnsi="宋体" w:cs="宋体"/>
          <w:b/>
          <w:szCs w:val="21"/>
          <w:lang w:bidi="ar"/>
        </w:rPr>
        <w:t>付款条件与方式</w:t>
      </w:r>
      <w:bookmarkEnd w:id="493"/>
      <w:bookmarkEnd w:id="494"/>
      <w:r>
        <w:rPr>
          <w:rFonts w:hint="eastAsia" w:ascii="宋体" w:hAnsi="宋体" w:cs="宋体"/>
          <w:b/>
          <w:szCs w:val="21"/>
          <w:lang w:bidi="ar"/>
        </w:rPr>
        <w:t xml:space="preserve"> </w:t>
      </w:r>
    </w:p>
    <w:p>
      <w:pPr>
        <w:pStyle w:val="79"/>
        <w:tabs>
          <w:tab w:val="left" w:pos="851"/>
        </w:tabs>
        <w:autoSpaceDE w:val="0"/>
        <w:autoSpaceDN w:val="0"/>
        <w:spacing w:line="360" w:lineRule="auto"/>
        <w:rPr>
          <w:rFonts w:ascii="宋体" w:hAnsi="宋体" w:cs="宋体"/>
          <w:kern w:val="0"/>
          <w:position w:val="-2"/>
          <w:szCs w:val="21"/>
          <w:lang w:bidi="ar"/>
        </w:rPr>
      </w:pPr>
      <w:bookmarkStart w:id="495" w:name="_Toc120614544"/>
      <w:r>
        <w:rPr>
          <w:rFonts w:hint="eastAsia" w:ascii="宋体" w:hAnsi="宋体" w:cs="宋体"/>
          <w:kern w:val="0"/>
          <w:position w:val="-2"/>
          <w:szCs w:val="21"/>
          <w:lang w:bidi="ar"/>
        </w:rPr>
        <w:t>a.双方签订合同后，甲方10个工作日内支付合同总额的25%（人民币大写：_____________万元整  ¥:</w:t>
      </w:r>
      <w:r>
        <w:rPr>
          <w:rFonts w:ascii="宋体" w:hAnsi="宋体" w:cs="宋体"/>
          <w:kern w:val="0"/>
          <w:position w:val="-2"/>
          <w:szCs w:val="21"/>
          <w:lang w:bidi="ar"/>
        </w:rPr>
        <w:t>_______________</w:t>
      </w:r>
      <w:r>
        <w:rPr>
          <w:rFonts w:hint="eastAsia" w:ascii="宋体" w:hAnsi="宋体" w:cs="宋体"/>
          <w:kern w:val="0"/>
          <w:position w:val="-2"/>
          <w:szCs w:val="21"/>
          <w:lang w:bidi="ar"/>
        </w:rPr>
        <w:t>万元）给乙方；</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b.乙方完成该项目整体系统部署完成后，并由甲方验收通过后，乙方出具经甲方书面确认的《项目竣工验收报告》等结算资料并提供全额发票，甲方10个工作日内支付合同总额的70%（人民币大写：人民币大写：_____________万元整  ¥:</w:t>
      </w:r>
      <w:r>
        <w:rPr>
          <w:rFonts w:ascii="宋体" w:hAnsi="宋体" w:cs="宋体"/>
          <w:kern w:val="0"/>
          <w:position w:val="-2"/>
          <w:szCs w:val="21"/>
          <w:lang w:bidi="ar"/>
        </w:rPr>
        <w:t>_______________</w:t>
      </w:r>
      <w:r>
        <w:rPr>
          <w:rFonts w:hint="eastAsia" w:ascii="宋体" w:hAnsi="宋体" w:cs="宋体"/>
          <w:kern w:val="0"/>
          <w:position w:val="-2"/>
          <w:szCs w:val="21"/>
          <w:lang w:bidi="ar"/>
        </w:rPr>
        <w:t>万元）给乙方；</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c.质保期结束后10个工作日内，所有遗留问题都得到妥善解决，甲方支付合同总价款的5%人民币大写：_____________万元整  ¥:</w:t>
      </w:r>
      <w:r>
        <w:rPr>
          <w:rFonts w:ascii="宋体" w:hAnsi="宋体" w:cs="宋体"/>
          <w:kern w:val="0"/>
          <w:position w:val="-2"/>
          <w:szCs w:val="21"/>
          <w:lang w:bidi="ar"/>
        </w:rPr>
        <w:t>_______________</w:t>
      </w:r>
      <w:r>
        <w:rPr>
          <w:rFonts w:hint="eastAsia" w:ascii="宋体" w:hAnsi="宋体" w:cs="宋体"/>
          <w:kern w:val="0"/>
          <w:position w:val="-2"/>
          <w:szCs w:val="21"/>
          <w:lang w:bidi="ar"/>
        </w:rPr>
        <w:t>万元）给乙方；</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d.若发生本合同金额之外的费用增减，由签约双方另行协商解决。</w:t>
      </w:r>
    </w:p>
    <w:p>
      <w:pPr>
        <w:pStyle w:val="79"/>
        <w:tabs>
          <w:tab w:val="left" w:pos="851"/>
        </w:tabs>
        <w:autoSpaceDE w:val="0"/>
        <w:autoSpaceDN w:val="0"/>
        <w:spacing w:line="360" w:lineRule="auto"/>
        <w:rPr>
          <w:rFonts w:ascii="宋体" w:hAnsi="宋体" w:cs="宋体"/>
          <w:kern w:val="0"/>
          <w:position w:val="-2"/>
          <w:szCs w:val="21"/>
          <w:lang w:bidi="ar"/>
        </w:rPr>
      </w:pPr>
    </w:p>
    <w:bookmarkEnd w:id="495"/>
    <w:p>
      <w:pPr>
        <w:tabs>
          <w:tab w:val="left" w:pos="851"/>
        </w:tabs>
        <w:autoSpaceDE w:val="0"/>
        <w:autoSpaceDN w:val="0"/>
        <w:spacing w:line="360" w:lineRule="auto"/>
        <w:ind w:firstLine="422" w:firstLineChars="200"/>
        <w:rPr>
          <w:rFonts w:ascii="宋体" w:hAnsi="宋体" w:cs="宋体"/>
          <w:b/>
          <w:szCs w:val="21"/>
          <w:lang w:bidi="ar"/>
        </w:rPr>
      </w:pPr>
      <w:bookmarkStart w:id="496" w:name="_Toc159253394"/>
      <w:bookmarkStart w:id="497" w:name="_Toc750"/>
      <w:r>
        <w:rPr>
          <w:rFonts w:hint="eastAsia" w:ascii="宋体" w:hAnsi="宋体" w:cs="宋体"/>
          <w:b/>
          <w:szCs w:val="21"/>
          <w:lang w:bidi="ar"/>
        </w:rPr>
        <w:t xml:space="preserve">5  </w:t>
      </w:r>
      <w:bookmarkEnd w:id="496"/>
      <w:bookmarkStart w:id="498" w:name="_Toc157463029"/>
      <w:r>
        <w:rPr>
          <w:rFonts w:hint="eastAsia" w:ascii="宋体" w:hAnsi="宋体" w:cs="宋体"/>
          <w:b/>
          <w:szCs w:val="21"/>
          <w:lang w:bidi="ar"/>
        </w:rPr>
        <w:t>执行标准</w:t>
      </w:r>
      <w:bookmarkEnd w:id="497"/>
      <w:bookmarkEnd w:id="498"/>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本项目执行标准包括但不限于以下内容：</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信息安全管理体系标准ISO/IEC 27001</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质量管理体系标准GB/T19001-2016 idt ISO9001</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《综合布线系统工程设计规范》(B50311-2007)</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系统接地的型式及安全技术要求（GB14050-2008）</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其他</w:t>
      </w:r>
      <w:r>
        <w:rPr>
          <w:rFonts w:ascii="宋体" w:hAnsi="宋体" w:cs="宋体"/>
          <w:kern w:val="0"/>
          <w:position w:val="-2"/>
          <w:szCs w:val="21"/>
          <w:lang w:bidi="ar"/>
        </w:rPr>
        <w:t>现行有效</w:t>
      </w:r>
      <w:r>
        <w:rPr>
          <w:rFonts w:hint="eastAsia" w:ascii="宋体" w:hAnsi="宋体" w:cs="宋体"/>
          <w:kern w:val="0"/>
          <w:position w:val="-2"/>
          <w:szCs w:val="21"/>
          <w:lang w:bidi="ar"/>
        </w:rPr>
        <w:t>且</w:t>
      </w:r>
      <w:r>
        <w:rPr>
          <w:rFonts w:ascii="宋体" w:hAnsi="宋体" w:cs="宋体"/>
          <w:kern w:val="0"/>
          <w:position w:val="-2"/>
          <w:szCs w:val="21"/>
          <w:lang w:bidi="ar"/>
        </w:rPr>
        <w:t>与本项目有关的标准</w:t>
      </w:r>
      <w:r>
        <w:rPr>
          <w:rFonts w:hint="eastAsia" w:ascii="宋体" w:hAnsi="宋体" w:cs="宋体"/>
          <w:kern w:val="0"/>
          <w:position w:val="-2"/>
          <w:szCs w:val="21"/>
          <w:lang w:bidi="ar"/>
        </w:rPr>
        <w:t>和</w:t>
      </w:r>
      <w:r>
        <w:rPr>
          <w:rFonts w:ascii="宋体" w:hAnsi="宋体" w:cs="宋体"/>
          <w:kern w:val="0"/>
          <w:position w:val="-2"/>
          <w:szCs w:val="21"/>
          <w:lang w:bidi="ar"/>
        </w:rPr>
        <w:t>规范。</w:t>
      </w:r>
    </w:p>
    <w:p>
      <w:pPr>
        <w:pStyle w:val="2"/>
        <w:rPr>
          <w:b/>
          <w:lang w:bidi="ar"/>
        </w:rPr>
      </w:pPr>
      <w:bookmarkStart w:id="499" w:name="_Toc30316"/>
    </w:p>
    <w:p>
      <w:pPr>
        <w:pStyle w:val="2"/>
        <w:rPr>
          <w:b/>
          <w:lang w:bidi="ar"/>
        </w:rPr>
      </w:pPr>
      <w:r>
        <w:rPr>
          <w:rFonts w:hint="eastAsia"/>
          <w:b/>
          <w:lang w:bidi="ar"/>
        </w:rPr>
        <w:t xml:space="preserve">6  </w:t>
      </w:r>
      <w:bookmarkStart w:id="500" w:name="_Toc157463031"/>
      <w:bookmarkStart w:id="501" w:name="_Toc88983110"/>
      <w:bookmarkStart w:id="502" w:name="_Toc157463032"/>
      <w:bookmarkStart w:id="503" w:name="_Toc112434786"/>
      <w:bookmarkStart w:id="504" w:name="_Toc97451382"/>
      <w:r>
        <w:rPr>
          <w:rFonts w:hint="eastAsia"/>
          <w:b/>
          <w:lang w:bidi="ar"/>
        </w:rPr>
        <w:t>责任划分约定</w:t>
      </w:r>
      <w:bookmarkEnd w:id="499"/>
      <w:bookmarkEnd w:id="500"/>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⑴乙方及其人员在履行本合同过程中所发生的安全责任和人身安全责任全部由乙方自身负责，这包括对此期间的财物与人身安全及第三者责任等进行保险，乙方必须对上述过程的风险负全部责任等；</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⑵由于乙方原因造成工伤，由乙方负责；由于甲方原因造成的人员工伤，由甲方负责。工伤鉴定由甲方所在地劳动部门执行，赔偿标准依照乙方所在地劳动部门标准执行；</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⑶在履行合同过程中，乙方必须严格按本合同约定的工期完成，如果乙方遇到不能按时完成的情况，应及时以书面形式将不能按时完工的理由、延误时间通知甲方；甲方在收到乙方通知后，应对情况进行分析，可通过修改合同，酌情延长工期。</w:t>
      </w:r>
    </w:p>
    <w:p>
      <w:pPr>
        <w:pStyle w:val="79"/>
        <w:tabs>
          <w:tab w:val="left" w:pos="851"/>
        </w:tabs>
        <w:autoSpaceDE w:val="0"/>
        <w:autoSpaceDN w:val="0"/>
        <w:spacing w:line="360" w:lineRule="auto"/>
        <w:rPr>
          <w:rFonts w:ascii="宋体" w:hAnsi="宋体" w:cs="宋体"/>
          <w:kern w:val="0"/>
          <w:position w:val="-2"/>
          <w:szCs w:val="21"/>
          <w:lang w:bidi="ar"/>
        </w:rPr>
      </w:pPr>
    </w:p>
    <w:p>
      <w:pPr>
        <w:pStyle w:val="2"/>
        <w:rPr>
          <w:b/>
          <w:lang w:bidi="ar"/>
        </w:rPr>
      </w:pPr>
      <w:bookmarkStart w:id="505" w:name="_Toc14271"/>
      <w:r>
        <w:rPr>
          <w:rFonts w:hint="eastAsia"/>
          <w:b/>
          <w:lang w:bidi="ar"/>
        </w:rPr>
        <w:t>7  违约</w:t>
      </w:r>
      <w:bookmarkEnd w:id="501"/>
      <w:r>
        <w:rPr>
          <w:rFonts w:hint="eastAsia"/>
          <w:b/>
          <w:lang w:bidi="ar"/>
        </w:rPr>
        <w:t>责任</w:t>
      </w:r>
      <w:bookmarkEnd w:id="502"/>
      <w:bookmarkEnd w:id="503"/>
      <w:bookmarkEnd w:id="504"/>
      <w:bookmarkEnd w:id="505"/>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本合同一经生效，双方均应严格遵守。双方任何一方违约均应承担违约责任。</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⑴在合同履行期间，甲方要求终止或解除合同，乙方未开始技术服务工作的，不退还甲方已付的定金(若有定金时)；</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⑵乙方交付本合同项下物品质量或软件服务若不符合本合同约定的，或货物有潜在的隐蔽瑕疵无法在交货时查验的，甲方有权拒收或退回货物，并应向乙方提出书面异议，乙方应接到甲方通知后立即免费修理、更换、采取其他补救措施以使货物达到合格标准后再次验收，同时甲方有权追究乙方因此产生的逾期交货等违约责任。再次验收产生的所有费用由乙方承担。如再次验收的结论仍为不合格，甲方有权单方解除合同</w:t>
      </w:r>
      <w:bookmarkStart w:id="506" w:name="_Hlk66351823"/>
      <w:r>
        <w:rPr>
          <w:rFonts w:hint="eastAsia" w:ascii="宋体" w:hAnsi="宋体" w:cs="宋体"/>
          <w:kern w:val="0"/>
          <w:position w:val="-2"/>
          <w:szCs w:val="21"/>
          <w:lang w:bidi="ar"/>
        </w:rPr>
        <w:t>、退回不合格货物或软件技术服务，已支付的合同款项乙方应退还甲方，同时乙方应按合同总价款的20%向甲方支付违约金</w:t>
      </w:r>
      <w:bookmarkEnd w:id="506"/>
      <w:r>
        <w:rPr>
          <w:rFonts w:hint="eastAsia" w:ascii="宋体" w:hAnsi="宋体" w:cs="宋体"/>
          <w:kern w:val="0"/>
          <w:position w:val="-2"/>
          <w:szCs w:val="21"/>
          <w:lang w:bidi="ar"/>
        </w:rPr>
        <w:t>。</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⑶合同生效后，乙方要求终止或解除合同，乙方必须按本款(2)支付违约金。</w:t>
      </w:r>
    </w:p>
    <w:p>
      <w:pPr>
        <w:pStyle w:val="79"/>
        <w:tabs>
          <w:tab w:val="left" w:pos="851"/>
        </w:tabs>
        <w:autoSpaceDE w:val="0"/>
        <w:autoSpaceDN w:val="0"/>
        <w:spacing w:line="360" w:lineRule="auto"/>
        <w:rPr>
          <w:rFonts w:ascii="宋体" w:hAnsi="宋体" w:cs="宋体"/>
          <w:kern w:val="0"/>
          <w:position w:val="-2"/>
          <w:szCs w:val="21"/>
          <w:lang w:bidi="ar"/>
        </w:rPr>
      </w:pPr>
    </w:p>
    <w:p>
      <w:pPr>
        <w:pStyle w:val="2"/>
        <w:rPr>
          <w:b/>
          <w:lang w:bidi="ar"/>
        </w:rPr>
      </w:pPr>
      <w:bookmarkStart w:id="507" w:name="_Toc9233"/>
      <w:bookmarkStart w:id="508" w:name="_Toc157463033"/>
      <w:r>
        <w:rPr>
          <w:rFonts w:hint="eastAsia"/>
          <w:b/>
          <w:lang w:bidi="ar"/>
        </w:rPr>
        <w:t>8  甲方责任</w:t>
      </w:r>
      <w:bookmarkEnd w:id="507"/>
      <w:bookmarkEnd w:id="508"/>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a</w:t>
      </w:r>
      <w:r>
        <w:rPr>
          <w:rFonts w:ascii="宋体" w:hAnsi="宋体" w:cs="宋体"/>
          <w:kern w:val="0"/>
          <w:position w:val="-2"/>
          <w:szCs w:val="21"/>
          <w:lang w:bidi="ar"/>
        </w:rPr>
        <w:t>.</w:t>
      </w:r>
      <w:r>
        <w:rPr>
          <w:rFonts w:hint="eastAsia" w:ascii="宋体" w:hAnsi="宋体" w:cs="宋体"/>
          <w:kern w:val="0"/>
          <w:position w:val="-2"/>
          <w:szCs w:val="21"/>
          <w:lang w:bidi="ar"/>
        </w:rPr>
        <w:t>负责向乙方提供与工程有关的基础资料及文件，并对其完整性、正确性及时限负责，甲方不得要求乙方违反国家有关标准开展工作；</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b.甲方可在任何时候自由检查合同的执行情况及乙方工作人员的技术服务质量，及时将出现的问题反映给乙方领导并协商解决；</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c.甲方应保护乙方的工作成果和专利技术。未经乙方同意，甲方对乙方交付的资料及文件不得擅自修改、复制或向第三人转让或用于本合同外的项目，如发生以上情况，甲方应负法律责任，乙方有权向甲方提出索赔；</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d,甲方变更委托项目、规模、条件或因提交的资料错误，或所提交资料作较大修改，以致造成乙方人员返工时，双方除需另行协商签订补充协议(或另订合同)、重新明确有关条款外，甲方应按乙方所耗工作量向乙方增付费用。</w:t>
      </w:r>
    </w:p>
    <w:p>
      <w:pPr>
        <w:pStyle w:val="79"/>
        <w:tabs>
          <w:tab w:val="left" w:pos="851"/>
        </w:tabs>
        <w:autoSpaceDE w:val="0"/>
        <w:autoSpaceDN w:val="0"/>
        <w:spacing w:line="360" w:lineRule="auto"/>
        <w:rPr>
          <w:rFonts w:ascii="宋体" w:hAnsi="宋体" w:cs="宋体"/>
          <w:kern w:val="0"/>
          <w:position w:val="-2"/>
          <w:szCs w:val="21"/>
          <w:lang w:bidi="ar"/>
        </w:rPr>
      </w:pPr>
    </w:p>
    <w:p>
      <w:pPr>
        <w:pStyle w:val="2"/>
        <w:rPr>
          <w:b/>
          <w:lang w:bidi="ar"/>
        </w:rPr>
      </w:pPr>
      <w:bookmarkStart w:id="509" w:name="_Toc157463034"/>
      <w:bookmarkStart w:id="510" w:name="_Toc817"/>
      <w:r>
        <w:rPr>
          <w:rFonts w:hint="eastAsia"/>
          <w:b/>
          <w:lang w:bidi="ar"/>
        </w:rPr>
        <w:t>9  乙方责任</w:t>
      </w:r>
      <w:bookmarkEnd w:id="509"/>
      <w:bookmarkEnd w:id="510"/>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a.乙方应按法律法规依据及规范文件、行业标准和技术规范要求，完成该</w:t>
      </w:r>
      <w:r>
        <w:rPr>
          <w:rFonts w:ascii="宋体" w:hAnsi="宋体" w:cs="宋体"/>
          <w:kern w:val="0"/>
          <w:position w:val="-2"/>
          <w:szCs w:val="21"/>
          <w:lang w:bidi="ar"/>
        </w:rPr>
        <w:t>项目</w:t>
      </w:r>
      <w:r>
        <w:rPr>
          <w:rFonts w:hint="eastAsia" w:ascii="宋体" w:hAnsi="宋体" w:cs="宋体"/>
          <w:kern w:val="0"/>
          <w:position w:val="-2"/>
          <w:szCs w:val="21"/>
          <w:lang w:bidi="ar"/>
        </w:rPr>
        <w:t>，并对质量负责；</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b,乙方提交给甲方的成果及其有效期必须保证甲方的生产业务</w:t>
      </w:r>
      <w:r>
        <w:rPr>
          <w:rFonts w:ascii="宋体" w:hAnsi="宋体" w:cs="宋体"/>
          <w:kern w:val="0"/>
          <w:position w:val="-2"/>
          <w:szCs w:val="21"/>
          <w:lang w:bidi="ar"/>
        </w:rPr>
        <w:t>管理系统</w:t>
      </w:r>
      <w:r>
        <w:rPr>
          <w:rFonts w:hint="eastAsia" w:ascii="宋体" w:hAnsi="宋体" w:cs="宋体"/>
          <w:kern w:val="0"/>
          <w:position w:val="-2"/>
          <w:szCs w:val="21"/>
          <w:lang w:bidi="ar"/>
        </w:rPr>
        <w:t>符合甲方</w:t>
      </w:r>
      <w:r>
        <w:rPr>
          <w:rFonts w:ascii="宋体" w:hAnsi="宋体" w:cs="宋体"/>
          <w:kern w:val="0"/>
          <w:position w:val="-2"/>
          <w:szCs w:val="21"/>
          <w:lang w:bidi="ar"/>
        </w:rPr>
        <w:t>及</w:t>
      </w:r>
      <w:r>
        <w:rPr>
          <w:rFonts w:hint="eastAsia" w:ascii="宋体" w:hAnsi="宋体" w:cs="宋体"/>
          <w:kern w:val="0"/>
          <w:position w:val="-2"/>
          <w:szCs w:val="21"/>
          <w:lang w:bidi="ar"/>
        </w:rPr>
        <w:t>各</w:t>
      </w:r>
      <w:r>
        <w:rPr>
          <w:rFonts w:ascii="宋体" w:hAnsi="宋体" w:cs="宋体"/>
          <w:kern w:val="0"/>
          <w:position w:val="-2"/>
          <w:szCs w:val="21"/>
          <w:lang w:bidi="ar"/>
        </w:rPr>
        <w:t>口岸</w:t>
      </w:r>
      <w:r>
        <w:rPr>
          <w:rFonts w:hint="eastAsia" w:ascii="宋体" w:hAnsi="宋体" w:cs="宋体"/>
          <w:kern w:val="0"/>
          <w:position w:val="-2"/>
          <w:szCs w:val="21"/>
          <w:lang w:bidi="ar"/>
        </w:rPr>
        <w:t>管理</w:t>
      </w:r>
      <w:r>
        <w:rPr>
          <w:rFonts w:ascii="宋体" w:hAnsi="宋体" w:cs="宋体"/>
          <w:kern w:val="0"/>
          <w:position w:val="-2"/>
          <w:szCs w:val="21"/>
          <w:lang w:bidi="ar"/>
        </w:rPr>
        <w:t>部门</w:t>
      </w:r>
      <w:r>
        <w:rPr>
          <w:rFonts w:hint="eastAsia" w:ascii="宋体" w:hAnsi="宋体" w:cs="宋体"/>
          <w:kern w:val="0"/>
          <w:position w:val="-2"/>
          <w:szCs w:val="21"/>
          <w:lang w:bidi="ar"/>
        </w:rPr>
        <w:t>的管理要求；</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c.乙方提交的资料须经甲方确认，乙方拥有乙方提交资料的永久版权。如发生以上情况并给乙方造成经济损失，乙方有权向甲方索赔；</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d.乙方必须指定并固定1名在资格和工作能力方面能满足完成本项工作的人员，以负责本合同项目的技术服务联络工作；</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e.由于乙方错误造成工程质量事故损失，乙方除负责采取补救措施外，应免收受损失部分的技术服务费，并根据国家有关规定向甲方赔偿;</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f.乙方应保证本合同所供货物是全新的、未使用过的。乙方进一步保证，合同项下提供的全部物品没有设计、材料或工艺上的缺陷或瑕疵（由于按甲方的要求设计或按甲方的规格提供的材料所产生的缺陷或瑕疵除外），或者没有因乙方的行为或疏忽而产生的缺陷，这些缺陷是所供货物在我国现行条件下正常使用可能产生的缺陷或瑕疵。</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g.对质保期内的故障报修，如乙方未能做到以下所述的服务承诺，甲方可采取必要的补救措施，但其风险和费用由乙方承担，甲方根据合同规定对乙方行使的其它权力不受影响。</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h.乙方设立全天候24小时故障保修热线电话，负责与甲方相关售后服务事项的受理和跟踪。乙方在接到甲方用户报修通知后，维修人员应于1小时之内予以响应，4小时内赶到使用现场，并进行追踪维修，并于12小时内使设备恢复正常。如不能及时修复，乙方为甲方提供备机，供甲方临时使用。</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i.乙方派到甲方现场的所有人员都必须具有相应的操作资格，特殊工种必须持证操作（如：电工证、登高作业证等）。</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j.项目完成后乙方须安排专业技术人员对甲方操作人员、技术人员进行培训，并提供相应的技术文件及资料等。并提供不少于1年的售后维保服务。</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k.在本合同履行过程行中双方共同签订的补充协议，并做好现场施工工程中的安全监控和安全管理。</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l.乙方应保守与本合同项目有关的甲方商业秘密，否则乙方应承担相应的法律责任，甲方有权向乙方提出索赔。</w:t>
      </w:r>
    </w:p>
    <w:p>
      <w:pPr>
        <w:pStyle w:val="79"/>
        <w:tabs>
          <w:tab w:val="left" w:pos="851"/>
        </w:tabs>
        <w:autoSpaceDE w:val="0"/>
        <w:autoSpaceDN w:val="0"/>
        <w:spacing w:line="360" w:lineRule="auto"/>
        <w:rPr>
          <w:rFonts w:ascii="宋体" w:hAnsi="宋体" w:cs="宋体"/>
          <w:kern w:val="0"/>
          <w:position w:val="-2"/>
          <w:szCs w:val="21"/>
          <w:lang w:bidi="ar"/>
        </w:rPr>
      </w:pPr>
    </w:p>
    <w:p>
      <w:pPr>
        <w:pStyle w:val="2"/>
        <w:rPr>
          <w:b/>
          <w:lang w:bidi="ar"/>
        </w:rPr>
      </w:pPr>
      <w:bookmarkStart w:id="511" w:name="_Toc6845"/>
      <w:bookmarkStart w:id="512" w:name="_Toc112434788"/>
      <w:bookmarkStart w:id="513" w:name="_Toc88983112"/>
      <w:bookmarkStart w:id="514" w:name="_Toc97451384"/>
      <w:bookmarkStart w:id="515" w:name="_Toc157463035"/>
      <w:r>
        <w:rPr>
          <w:rFonts w:hint="eastAsia"/>
          <w:b/>
          <w:lang w:bidi="ar"/>
        </w:rPr>
        <w:t xml:space="preserve">10  </w:t>
      </w:r>
      <w:bookmarkStart w:id="516" w:name="_Toc159253399"/>
      <w:r>
        <w:rPr>
          <w:rFonts w:hint="eastAsia"/>
          <w:b/>
          <w:lang w:bidi="ar"/>
        </w:rPr>
        <w:t>质量保证</w:t>
      </w:r>
      <w:bookmarkEnd w:id="511"/>
      <w:bookmarkEnd w:id="516"/>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本合同项目的质量保质期（下称“质保期”）为合同项下项目经甲方验收合格且所有遗留问题得到彻底解决之日起至少壹年。若厂家规定的质保期或合同项下配件及其物品主要部件的质保期长于本合同质保期，应使用其质保期。在质保期内乙方免费提供相应配件及其物品正常使用情况下发生故障的维修服务。</w:t>
      </w:r>
    </w:p>
    <w:p>
      <w:pPr>
        <w:pStyle w:val="79"/>
        <w:tabs>
          <w:tab w:val="left" w:pos="851"/>
        </w:tabs>
        <w:autoSpaceDE w:val="0"/>
        <w:autoSpaceDN w:val="0"/>
        <w:spacing w:line="360" w:lineRule="auto"/>
        <w:rPr>
          <w:rFonts w:ascii="宋体" w:hAnsi="宋体" w:cs="宋体"/>
          <w:kern w:val="0"/>
          <w:position w:val="-2"/>
          <w:szCs w:val="21"/>
          <w:lang w:bidi="ar"/>
        </w:rPr>
      </w:pPr>
    </w:p>
    <w:p>
      <w:pPr>
        <w:pStyle w:val="2"/>
        <w:rPr>
          <w:b/>
          <w:lang w:bidi="ar"/>
        </w:rPr>
      </w:pPr>
      <w:bookmarkStart w:id="517" w:name="_Toc4548"/>
      <w:r>
        <w:rPr>
          <w:rFonts w:hint="eastAsia"/>
          <w:b/>
          <w:lang w:bidi="ar"/>
        </w:rPr>
        <w:t>11  相关词语的定义</w:t>
      </w:r>
      <w:bookmarkEnd w:id="512"/>
      <w:bookmarkEnd w:id="513"/>
      <w:bookmarkEnd w:id="514"/>
      <w:bookmarkEnd w:id="515"/>
      <w:bookmarkEnd w:id="517"/>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本合同文件中的下列术语应解释为：</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(1)</w:t>
      </w:r>
      <w:r>
        <w:rPr>
          <w:rFonts w:hint="eastAsia" w:ascii="宋体" w:hAnsi="宋体" w:cs="宋体"/>
          <w:b/>
          <w:kern w:val="0"/>
          <w:position w:val="-2"/>
          <w:szCs w:val="21"/>
          <w:lang w:bidi="ar"/>
        </w:rPr>
        <w:t>“在本合同履行中双方共同签订的补充协议与修正文件”</w:t>
      </w:r>
      <w:r>
        <w:rPr>
          <w:rFonts w:hint="eastAsia" w:ascii="宋体" w:hAnsi="宋体" w:cs="宋体"/>
          <w:kern w:val="0"/>
          <w:position w:val="-2"/>
          <w:szCs w:val="21"/>
          <w:lang w:bidi="ar"/>
        </w:rPr>
        <w:t>(简称为“补充协议”)系指双方根据本合同执行过程中的具体情况,经双方协商同意拟订的、对本合同的补充和修正条款,经双方法定代表人或其授权的代理人签字并加盖公章生效的文件。</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(2)</w:t>
      </w:r>
      <w:r>
        <w:rPr>
          <w:rFonts w:hint="eastAsia" w:ascii="宋体" w:hAnsi="宋体" w:cs="宋体"/>
          <w:b/>
          <w:kern w:val="0"/>
          <w:position w:val="-2"/>
          <w:szCs w:val="21"/>
          <w:lang w:bidi="ar"/>
        </w:rPr>
        <w:t>“合同工期”</w:t>
      </w:r>
      <w:r>
        <w:rPr>
          <w:rFonts w:hint="eastAsia" w:ascii="宋体" w:hAnsi="宋体" w:cs="宋体"/>
          <w:kern w:val="0"/>
          <w:position w:val="-2"/>
          <w:szCs w:val="21"/>
          <w:lang w:bidi="ar"/>
        </w:rPr>
        <w:t>系指从合同生效的时间起， “合同产品”运抵甲方码头并安装调试合格后,到通过甲方验收合格并能正式投入使用所需的时间。</w:t>
      </w:r>
    </w:p>
    <w:p>
      <w:pPr>
        <w:pStyle w:val="79"/>
        <w:tabs>
          <w:tab w:val="left" w:pos="851"/>
        </w:tabs>
        <w:autoSpaceDE w:val="0"/>
        <w:autoSpaceDN w:val="0"/>
        <w:spacing w:line="360" w:lineRule="auto"/>
        <w:rPr>
          <w:rFonts w:ascii="宋体" w:hAnsi="宋体" w:cs="宋体"/>
          <w:kern w:val="0"/>
          <w:position w:val="-2"/>
          <w:szCs w:val="21"/>
          <w:lang w:bidi="ar"/>
        </w:rPr>
      </w:pPr>
      <w:r>
        <w:rPr>
          <w:rFonts w:hint="eastAsia" w:ascii="宋体" w:hAnsi="宋体" w:cs="宋体"/>
          <w:kern w:val="0"/>
          <w:position w:val="-2"/>
          <w:szCs w:val="21"/>
          <w:lang w:bidi="ar"/>
        </w:rPr>
        <w:t xml:space="preserve">(3) </w:t>
      </w:r>
      <w:r>
        <w:rPr>
          <w:rFonts w:hint="eastAsia" w:ascii="宋体" w:hAnsi="宋体" w:cs="宋体"/>
          <w:b/>
          <w:kern w:val="0"/>
          <w:position w:val="-2"/>
          <w:szCs w:val="21"/>
          <w:lang w:bidi="ar"/>
        </w:rPr>
        <w:t>“质量保证期”</w:t>
      </w:r>
      <w:r>
        <w:rPr>
          <w:rFonts w:hint="eastAsia" w:ascii="宋体" w:hAnsi="宋体" w:cs="宋体"/>
          <w:kern w:val="0"/>
          <w:position w:val="-2"/>
          <w:szCs w:val="21"/>
          <w:lang w:bidi="ar"/>
        </w:rPr>
        <w:t>，简称“质保期”，是指在甲方正式使用乙方所提供的“合同产品”和“服务”后,乙方对其所提供的“合同产品”和“服务”免费的现场服务、无偿维护的技术保证时间。本合同规定的“质量保证期”为已签署安装调试确认书，且买卖双方在合同产品交接时共同签认的所有遗留问题得到彻底而完善的解决之日起至少壹年。</w:t>
      </w:r>
    </w:p>
    <w:p>
      <w:pPr>
        <w:pStyle w:val="79"/>
        <w:tabs>
          <w:tab w:val="left" w:pos="851"/>
        </w:tabs>
        <w:autoSpaceDE w:val="0"/>
        <w:autoSpaceDN w:val="0"/>
        <w:spacing w:line="360" w:lineRule="auto"/>
        <w:rPr>
          <w:rFonts w:ascii="宋体" w:hAnsi="宋体" w:cs="宋体"/>
          <w:kern w:val="0"/>
          <w:position w:val="-2"/>
          <w:szCs w:val="21"/>
          <w:lang w:bidi="ar"/>
        </w:rPr>
      </w:pPr>
    </w:p>
    <w:bookmarkEnd w:id="437"/>
    <w:p>
      <w:pPr>
        <w:autoSpaceDE w:val="0"/>
        <w:autoSpaceDN w:val="0"/>
        <w:adjustRightInd w:val="0"/>
        <w:spacing w:line="360" w:lineRule="auto"/>
        <w:ind w:firstLine="200"/>
        <w:rPr>
          <w:rFonts w:ascii="宋体" w:hAnsi="宋体"/>
          <w:kern w:val="0"/>
          <w:szCs w:val="21"/>
        </w:rPr>
      </w:pPr>
      <w:bookmarkStart w:id="518" w:name="_Toc20669197"/>
      <w:bookmarkStart w:id="519" w:name="_Toc226996553"/>
      <w:bookmarkStart w:id="520" w:name="_Toc13420"/>
      <w:bookmarkStart w:id="521" w:name="_Toc1550"/>
      <w:bookmarkStart w:id="522" w:name="_Toc8507_WPSOffice_Level1"/>
      <w:bookmarkStart w:id="523" w:name="_Toc7095_WPSOffice_Level1"/>
      <w:bookmarkStart w:id="524" w:name="_Toc32182"/>
      <w:bookmarkStart w:id="525" w:name="_Toc26731_WPSOffice_Level1"/>
      <w:bookmarkStart w:id="526" w:name="_Toc524102278"/>
      <w:r>
        <w:rPr>
          <w:rFonts w:hint="eastAsia" w:ascii="宋体" w:hAnsi="宋体"/>
          <w:kern w:val="0"/>
          <w:szCs w:val="21"/>
        </w:rPr>
        <w:t>（以下无正文）</w:t>
      </w:r>
    </w:p>
    <w:p>
      <w:pPr>
        <w:pStyle w:val="2"/>
        <w:rPr>
          <w:rFonts w:ascii="宋体" w:hAnsi="宋体"/>
          <w:kern w:val="0"/>
          <w:szCs w:val="21"/>
        </w:rPr>
      </w:pPr>
    </w:p>
    <w:p>
      <w:pPr>
        <w:pStyle w:val="3"/>
        <w:rPr>
          <w:rFonts w:ascii="宋体" w:hAnsi="宋体"/>
          <w:kern w:val="0"/>
          <w:szCs w:val="21"/>
        </w:rPr>
      </w:pPr>
    </w:p>
    <w:p>
      <w:pPr>
        <w:pStyle w:val="5"/>
        <w:rPr>
          <w:rFonts w:ascii="宋体" w:hAnsi="宋体"/>
          <w:kern w:val="0"/>
          <w:szCs w:val="21"/>
        </w:rPr>
      </w:pPr>
    </w:p>
    <w:p>
      <w:pPr>
        <w:pStyle w:val="2"/>
      </w:pPr>
    </w:p>
    <w:tbl>
      <w:tblPr>
        <w:tblStyle w:val="41"/>
        <w:tblW w:w="9356" w:type="dxa"/>
        <w:tblInd w:w="0" w:type="dxa"/>
        <w:tblLayout w:type="fixed"/>
        <w:tblCellMar>
          <w:top w:w="0" w:type="dxa"/>
          <w:left w:w="108" w:type="dxa"/>
          <w:bottom w:w="0" w:type="dxa"/>
          <w:right w:w="108" w:type="dxa"/>
        </w:tblCellMar>
      </w:tblPr>
      <w:tblGrid>
        <w:gridCol w:w="4786"/>
        <w:gridCol w:w="425"/>
        <w:gridCol w:w="4145"/>
      </w:tblGrid>
      <w:tr>
        <w:tblPrEx>
          <w:tblCellMar>
            <w:top w:w="0" w:type="dxa"/>
            <w:left w:w="108" w:type="dxa"/>
            <w:bottom w:w="0" w:type="dxa"/>
            <w:right w:w="108" w:type="dxa"/>
          </w:tblCellMar>
        </w:tblPrEx>
        <w:trPr>
          <w:trHeight w:val="962" w:hRule="exact"/>
        </w:trPr>
        <w:tc>
          <w:tcPr>
            <w:tcW w:w="4786" w:type="dxa"/>
          </w:tcPr>
          <w:p>
            <w:pPr>
              <w:spacing w:line="360" w:lineRule="auto"/>
              <w:ind w:left="630" w:hanging="630" w:hangingChars="300"/>
              <w:rPr>
                <w:rFonts w:ascii="宋体" w:hAnsi="宋体"/>
                <w:bCs/>
                <w:szCs w:val="21"/>
              </w:rPr>
            </w:pPr>
            <w:r>
              <w:rPr>
                <w:rFonts w:hint="eastAsia" w:ascii="宋体" w:hAnsi="宋体"/>
                <w:szCs w:val="21"/>
              </w:rPr>
              <w:t>甲方：潮州市亚太港口有限公司</w:t>
            </w:r>
          </w:p>
          <w:p>
            <w:pPr>
              <w:spacing w:line="360" w:lineRule="auto"/>
              <w:ind w:firstLine="630" w:firstLineChars="300"/>
              <w:rPr>
                <w:rFonts w:ascii="宋体" w:hAnsi="宋体"/>
                <w:szCs w:val="21"/>
              </w:rPr>
            </w:pPr>
          </w:p>
          <w:p>
            <w:pPr>
              <w:spacing w:line="360" w:lineRule="auto"/>
              <w:ind w:firstLine="735" w:firstLineChars="350"/>
              <w:rPr>
                <w:rFonts w:ascii="宋体" w:hAnsi="宋体"/>
                <w:szCs w:val="21"/>
              </w:rPr>
            </w:pPr>
          </w:p>
        </w:tc>
        <w:tc>
          <w:tcPr>
            <w:tcW w:w="425" w:type="dxa"/>
          </w:tcPr>
          <w:p>
            <w:pPr>
              <w:spacing w:line="360" w:lineRule="auto"/>
              <w:ind w:firstLine="200"/>
              <w:rPr>
                <w:rFonts w:ascii="宋体" w:hAnsi="宋体"/>
                <w:szCs w:val="21"/>
              </w:rPr>
            </w:pPr>
          </w:p>
        </w:tc>
        <w:tc>
          <w:tcPr>
            <w:tcW w:w="4145" w:type="dxa"/>
          </w:tcPr>
          <w:p>
            <w:pPr>
              <w:spacing w:line="360" w:lineRule="auto"/>
              <w:ind w:left="630" w:hanging="630" w:hangingChars="300"/>
              <w:rPr>
                <w:rFonts w:ascii="宋体" w:hAnsi="宋体"/>
                <w:szCs w:val="21"/>
              </w:rPr>
            </w:pPr>
            <w:r>
              <w:rPr>
                <w:rFonts w:hint="eastAsia" w:ascii="宋体" w:hAnsi="宋体"/>
                <w:szCs w:val="21"/>
              </w:rPr>
              <w:t>乙方：</w:t>
            </w:r>
          </w:p>
          <w:p>
            <w:pPr>
              <w:spacing w:line="360" w:lineRule="auto"/>
              <w:ind w:left="630" w:leftChars="300" w:firstLine="200"/>
              <w:rPr>
                <w:rFonts w:ascii="宋体" w:hAnsi="宋体"/>
                <w:szCs w:val="21"/>
              </w:rPr>
            </w:pPr>
          </w:p>
        </w:tc>
      </w:tr>
      <w:tr>
        <w:tblPrEx>
          <w:tblCellMar>
            <w:top w:w="0" w:type="dxa"/>
            <w:left w:w="108" w:type="dxa"/>
            <w:bottom w:w="0" w:type="dxa"/>
            <w:right w:w="108" w:type="dxa"/>
          </w:tblCellMar>
        </w:tblPrEx>
        <w:trPr>
          <w:trHeight w:val="1245" w:hRule="exact"/>
        </w:trPr>
        <w:tc>
          <w:tcPr>
            <w:tcW w:w="4786" w:type="dxa"/>
            <w:vAlign w:val="center"/>
          </w:tcPr>
          <w:p>
            <w:pPr>
              <w:spacing w:line="360" w:lineRule="auto"/>
              <w:ind w:firstLine="200"/>
              <w:rPr>
                <w:rFonts w:ascii="宋体" w:hAnsi="宋体"/>
                <w:szCs w:val="21"/>
              </w:rPr>
            </w:pPr>
            <w:r>
              <w:rPr>
                <w:rFonts w:hint="eastAsia" w:ascii="宋体" w:hAnsi="宋体"/>
                <w:szCs w:val="21"/>
              </w:rPr>
              <w:t>签约代表：</w:t>
            </w:r>
          </w:p>
        </w:tc>
        <w:tc>
          <w:tcPr>
            <w:tcW w:w="425" w:type="dxa"/>
            <w:vAlign w:val="center"/>
          </w:tcPr>
          <w:p>
            <w:pPr>
              <w:spacing w:line="360" w:lineRule="auto"/>
              <w:ind w:firstLine="200"/>
              <w:rPr>
                <w:rFonts w:ascii="宋体" w:hAnsi="宋体"/>
                <w:szCs w:val="21"/>
              </w:rPr>
            </w:pPr>
          </w:p>
        </w:tc>
        <w:tc>
          <w:tcPr>
            <w:tcW w:w="4145" w:type="dxa"/>
            <w:vAlign w:val="center"/>
          </w:tcPr>
          <w:p>
            <w:pPr>
              <w:spacing w:line="360" w:lineRule="auto"/>
              <w:ind w:firstLine="200"/>
              <w:rPr>
                <w:rFonts w:ascii="宋体" w:hAnsi="宋体"/>
                <w:szCs w:val="21"/>
              </w:rPr>
            </w:pPr>
            <w:r>
              <w:rPr>
                <w:rFonts w:hint="eastAsia" w:ascii="宋体" w:hAnsi="宋体"/>
                <w:szCs w:val="21"/>
              </w:rPr>
              <w:t>签约代表：</w:t>
            </w:r>
          </w:p>
        </w:tc>
      </w:tr>
      <w:tr>
        <w:tblPrEx>
          <w:tblCellMar>
            <w:top w:w="0" w:type="dxa"/>
            <w:left w:w="108" w:type="dxa"/>
            <w:bottom w:w="0" w:type="dxa"/>
            <w:right w:w="108" w:type="dxa"/>
          </w:tblCellMar>
        </w:tblPrEx>
        <w:trPr>
          <w:trHeight w:val="1021" w:hRule="exact"/>
        </w:trPr>
        <w:tc>
          <w:tcPr>
            <w:tcW w:w="4786" w:type="dxa"/>
            <w:vAlign w:val="center"/>
          </w:tcPr>
          <w:p>
            <w:pPr>
              <w:spacing w:line="360" w:lineRule="auto"/>
              <w:ind w:firstLine="200"/>
              <w:rPr>
                <w:rFonts w:ascii="宋体" w:hAnsi="宋体"/>
                <w:szCs w:val="21"/>
              </w:rPr>
            </w:pPr>
            <w:r>
              <w:rPr>
                <w:rFonts w:hint="eastAsia" w:ascii="宋体" w:hAnsi="宋体"/>
                <w:szCs w:val="21"/>
              </w:rPr>
              <w:t>日期：</w:t>
            </w:r>
          </w:p>
        </w:tc>
        <w:tc>
          <w:tcPr>
            <w:tcW w:w="425" w:type="dxa"/>
            <w:vAlign w:val="center"/>
          </w:tcPr>
          <w:p>
            <w:pPr>
              <w:spacing w:line="360" w:lineRule="auto"/>
              <w:ind w:firstLine="200"/>
              <w:rPr>
                <w:rFonts w:ascii="宋体" w:hAnsi="宋体"/>
                <w:szCs w:val="21"/>
              </w:rPr>
            </w:pPr>
          </w:p>
        </w:tc>
        <w:tc>
          <w:tcPr>
            <w:tcW w:w="4145" w:type="dxa"/>
            <w:vAlign w:val="center"/>
          </w:tcPr>
          <w:p>
            <w:pPr>
              <w:spacing w:line="360" w:lineRule="auto"/>
              <w:ind w:firstLine="200"/>
              <w:rPr>
                <w:rFonts w:ascii="宋体" w:hAnsi="宋体"/>
                <w:szCs w:val="21"/>
              </w:rPr>
            </w:pPr>
            <w:r>
              <w:rPr>
                <w:rFonts w:hint="eastAsia" w:ascii="宋体" w:hAnsi="宋体"/>
                <w:szCs w:val="21"/>
              </w:rPr>
              <w:t>日期：</w:t>
            </w:r>
          </w:p>
        </w:tc>
      </w:tr>
    </w:tbl>
    <w:p>
      <w:pPr>
        <w:pStyle w:val="35"/>
        <w:tabs>
          <w:tab w:val="right" w:leader="dot" w:pos="9000"/>
        </w:tabs>
        <w:ind w:left="420" w:firstLine="420"/>
        <w:rPr>
          <w:rFonts w:ascii="宋体" w:hAnsi="宋体" w:cs="宋体"/>
          <w:szCs w:val="21"/>
          <w:lang w:bidi="ar"/>
        </w:rPr>
      </w:pPr>
    </w:p>
    <w:p>
      <w:pPr>
        <w:rPr>
          <w:lang w:bidi="ar"/>
        </w:rPr>
      </w:pPr>
    </w:p>
    <w:p>
      <w:pPr>
        <w:snapToGrid w:val="0"/>
        <w:spacing w:line="360" w:lineRule="auto"/>
        <w:rPr>
          <w:rFonts w:ascii="仿宋_GB2312" w:hAnsi="宋体"/>
          <w:sz w:val="28"/>
          <w:szCs w:val="28"/>
        </w:rPr>
      </w:pPr>
      <w:bookmarkStart w:id="527" w:name="_Toc22084"/>
      <w:bookmarkStart w:id="528" w:name="_Toc23263"/>
      <w:r>
        <w:rPr>
          <w:rFonts w:hint="eastAsia" w:ascii="宋体" w:hAnsi="宋体" w:cs="黑体"/>
          <w:b/>
          <w:smallCaps/>
        </w:rPr>
        <w:br w:type="page"/>
      </w:r>
      <w:bookmarkEnd w:id="518"/>
      <w:bookmarkEnd w:id="519"/>
      <w:bookmarkEnd w:id="520"/>
      <w:bookmarkEnd w:id="521"/>
      <w:bookmarkEnd w:id="522"/>
      <w:bookmarkEnd w:id="523"/>
      <w:bookmarkEnd w:id="524"/>
      <w:bookmarkEnd w:id="525"/>
      <w:bookmarkEnd w:id="526"/>
      <w:bookmarkEnd w:id="527"/>
      <w:bookmarkEnd w:id="528"/>
      <w:bookmarkStart w:id="529" w:name="_Toc19873"/>
      <w:r>
        <w:rPr>
          <w:rFonts w:hint="eastAsia" w:ascii="仿宋_GB2312" w:hAnsi="宋体"/>
          <w:sz w:val="28"/>
          <w:szCs w:val="28"/>
        </w:rPr>
        <w:t>附件3之a：</w:t>
      </w:r>
    </w:p>
    <w:p>
      <w:pPr>
        <w:snapToGrid w:val="0"/>
        <w:spacing w:line="360" w:lineRule="auto"/>
        <w:rPr>
          <w:rFonts w:ascii="仿宋_GB2312" w:hAnsi="宋体"/>
        </w:rPr>
      </w:pPr>
    </w:p>
    <w:p>
      <w:pPr>
        <w:spacing w:line="540" w:lineRule="exact"/>
        <w:jc w:val="center"/>
        <w:outlineLvl w:val="0"/>
        <w:rPr>
          <w:rFonts w:ascii="黑体" w:hAnsi="黑体" w:eastAsia="黑体"/>
          <w:sz w:val="32"/>
          <w:szCs w:val="32"/>
        </w:rPr>
      </w:pPr>
      <w:bookmarkStart w:id="530" w:name="_Toc7772"/>
      <w:r>
        <w:rPr>
          <w:rFonts w:hint="eastAsia" w:ascii="仿宋" w:hAnsi="仿宋" w:eastAsia="仿宋"/>
          <w:b/>
          <w:bCs/>
          <w:sz w:val="36"/>
          <w:szCs w:val="36"/>
        </w:rPr>
        <w:t>廉洁协议书</w:t>
      </w:r>
      <w:bookmarkEnd w:id="530"/>
    </w:p>
    <w:p>
      <w:pPr>
        <w:spacing w:line="300" w:lineRule="auto"/>
        <w:ind w:right="480"/>
        <w:jc w:val="center"/>
        <w:rPr>
          <w:rFonts w:ascii="仿宋" w:hAnsi="仿宋" w:eastAsia="仿宋"/>
          <w:sz w:val="28"/>
          <w:szCs w:val="28"/>
          <w:u w:val="single"/>
        </w:rPr>
      </w:pPr>
      <w:r>
        <w:rPr>
          <w:rFonts w:hint="eastAsia" w:ascii="仿宋" w:hAnsi="仿宋" w:eastAsia="仿宋"/>
          <w:sz w:val="28"/>
          <w:szCs w:val="28"/>
        </w:rPr>
        <w:t>签订日期：   年  月  日</w:t>
      </w:r>
    </w:p>
    <w:p>
      <w:pPr>
        <w:spacing w:line="540" w:lineRule="exact"/>
        <w:rPr>
          <w:rFonts w:ascii="仿宋" w:hAnsi="仿宋" w:eastAsia="仿宋"/>
          <w:spacing w:val="10"/>
          <w:sz w:val="28"/>
          <w:szCs w:val="28"/>
        </w:rPr>
      </w:pPr>
      <w:r>
        <w:rPr>
          <w:rFonts w:hint="eastAsia" w:ascii="仿宋" w:hAnsi="仿宋" w:eastAsia="仿宋"/>
          <w:spacing w:val="10"/>
          <w:sz w:val="28"/>
          <w:szCs w:val="28"/>
        </w:rPr>
        <w:t>发包人（甲方）：</w:t>
      </w:r>
    </w:p>
    <w:p>
      <w:pPr>
        <w:spacing w:line="540" w:lineRule="exact"/>
        <w:rPr>
          <w:rFonts w:ascii="仿宋" w:hAnsi="仿宋" w:eastAsia="仿宋"/>
          <w:spacing w:val="10"/>
          <w:sz w:val="28"/>
          <w:szCs w:val="28"/>
        </w:rPr>
      </w:pPr>
      <w:r>
        <w:rPr>
          <w:rFonts w:hint="eastAsia" w:ascii="仿宋" w:hAnsi="仿宋" w:eastAsia="仿宋"/>
          <w:spacing w:val="10"/>
          <w:sz w:val="28"/>
          <w:szCs w:val="28"/>
        </w:rPr>
        <w:t>承包人（乙方）：</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为了增强甲乙双方依法经营、廉洁从业意识，完善自我约束、自我监督营造守法诚信、廉洁高效的工作环境，防止发生违法违纪行为，保护国家、集体和当事人的合法权益，根据国家有关法律法规和廉洁自律规定，特订立本廉洁协议书：</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一、甲乙双方应当自觉遵守国家、省和潮州市关于有关工程建设、物资采购、招标投标等市场经济活动的法律法规、政策以及廉政建设的各项规定。</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二、甲方及其工作人员不得以任何形式向承包人索要和收受回扣、佣金等好处费。</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三、甲方工作人员应当保持与承包人的正常业务交往，不得接受承包人礼金、有价证券和贵重物品，不得在承包人报销任何应当由单位和个人支付的费用。</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四、甲方工作人员不得参加可能对公正执行公务有影响的宴请和娱乐活动。</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五、甲方工作人员不得要求和接受承包人为其家属和子女的工作、学业、出游安排等提供方便。</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六、甲方工作人员不得在承包人兼职以及向承包人介绍家属或亲友从事与甲方项目有关的材料设备供应、工程分包等经济活动。</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七、承包人及其工作人员不得利用向甲方单位及其工作人员行贿，提供回扣或者其它好处等不正当手段承包项目。</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八、承包人不得为谋取私利擅自与甲方工作人员就工作质量、违章行为、考核评价问题处理等进行私下商谈或者达成默契。</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九、承包人不得以洽谈业务、签订合同为借口，邀请甲方工作人员外出旅游和进入营业性高档娱乐场所。</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十、承包人不得为甲方单位和个人购置或者长期无偿提供通信工具、交通工具、家电、办公用品等物品。</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十一、承包人如发现甲方工作人员有违反上述协议者，应向甲方领导、甲方上级单位或纪检监察、检察机关举报、甲方不得找任何借口对承包人进行报复。甲方对举报属实和严格遵守廉洁协议的承包人，在同等条件下给予承接后续工程投标优先权。甲方工作人员向承包人索贿，经承包人检举，被纪检监察、检察机关立案查处认定的，承包人有权从甲方获得被索贿款1-3倍作为奖励（此款由索贿人承担），由此产生的办案费用由甲方承担。</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十二、甲方发现有违反本协议或者采取不正当的手段行贿甲方工作人员，甲方根据具体情节和造成的后果追究承包人违约责任。由此给甲方单位造成的损失均由承包人承担。承包人在承包项目中贿赂甲方工作人员，被纪检监察、或司法机关立案查处的，甲方有权终止项目合同，由此导致甲方所造成的损失以及发生的一切费用均由承包人承担。</w:t>
      </w:r>
    </w:p>
    <w:p>
      <w:pPr>
        <w:spacing w:line="540" w:lineRule="exact"/>
        <w:ind w:firstLine="600" w:firstLineChars="200"/>
        <w:rPr>
          <w:rFonts w:ascii="仿宋" w:hAnsi="仿宋" w:eastAsia="仿宋"/>
          <w:spacing w:val="10"/>
          <w:sz w:val="28"/>
          <w:szCs w:val="28"/>
        </w:rPr>
      </w:pPr>
      <w:r>
        <w:rPr>
          <w:rFonts w:hint="eastAsia" w:ascii="仿宋" w:hAnsi="仿宋" w:eastAsia="仿宋"/>
          <w:spacing w:val="10"/>
          <w:sz w:val="28"/>
          <w:szCs w:val="28"/>
        </w:rPr>
        <w:t>十三、本廉洁协议是项目作业承包中甲乙双方的行为规范，应共同遵守，做好项目工作和廉政建设，双方签署后协议立即生效。</w:t>
      </w:r>
    </w:p>
    <w:p>
      <w:pPr>
        <w:spacing w:line="540" w:lineRule="exact"/>
        <w:rPr>
          <w:rFonts w:ascii="仿宋" w:hAnsi="仿宋" w:eastAsia="仿宋"/>
          <w:spacing w:val="10"/>
          <w:sz w:val="28"/>
          <w:szCs w:val="28"/>
        </w:rPr>
      </w:pPr>
      <w:r>
        <w:rPr>
          <w:rFonts w:hint="eastAsia" w:ascii="仿宋" w:hAnsi="仿宋" w:eastAsia="仿宋"/>
          <w:spacing w:val="10"/>
          <w:sz w:val="28"/>
          <w:szCs w:val="28"/>
        </w:rPr>
        <w:t xml:space="preserve"> </w:t>
      </w:r>
    </w:p>
    <w:p>
      <w:pPr>
        <w:spacing w:line="540" w:lineRule="exact"/>
        <w:rPr>
          <w:rFonts w:ascii="仿宋" w:hAnsi="仿宋" w:eastAsia="仿宋"/>
          <w:spacing w:val="11"/>
          <w:sz w:val="28"/>
          <w:szCs w:val="28"/>
        </w:rPr>
      </w:pPr>
      <w:r>
        <w:rPr>
          <w:rFonts w:hint="eastAsia" w:ascii="仿宋" w:hAnsi="仿宋" w:eastAsia="仿宋"/>
          <w:spacing w:val="11"/>
          <w:sz w:val="28"/>
          <w:szCs w:val="28"/>
        </w:rPr>
        <w:t>甲方：潮州市亚太港口有限公司   乙方：</w:t>
      </w:r>
    </w:p>
    <w:p>
      <w:pPr>
        <w:spacing w:line="540" w:lineRule="exact"/>
        <w:jc w:val="left"/>
        <w:rPr>
          <w:rFonts w:ascii="仿宋" w:hAnsi="仿宋" w:eastAsia="仿宋"/>
          <w:spacing w:val="10"/>
          <w:sz w:val="28"/>
          <w:szCs w:val="28"/>
        </w:rPr>
      </w:pPr>
      <w:r>
        <w:rPr>
          <w:rFonts w:hint="eastAsia" w:ascii="仿宋" w:hAnsi="仿宋" w:eastAsia="仿宋"/>
          <w:spacing w:val="10"/>
          <w:sz w:val="28"/>
          <w:szCs w:val="28"/>
        </w:rPr>
        <w:t xml:space="preserve"> </w:t>
      </w:r>
    </w:p>
    <w:p>
      <w:pPr>
        <w:spacing w:line="540" w:lineRule="exact"/>
        <w:jc w:val="left"/>
        <w:rPr>
          <w:rFonts w:ascii="仿宋" w:hAnsi="仿宋" w:eastAsia="仿宋"/>
          <w:spacing w:val="10"/>
          <w:sz w:val="28"/>
          <w:szCs w:val="28"/>
        </w:rPr>
      </w:pPr>
      <w:r>
        <w:rPr>
          <w:rFonts w:hint="eastAsia" w:ascii="仿宋" w:hAnsi="仿宋" w:eastAsia="仿宋"/>
          <w:spacing w:val="10"/>
          <w:sz w:val="28"/>
          <w:szCs w:val="28"/>
        </w:rPr>
        <w:t>甲方代表：                 乙方代表：</w:t>
      </w:r>
    </w:p>
    <w:p>
      <w:pPr>
        <w:spacing w:line="540" w:lineRule="exact"/>
        <w:jc w:val="left"/>
        <w:rPr>
          <w:rFonts w:ascii="仿宋" w:hAnsi="仿宋" w:eastAsia="仿宋"/>
          <w:spacing w:val="10"/>
          <w:sz w:val="28"/>
          <w:szCs w:val="28"/>
        </w:rPr>
      </w:pPr>
    </w:p>
    <w:p>
      <w:pPr>
        <w:spacing w:line="540" w:lineRule="exact"/>
        <w:jc w:val="left"/>
        <w:rPr>
          <w:rFonts w:ascii="仿宋" w:hAnsi="仿宋" w:eastAsia="仿宋"/>
          <w:spacing w:val="10"/>
          <w:sz w:val="28"/>
          <w:szCs w:val="28"/>
        </w:rPr>
      </w:pPr>
    </w:p>
    <w:p>
      <w:pPr>
        <w:spacing w:line="540" w:lineRule="exact"/>
        <w:jc w:val="left"/>
        <w:rPr>
          <w:rFonts w:ascii="仿宋" w:hAnsi="仿宋" w:eastAsia="仿宋"/>
          <w:spacing w:val="10"/>
          <w:sz w:val="28"/>
          <w:szCs w:val="28"/>
        </w:rPr>
      </w:pPr>
    </w:p>
    <w:p>
      <w:pPr>
        <w:spacing w:line="540" w:lineRule="exact"/>
        <w:jc w:val="left"/>
        <w:rPr>
          <w:rFonts w:ascii="仿宋" w:hAnsi="仿宋" w:eastAsia="仿宋"/>
          <w:spacing w:val="10"/>
          <w:sz w:val="28"/>
          <w:szCs w:val="28"/>
        </w:rPr>
      </w:pPr>
    </w:p>
    <w:p>
      <w:pPr>
        <w:snapToGrid w:val="0"/>
        <w:spacing w:line="360" w:lineRule="auto"/>
        <w:rPr>
          <w:rFonts w:ascii="仿宋_GB2312" w:hAnsi="宋体"/>
          <w:sz w:val="28"/>
          <w:szCs w:val="28"/>
        </w:rPr>
      </w:pPr>
      <w:r>
        <w:rPr>
          <w:rFonts w:hint="eastAsia" w:ascii="仿宋_GB2312" w:hAnsi="宋体"/>
          <w:sz w:val="28"/>
          <w:szCs w:val="28"/>
        </w:rPr>
        <w:t>附件</w:t>
      </w:r>
      <w:r>
        <w:rPr>
          <w:rFonts w:hint="eastAsia" w:ascii="宋体" w:hAnsi="宋体" w:cs="宋体"/>
          <w:sz w:val="28"/>
          <w:szCs w:val="28"/>
        </w:rPr>
        <w:t>3之b</w:t>
      </w:r>
      <w:r>
        <w:rPr>
          <w:rFonts w:hint="eastAsia" w:ascii="仿宋_GB2312" w:hAnsi="宋体"/>
          <w:sz w:val="28"/>
          <w:szCs w:val="28"/>
        </w:rPr>
        <w:t>：</w:t>
      </w:r>
    </w:p>
    <w:p>
      <w:pPr>
        <w:snapToGrid w:val="0"/>
        <w:spacing w:line="360" w:lineRule="auto"/>
        <w:jc w:val="center"/>
        <w:rPr>
          <w:rFonts w:ascii="仿宋" w:hAnsi="仿宋" w:eastAsia="仿宋"/>
          <w:spacing w:val="10"/>
          <w:sz w:val="28"/>
          <w:szCs w:val="28"/>
        </w:rPr>
      </w:pPr>
    </w:p>
    <w:p>
      <w:pPr>
        <w:snapToGrid w:val="0"/>
        <w:spacing w:line="360" w:lineRule="auto"/>
        <w:jc w:val="center"/>
        <w:rPr>
          <w:rFonts w:ascii="宋体" w:hAnsi="宋体"/>
          <w:b/>
          <w:sz w:val="44"/>
          <w:szCs w:val="44"/>
        </w:rPr>
      </w:pPr>
      <w:r>
        <w:rPr>
          <w:rFonts w:hint="eastAsia" w:ascii="宋体" w:hAnsi="宋体"/>
          <w:b/>
          <w:sz w:val="44"/>
          <w:szCs w:val="44"/>
        </w:rPr>
        <w:t>工程施工安全生产管理协议</w:t>
      </w:r>
    </w:p>
    <w:p>
      <w:pPr>
        <w:pStyle w:val="37"/>
        <w:snapToGrid w:val="0"/>
        <w:spacing w:before="0" w:beforeAutospacing="0" w:after="0" w:afterAutospacing="0" w:line="300" w:lineRule="auto"/>
        <w:ind w:left="3360"/>
        <w:rPr>
          <w:rFonts w:ascii="仿宋_GB2312"/>
          <w:color w:val="auto"/>
          <w:sz w:val="28"/>
          <w:szCs w:val="28"/>
        </w:rPr>
      </w:pPr>
    </w:p>
    <w:p>
      <w:pPr>
        <w:adjustRightInd w:val="0"/>
        <w:snapToGrid w:val="0"/>
        <w:spacing w:before="60" w:after="60" w:line="240" w:lineRule="atLeast"/>
        <w:rPr>
          <w:rFonts w:eastAsia="仿宋_GB2312"/>
          <w:b/>
          <w:sz w:val="28"/>
          <w:szCs w:val="28"/>
          <w:u w:val="single"/>
        </w:rPr>
      </w:pPr>
      <w:r>
        <w:rPr>
          <w:rFonts w:hint="eastAsia" w:ascii="仿宋_GB2312"/>
          <w:sz w:val="28"/>
          <w:szCs w:val="28"/>
        </w:rPr>
        <w:t>甲方【工程发包方全称】：</w:t>
      </w:r>
      <w:r>
        <w:rPr>
          <w:rFonts w:hint="eastAsia" w:ascii="宋体" w:hAnsi="宋体" w:cs="宋体"/>
          <w:b/>
          <w:sz w:val="28"/>
          <w:szCs w:val="28"/>
          <w:u w:val="single"/>
        </w:rPr>
        <w:t xml:space="preserve">           </w:t>
      </w:r>
      <w:r>
        <w:rPr>
          <w:rFonts w:ascii="宋体" w:hAnsi="宋体" w:cs="宋体"/>
          <w:b/>
          <w:sz w:val="28"/>
          <w:szCs w:val="28"/>
          <w:u w:val="single"/>
        </w:rPr>
        <w:t xml:space="preserve">  </w:t>
      </w:r>
      <w:r>
        <w:rPr>
          <w:rFonts w:hint="eastAsia" w:ascii="仿宋_GB2312"/>
          <w:sz w:val="28"/>
          <w:szCs w:val="28"/>
          <w:u w:val="single"/>
        </w:rPr>
        <w:t xml:space="preserve">      </w:t>
      </w:r>
    </w:p>
    <w:p>
      <w:pPr>
        <w:pStyle w:val="37"/>
        <w:snapToGrid w:val="0"/>
        <w:spacing w:before="0" w:beforeAutospacing="0" w:after="0" w:afterAutospacing="0" w:line="300" w:lineRule="auto"/>
        <w:rPr>
          <w:rFonts w:ascii="仿宋_GB2312"/>
          <w:color w:val="auto"/>
          <w:sz w:val="28"/>
          <w:szCs w:val="28"/>
          <w:u w:val="single"/>
        </w:rPr>
      </w:pPr>
      <w:r>
        <w:rPr>
          <w:rFonts w:hint="eastAsia" w:ascii="仿宋_GB2312"/>
          <w:color w:val="auto"/>
          <w:sz w:val="28"/>
          <w:szCs w:val="28"/>
        </w:rPr>
        <w:t>地址：</w:t>
      </w:r>
      <w:r>
        <w:rPr>
          <w:rFonts w:hint="eastAsia"/>
          <w:color w:val="auto"/>
          <w:sz w:val="28"/>
          <w:szCs w:val="28"/>
          <w:u w:val="single"/>
        </w:rPr>
        <w:t xml:space="preserve">          </w:t>
      </w:r>
      <w:r>
        <w:rPr>
          <w:rFonts w:hint="eastAsia" w:ascii="仿宋_GB2312"/>
          <w:color w:val="auto"/>
          <w:sz w:val="28"/>
          <w:szCs w:val="28"/>
          <w:u w:val="single"/>
        </w:rPr>
        <w:t xml:space="preserve">                   </w:t>
      </w:r>
    </w:p>
    <w:p>
      <w:pPr>
        <w:pStyle w:val="37"/>
        <w:snapToGrid w:val="0"/>
        <w:spacing w:before="0" w:beforeAutospacing="0" w:after="0" w:afterAutospacing="0" w:line="300" w:lineRule="auto"/>
        <w:rPr>
          <w:rFonts w:ascii="仿宋_GB2312"/>
          <w:color w:val="auto"/>
          <w:sz w:val="28"/>
          <w:szCs w:val="28"/>
          <w:u w:val="single"/>
        </w:rPr>
      </w:pPr>
      <w:r>
        <w:rPr>
          <w:rFonts w:hint="eastAsia" w:ascii="仿宋_GB2312"/>
          <w:color w:val="auto"/>
          <w:sz w:val="28"/>
          <w:szCs w:val="28"/>
        </w:rPr>
        <w:t>负责人：</w:t>
      </w:r>
      <w:r>
        <w:rPr>
          <w:rFonts w:hint="eastAsia" w:ascii="仿宋_GB2312"/>
          <w:color w:val="auto"/>
          <w:sz w:val="28"/>
          <w:szCs w:val="28"/>
          <w:u w:val="single"/>
        </w:rPr>
        <w:t xml:space="preserve">              </w:t>
      </w:r>
    </w:p>
    <w:p>
      <w:pPr>
        <w:pStyle w:val="37"/>
        <w:snapToGrid w:val="0"/>
        <w:spacing w:before="0" w:beforeAutospacing="0" w:after="0" w:afterAutospacing="0" w:line="300" w:lineRule="auto"/>
        <w:ind w:left="3360"/>
        <w:rPr>
          <w:rFonts w:ascii="仿宋_GB2312"/>
          <w:color w:val="auto"/>
          <w:sz w:val="28"/>
          <w:szCs w:val="28"/>
        </w:rPr>
      </w:pPr>
    </w:p>
    <w:p>
      <w:pPr>
        <w:pStyle w:val="37"/>
        <w:snapToGrid w:val="0"/>
        <w:spacing w:before="0" w:beforeAutospacing="0" w:after="0" w:afterAutospacing="0" w:line="300" w:lineRule="auto"/>
        <w:rPr>
          <w:rFonts w:ascii="仿宋_GB2312"/>
          <w:color w:val="auto"/>
          <w:sz w:val="28"/>
          <w:szCs w:val="28"/>
          <w:u w:val="single"/>
        </w:rPr>
      </w:pPr>
      <w:r>
        <w:rPr>
          <w:rFonts w:hint="eastAsia" w:ascii="仿宋_GB2312"/>
          <w:color w:val="auto"/>
          <w:sz w:val="28"/>
          <w:szCs w:val="28"/>
        </w:rPr>
        <w:t>乙方【工程承包方全称】：</w:t>
      </w:r>
      <w:r>
        <w:rPr>
          <w:rFonts w:hint="eastAsia"/>
          <w:b/>
          <w:color w:val="auto"/>
          <w:sz w:val="28"/>
          <w:szCs w:val="28"/>
          <w:u w:val="single"/>
        </w:rPr>
        <w:t xml:space="preserve">          </w:t>
      </w:r>
      <w:r>
        <w:rPr>
          <w:rFonts w:hint="eastAsia" w:ascii="仿宋_GB2312"/>
          <w:color w:val="auto"/>
          <w:sz w:val="28"/>
          <w:szCs w:val="28"/>
          <w:u w:val="single"/>
        </w:rPr>
        <w:t xml:space="preserve">     </w:t>
      </w:r>
    </w:p>
    <w:p>
      <w:pPr>
        <w:pStyle w:val="37"/>
        <w:snapToGrid w:val="0"/>
        <w:spacing w:before="0" w:beforeAutospacing="0" w:after="0" w:afterAutospacing="0" w:line="300" w:lineRule="auto"/>
        <w:rPr>
          <w:rFonts w:ascii="仿宋_GB2312"/>
          <w:color w:val="auto"/>
          <w:sz w:val="28"/>
          <w:szCs w:val="28"/>
          <w:u w:val="single"/>
        </w:rPr>
      </w:pPr>
      <w:r>
        <w:rPr>
          <w:rFonts w:hint="eastAsia" w:ascii="仿宋_GB2312"/>
          <w:color w:val="auto"/>
          <w:sz w:val="28"/>
          <w:szCs w:val="28"/>
        </w:rPr>
        <w:t>地址：</w:t>
      </w:r>
      <w:r>
        <w:rPr>
          <w:rFonts w:hint="eastAsia"/>
          <w:color w:val="auto"/>
          <w:sz w:val="28"/>
          <w:szCs w:val="28"/>
          <w:u w:val="single"/>
        </w:rPr>
        <w:t xml:space="preserve">                            </w:t>
      </w:r>
      <w:r>
        <w:rPr>
          <w:rFonts w:hint="eastAsia" w:ascii="仿宋_GB2312"/>
          <w:color w:val="auto"/>
          <w:sz w:val="28"/>
          <w:szCs w:val="28"/>
          <w:u w:val="single"/>
        </w:rPr>
        <w:t xml:space="preserve">    </w:t>
      </w:r>
    </w:p>
    <w:p>
      <w:pPr>
        <w:pStyle w:val="37"/>
        <w:snapToGrid w:val="0"/>
        <w:spacing w:before="0" w:beforeAutospacing="0" w:after="0" w:afterAutospacing="0" w:line="300" w:lineRule="auto"/>
        <w:rPr>
          <w:rFonts w:ascii="仿宋_GB2312"/>
          <w:color w:val="auto"/>
          <w:sz w:val="28"/>
          <w:szCs w:val="28"/>
          <w:u w:val="single"/>
        </w:rPr>
      </w:pPr>
      <w:r>
        <w:rPr>
          <w:rFonts w:hint="eastAsia" w:ascii="仿宋_GB2312"/>
          <w:color w:val="auto"/>
          <w:sz w:val="28"/>
          <w:szCs w:val="28"/>
        </w:rPr>
        <w:t>法人代表：</w:t>
      </w:r>
      <w:r>
        <w:rPr>
          <w:rFonts w:hint="eastAsia" w:ascii="仿宋_GB2312"/>
          <w:color w:val="auto"/>
          <w:sz w:val="28"/>
          <w:szCs w:val="28"/>
          <w:u w:val="single"/>
        </w:rPr>
        <w:t xml:space="preserve">             </w:t>
      </w:r>
    </w:p>
    <w:p>
      <w:pPr>
        <w:snapToGrid w:val="0"/>
        <w:spacing w:line="300" w:lineRule="auto"/>
        <w:ind w:firstLine="660"/>
        <w:rPr>
          <w:rFonts w:ascii="仿宋_GB2312" w:hAnsi="宋体"/>
          <w:sz w:val="28"/>
          <w:szCs w:val="28"/>
        </w:rPr>
      </w:pPr>
    </w:p>
    <w:p>
      <w:pPr>
        <w:snapToGrid w:val="0"/>
        <w:spacing w:line="300" w:lineRule="auto"/>
        <w:ind w:firstLine="660"/>
        <w:rPr>
          <w:rFonts w:ascii="仿宋_GB2312" w:hAnsi="宋体"/>
          <w:sz w:val="28"/>
          <w:szCs w:val="28"/>
        </w:rPr>
      </w:pPr>
      <w:r>
        <w:rPr>
          <w:rFonts w:hint="eastAsia" w:ascii="仿宋_GB2312" w:hAnsi="宋体"/>
          <w:sz w:val="28"/>
          <w:szCs w:val="28"/>
        </w:rPr>
        <w:t>为贯彻“安全第一，预防为主，综合治理”的方针，明确双方安全生产责任，落实安全生产责任制，保障施工过程中良好的安全生产环境和双方人员人身安全与健康，依据《中华人民共和国合同法》、《中华人民共和国安全生产法》、《中华人民共和国建筑法》、《中华人民共和国消防法》、《建设工程安全生产管理条例》《广东省安全生产条例》等法律、法规和有关规定，甲乙双方遵循公平、平等、自愿和诚实守信的原则，就本项工程安全施工事项协商一致，签订本协议。</w:t>
      </w:r>
    </w:p>
    <w:p>
      <w:pPr>
        <w:snapToGrid w:val="0"/>
        <w:spacing w:line="300" w:lineRule="auto"/>
        <w:ind w:firstLine="562" w:firstLineChars="200"/>
        <w:rPr>
          <w:rFonts w:ascii="仿宋_GB2312" w:hAnsi="宋体"/>
          <w:b/>
          <w:sz w:val="28"/>
          <w:szCs w:val="28"/>
        </w:rPr>
      </w:pPr>
      <w:r>
        <w:rPr>
          <w:rFonts w:hint="eastAsia" w:ascii="仿宋_GB2312" w:hAnsi="宋体"/>
          <w:b/>
          <w:sz w:val="28"/>
          <w:szCs w:val="28"/>
        </w:rPr>
        <w:t>一、工程概况</w:t>
      </w:r>
    </w:p>
    <w:p>
      <w:pPr>
        <w:snapToGrid w:val="0"/>
        <w:spacing w:line="300" w:lineRule="auto"/>
        <w:ind w:firstLine="660"/>
        <w:rPr>
          <w:rFonts w:ascii="仿宋_GB2312" w:hAnsi="宋体"/>
          <w:b/>
          <w:sz w:val="28"/>
          <w:szCs w:val="28"/>
        </w:rPr>
      </w:pPr>
      <w:r>
        <w:rPr>
          <w:rFonts w:hint="eastAsia" w:ascii="仿宋_GB2312" w:hAnsi="宋体"/>
          <w:sz w:val="28"/>
          <w:szCs w:val="28"/>
        </w:rPr>
        <w:t>1.工程名称：</w:t>
      </w:r>
      <w:r>
        <w:rPr>
          <w:rFonts w:hint="eastAsia" w:ascii="仿宋_GB2312" w:hAnsi="宋体"/>
          <w:b/>
          <w:sz w:val="28"/>
          <w:szCs w:val="28"/>
          <w:u w:val="single"/>
        </w:rPr>
        <w:t xml:space="preserve">            </w:t>
      </w:r>
      <w:r>
        <w:rPr>
          <w:rFonts w:hint="eastAsia" w:ascii="仿宋_GB2312" w:hAnsi="宋体"/>
          <w:sz w:val="28"/>
          <w:szCs w:val="28"/>
          <w:u w:val="single"/>
        </w:rPr>
        <w:t xml:space="preserve"> </w:t>
      </w:r>
      <w:r>
        <w:rPr>
          <w:rFonts w:ascii="仿宋_GB2312" w:hAnsi="宋体"/>
          <w:sz w:val="28"/>
          <w:szCs w:val="28"/>
          <w:u w:val="single"/>
        </w:rPr>
        <w:t xml:space="preserve">                 </w:t>
      </w:r>
      <w:r>
        <w:rPr>
          <w:rFonts w:hint="eastAsia" w:ascii="仿宋_GB2312" w:hAnsi="宋体"/>
          <w:sz w:val="28"/>
          <w:szCs w:val="28"/>
          <w:u w:val="single"/>
        </w:rPr>
        <w:t xml:space="preserve">  </w:t>
      </w:r>
    </w:p>
    <w:p>
      <w:pPr>
        <w:snapToGrid w:val="0"/>
        <w:spacing w:line="300" w:lineRule="auto"/>
        <w:ind w:firstLine="660"/>
        <w:rPr>
          <w:rFonts w:ascii="仿宋_GB2312" w:hAnsi="宋体"/>
          <w:sz w:val="28"/>
          <w:szCs w:val="28"/>
          <w:u w:val="single"/>
        </w:rPr>
      </w:pPr>
      <w:r>
        <w:rPr>
          <w:rFonts w:hint="eastAsia" w:ascii="仿宋_GB2312" w:hAnsi="宋体"/>
          <w:sz w:val="28"/>
          <w:szCs w:val="28"/>
        </w:rPr>
        <w:t>2.工程地点、范围：</w:t>
      </w:r>
      <w:r>
        <w:rPr>
          <w:rFonts w:hint="eastAsia" w:ascii="宋体" w:hAnsi="宋体" w:cs="宋体"/>
          <w:sz w:val="28"/>
          <w:szCs w:val="28"/>
          <w:u w:val="single"/>
        </w:rPr>
        <w:t xml:space="preserve">                        </w:t>
      </w:r>
      <w:r>
        <w:rPr>
          <w:rFonts w:hint="eastAsia" w:ascii="仿宋_GB2312" w:hAnsi="宋体"/>
          <w:sz w:val="28"/>
          <w:szCs w:val="28"/>
          <w:u w:val="single"/>
        </w:rPr>
        <w:t xml:space="preserve">   </w:t>
      </w:r>
    </w:p>
    <w:p>
      <w:pPr>
        <w:snapToGrid w:val="0"/>
        <w:spacing w:line="300" w:lineRule="auto"/>
        <w:ind w:firstLine="562" w:firstLineChars="200"/>
        <w:rPr>
          <w:rFonts w:ascii="仿宋_GB2312" w:hAnsi="宋体"/>
          <w:b/>
          <w:sz w:val="28"/>
          <w:szCs w:val="28"/>
        </w:rPr>
      </w:pPr>
      <w:r>
        <w:rPr>
          <w:rFonts w:hint="eastAsia" w:ascii="仿宋_GB2312" w:hAnsi="宋体"/>
          <w:b/>
          <w:sz w:val="28"/>
          <w:szCs w:val="28"/>
        </w:rPr>
        <w:t>二、甲方的职责、权利和义务</w:t>
      </w:r>
    </w:p>
    <w:p>
      <w:pPr>
        <w:snapToGrid w:val="0"/>
        <w:spacing w:line="300" w:lineRule="auto"/>
        <w:ind w:firstLine="567"/>
        <w:rPr>
          <w:rFonts w:ascii="仿宋_GB2312" w:hAnsi="宋体"/>
          <w:sz w:val="28"/>
          <w:szCs w:val="28"/>
        </w:rPr>
      </w:pPr>
      <w:r>
        <w:rPr>
          <w:rFonts w:hint="eastAsia" w:ascii="仿宋_GB2312"/>
          <w:sz w:val="28"/>
          <w:szCs w:val="28"/>
        </w:rPr>
        <w:t>工程开工前，甲方应当依法申请领取施工许可证或办理开工报告批准手续。严格遵守国家有关安全生产的法律法规，认真执行工程承包合同中的有关安全要求。</w:t>
      </w:r>
    </w:p>
    <w:p>
      <w:pPr>
        <w:snapToGrid w:val="0"/>
        <w:spacing w:line="300" w:lineRule="auto"/>
        <w:ind w:firstLine="567"/>
        <w:rPr>
          <w:rFonts w:ascii="仿宋_GB2312"/>
          <w:sz w:val="28"/>
          <w:szCs w:val="28"/>
        </w:rPr>
      </w:pPr>
      <w:r>
        <w:rPr>
          <w:rFonts w:hint="eastAsia" w:ascii="仿宋_GB2312"/>
          <w:sz w:val="28"/>
          <w:szCs w:val="28"/>
        </w:rPr>
        <w:t>严格审查乙方营业执照、技术资质等级、从业人员持证情况、设备设施资质等，不得将工程发包给不具备相应资质或资格的承包单位。</w:t>
      </w:r>
    </w:p>
    <w:p>
      <w:pPr>
        <w:snapToGrid w:val="0"/>
        <w:spacing w:line="300" w:lineRule="auto"/>
        <w:ind w:firstLine="567"/>
        <w:rPr>
          <w:rFonts w:ascii="仿宋_GB2312"/>
          <w:sz w:val="28"/>
          <w:szCs w:val="28"/>
        </w:rPr>
      </w:pPr>
      <w:r>
        <w:rPr>
          <w:rFonts w:hint="eastAsia" w:ascii="仿宋_GB2312"/>
          <w:sz w:val="28"/>
          <w:szCs w:val="28"/>
        </w:rPr>
        <w:t>甲方负责对乙方进行本工程的安全技术交底，双方在安全技术交底书上签字确认。</w:t>
      </w:r>
    </w:p>
    <w:p>
      <w:pPr>
        <w:snapToGrid w:val="0"/>
        <w:spacing w:line="300" w:lineRule="auto"/>
        <w:ind w:firstLine="567"/>
        <w:rPr>
          <w:rFonts w:ascii="仿宋_GB2312" w:hAnsi="宋体"/>
          <w:sz w:val="28"/>
          <w:szCs w:val="28"/>
        </w:rPr>
      </w:pPr>
      <w:r>
        <w:rPr>
          <w:rFonts w:hint="eastAsia" w:ascii="仿宋_GB2312"/>
          <w:sz w:val="28"/>
          <w:szCs w:val="28"/>
        </w:rPr>
        <w:t>甲方有权检查乙方制定的安全管理制度及安全防范措施，对本工程范围内乙方的施工生产活动、安全管理制度及安全防范措施的落实有权进行监督、</w:t>
      </w:r>
      <w:r>
        <w:rPr>
          <w:rFonts w:hint="eastAsia" w:ascii="仿宋_GB2312" w:hAnsi="宋体"/>
          <w:sz w:val="28"/>
          <w:szCs w:val="28"/>
        </w:rPr>
        <w:t>检查。</w:t>
      </w:r>
    </w:p>
    <w:p>
      <w:pPr>
        <w:snapToGrid w:val="0"/>
        <w:spacing w:line="300" w:lineRule="auto"/>
        <w:ind w:firstLine="567"/>
        <w:rPr>
          <w:rFonts w:ascii="仿宋_GB2312" w:hAnsi="宋体"/>
          <w:sz w:val="28"/>
          <w:szCs w:val="28"/>
        </w:rPr>
      </w:pPr>
      <w:r>
        <w:rPr>
          <w:rFonts w:hint="eastAsia" w:ascii="仿宋_GB2312" w:hAnsi="宋体"/>
          <w:sz w:val="28"/>
          <w:szCs w:val="28"/>
        </w:rPr>
        <w:t>甲方有权视情况对超过一定时间，工期较长的工程的施工人员进行入驻工地前的安全培训工作，并做好相应的记录</w:t>
      </w:r>
    </w:p>
    <w:p>
      <w:pPr>
        <w:snapToGrid w:val="0"/>
        <w:spacing w:line="300" w:lineRule="auto"/>
        <w:ind w:firstLine="567"/>
        <w:rPr>
          <w:rFonts w:ascii="仿宋_GB2312" w:hAnsi="宋体"/>
          <w:sz w:val="28"/>
          <w:szCs w:val="28"/>
        </w:rPr>
      </w:pPr>
      <w:r>
        <w:rPr>
          <w:rFonts w:hint="eastAsia" w:ascii="仿宋_GB2312" w:hAnsi="宋体"/>
          <w:sz w:val="28"/>
          <w:szCs w:val="28"/>
        </w:rPr>
        <w:t>甲方检查发现乙方在施工过程中有违反国家、省、市安全生产法律法规及甲方安全管理规章制度的行为或存在安全隐患时，有权立即制止纠正或责令整改或停工整顿，并可按甲方有关安全处罚规定予以处罚。甲方书面责令整改或停工整顿必须组织验收，对乙方拒不执行或屡次再犯或未按时按要求整改，甲方可将乙方清退出场。</w:t>
      </w:r>
    </w:p>
    <w:p>
      <w:pPr>
        <w:snapToGrid w:val="0"/>
        <w:spacing w:line="300" w:lineRule="auto"/>
        <w:ind w:firstLine="567"/>
        <w:rPr>
          <w:rFonts w:ascii="仿宋_GB2312" w:hAnsi="宋体"/>
          <w:sz w:val="28"/>
          <w:szCs w:val="28"/>
        </w:rPr>
      </w:pPr>
      <w:r>
        <w:rPr>
          <w:rFonts w:hint="eastAsia" w:ascii="仿宋_GB2312" w:hAnsi="宋体"/>
          <w:sz w:val="28"/>
          <w:szCs w:val="28"/>
        </w:rPr>
        <w:t>甲方有义务对乙方人员发生生产安全事故时提供救护便利。</w:t>
      </w:r>
    </w:p>
    <w:p>
      <w:pPr>
        <w:snapToGrid w:val="0"/>
        <w:spacing w:line="300" w:lineRule="auto"/>
        <w:ind w:firstLine="567"/>
        <w:rPr>
          <w:rFonts w:ascii="仿宋_GB2312" w:hAnsi="宋体"/>
          <w:sz w:val="28"/>
          <w:szCs w:val="28"/>
        </w:rPr>
      </w:pPr>
      <w:r>
        <w:rPr>
          <w:rFonts w:hint="eastAsia" w:ascii="仿宋_GB2312" w:hAnsi="宋体"/>
          <w:sz w:val="28"/>
          <w:szCs w:val="28"/>
        </w:rPr>
        <w:t>甲方有义务对乙方开展的安全生产活动提供帮助。</w:t>
      </w:r>
    </w:p>
    <w:p>
      <w:pPr>
        <w:snapToGrid w:val="0"/>
        <w:spacing w:line="300" w:lineRule="auto"/>
        <w:ind w:firstLine="567"/>
        <w:rPr>
          <w:rFonts w:ascii="仿宋_GB2312" w:hAnsi="宋体"/>
          <w:sz w:val="28"/>
          <w:szCs w:val="28"/>
        </w:rPr>
      </w:pPr>
      <w:r>
        <w:rPr>
          <w:rFonts w:hint="eastAsia" w:ascii="仿宋_GB2312" w:hAnsi="宋体"/>
          <w:sz w:val="28"/>
          <w:szCs w:val="28"/>
        </w:rPr>
        <w:t>甲方为乙方施工人员、车辆、机械、设备设施进出港区及用水、用电供应等提供便利。</w:t>
      </w:r>
    </w:p>
    <w:p>
      <w:pPr>
        <w:snapToGrid w:val="0"/>
        <w:spacing w:line="300" w:lineRule="auto"/>
        <w:ind w:firstLine="660"/>
        <w:rPr>
          <w:rFonts w:ascii="仿宋_GB2312" w:hAnsi="宋体"/>
          <w:sz w:val="28"/>
          <w:szCs w:val="28"/>
        </w:rPr>
      </w:pPr>
      <w:r>
        <w:rPr>
          <w:rFonts w:hint="eastAsia" w:ascii="仿宋_GB2312" w:hAnsi="宋体"/>
          <w:sz w:val="28"/>
          <w:szCs w:val="28"/>
        </w:rPr>
        <w:t>本协议项下工程若存在委托第三方监理的情况，则甲方有权根据有关规定以及相应监理合同的条款视情况做好有关的统筹与协调工作。</w:t>
      </w:r>
    </w:p>
    <w:p>
      <w:pPr>
        <w:snapToGrid w:val="0"/>
        <w:spacing w:line="300" w:lineRule="auto"/>
        <w:ind w:firstLine="562" w:firstLineChars="200"/>
        <w:rPr>
          <w:rFonts w:ascii="仿宋_GB2312" w:hAnsi="宋体"/>
          <w:b/>
          <w:sz w:val="28"/>
          <w:szCs w:val="28"/>
        </w:rPr>
      </w:pPr>
      <w:r>
        <w:rPr>
          <w:rFonts w:hint="eastAsia" w:ascii="仿宋_GB2312" w:hAnsi="宋体"/>
          <w:b/>
          <w:sz w:val="28"/>
          <w:szCs w:val="28"/>
        </w:rPr>
        <w:t>三、乙方的职责、权利和义务</w:t>
      </w:r>
    </w:p>
    <w:p>
      <w:pPr>
        <w:snapToGrid w:val="0"/>
        <w:spacing w:line="300" w:lineRule="auto"/>
        <w:ind w:firstLine="567"/>
        <w:rPr>
          <w:rFonts w:ascii="仿宋_GB2312" w:hAnsi="宋体"/>
          <w:sz w:val="28"/>
          <w:szCs w:val="28"/>
        </w:rPr>
      </w:pPr>
      <w:r>
        <w:rPr>
          <w:rFonts w:hint="eastAsia" w:ascii="仿宋_GB2312" w:hAnsi="宋体"/>
          <w:sz w:val="28"/>
          <w:szCs w:val="28"/>
        </w:rPr>
        <w:t>贯彻执行国家及本协议项下工程（下称“本工程”）所在省市有关工程施工安全生产的法律法规和管理制度，严格执行国家关于安全生产“五落实”“五到位”规定，遵守甲方的安全生产规章制度，对本工程承包范围内的安全生产活动进行落实、检查和管理。</w:t>
      </w:r>
    </w:p>
    <w:p>
      <w:pPr>
        <w:snapToGrid w:val="0"/>
        <w:spacing w:line="300" w:lineRule="auto"/>
        <w:ind w:firstLine="567"/>
        <w:rPr>
          <w:rFonts w:ascii="仿宋_GB2312" w:hAnsi="宋体"/>
          <w:sz w:val="28"/>
          <w:szCs w:val="28"/>
        </w:rPr>
      </w:pPr>
      <w:r>
        <w:rPr>
          <w:rFonts w:hint="eastAsia" w:ascii="仿宋_GB2312" w:hAnsi="宋体"/>
          <w:sz w:val="28"/>
          <w:szCs w:val="28"/>
        </w:rPr>
        <w:t>按国家规定聘请符合相关资质及资格的单位（有外请第三方协作单位及其人员时）和作业人员从事本工程相关工作，乙方必须保障承接、承建本工程不超越本单位资质范围，且不将本工程承包项目再次转包。</w:t>
      </w:r>
    </w:p>
    <w:p>
      <w:pPr>
        <w:snapToGrid w:val="0"/>
        <w:spacing w:line="300" w:lineRule="auto"/>
        <w:ind w:firstLine="567"/>
        <w:rPr>
          <w:rFonts w:ascii="仿宋_GB2312" w:hAnsi="宋体"/>
          <w:sz w:val="28"/>
          <w:szCs w:val="28"/>
        </w:rPr>
      </w:pPr>
      <w:r>
        <w:rPr>
          <w:rFonts w:hint="eastAsia" w:ascii="仿宋_GB2312" w:hAnsi="宋体"/>
          <w:sz w:val="28"/>
          <w:szCs w:val="28"/>
        </w:rPr>
        <w:t>本工程若存在委托第三方监理的情况（其将根据监理规范和工程的设计、建造、施工、安全等有关标准规范执行监理），则乙方必须按照有关规定配合他们的监理、检查以及在安全方面的监管工作。</w:t>
      </w:r>
    </w:p>
    <w:p>
      <w:pPr>
        <w:snapToGrid w:val="0"/>
        <w:spacing w:line="300" w:lineRule="auto"/>
        <w:ind w:firstLine="567"/>
        <w:rPr>
          <w:rFonts w:ascii="仿宋_GB2312" w:hAnsi="宋体"/>
          <w:sz w:val="28"/>
          <w:szCs w:val="28"/>
        </w:rPr>
      </w:pPr>
      <w:r>
        <w:rPr>
          <w:rFonts w:hint="eastAsia" w:ascii="仿宋_GB2312" w:hAnsi="宋体"/>
          <w:sz w:val="28"/>
          <w:szCs w:val="28"/>
        </w:rPr>
        <w:t>乙方要按照甲方的要求提供相关资料给甲方备案，对提供的所有资料的准确性、真实性负责。</w:t>
      </w:r>
    </w:p>
    <w:p>
      <w:pPr>
        <w:snapToGrid w:val="0"/>
        <w:spacing w:line="300" w:lineRule="auto"/>
        <w:ind w:firstLine="567"/>
        <w:rPr>
          <w:rFonts w:ascii="仿宋_GB2312" w:hAnsi="宋体"/>
          <w:sz w:val="28"/>
          <w:szCs w:val="28"/>
        </w:rPr>
      </w:pPr>
      <w:r>
        <w:rPr>
          <w:rFonts w:hint="eastAsia" w:ascii="仿宋_GB2312" w:hAnsi="宋体"/>
          <w:sz w:val="28"/>
          <w:szCs w:val="28"/>
        </w:rPr>
        <w:t>乙方负责本单位施工人员安全教育、培训考核，负责施工前专项安全教育，告知本岗位作业危害和操作规程，负责建立特种作业人员安全教育档案，保证特种作业人员持证上岗，所持证书在有效期内，并将培训记录、证书等资料报备甲方，未经培训或培训考核不合格者不准参加施工作业。乙方还需根据实际情况，定期对员工进行有针对性的安全强化教育，并做好相应的记录。</w:t>
      </w:r>
    </w:p>
    <w:p>
      <w:pPr>
        <w:snapToGrid w:val="0"/>
        <w:spacing w:line="300" w:lineRule="auto"/>
        <w:ind w:firstLine="567"/>
        <w:rPr>
          <w:rFonts w:ascii="仿宋_GB2312" w:hAnsi="宋体"/>
          <w:sz w:val="28"/>
          <w:szCs w:val="28"/>
        </w:rPr>
      </w:pPr>
      <w:r>
        <w:rPr>
          <w:rFonts w:hint="eastAsia" w:ascii="仿宋_GB2312" w:hAnsi="宋体"/>
          <w:sz w:val="28"/>
          <w:szCs w:val="28"/>
        </w:rPr>
        <w:t xml:space="preserve">乙方是本工程施工现场安全责任的主体，应当对施工安全全面负责，并接受甲方的统一监督管理，乙方应负责建立健全施工现场安全生产管理制度，定期布置、实施、检查、评价、总结工程的安全生产情况，负责建立《施工现场生产安全事故应急救援预案》。 </w:t>
      </w:r>
    </w:p>
    <w:p>
      <w:pPr>
        <w:snapToGrid w:val="0"/>
        <w:spacing w:line="300" w:lineRule="auto"/>
        <w:ind w:firstLine="567"/>
        <w:rPr>
          <w:rFonts w:ascii="仿宋_GB2312" w:hAnsi="宋体"/>
          <w:sz w:val="28"/>
          <w:szCs w:val="28"/>
        </w:rPr>
      </w:pPr>
      <w:r>
        <w:rPr>
          <w:rFonts w:hint="eastAsia" w:ascii="仿宋_GB2312" w:hAnsi="宋体"/>
          <w:sz w:val="28"/>
          <w:szCs w:val="28"/>
        </w:rPr>
        <w:t>乙方在施工前应制定详细的施工计划和施工安全保障措施，对施工人员进行有针对性的安全技术交底，对施工现场危险性较大分项工程编制专项施工方案，并监督实施。</w:t>
      </w:r>
    </w:p>
    <w:p>
      <w:pPr>
        <w:snapToGrid w:val="0"/>
        <w:spacing w:line="300" w:lineRule="auto"/>
        <w:ind w:firstLine="567"/>
        <w:rPr>
          <w:rFonts w:ascii="仿宋_GB2312" w:hAnsi="宋体"/>
          <w:sz w:val="28"/>
          <w:szCs w:val="28"/>
        </w:rPr>
      </w:pPr>
      <w:r>
        <w:rPr>
          <w:rFonts w:hint="eastAsia" w:ascii="仿宋_GB2312" w:hAnsi="宋体"/>
          <w:sz w:val="28"/>
          <w:szCs w:val="28"/>
        </w:rPr>
        <w:t>乙方在施工现场必须委派至少一位具有相应的安全资质和工作经验的人员专门负责本工程施工安全监管，当乙方施工影响甲方生产作业时，乙方要服从甲方的统一指挥；当需要甲方停止作业配合施工时，乙方应主动提出不得强行冒险施工。</w:t>
      </w:r>
    </w:p>
    <w:p>
      <w:pPr>
        <w:snapToGrid w:val="0"/>
        <w:spacing w:line="300" w:lineRule="auto"/>
        <w:ind w:firstLine="567"/>
        <w:rPr>
          <w:rFonts w:ascii="仿宋_GB2312" w:hAnsi="宋体"/>
          <w:sz w:val="28"/>
          <w:szCs w:val="28"/>
        </w:rPr>
      </w:pPr>
      <w:r>
        <w:rPr>
          <w:rFonts w:hint="eastAsia" w:ascii="仿宋_GB2312" w:hAnsi="宋体"/>
          <w:sz w:val="28"/>
          <w:szCs w:val="28"/>
        </w:rPr>
        <w:t>乙方有权对本工程施工现场安全生产工作提出意见和建议；有权拒绝甲方违反法律法规的安全指令；对造成后果的违章指令有权检举和控告。</w:t>
      </w:r>
    </w:p>
    <w:p>
      <w:pPr>
        <w:snapToGrid w:val="0"/>
        <w:spacing w:line="300" w:lineRule="auto"/>
        <w:ind w:firstLine="567"/>
        <w:rPr>
          <w:rFonts w:ascii="仿宋_GB2312" w:hAnsi="宋体"/>
          <w:sz w:val="28"/>
          <w:szCs w:val="28"/>
        </w:rPr>
      </w:pPr>
      <w:r>
        <w:rPr>
          <w:rFonts w:hint="eastAsia" w:ascii="仿宋_GB2312" w:hAnsi="宋体"/>
          <w:sz w:val="28"/>
          <w:szCs w:val="28"/>
        </w:rPr>
        <w:t>乙方负责本单位参与本工程的施工人员、车辆、机械、设备设施等的登记造册，如实向甲方报备，并按甲方要求办理出入港区《进港证》，凭证进出港区和施工场地，如有变动，应及时书面通知甲方，并及时办好港区出入证。</w:t>
      </w:r>
    </w:p>
    <w:p>
      <w:pPr>
        <w:snapToGrid w:val="0"/>
        <w:spacing w:line="300" w:lineRule="auto"/>
        <w:ind w:firstLine="567"/>
        <w:rPr>
          <w:rFonts w:ascii="仿宋_GB2312" w:hAnsi="宋体"/>
          <w:sz w:val="28"/>
          <w:szCs w:val="28"/>
        </w:rPr>
      </w:pPr>
      <w:r>
        <w:rPr>
          <w:rFonts w:hint="eastAsia" w:ascii="仿宋_GB2312" w:hAnsi="宋体"/>
          <w:sz w:val="28"/>
          <w:szCs w:val="28"/>
        </w:rPr>
        <w:t>乙方负责为本单位参与本工程的施工人员提供合格的个人劳动防护用品，并监督、教育其正确佩带和使用，不按规定穿戴防护用品的人员不得上岗。定期对劳动防护用品进行检验、试验和更新，做好安全工器具的检测，确保合格、有效。</w:t>
      </w:r>
    </w:p>
    <w:p>
      <w:pPr>
        <w:snapToGrid w:val="0"/>
        <w:spacing w:line="300" w:lineRule="auto"/>
        <w:ind w:firstLine="567"/>
        <w:rPr>
          <w:rFonts w:ascii="仿宋_GB2312" w:hAnsi="宋体"/>
          <w:sz w:val="28"/>
          <w:szCs w:val="28"/>
        </w:rPr>
      </w:pPr>
      <w:r>
        <w:rPr>
          <w:rFonts w:hint="eastAsia" w:ascii="仿宋_GB2312" w:hAnsi="宋体"/>
          <w:sz w:val="28"/>
          <w:szCs w:val="28"/>
        </w:rPr>
        <w:t>乙方应按规定为本单位参与本工程从业人员（主要是指：施工人员和管理人员）办理至少覆盖本协议有效期的合法用工手续、缴纳工伤保险、意外伤害险和安全生产责任险，并将保单复印件交给甲方备查。</w:t>
      </w:r>
    </w:p>
    <w:p>
      <w:pPr>
        <w:snapToGrid w:val="0"/>
        <w:spacing w:line="300" w:lineRule="auto"/>
        <w:ind w:firstLine="567"/>
        <w:rPr>
          <w:rFonts w:ascii="仿宋_GB2312" w:hAnsi="宋体"/>
          <w:sz w:val="28"/>
          <w:szCs w:val="28"/>
        </w:rPr>
      </w:pPr>
      <w:r>
        <w:rPr>
          <w:rFonts w:hint="eastAsia" w:ascii="仿宋_GB2312" w:hAnsi="宋体"/>
          <w:sz w:val="28"/>
          <w:szCs w:val="28"/>
        </w:rPr>
        <w:t>乙方应定期组织对所辖施工区域和安全活动进行安全检查，对甲方下发的隐患通知进行整改消除。在安全检查中发现非责任区域存在安全隐患，有义务向甲方及时报告。</w:t>
      </w:r>
    </w:p>
    <w:p>
      <w:pPr>
        <w:snapToGrid w:val="0"/>
        <w:spacing w:line="300" w:lineRule="auto"/>
        <w:ind w:firstLine="567"/>
        <w:rPr>
          <w:rFonts w:ascii="仿宋_GB2312" w:hAnsi="宋体"/>
          <w:sz w:val="28"/>
          <w:szCs w:val="28"/>
        </w:rPr>
      </w:pPr>
      <w:r>
        <w:rPr>
          <w:rFonts w:hint="eastAsia" w:ascii="仿宋_GB2312" w:hAnsi="宋体"/>
          <w:sz w:val="28"/>
          <w:szCs w:val="28"/>
        </w:rPr>
        <w:t>乙方应服从甲方统一的协调和管理，并对所辖施工区域内的文明施工负责，约束本方施工人员未经允许不得擅自进入甲方的生产场所或设备，按甲方要求堆放工程材料和停放车辆或施工设备设施，不得在甲方批准区域以外的任何地方施工。</w:t>
      </w:r>
    </w:p>
    <w:p>
      <w:pPr>
        <w:snapToGrid w:val="0"/>
        <w:spacing w:line="300" w:lineRule="auto"/>
        <w:ind w:firstLine="567"/>
        <w:rPr>
          <w:rFonts w:ascii="仿宋_GB2312" w:hAnsi="宋体"/>
          <w:sz w:val="28"/>
          <w:szCs w:val="28"/>
        </w:rPr>
      </w:pPr>
      <w:r>
        <w:rPr>
          <w:rFonts w:hint="eastAsia" w:ascii="仿宋_GB2312" w:hAnsi="宋体"/>
          <w:sz w:val="28"/>
          <w:szCs w:val="28"/>
        </w:rPr>
        <w:t>乙方要做好本工程施工的消防安全管理。如建立健全消防安全管理制度、消防安全组织机构、消防安全管理档案等；未经批准不得在所辖施工区域内搭建工棚等易燃建筑，不得储存易燃、易爆物品；保证消防设备设施、器材完好有效，消防通道畅通等；施工中产生明火作业时，需按甲方安全管理规定办理动火审批手续，未办理动火审批手续不得进行施工动火作业，动火作业工程中要派专人负责现场监控，动火结束后要清理现场，确认无留下任何火灾隐患方可离场。</w:t>
      </w:r>
    </w:p>
    <w:p>
      <w:pPr>
        <w:snapToGrid w:val="0"/>
        <w:spacing w:line="300" w:lineRule="auto"/>
        <w:ind w:firstLine="567"/>
        <w:rPr>
          <w:rFonts w:ascii="仿宋_GB2312" w:hAnsi="宋体"/>
          <w:sz w:val="28"/>
          <w:szCs w:val="28"/>
        </w:rPr>
      </w:pPr>
      <w:r>
        <w:rPr>
          <w:rFonts w:hint="eastAsia" w:ascii="仿宋_GB2312" w:hAnsi="宋体"/>
          <w:sz w:val="28"/>
          <w:szCs w:val="28"/>
        </w:rPr>
        <w:t>乙方对本协议项下所辖范围内的安全防护设备设施（包括洞口、临边等）搭设、拆除、维护和改造及其使用安全全面负责。责任区内的安全防护设备设施必须符合有关法律法规要求及行业安全标准以及甲方对施工现场整体安全防护要求。</w:t>
      </w:r>
    </w:p>
    <w:p>
      <w:pPr>
        <w:snapToGrid w:val="0"/>
        <w:spacing w:line="300" w:lineRule="auto"/>
        <w:ind w:firstLine="567"/>
        <w:rPr>
          <w:rFonts w:ascii="仿宋_GB2312" w:hAnsi="宋体"/>
          <w:sz w:val="28"/>
          <w:szCs w:val="28"/>
        </w:rPr>
      </w:pPr>
      <w:r>
        <w:rPr>
          <w:rFonts w:hint="eastAsia" w:ascii="仿宋_GB2312" w:hAnsi="宋体"/>
          <w:sz w:val="28"/>
          <w:szCs w:val="28"/>
        </w:rPr>
        <w:t>使用非责任区域安全防护设备设施前，应向甲方申请办理手续后方可使用，并负责使用期间的安全维护。对在使用期间由于管理不善给自己或他人造成的生产安全事故或未遂事故负责。</w:t>
      </w:r>
    </w:p>
    <w:p>
      <w:pPr>
        <w:snapToGrid w:val="0"/>
        <w:spacing w:line="300" w:lineRule="auto"/>
        <w:ind w:firstLine="567"/>
        <w:rPr>
          <w:rFonts w:ascii="仿宋_GB2312" w:hAnsi="宋体"/>
          <w:sz w:val="28"/>
          <w:szCs w:val="28"/>
        </w:rPr>
      </w:pPr>
      <w:r>
        <w:rPr>
          <w:rFonts w:hint="eastAsia" w:ascii="仿宋_GB2312" w:hAnsi="宋体"/>
          <w:sz w:val="28"/>
          <w:szCs w:val="28"/>
        </w:rPr>
        <w:t>乙方对本单位用于本工程施工所需的用电设备及其用电安全全面负责,用电设备、电缆必须有安全防护装置和措施，严禁电缆、电线雨天裸露作业或电缆、电线过水。需甲方提供用电、用气、用水的，应向甲方书面申请，经甲方审核同意，双方制定临时使用方案后方可按规定使用。</w:t>
      </w:r>
    </w:p>
    <w:p>
      <w:pPr>
        <w:snapToGrid w:val="0"/>
        <w:spacing w:line="300" w:lineRule="auto"/>
        <w:ind w:firstLine="567"/>
        <w:rPr>
          <w:rFonts w:ascii="仿宋_GB2312" w:hAnsi="宋体"/>
          <w:sz w:val="28"/>
          <w:szCs w:val="28"/>
        </w:rPr>
      </w:pPr>
      <w:r>
        <w:rPr>
          <w:rFonts w:hint="eastAsia" w:ascii="仿宋_GB2312" w:hAnsi="宋体"/>
          <w:sz w:val="28"/>
          <w:szCs w:val="28"/>
        </w:rPr>
        <w:t>乙方对本单位用于本工程施工所需自带或租赁的车辆、机械、设备、设施、工属具等的安全性和使用、维修安全全面负责，定期进行检查、维护和检测，特种设备取得国家机关颁发的使用证，并在有效期内。而且这些车辆、机械、设备、设施、工属具等在办理进港时必须提供国家机关颁发的使用许可资质证明等有关资料，严禁自带没有相关使用许可资质证明资料或不符合安全技术要求的车辆、机械、设备、设施、工属具进入甲方区域。由甲方提供的车辆、机械、设备、设施等在交付前双方检查进行安全确认，交付后由乙方负责使用期间的安全维护，乙方未经甲方同意，不得擅自使用甲方的车辆、机械、设备、设施等。</w:t>
      </w:r>
    </w:p>
    <w:p>
      <w:pPr>
        <w:snapToGrid w:val="0"/>
        <w:spacing w:line="300" w:lineRule="auto"/>
        <w:ind w:firstLine="567"/>
        <w:rPr>
          <w:rFonts w:ascii="仿宋_GB2312" w:hAnsi="宋体"/>
          <w:sz w:val="28"/>
          <w:szCs w:val="28"/>
        </w:rPr>
      </w:pPr>
      <w:r>
        <w:rPr>
          <w:rFonts w:hint="eastAsia" w:ascii="仿宋_GB2312" w:hAnsi="宋体"/>
          <w:sz w:val="28"/>
          <w:szCs w:val="28"/>
        </w:rPr>
        <w:t>在本工程施工现场内发生生产安全事故，乙方必须立即向甲方报告，并按规定报政府相关管理部门。同时，有义务配合开展事故调查工作。</w:t>
      </w:r>
    </w:p>
    <w:p>
      <w:pPr>
        <w:snapToGrid w:val="0"/>
        <w:spacing w:line="300" w:lineRule="auto"/>
        <w:ind w:firstLine="567"/>
        <w:rPr>
          <w:rFonts w:ascii="仿宋_GB2312" w:hAnsi="宋体"/>
          <w:sz w:val="28"/>
          <w:szCs w:val="28"/>
        </w:rPr>
      </w:pPr>
      <w:r>
        <w:rPr>
          <w:rFonts w:hint="eastAsia" w:ascii="仿宋_GB2312" w:hAnsi="宋体"/>
          <w:sz w:val="28"/>
          <w:szCs w:val="28"/>
        </w:rPr>
        <w:t xml:space="preserve">其它本协议中未提及的规定，必须严格按照甲方的规定和制度办理，并定期组织在港施工人员学习甲方的现场安全管理规定。 </w:t>
      </w:r>
    </w:p>
    <w:p>
      <w:pPr>
        <w:snapToGrid w:val="0"/>
        <w:spacing w:line="300" w:lineRule="auto"/>
        <w:ind w:firstLine="562" w:firstLineChars="200"/>
        <w:rPr>
          <w:rFonts w:ascii="仿宋_GB2312" w:hAnsi="宋体"/>
          <w:b/>
          <w:sz w:val="28"/>
          <w:szCs w:val="28"/>
        </w:rPr>
      </w:pPr>
      <w:r>
        <w:rPr>
          <w:rFonts w:hint="eastAsia" w:ascii="仿宋_GB2312" w:hAnsi="宋体"/>
          <w:b/>
          <w:sz w:val="28"/>
          <w:szCs w:val="28"/>
        </w:rPr>
        <w:t>四、责任和索赔</w:t>
      </w:r>
    </w:p>
    <w:p>
      <w:pPr>
        <w:snapToGrid w:val="0"/>
        <w:spacing w:line="300" w:lineRule="auto"/>
        <w:ind w:firstLine="567"/>
        <w:rPr>
          <w:rFonts w:ascii="仿宋_GB2312" w:hAnsi="宋体"/>
          <w:sz w:val="28"/>
          <w:szCs w:val="28"/>
        </w:rPr>
      </w:pPr>
      <w:r>
        <w:rPr>
          <w:rFonts w:hint="eastAsia" w:ascii="仿宋_GB2312" w:hAnsi="宋体"/>
          <w:sz w:val="28"/>
          <w:szCs w:val="28"/>
        </w:rPr>
        <w:t>由于甲方责任造成生产安全事故，导致乙方人员或第三方人员伤亡，由甲方承担事故责任和经济责任。乙方或第三方有义务负责协助处理善后事宜。</w:t>
      </w:r>
    </w:p>
    <w:p>
      <w:pPr>
        <w:snapToGrid w:val="0"/>
        <w:spacing w:line="300" w:lineRule="auto"/>
        <w:ind w:firstLine="567"/>
        <w:rPr>
          <w:rFonts w:ascii="仿宋_GB2312" w:hAnsi="宋体"/>
          <w:sz w:val="28"/>
          <w:szCs w:val="28"/>
        </w:rPr>
      </w:pPr>
      <w:r>
        <w:rPr>
          <w:rFonts w:hint="eastAsia" w:ascii="仿宋_GB2312" w:hAnsi="宋体"/>
          <w:sz w:val="28"/>
          <w:szCs w:val="28"/>
        </w:rPr>
        <w:t>由于乙方责任造成生产安全事故，导致甲方人员或第三方人员伤亡，由乙方承担事故责任和经济责任。甲方或第三方有义务负责协助处理善后事宜。</w:t>
      </w:r>
    </w:p>
    <w:p>
      <w:pPr>
        <w:snapToGrid w:val="0"/>
        <w:spacing w:line="300" w:lineRule="auto"/>
        <w:ind w:firstLine="567"/>
        <w:rPr>
          <w:rFonts w:ascii="仿宋_GB2312" w:hAnsi="宋体"/>
          <w:sz w:val="28"/>
          <w:szCs w:val="28"/>
        </w:rPr>
      </w:pPr>
      <w:r>
        <w:rPr>
          <w:rFonts w:hint="eastAsia" w:ascii="仿宋_GB2312" w:hAnsi="宋体"/>
          <w:sz w:val="28"/>
          <w:szCs w:val="28"/>
        </w:rPr>
        <w:t>由于双方责任造成的生产安全事故，根据政府有关部门的责任划分承担相应的事故责任和经济责任。</w:t>
      </w:r>
    </w:p>
    <w:p>
      <w:pPr>
        <w:snapToGrid w:val="0"/>
        <w:spacing w:line="300" w:lineRule="auto"/>
        <w:ind w:firstLine="567"/>
        <w:rPr>
          <w:rFonts w:ascii="仿宋_GB2312" w:hAnsi="宋体"/>
          <w:sz w:val="28"/>
          <w:szCs w:val="28"/>
        </w:rPr>
      </w:pPr>
      <w:r>
        <w:rPr>
          <w:rFonts w:hint="eastAsia" w:ascii="仿宋_GB2312" w:hAnsi="宋体"/>
          <w:sz w:val="28"/>
          <w:szCs w:val="28"/>
        </w:rPr>
        <w:t>生产安全事故责任以事故调查报告书为准。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snapToGrid w:val="0"/>
        <w:spacing w:line="300" w:lineRule="auto"/>
        <w:ind w:firstLine="562" w:firstLineChars="200"/>
        <w:rPr>
          <w:rFonts w:ascii="仿宋_GB2312" w:hAnsi="宋体"/>
          <w:b/>
          <w:sz w:val="28"/>
          <w:szCs w:val="28"/>
        </w:rPr>
      </w:pPr>
      <w:r>
        <w:rPr>
          <w:rFonts w:hint="eastAsia" w:ascii="仿宋_GB2312" w:hAnsi="宋体"/>
          <w:b/>
          <w:sz w:val="28"/>
          <w:szCs w:val="28"/>
        </w:rPr>
        <w:t>五、其他事宜</w:t>
      </w:r>
    </w:p>
    <w:p>
      <w:pPr>
        <w:snapToGrid w:val="0"/>
        <w:spacing w:line="300" w:lineRule="auto"/>
        <w:ind w:firstLine="567"/>
        <w:rPr>
          <w:rFonts w:ascii="仿宋_GB2312" w:hAnsi="宋体"/>
          <w:sz w:val="28"/>
          <w:szCs w:val="28"/>
        </w:rPr>
      </w:pPr>
      <w:r>
        <w:rPr>
          <w:rFonts w:hint="eastAsia" w:ascii="仿宋_GB2312" w:hAnsi="宋体"/>
          <w:sz w:val="28"/>
          <w:szCs w:val="28"/>
        </w:rPr>
        <w:t>乙方承诺以本合同价款的</w:t>
      </w:r>
      <w:r>
        <w:rPr>
          <w:rFonts w:hint="eastAsia" w:ascii="宋体" w:hAnsi="宋体" w:cs="宋体"/>
          <w:sz w:val="28"/>
          <w:szCs w:val="28"/>
          <w:u w:val="single"/>
        </w:rPr>
        <w:t>3</w:t>
      </w:r>
      <w:r>
        <w:rPr>
          <w:rFonts w:hint="eastAsia" w:ascii="仿宋_GB2312" w:hAnsi="宋体"/>
          <w:sz w:val="28"/>
          <w:szCs w:val="28"/>
          <w:u w:val="single"/>
        </w:rPr>
        <w:t>%</w:t>
      </w:r>
      <w:r>
        <w:rPr>
          <w:rFonts w:hint="eastAsia" w:ascii="仿宋_GB2312" w:hAnsi="宋体"/>
          <w:sz w:val="28"/>
          <w:szCs w:val="28"/>
        </w:rPr>
        <w:t>作为安全担保金，在工程进行期间，当出现安全、保卫违规情况或发生安全、保卫事故等情况，因乙方原因造成甲方经济、信誉损失的，甲方据实计算扣款额，在当期工程进度款或结算款中予以扣除，累计扣款总额如超过本合同价款的</w:t>
      </w:r>
      <w:r>
        <w:rPr>
          <w:rFonts w:hint="eastAsia" w:ascii="宋体" w:hAnsi="宋体" w:cs="宋体"/>
          <w:sz w:val="28"/>
          <w:szCs w:val="28"/>
          <w:u w:val="single"/>
        </w:rPr>
        <w:t>3</w:t>
      </w:r>
      <w:r>
        <w:rPr>
          <w:rFonts w:hint="eastAsia" w:ascii="仿宋_GB2312" w:hAnsi="宋体"/>
          <w:sz w:val="28"/>
          <w:szCs w:val="28"/>
          <w:u w:val="single"/>
        </w:rPr>
        <w:t>%</w:t>
      </w:r>
      <w:r>
        <w:rPr>
          <w:rFonts w:hint="eastAsia" w:ascii="仿宋_GB2312" w:hAnsi="宋体"/>
          <w:sz w:val="28"/>
          <w:szCs w:val="28"/>
        </w:rPr>
        <w:t>，超出部分乙方仍须承担。如乙方在施工中无安全、保卫违规情况，待本工程结束后全部退还。</w:t>
      </w:r>
    </w:p>
    <w:p>
      <w:pPr>
        <w:snapToGrid w:val="0"/>
        <w:spacing w:line="300" w:lineRule="auto"/>
        <w:ind w:firstLine="567"/>
        <w:rPr>
          <w:rFonts w:ascii="仿宋_GB2312" w:hAnsi="宋体"/>
          <w:sz w:val="28"/>
          <w:szCs w:val="28"/>
        </w:rPr>
      </w:pPr>
      <w:r>
        <w:rPr>
          <w:rFonts w:hint="eastAsia" w:ascii="仿宋_GB2312" w:hAnsi="宋体"/>
          <w:sz w:val="28"/>
          <w:szCs w:val="28"/>
        </w:rPr>
        <w:t>乙方对甲方安全管理规定、安全管理要求不清楚时，应先咨询甲方意见后再施工，甲方应予以配合。</w:t>
      </w:r>
    </w:p>
    <w:p>
      <w:pPr>
        <w:snapToGrid w:val="0"/>
        <w:spacing w:line="300" w:lineRule="auto"/>
        <w:ind w:firstLine="567"/>
        <w:rPr>
          <w:rFonts w:ascii="仿宋_GB2312" w:hAnsi="宋体"/>
          <w:sz w:val="28"/>
          <w:szCs w:val="28"/>
        </w:rPr>
      </w:pPr>
      <w:r>
        <w:rPr>
          <w:rFonts w:hint="eastAsia" w:ascii="仿宋_GB2312" w:hAnsi="宋体"/>
          <w:sz w:val="28"/>
          <w:szCs w:val="28"/>
        </w:rPr>
        <w:t>甲、乙双方保证严格执行《建设工程施工合同》，甲、乙双方承诺全面切实履行本协议规定的己方责任，如有不履行或履行部分己方责任，承担因此而引起的损失及后果。</w:t>
      </w:r>
    </w:p>
    <w:p>
      <w:pPr>
        <w:snapToGrid w:val="0"/>
        <w:spacing w:line="300" w:lineRule="auto"/>
        <w:ind w:firstLine="567"/>
        <w:rPr>
          <w:rFonts w:ascii="仿宋_GB2312" w:hAnsi="宋体"/>
          <w:sz w:val="28"/>
          <w:szCs w:val="28"/>
        </w:rPr>
      </w:pPr>
      <w:r>
        <w:rPr>
          <w:rFonts w:hint="eastAsia" w:ascii="仿宋_GB2312" w:hAnsi="宋体"/>
          <w:sz w:val="28"/>
          <w:szCs w:val="28"/>
        </w:rPr>
        <w:t>协议生效和终止：本协议自签定盖章之日起生效，与甲、乙双方签订的</w:t>
      </w:r>
      <w:r>
        <w:rPr>
          <w:rFonts w:hint="eastAsia" w:ascii="仿宋_GB2312" w:hAnsi="宋体"/>
          <w:sz w:val="28"/>
          <w:szCs w:val="28"/>
          <w:u w:val="single"/>
        </w:rPr>
        <w:t>《</w:t>
      </w:r>
      <w:r>
        <w:rPr>
          <w:rFonts w:hint="eastAsia" w:ascii="宋体" w:hAnsi="宋体" w:cs="宋体"/>
          <w:b/>
          <w:sz w:val="28"/>
          <w:szCs w:val="28"/>
          <w:u w:val="single"/>
        </w:rPr>
        <w:t xml:space="preserve">               </w:t>
      </w:r>
      <w:r>
        <w:rPr>
          <w:rFonts w:hint="eastAsia" w:ascii="仿宋_GB2312" w:hAnsi="宋体"/>
          <w:sz w:val="28"/>
          <w:szCs w:val="28"/>
          <w:u w:val="single"/>
        </w:rPr>
        <w:t>》</w:t>
      </w:r>
      <w:r>
        <w:rPr>
          <w:rFonts w:hint="eastAsia" w:ascii="仿宋_GB2312" w:hAnsi="宋体"/>
          <w:sz w:val="28"/>
          <w:szCs w:val="28"/>
        </w:rPr>
        <w:t>（填写甲乙双方针对本协议项下</w:t>
      </w:r>
      <w:r>
        <w:rPr>
          <w:rFonts w:hint="eastAsia" w:ascii="仿宋_GB2312"/>
          <w:sz w:val="28"/>
          <w:szCs w:val="28"/>
        </w:rPr>
        <w:t>建筑工程施工事宜所</w:t>
      </w:r>
      <w:r>
        <w:rPr>
          <w:rFonts w:hint="eastAsia" w:ascii="仿宋_GB2312" w:hAnsi="宋体"/>
          <w:sz w:val="28"/>
          <w:szCs w:val="28"/>
        </w:rPr>
        <w:t>签订合同的合同名称，下称“主合同”）同等效力，主合同到期后，本协议同时终止。</w:t>
      </w:r>
    </w:p>
    <w:p>
      <w:pPr>
        <w:snapToGrid w:val="0"/>
        <w:spacing w:line="300" w:lineRule="auto"/>
        <w:ind w:firstLine="567"/>
        <w:rPr>
          <w:rFonts w:ascii="仿宋_GB2312" w:hAnsi="宋体"/>
          <w:sz w:val="28"/>
          <w:szCs w:val="28"/>
        </w:rPr>
      </w:pPr>
      <w:r>
        <w:rPr>
          <w:rFonts w:hint="eastAsia" w:ascii="仿宋_GB2312" w:hAnsi="宋体"/>
          <w:sz w:val="28"/>
          <w:szCs w:val="28"/>
        </w:rPr>
        <w:t>协议份数：本协议一式两份，具有同等效力，由甲乙双方分别保存一份。</w:t>
      </w:r>
    </w:p>
    <w:p>
      <w:pPr>
        <w:snapToGrid w:val="0"/>
        <w:spacing w:line="300" w:lineRule="auto"/>
        <w:ind w:firstLine="567"/>
        <w:rPr>
          <w:rFonts w:ascii="仿宋_GB2312" w:hAnsi="宋体"/>
          <w:sz w:val="28"/>
          <w:szCs w:val="28"/>
        </w:rPr>
      </w:pPr>
      <w:r>
        <w:rPr>
          <w:rFonts w:hint="eastAsia" w:ascii="仿宋_GB2312" w:hAnsi="宋体"/>
          <w:sz w:val="28"/>
          <w:szCs w:val="28"/>
        </w:rPr>
        <w:t>本协议执行过程中，如发生争议，由双方协商解决；若经协商不能解决争议的，任何一方可以向当地人民法院提出诉讼。</w:t>
      </w:r>
    </w:p>
    <w:p>
      <w:pPr>
        <w:snapToGrid w:val="0"/>
        <w:spacing w:line="300" w:lineRule="auto"/>
        <w:ind w:firstLine="567"/>
        <w:rPr>
          <w:rFonts w:ascii="仿宋_GB2312" w:hAnsi="宋体"/>
          <w:sz w:val="28"/>
          <w:szCs w:val="28"/>
        </w:rPr>
      </w:pPr>
      <w:r>
        <w:rPr>
          <w:rFonts w:hint="eastAsia" w:ascii="仿宋_GB2312" w:hAnsi="宋体"/>
          <w:sz w:val="28"/>
          <w:szCs w:val="28"/>
        </w:rPr>
        <w:t>补充条款：本协议未尽事宜，双方友好协商解决，可根据法律、法规规定，结合施工现场实际，对本协议条款具体化、补充或修改，另附专用条款约定。</w:t>
      </w:r>
    </w:p>
    <w:p>
      <w:pPr>
        <w:snapToGrid w:val="0"/>
        <w:spacing w:line="300" w:lineRule="auto"/>
        <w:ind w:firstLine="660"/>
        <w:rPr>
          <w:rFonts w:ascii="仿宋_GB2312" w:hAnsi="宋体"/>
          <w:sz w:val="28"/>
          <w:szCs w:val="28"/>
        </w:rPr>
      </w:pPr>
    </w:p>
    <w:p>
      <w:pPr>
        <w:snapToGrid w:val="0"/>
        <w:spacing w:line="300" w:lineRule="auto"/>
        <w:ind w:firstLine="660"/>
        <w:rPr>
          <w:rFonts w:ascii="仿宋_GB2312" w:hAnsi="宋体"/>
          <w:sz w:val="28"/>
          <w:szCs w:val="28"/>
        </w:rPr>
      </w:pPr>
    </w:p>
    <w:p>
      <w:pPr>
        <w:snapToGrid w:val="0"/>
        <w:spacing w:line="300" w:lineRule="auto"/>
        <w:rPr>
          <w:rFonts w:ascii="仿宋_GB2312" w:hAnsi="宋体"/>
          <w:sz w:val="28"/>
          <w:szCs w:val="28"/>
        </w:rPr>
      </w:pPr>
      <w:r>
        <w:rPr>
          <w:rFonts w:hint="eastAsia" w:ascii="仿宋_GB2312" w:hAnsi="宋体"/>
          <w:sz w:val="28"/>
          <w:szCs w:val="28"/>
        </w:rPr>
        <w:t>甲方（盖章）                       乙方（盖章）</w:t>
      </w:r>
    </w:p>
    <w:p>
      <w:pPr>
        <w:snapToGrid w:val="0"/>
        <w:spacing w:line="300" w:lineRule="auto"/>
        <w:rPr>
          <w:rFonts w:ascii="仿宋_GB2312" w:hAnsi="宋体"/>
          <w:sz w:val="28"/>
          <w:szCs w:val="28"/>
        </w:rPr>
      </w:pPr>
      <w:r>
        <w:rPr>
          <w:rFonts w:hint="eastAsia" w:ascii="仿宋_GB2312" w:hAnsi="宋体"/>
          <w:sz w:val="28"/>
          <w:szCs w:val="28"/>
        </w:rPr>
        <w:t>负责人：                           法人代表：</w:t>
      </w:r>
    </w:p>
    <w:p>
      <w:pPr>
        <w:snapToGrid w:val="0"/>
        <w:spacing w:line="300" w:lineRule="auto"/>
        <w:ind w:firstLine="968" w:firstLineChars="346"/>
        <w:rPr>
          <w:rFonts w:ascii="仿宋_GB2312" w:hAnsi="宋体"/>
          <w:sz w:val="28"/>
          <w:szCs w:val="28"/>
        </w:rPr>
      </w:pPr>
    </w:p>
    <w:p>
      <w:pPr>
        <w:snapToGrid w:val="0"/>
        <w:spacing w:line="300" w:lineRule="auto"/>
        <w:ind w:firstLine="968" w:firstLineChars="346"/>
        <w:rPr>
          <w:rFonts w:ascii="仿宋_GB2312" w:hAnsi="宋体"/>
          <w:sz w:val="28"/>
          <w:szCs w:val="28"/>
        </w:rPr>
      </w:pPr>
      <w:r>
        <w:rPr>
          <w:rFonts w:hint="eastAsia" w:ascii="仿宋_GB2312" w:hAnsi="宋体"/>
          <w:sz w:val="28"/>
          <w:szCs w:val="28"/>
        </w:rPr>
        <w:t>年   月   日                     年   月   日</w:t>
      </w:r>
    </w:p>
    <w:p/>
    <w:p/>
    <w:p/>
    <w:p/>
    <w:p/>
    <w:p/>
    <w:p>
      <w:pPr>
        <w:pStyle w:val="9"/>
        <w:numPr>
          <w:ilvl w:val="1"/>
          <w:numId w:val="0"/>
        </w:numPr>
      </w:pPr>
      <w:r>
        <w:br w:type="page"/>
      </w:r>
    </w:p>
    <w:p>
      <w:pPr>
        <w:pStyle w:val="8"/>
        <w:spacing w:line="440" w:lineRule="exact"/>
        <w:jc w:val="center"/>
      </w:pPr>
      <w:r>
        <w:t>第</w:t>
      </w:r>
      <w:r>
        <w:rPr>
          <w:rFonts w:hint="eastAsia"/>
        </w:rPr>
        <w:t>二</w:t>
      </w:r>
      <w:r>
        <w:t>卷</w:t>
      </w:r>
      <w:r>
        <w:rPr>
          <w:rFonts w:hint="eastAsia"/>
        </w:rPr>
        <w:t xml:space="preserve"> 发包人要求</w:t>
      </w:r>
      <w:bookmarkEnd w:id="529"/>
    </w:p>
    <w:p>
      <w:pPr>
        <w:spacing w:line="440" w:lineRule="exact"/>
        <w:rPr>
          <w:rFonts w:ascii="Times New Roman" w:hAnsi="Times New Roman"/>
        </w:rPr>
      </w:pPr>
      <w:r>
        <w:rPr>
          <w:rFonts w:ascii="Times New Roman" w:hAnsi="Times New Roman"/>
        </w:rPr>
        <w:br w:type="page"/>
      </w:r>
    </w:p>
    <w:bookmarkEnd w:id="424"/>
    <w:bookmarkEnd w:id="425"/>
    <w:bookmarkEnd w:id="426"/>
    <w:bookmarkEnd w:id="427"/>
    <w:p>
      <w:pPr>
        <w:keepNext/>
        <w:keepLines/>
        <w:numPr>
          <w:ilvl w:val="0"/>
          <w:numId w:val="5"/>
        </w:numPr>
        <w:spacing w:before="340" w:after="330" w:line="360" w:lineRule="auto"/>
        <w:outlineLvl w:val="0"/>
        <w:rPr>
          <w:rFonts w:ascii="宋体" w:hAnsi="宋体" w:cs="宋体"/>
          <w:b/>
          <w:kern w:val="44"/>
          <w:sz w:val="24"/>
          <w:szCs w:val="24"/>
        </w:rPr>
      </w:pPr>
      <w:bookmarkStart w:id="531" w:name="_Toc3232"/>
      <w:bookmarkStart w:id="532" w:name="_Toc31416"/>
      <w:r>
        <w:rPr>
          <w:rFonts w:hint="eastAsia" w:ascii="宋体" w:hAnsi="宋体" w:cs="宋体"/>
          <w:b/>
          <w:kern w:val="44"/>
          <w:sz w:val="24"/>
          <w:szCs w:val="24"/>
        </w:rPr>
        <w:t>项目名称</w:t>
      </w:r>
      <w:bookmarkEnd w:id="531"/>
      <w:bookmarkEnd w:id="532"/>
    </w:p>
    <w:p>
      <w:pPr>
        <w:spacing w:line="360" w:lineRule="auto"/>
        <w:ind w:firstLine="480" w:firstLineChars="200"/>
        <w:rPr>
          <w:rFonts w:ascii="宋体" w:hAnsi="宋体" w:cs="宋体"/>
          <w:sz w:val="24"/>
          <w:szCs w:val="24"/>
        </w:rPr>
      </w:pPr>
      <w:r>
        <w:rPr>
          <w:rFonts w:hint="eastAsia" w:ascii="宋体" w:hAnsi="宋体" w:cs="宋体"/>
          <w:sz w:val="24"/>
          <w:szCs w:val="24"/>
        </w:rPr>
        <w:t>潮州港亚太通用码头智慧环保改造工程</w:t>
      </w:r>
      <w:bookmarkStart w:id="533" w:name="OLE_LINK2"/>
      <w:r>
        <w:rPr>
          <w:rFonts w:hint="eastAsia" w:ascii="宋体" w:hAnsi="宋体" w:cs="宋体"/>
          <w:sz w:val="24"/>
          <w:szCs w:val="24"/>
        </w:rPr>
        <w:t>生产业务管理系统</w:t>
      </w:r>
      <w:bookmarkEnd w:id="533"/>
      <w:r>
        <w:rPr>
          <w:rFonts w:hint="eastAsia" w:ascii="宋体" w:hAnsi="宋体" w:cs="宋体"/>
          <w:sz w:val="24"/>
          <w:szCs w:val="24"/>
        </w:rPr>
        <w:t>建设项目。</w:t>
      </w:r>
    </w:p>
    <w:p>
      <w:pPr>
        <w:keepNext/>
        <w:keepLines/>
        <w:numPr>
          <w:ilvl w:val="0"/>
          <w:numId w:val="5"/>
        </w:numPr>
        <w:spacing w:before="340" w:after="330" w:line="360" w:lineRule="auto"/>
        <w:outlineLvl w:val="0"/>
        <w:rPr>
          <w:rFonts w:ascii="宋体" w:hAnsi="宋体" w:cs="宋体"/>
          <w:b/>
          <w:kern w:val="44"/>
          <w:sz w:val="24"/>
          <w:szCs w:val="24"/>
        </w:rPr>
      </w:pPr>
      <w:bookmarkStart w:id="534" w:name="_Toc13656"/>
      <w:bookmarkStart w:id="535" w:name="_Toc23354"/>
      <w:r>
        <w:rPr>
          <w:rFonts w:hint="eastAsia" w:ascii="宋体" w:hAnsi="宋体" w:cs="宋体"/>
          <w:b/>
          <w:kern w:val="44"/>
          <w:sz w:val="24"/>
          <w:szCs w:val="24"/>
        </w:rPr>
        <w:t>项目背景</w:t>
      </w:r>
      <w:bookmarkEnd w:id="534"/>
      <w:bookmarkEnd w:id="535"/>
    </w:p>
    <w:p>
      <w:pPr>
        <w:spacing w:line="360" w:lineRule="auto"/>
        <w:ind w:firstLine="480" w:firstLineChars="200"/>
        <w:rPr>
          <w:rFonts w:ascii="宋体" w:hAnsi="宋体" w:cs="宋体"/>
          <w:sz w:val="24"/>
          <w:szCs w:val="24"/>
        </w:rPr>
      </w:pPr>
      <w:r>
        <w:rPr>
          <w:rFonts w:hint="eastAsia" w:ascii="宋体" w:hAnsi="宋体" w:cs="宋体"/>
          <w:sz w:val="24"/>
          <w:szCs w:val="24"/>
        </w:rPr>
        <w:t>潮州亚太港口有限公司作为粤东地区的关键物流枢纽，凭借其得天独厚的区位优势，自开港以来便承担着服务梅州、龙岩等周边地区的大型发电企业和工矿企业的重任，成为大宗散货进口的重要门户。然而，随着业务的不断拓展和行业信息化水平的持续提升，公司目前使用的生产信息系统已难以满足日益增长的生产作业与管理需求。该系统虽在建港初期助力港口顺利运营，但由于使用时间过长，功能相对单一且老化严重，仅具备简单的船舶作业功能，缺乏商务管理、库场管理、地磅管理等港口生产业务的关键功能，且系统维护难度和成本日益攀升，稳定性问题也难以彻底解决，严重制约了港口运营效率和服务质量的进一步提升，亟需一套全面、高效、智能的信息系统来实现港口业务的数字化转型与升级，以更好地适应港口发展要求，并为港口的长期稳定运营提供支撑。</w:t>
      </w:r>
    </w:p>
    <w:p>
      <w:pPr>
        <w:keepNext/>
        <w:keepLines/>
        <w:numPr>
          <w:ilvl w:val="0"/>
          <w:numId w:val="5"/>
        </w:numPr>
        <w:spacing w:before="340" w:after="330" w:line="360" w:lineRule="auto"/>
        <w:outlineLvl w:val="0"/>
        <w:rPr>
          <w:rFonts w:ascii="宋体" w:hAnsi="宋体" w:cs="宋体"/>
          <w:b/>
          <w:kern w:val="44"/>
          <w:sz w:val="24"/>
          <w:szCs w:val="24"/>
        </w:rPr>
      </w:pPr>
      <w:bookmarkStart w:id="536" w:name="_Toc326"/>
      <w:bookmarkStart w:id="537" w:name="_Toc17711"/>
      <w:r>
        <w:rPr>
          <w:rFonts w:hint="eastAsia" w:ascii="宋体" w:hAnsi="宋体" w:cs="宋体"/>
          <w:b/>
          <w:kern w:val="44"/>
          <w:sz w:val="24"/>
          <w:szCs w:val="24"/>
        </w:rPr>
        <w:t>预期目标</w:t>
      </w:r>
      <w:bookmarkEnd w:id="536"/>
      <w:bookmarkEnd w:id="537"/>
    </w:p>
    <w:p>
      <w:pPr>
        <w:spacing w:line="360" w:lineRule="auto"/>
        <w:ind w:firstLine="480" w:firstLineChars="200"/>
        <w:rPr>
          <w:rFonts w:ascii="宋体" w:hAnsi="宋体" w:cs="宋体"/>
          <w:sz w:val="24"/>
          <w:szCs w:val="24"/>
        </w:rPr>
      </w:pPr>
      <w:r>
        <w:rPr>
          <w:rFonts w:hint="eastAsia" w:ascii="宋体" w:hAnsi="宋体" w:cs="宋体"/>
          <w:sz w:val="24"/>
          <w:szCs w:val="24"/>
        </w:rPr>
        <w:t>生产业务管理系统的建设预期将达成多项目标，旨在全面提升港口的运营效率与服务质量。</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系统将紧密贴合潮州亚太码头的业务需求，通过优化生产作业流程，更好</w:t>
      </w:r>
      <w:r>
        <w:rPr>
          <w:rFonts w:ascii="宋体" w:hAnsi="宋体" w:cs="宋体"/>
          <w:sz w:val="24"/>
          <w:szCs w:val="24"/>
        </w:rPr>
        <w:t>地满足码头</w:t>
      </w:r>
      <w:r>
        <w:rPr>
          <w:rFonts w:hint="eastAsia" w:ascii="宋体" w:hAnsi="宋体" w:cs="宋体"/>
          <w:sz w:val="24"/>
          <w:szCs w:val="24"/>
        </w:rPr>
        <w:t>泊位靠</w:t>
      </w:r>
      <w:r>
        <w:rPr>
          <w:rFonts w:ascii="宋体" w:hAnsi="宋体" w:cs="宋体"/>
          <w:sz w:val="24"/>
          <w:szCs w:val="24"/>
        </w:rPr>
        <w:t>离计划</w:t>
      </w:r>
      <w:r>
        <w:rPr>
          <w:rFonts w:hint="eastAsia" w:ascii="宋体" w:hAnsi="宋体" w:cs="宋体"/>
          <w:sz w:val="24"/>
          <w:szCs w:val="24"/>
        </w:rPr>
        <w:t>及</w:t>
      </w:r>
      <w:r>
        <w:rPr>
          <w:rFonts w:ascii="宋体" w:hAnsi="宋体" w:cs="宋体"/>
          <w:sz w:val="24"/>
          <w:szCs w:val="24"/>
        </w:rPr>
        <w:t>动态跟踪、装卸</w:t>
      </w:r>
      <w:r>
        <w:rPr>
          <w:rFonts w:hint="eastAsia" w:ascii="宋体" w:hAnsi="宋体" w:cs="宋体"/>
          <w:sz w:val="24"/>
          <w:szCs w:val="24"/>
        </w:rPr>
        <w:t>船</w:t>
      </w:r>
      <w:r>
        <w:rPr>
          <w:rFonts w:ascii="宋体" w:hAnsi="宋体" w:cs="宋体"/>
          <w:sz w:val="24"/>
          <w:szCs w:val="24"/>
        </w:rPr>
        <w:t>计划</w:t>
      </w:r>
      <w:r>
        <w:rPr>
          <w:rFonts w:hint="eastAsia" w:ascii="宋体" w:hAnsi="宋体" w:cs="宋体"/>
          <w:sz w:val="24"/>
          <w:szCs w:val="24"/>
        </w:rPr>
        <w:t>及</w:t>
      </w:r>
      <w:r>
        <w:rPr>
          <w:rFonts w:ascii="宋体" w:hAnsi="宋体" w:cs="宋体"/>
          <w:sz w:val="24"/>
          <w:szCs w:val="24"/>
        </w:rPr>
        <w:t>动态</w:t>
      </w:r>
      <w:r>
        <w:rPr>
          <w:rFonts w:hint="eastAsia" w:ascii="宋体" w:hAnsi="宋体" w:cs="宋体"/>
          <w:sz w:val="24"/>
          <w:szCs w:val="24"/>
        </w:rPr>
        <w:t>跟踪</w:t>
      </w:r>
      <w:r>
        <w:rPr>
          <w:rFonts w:ascii="宋体" w:hAnsi="宋体" w:cs="宋体"/>
          <w:sz w:val="24"/>
          <w:szCs w:val="24"/>
        </w:rPr>
        <w:t>、</w:t>
      </w:r>
      <w:r>
        <w:rPr>
          <w:rFonts w:hint="eastAsia" w:ascii="宋体" w:hAnsi="宋体" w:cs="宋体"/>
          <w:sz w:val="24"/>
          <w:szCs w:val="24"/>
        </w:rPr>
        <w:t>库</w:t>
      </w:r>
      <w:r>
        <w:rPr>
          <w:rFonts w:ascii="宋体" w:hAnsi="宋体" w:cs="宋体"/>
          <w:sz w:val="24"/>
          <w:szCs w:val="24"/>
        </w:rPr>
        <w:t>场</w:t>
      </w:r>
      <w:r>
        <w:rPr>
          <w:rFonts w:hint="eastAsia" w:ascii="宋体" w:hAnsi="宋体" w:cs="宋体"/>
          <w:sz w:val="24"/>
          <w:szCs w:val="24"/>
        </w:rPr>
        <w:t>作业</w:t>
      </w:r>
      <w:r>
        <w:rPr>
          <w:rFonts w:ascii="宋体" w:hAnsi="宋体" w:cs="宋体"/>
          <w:sz w:val="24"/>
          <w:szCs w:val="24"/>
        </w:rPr>
        <w:t>安排及动态</w:t>
      </w:r>
      <w:r>
        <w:rPr>
          <w:rFonts w:hint="eastAsia" w:ascii="宋体" w:hAnsi="宋体" w:cs="宋体"/>
          <w:sz w:val="24"/>
          <w:szCs w:val="24"/>
        </w:rPr>
        <w:t>跟踪</w:t>
      </w:r>
      <w:r>
        <w:rPr>
          <w:rFonts w:ascii="宋体" w:hAnsi="宋体" w:cs="宋体"/>
          <w:sz w:val="24"/>
          <w:szCs w:val="24"/>
        </w:rPr>
        <w:t>，</w:t>
      </w:r>
      <w:r>
        <w:rPr>
          <w:rFonts w:hint="eastAsia" w:ascii="宋体" w:hAnsi="宋体" w:cs="宋体"/>
          <w:sz w:val="24"/>
          <w:szCs w:val="24"/>
        </w:rPr>
        <w:t>实现各环节的无缝衔接与高效运作，确保港口生产作业的顺畅进行。</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借助物联网技术，项目将打造无人化地磅作业模式，使地磅作业实现自动化，不仅能大幅提高作业效率，还能降低人力成本，同时减少人为因素对作业准确性的影响。</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项目计划实现与属地海关辅助系统的数据共享对接，打破信息壁垒，让港口与海关之间的数据交互更加及时、准确，从而提升通关效率，加快货物周转速度。</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新系统将推动业务单证电子化进程，实现提货车辆提前预约及作业数据及时上传，这不仅能够提高码头服务水平，还能显著提升客户满意度和对企业的信心，为潮州亚太港口的高质量发展提供有力支撑。</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通过信息传输自动化、管理决策数字化以及地磅作业无人化等一系列举措，将有效提高现场作业生产效率，更好地匹配客户的提货需求，增强港口在市场中的竞争力。</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在车辆管理方面，项目将提高对提货车辆的管理水平，合理调配车辆进出港，缓解港区内外部道路的交通压力，降低因交通拥堵引发的车辆碰撞等交通事件的风险，进而提升企业整体安全管理水平，为港口的稳定运营创造良好的安全环境。</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通过该项目的实施，潮州亚太港口将构建起一个更加智能化、高效化、安全化的生产业务管理体系，推动港口在数字化时代实现可持续发展，巩固其在粤东地区大宗散货进口港口中的重要地位，并为周边地区的经济发展提供更加强有力的物流保障。</w:t>
      </w:r>
    </w:p>
    <w:p>
      <w:pPr>
        <w:keepNext/>
        <w:keepLines/>
        <w:numPr>
          <w:ilvl w:val="0"/>
          <w:numId w:val="5"/>
        </w:numPr>
        <w:spacing w:before="340" w:after="330" w:line="360" w:lineRule="auto"/>
        <w:outlineLvl w:val="0"/>
        <w:rPr>
          <w:rFonts w:ascii="宋体" w:hAnsi="宋体" w:cs="宋体"/>
          <w:b/>
          <w:kern w:val="44"/>
          <w:sz w:val="24"/>
          <w:szCs w:val="24"/>
        </w:rPr>
      </w:pPr>
      <w:bookmarkStart w:id="538" w:name="_Toc26385"/>
      <w:bookmarkStart w:id="539" w:name="_Toc9649"/>
      <w:r>
        <w:rPr>
          <w:rFonts w:hint="eastAsia" w:ascii="宋体" w:hAnsi="宋体" w:cs="宋体"/>
          <w:b/>
          <w:kern w:val="44"/>
          <w:sz w:val="24"/>
          <w:szCs w:val="24"/>
        </w:rPr>
        <w:t>项目内容</w:t>
      </w:r>
      <w:bookmarkEnd w:id="538"/>
      <w:bookmarkEnd w:id="539"/>
    </w:p>
    <w:p>
      <w:pPr>
        <w:spacing w:line="360" w:lineRule="auto"/>
        <w:ind w:firstLine="480" w:firstLineChars="200"/>
        <w:rPr>
          <w:rFonts w:ascii="宋体" w:hAnsi="宋体" w:cs="宋体"/>
          <w:sz w:val="24"/>
          <w:szCs w:val="24"/>
        </w:rPr>
      </w:pPr>
      <w:r>
        <w:rPr>
          <w:rFonts w:hint="eastAsia" w:ascii="宋体" w:hAnsi="宋体" w:cs="宋体"/>
          <w:sz w:val="24"/>
          <w:szCs w:val="24"/>
        </w:rPr>
        <w:t>生产业务管理系统的建设内容主要聚焦于开发一套散杂货生产业务管理系统，以全面满足潮州亚太码头的生产作业需求，并实现对现有作业流程的深度优化与管控升级。系统将围绕生产作业的各个环节进行功能模块的设计与构建，具体涵盖以下几个关键方面：</w:t>
      </w:r>
    </w:p>
    <w:p>
      <w:pPr>
        <w:spacing w:line="360" w:lineRule="auto"/>
        <w:ind w:firstLine="480" w:firstLineChars="200"/>
        <w:rPr>
          <w:rFonts w:ascii="宋体" w:hAnsi="宋体" w:cs="宋体"/>
          <w:sz w:val="24"/>
          <w:szCs w:val="24"/>
        </w:rPr>
      </w:pPr>
      <w:r>
        <w:rPr>
          <w:rFonts w:hint="eastAsia" w:ascii="宋体" w:hAnsi="宋体" w:cs="宋体"/>
          <w:sz w:val="24"/>
          <w:szCs w:val="24"/>
        </w:rPr>
        <w:t>在船舶作业管理上，将打造包括大船预确报、昼夜计划、工班计划等在内的计划管理系统，实现对船舶作业全程的精细化管控；同时构建完整的业务办单模块，支持提单、出库单、地磅单等多种单据的高效电子化管理，提升办事效率与准确性。</w:t>
      </w:r>
    </w:p>
    <w:p>
      <w:pPr>
        <w:spacing w:line="360" w:lineRule="auto"/>
        <w:ind w:firstLine="480" w:firstLineChars="200"/>
        <w:rPr>
          <w:rFonts w:ascii="宋体" w:hAnsi="宋体" w:cs="宋体"/>
          <w:sz w:val="24"/>
          <w:szCs w:val="24"/>
        </w:rPr>
      </w:pPr>
      <w:r>
        <w:rPr>
          <w:rFonts w:hint="eastAsia" w:ascii="宋体" w:hAnsi="宋体" w:cs="宋体"/>
          <w:sz w:val="24"/>
          <w:szCs w:val="24"/>
        </w:rPr>
        <w:t>针对不同的货物转运方式，系统将分别建设大船作业管理、驳船作业管理以及汽车作业管理等模块。大船作业管理将重点关注卸船作业过程中的调度日志、指泊日志、段结表以及船方计费单证等关键环节的信息化处理，确保作业流程的规范化与数据记录的完整性；驳船作业管理则侧重于装驳船作业的配载、报到及指令管理，实现对驳船作业全过程的高效指挥与监控；而汽车作业管理将全面覆盖汽车档案、提货预约、进出闸口以及过磅管理等功能，通过智能化手段优化汽车货物转运流程，提高车辆进出港效率与过磅准确性。</w:t>
      </w:r>
    </w:p>
    <w:p>
      <w:pPr>
        <w:spacing w:line="360" w:lineRule="auto"/>
        <w:ind w:firstLine="480" w:firstLineChars="200"/>
        <w:rPr>
          <w:rFonts w:ascii="宋体" w:hAnsi="宋体" w:cs="宋体"/>
          <w:sz w:val="24"/>
          <w:szCs w:val="24"/>
        </w:rPr>
      </w:pPr>
      <w:r>
        <w:rPr>
          <w:rFonts w:hint="eastAsia" w:ascii="宋体" w:hAnsi="宋体" w:cs="宋体"/>
          <w:sz w:val="24"/>
          <w:szCs w:val="24"/>
        </w:rPr>
        <w:t>此外，还将建设转栈作业管理模块，实现货物在不同堆位间的便捷转移与精准记录；库场管理模块将负责货物进出库及堆存的详细情况登记与查询，为堆存费计算等提供准确依据。</w:t>
      </w:r>
    </w:p>
    <w:p>
      <w:pPr>
        <w:spacing w:line="360" w:lineRule="auto"/>
        <w:ind w:firstLine="480" w:firstLineChars="200"/>
        <w:rPr>
          <w:rFonts w:ascii="宋体" w:hAnsi="宋体" w:cs="宋体"/>
          <w:sz w:val="24"/>
          <w:szCs w:val="24"/>
        </w:rPr>
      </w:pPr>
      <w:r>
        <w:rPr>
          <w:rFonts w:hint="eastAsia" w:ascii="宋体" w:hAnsi="宋体" w:cs="宋体"/>
          <w:sz w:val="24"/>
          <w:szCs w:val="24"/>
        </w:rPr>
        <w:t>在商务管理方面，合同计费管理模块将对各类合同进行全生命周期管理，并依据合同条款实现对进口、出口以及船方费用的自动计费与手工计费等功能，确保计费工作的及时性与准确性；费收管理模块则将对接发票系统，完成发票开具、收款、退款以及结算清单管理等一系列费用收付操作，保障港口财务数据的清晰与资金流转的顺畅。</w:t>
      </w:r>
    </w:p>
    <w:p>
      <w:pPr>
        <w:spacing w:line="360" w:lineRule="auto"/>
        <w:ind w:firstLine="480" w:firstLineChars="200"/>
        <w:rPr>
          <w:rFonts w:ascii="宋体" w:hAnsi="宋体" w:cs="宋体"/>
          <w:sz w:val="24"/>
          <w:szCs w:val="24"/>
        </w:rPr>
      </w:pPr>
      <w:r>
        <w:rPr>
          <w:rFonts w:hint="eastAsia" w:ascii="宋体" w:hAnsi="宋体" w:cs="宋体"/>
          <w:sz w:val="24"/>
          <w:szCs w:val="24"/>
        </w:rPr>
        <w:t>整个系统的建设将充分运用现代信息技术，实现港口生产作业的自动化、智能化与信息化，为潮州亚太港口打造一个高效、稳定、易于维护且具备良好扩展性的生产业务管理平台，从而推动港口运营管理水平的全面提升，更好地适应港口业务的持续发展与市场竞争的需求。</w:t>
      </w:r>
    </w:p>
    <w:p>
      <w:pPr>
        <w:keepNext/>
        <w:keepLines/>
        <w:numPr>
          <w:ilvl w:val="0"/>
          <w:numId w:val="5"/>
        </w:numPr>
        <w:spacing w:before="340" w:after="330" w:line="360" w:lineRule="auto"/>
        <w:outlineLvl w:val="0"/>
        <w:rPr>
          <w:rFonts w:ascii="宋体" w:hAnsi="宋体" w:cs="宋体"/>
          <w:b/>
          <w:kern w:val="44"/>
          <w:sz w:val="24"/>
          <w:szCs w:val="24"/>
        </w:rPr>
      </w:pPr>
      <w:bookmarkStart w:id="540" w:name="_Toc7067"/>
      <w:bookmarkStart w:id="541" w:name="_Toc20610"/>
      <w:bookmarkStart w:id="542" w:name="OLE_LINK5"/>
      <w:r>
        <w:rPr>
          <w:rFonts w:hint="eastAsia" w:ascii="宋体" w:hAnsi="宋体" w:cs="宋体"/>
          <w:b/>
          <w:kern w:val="44"/>
          <w:sz w:val="24"/>
          <w:szCs w:val="24"/>
        </w:rPr>
        <w:t>功能要求</w:t>
      </w:r>
      <w:bookmarkEnd w:id="540"/>
      <w:bookmarkEnd w:id="541"/>
    </w:p>
    <w:bookmarkEnd w:id="542"/>
    <w:p>
      <w:pPr>
        <w:keepNext/>
        <w:keepLines/>
        <w:numPr>
          <w:ilvl w:val="1"/>
          <w:numId w:val="5"/>
        </w:numPr>
        <w:spacing w:before="260" w:after="260" w:line="360" w:lineRule="auto"/>
        <w:ind w:left="0" w:firstLine="0"/>
        <w:outlineLvl w:val="1"/>
        <w:rPr>
          <w:rFonts w:ascii="宋体" w:hAnsi="宋体" w:cs="宋体"/>
          <w:b/>
          <w:sz w:val="24"/>
          <w:szCs w:val="24"/>
        </w:rPr>
      </w:pPr>
      <w:bookmarkStart w:id="543" w:name="_Toc17179"/>
      <w:bookmarkStart w:id="544" w:name="_Toc13765"/>
      <w:r>
        <w:rPr>
          <w:rFonts w:hint="eastAsia" w:ascii="宋体" w:hAnsi="宋体" w:cs="宋体"/>
          <w:b/>
          <w:sz w:val="24"/>
          <w:szCs w:val="24"/>
        </w:rPr>
        <w:t>功能模块要求</w:t>
      </w:r>
      <w:bookmarkEnd w:id="543"/>
      <w:bookmarkEnd w:id="544"/>
    </w:p>
    <w:p>
      <w:pPr>
        <w:keepNext/>
        <w:keepLines/>
        <w:numPr>
          <w:ilvl w:val="2"/>
          <w:numId w:val="5"/>
        </w:numPr>
        <w:spacing w:before="260" w:after="260" w:line="360" w:lineRule="auto"/>
        <w:outlineLvl w:val="2"/>
        <w:rPr>
          <w:rFonts w:ascii="宋体" w:hAnsi="宋体" w:cs="宋体"/>
          <w:b/>
          <w:sz w:val="24"/>
          <w:szCs w:val="24"/>
        </w:rPr>
      </w:pPr>
      <w:bookmarkStart w:id="545" w:name="_Toc564"/>
      <w:r>
        <w:rPr>
          <w:rFonts w:hint="eastAsia" w:ascii="宋体" w:hAnsi="宋体" w:cs="宋体"/>
          <w:b/>
          <w:sz w:val="24"/>
          <w:szCs w:val="24"/>
        </w:rPr>
        <w:t>功能模块图</w:t>
      </w:r>
      <w:bookmarkEnd w:id="545"/>
    </w:p>
    <w:p>
      <w:pPr>
        <w:spacing w:after="120" w:line="360" w:lineRule="auto"/>
        <w:rPr>
          <w:rFonts w:ascii="宋体" w:hAnsi="宋体" w:cs="宋体"/>
          <w:sz w:val="24"/>
          <w:szCs w:val="24"/>
        </w:rPr>
      </w:pPr>
      <w:r>
        <w:rPr>
          <w:rFonts w:hint="eastAsia" w:ascii="宋体" w:hAnsi="宋体" w:cs="宋体"/>
          <w:sz w:val="24"/>
          <w:szCs w:val="24"/>
        </w:rPr>
        <w:drawing>
          <wp:inline distT="0" distB="0" distL="114300" distR="114300">
            <wp:extent cx="5250180" cy="2963545"/>
            <wp:effectExtent l="0" t="0" r="7620" b="8255"/>
            <wp:docPr id="1" name="图片 1" descr="未命名文件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 (4)"/>
                    <pic:cNvPicPr>
                      <a:picLocks noChangeAspect="1"/>
                    </pic:cNvPicPr>
                  </pic:nvPicPr>
                  <pic:blipFill>
                    <a:blip r:embed="rId7"/>
                    <a:stretch>
                      <a:fillRect/>
                    </a:stretch>
                  </pic:blipFill>
                  <pic:spPr>
                    <a:xfrm>
                      <a:off x="0" y="0"/>
                      <a:ext cx="5250180" cy="2963545"/>
                    </a:xfrm>
                    <a:prstGeom prst="rect">
                      <a:avLst/>
                    </a:prstGeom>
                  </pic:spPr>
                </pic:pic>
              </a:graphicData>
            </a:graphic>
          </wp:inline>
        </w:drawing>
      </w:r>
    </w:p>
    <w:p>
      <w:pPr>
        <w:keepNext/>
        <w:keepLines/>
        <w:numPr>
          <w:ilvl w:val="2"/>
          <w:numId w:val="5"/>
        </w:numPr>
        <w:spacing w:before="260" w:after="260" w:line="360" w:lineRule="auto"/>
        <w:outlineLvl w:val="2"/>
        <w:rPr>
          <w:rFonts w:ascii="宋体" w:hAnsi="宋体" w:cs="宋体"/>
          <w:b/>
          <w:sz w:val="24"/>
          <w:szCs w:val="24"/>
        </w:rPr>
      </w:pPr>
      <w:bookmarkStart w:id="546" w:name="_Toc21835"/>
      <w:r>
        <w:rPr>
          <w:rFonts w:hint="eastAsia" w:ascii="宋体" w:hAnsi="宋体" w:cs="宋体"/>
          <w:b/>
          <w:sz w:val="24"/>
          <w:szCs w:val="24"/>
        </w:rPr>
        <w:t>计划管理</w:t>
      </w:r>
      <w:bookmarkEnd w:id="546"/>
    </w:p>
    <w:p>
      <w:pPr>
        <w:spacing w:line="360" w:lineRule="auto"/>
        <w:ind w:firstLine="480" w:firstLineChars="200"/>
        <w:rPr>
          <w:rFonts w:ascii="宋体" w:hAnsi="宋体" w:cs="宋体"/>
          <w:sz w:val="24"/>
          <w:szCs w:val="24"/>
        </w:rPr>
      </w:pPr>
      <w:r>
        <w:rPr>
          <w:rFonts w:hint="eastAsia" w:ascii="宋体" w:hAnsi="宋体" w:cs="宋体"/>
          <w:sz w:val="24"/>
          <w:szCs w:val="24"/>
        </w:rPr>
        <w:t>计划管理主要包括：大船预确报管理，昼夜计划管理，工班计划管理，工人出勤管理，机械出勤管理等。</w:t>
      </w:r>
    </w:p>
    <w:p>
      <w:pPr>
        <w:numPr>
          <w:ilvl w:val="0"/>
          <w:numId w:val="7"/>
        </w:numPr>
        <w:spacing w:line="360" w:lineRule="auto"/>
        <w:rPr>
          <w:rFonts w:ascii="宋体" w:hAnsi="宋体" w:cs="宋体"/>
          <w:sz w:val="24"/>
          <w:szCs w:val="24"/>
        </w:rPr>
      </w:pPr>
      <w:r>
        <w:rPr>
          <w:rFonts w:hint="eastAsia" w:ascii="宋体" w:hAnsi="宋体" w:cs="宋体"/>
          <w:sz w:val="24"/>
          <w:szCs w:val="24"/>
        </w:rPr>
        <w:t>大船预确报：对即将靠泊作业的大船信息进行管理，主要体现计划靠泊、计划离泊时间等，基本功能为增删改操作。</w:t>
      </w:r>
    </w:p>
    <w:p>
      <w:pPr>
        <w:numPr>
          <w:ilvl w:val="0"/>
          <w:numId w:val="7"/>
        </w:numPr>
        <w:spacing w:line="360" w:lineRule="auto"/>
        <w:rPr>
          <w:rFonts w:ascii="宋体" w:hAnsi="宋体" w:cs="宋体"/>
          <w:sz w:val="24"/>
          <w:szCs w:val="24"/>
        </w:rPr>
      </w:pPr>
      <w:r>
        <w:rPr>
          <w:rFonts w:hint="eastAsia" w:ascii="宋体" w:hAnsi="宋体" w:cs="宋体"/>
          <w:sz w:val="24"/>
          <w:szCs w:val="24"/>
        </w:rPr>
        <w:t>昼夜计划：码头即将开展作业的计划安排和注意事项。码头公司昼夜计划的修改、删除、打印、上报、存档功能。</w:t>
      </w:r>
    </w:p>
    <w:p>
      <w:pPr>
        <w:numPr>
          <w:ilvl w:val="0"/>
          <w:numId w:val="7"/>
        </w:numPr>
        <w:spacing w:line="360" w:lineRule="auto"/>
        <w:rPr>
          <w:rFonts w:ascii="宋体" w:hAnsi="宋体" w:cs="宋体"/>
          <w:sz w:val="24"/>
          <w:szCs w:val="24"/>
        </w:rPr>
      </w:pPr>
      <w:r>
        <w:rPr>
          <w:rFonts w:hint="eastAsia" w:ascii="宋体" w:hAnsi="宋体" w:cs="宋体"/>
          <w:sz w:val="24"/>
          <w:szCs w:val="24"/>
        </w:rPr>
        <w:t>工班计划：每项作业具体派工情况，根据出勤的机械和工人来安排。工班计划的预处理、录入、修改、删除、查询、打印、上班次复制到本班次等功能。</w:t>
      </w:r>
    </w:p>
    <w:p>
      <w:pPr>
        <w:numPr>
          <w:ilvl w:val="0"/>
          <w:numId w:val="7"/>
        </w:numPr>
        <w:spacing w:line="360" w:lineRule="auto"/>
        <w:rPr>
          <w:rFonts w:ascii="宋体" w:hAnsi="宋体" w:cs="宋体"/>
          <w:sz w:val="24"/>
          <w:szCs w:val="24"/>
        </w:rPr>
      </w:pPr>
      <w:r>
        <w:rPr>
          <w:rFonts w:hint="eastAsia" w:ascii="宋体" w:hAnsi="宋体" w:cs="宋体"/>
          <w:sz w:val="24"/>
          <w:szCs w:val="24"/>
        </w:rPr>
        <w:t>工人出勤：出勤作业队和班组的录入、修改、删除、提交、查询功能。</w:t>
      </w:r>
    </w:p>
    <w:p>
      <w:pPr>
        <w:numPr>
          <w:ilvl w:val="0"/>
          <w:numId w:val="7"/>
        </w:numPr>
        <w:spacing w:line="360" w:lineRule="auto"/>
        <w:rPr>
          <w:rFonts w:ascii="宋体" w:hAnsi="宋体" w:cs="宋体"/>
          <w:sz w:val="24"/>
          <w:szCs w:val="24"/>
        </w:rPr>
      </w:pPr>
      <w:r>
        <w:rPr>
          <w:rFonts w:hint="eastAsia" w:ascii="宋体" w:hAnsi="宋体" w:cs="宋体"/>
          <w:sz w:val="24"/>
          <w:szCs w:val="24"/>
        </w:rPr>
        <w:t>机械出勤：出勤机械队和机械的录入、修改、删除、查询功能。</w:t>
      </w:r>
    </w:p>
    <w:p>
      <w:pPr>
        <w:keepNext/>
        <w:keepLines/>
        <w:numPr>
          <w:ilvl w:val="2"/>
          <w:numId w:val="5"/>
        </w:numPr>
        <w:spacing w:before="260" w:after="260" w:line="360" w:lineRule="auto"/>
        <w:outlineLvl w:val="2"/>
        <w:rPr>
          <w:rFonts w:ascii="宋体" w:hAnsi="宋体" w:cs="宋体"/>
          <w:b/>
          <w:sz w:val="24"/>
          <w:szCs w:val="24"/>
        </w:rPr>
      </w:pPr>
      <w:bookmarkStart w:id="547" w:name="_Toc22357"/>
      <w:r>
        <w:rPr>
          <w:rFonts w:hint="eastAsia" w:ascii="宋体" w:hAnsi="宋体" w:cs="宋体"/>
          <w:b/>
          <w:sz w:val="24"/>
          <w:szCs w:val="24"/>
        </w:rPr>
        <w:t>业务办单</w:t>
      </w:r>
      <w:bookmarkEnd w:id="547"/>
    </w:p>
    <w:p>
      <w:pPr>
        <w:spacing w:line="360" w:lineRule="auto"/>
        <w:ind w:firstLine="480" w:firstLineChars="200"/>
        <w:rPr>
          <w:rFonts w:ascii="宋体" w:hAnsi="宋体" w:cs="宋体"/>
          <w:sz w:val="24"/>
          <w:szCs w:val="24"/>
        </w:rPr>
      </w:pPr>
      <w:r>
        <w:rPr>
          <w:rFonts w:hint="eastAsia" w:ascii="宋体" w:hAnsi="宋体" w:cs="宋体"/>
          <w:sz w:val="24"/>
          <w:szCs w:val="24"/>
        </w:rPr>
        <w:t>业务办单主要是进口业务办单。进口办单包括：提单管理（舱单/水路货物运单），出库单管理，地磅单管理，服务工作委托单管理。需实现AI识别第三方单证自动办理系统相关业务单证减少业务员手动输入。</w:t>
      </w:r>
    </w:p>
    <w:p>
      <w:pPr>
        <w:numPr>
          <w:ilvl w:val="0"/>
          <w:numId w:val="7"/>
        </w:numPr>
        <w:spacing w:line="360" w:lineRule="auto"/>
        <w:rPr>
          <w:rFonts w:ascii="宋体" w:hAnsi="宋体" w:cs="宋体"/>
          <w:sz w:val="24"/>
          <w:szCs w:val="24"/>
        </w:rPr>
      </w:pPr>
      <w:r>
        <w:rPr>
          <w:rFonts w:hint="eastAsia" w:ascii="宋体" w:hAnsi="宋体" w:cs="宋体"/>
          <w:sz w:val="24"/>
          <w:szCs w:val="24"/>
        </w:rPr>
        <w:t>提单管理：按照客户提供的仓单或水路货物运单分票进行录入、修改、删除、查询、打印、绑定合同等功能处理。</w:t>
      </w:r>
    </w:p>
    <w:p>
      <w:pPr>
        <w:numPr>
          <w:ilvl w:val="0"/>
          <w:numId w:val="7"/>
        </w:numPr>
        <w:spacing w:line="360" w:lineRule="auto"/>
        <w:rPr>
          <w:rFonts w:ascii="宋体" w:hAnsi="宋体" w:cs="宋体"/>
          <w:sz w:val="24"/>
          <w:szCs w:val="24"/>
        </w:rPr>
      </w:pPr>
      <w:r>
        <w:rPr>
          <w:rFonts w:hint="eastAsia" w:ascii="宋体" w:hAnsi="宋体" w:cs="宋体"/>
          <w:sz w:val="24"/>
          <w:szCs w:val="24"/>
        </w:rPr>
        <w:t>出库单：客户出示委托书（如果不是货主本人，委托他人办单），外贸货物还需报关单，海运提单正反面，提货单，按照大船信息，提单信息，委托人信息等办理出库单，可以一票货物办理一份或多份出库单，也可以多票货物办理一份出库单（也就是合并办单）等。出库单是客户允许从码头提离货物的依据。功能主要是录入、修改、删除、查询、打印、办分单、停单、收单、控货量等。</w:t>
      </w:r>
    </w:p>
    <w:p>
      <w:pPr>
        <w:numPr>
          <w:ilvl w:val="0"/>
          <w:numId w:val="7"/>
        </w:numPr>
        <w:spacing w:line="360" w:lineRule="auto"/>
        <w:rPr>
          <w:rFonts w:ascii="宋体" w:hAnsi="宋体" w:cs="宋体"/>
          <w:sz w:val="24"/>
          <w:szCs w:val="24"/>
        </w:rPr>
      </w:pPr>
      <w:r>
        <w:rPr>
          <w:rFonts w:hint="eastAsia" w:ascii="宋体" w:hAnsi="宋体" w:cs="宋体"/>
          <w:sz w:val="24"/>
          <w:szCs w:val="24"/>
        </w:rPr>
        <w:t>地磅单：一般情况下，需用汽车作业并需过磅时才需办理地磅单。地磅单录入、修改、删除、查询、打印。</w:t>
      </w:r>
    </w:p>
    <w:p>
      <w:pPr>
        <w:keepNext/>
        <w:keepLines/>
        <w:numPr>
          <w:ilvl w:val="2"/>
          <w:numId w:val="5"/>
        </w:numPr>
        <w:spacing w:before="260" w:after="260" w:line="360" w:lineRule="auto"/>
        <w:outlineLvl w:val="2"/>
        <w:rPr>
          <w:rFonts w:ascii="宋体" w:hAnsi="宋体" w:cs="宋体"/>
          <w:b/>
          <w:sz w:val="24"/>
          <w:szCs w:val="24"/>
        </w:rPr>
      </w:pPr>
      <w:bookmarkStart w:id="548" w:name="_Toc6649"/>
      <w:r>
        <w:rPr>
          <w:rFonts w:hint="eastAsia" w:ascii="宋体" w:hAnsi="宋体" w:cs="宋体"/>
          <w:b/>
          <w:sz w:val="24"/>
          <w:szCs w:val="24"/>
        </w:rPr>
        <w:t>大船作业管理</w:t>
      </w:r>
      <w:bookmarkEnd w:id="548"/>
    </w:p>
    <w:p>
      <w:pPr>
        <w:spacing w:line="360" w:lineRule="auto"/>
        <w:ind w:firstLine="480" w:firstLineChars="200"/>
        <w:rPr>
          <w:rFonts w:ascii="宋体" w:hAnsi="宋体" w:cs="宋体"/>
          <w:sz w:val="24"/>
          <w:szCs w:val="24"/>
        </w:rPr>
      </w:pPr>
      <w:r>
        <w:rPr>
          <w:rFonts w:hint="eastAsia" w:ascii="宋体" w:hAnsi="宋体" w:cs="宋体"/>
          <w:sz w:val="24"/>
          <w:szCs w:val="24"/>
        </w:rPr>
        <w:t>大船作业主要指卸大船作业管理，功能主要包括：调度日志管理，指泊日志管理，段结表管理，轮装卸作业报告，船方计费单证管理。</w:t>
      </w:r>
    </w:p>
    <w:p>
      <w:pPr>
        <w:numPr>
          <w:ilvl w:val="0"/>
          <w:numId w:val="7"/>
        </w:numPr>
        <w:spacing w:line="360" w:lineRule="auto"/>
        <w:rPr>
          <w:rFonts w:ascii="宋体" w:hAnsi="宋体" w:cs="宋体"/>
          <w:sz w:val="24"/>
          <w:szCs w:val="24"/>
        </w:rPr>
      </w:pPr>
      <w:r>
        <w:rPr>
          <w:rFonts w:hint="eastAsia" w:ascii="宋体" w:hAnsi="宋体" w:cs="宋体"/>
          <w:sz w:val="24"/>
          <w:szCs w:val="24"/>
        </w:rPr>
        <w:t>调度日志：调度日常工作记录表，提供指泊日志、轮装卸报告、段结表等单证的快捷录入功能。</w:t>
      </w:r>
    </w:p>
    <w:p>
      <w:pPr>
        <w:numPr>
          <w:ilvl w:val="0"/>
          <w:numId w:val="7"/>
        </w:numPr>
        <w:spacing w:line="360" w:lineRule="auto"/>
        <w:rPr>
          <w:rFonts w:ascii="宋体" w:hAnsi="宋体" w:cs="宋体"/>
          <w:sz w:val="24"/>
          <w:szCs w:val="24"/>
        </w:rPr>
      </w:pPr>
      <w:r>
        <w:rPr>
          <w:rFonts w:hint="eastAsia" w:ascii="宋体" w:hAnsi="宋体" w:cs="宋体"/>
          <w:sz w:val="24"/>
          <w:szCs w:val="24"/>
        </w:rPr>
        <w:t>指泊日志：对船舶的靠泊、移泊、离泊的管理。指泊日志的增加、删除、修改、打印功能。</w:t>
      </w:r>
    </w:p>
    <w:p>
      <w:pPr>
        <w:numPr>
          <w:ilvl w:val="0"/>
          <w:numId w:val="7"/>
        </w:numPr>
        <w:spacing w:line="360" w:lineRule="auto"/>
        <w:rPr>
          <w:rFonts w:ascii="宋体" w:hAnsi="宋体" w:cs="宋体"/>
          <w:sz w:val="24"/>
          <w:szCs w:val="24"/>
        </w:rPr>
      </w:pPr>
      <w:r>
        <w:rPr>
          <w:rFonts w:hint="eastAsia" w:ascii="宋体" w:hAnsi="宋体" w:cs="宋体"/>
          <w:sz w:val="24"/>
          <w:szCs w:val="24"/>
        </w:rPr>
        <w:t>段结表：一个班次结束对卸船每个舱口的作业量进行登记。</w:t>
      </w:r>
    </w:p>
    <w:p>
      <w:pPr>
        <w:numPr>
          <w:ilvl w:val="0"/>
          <w:numId w:val="7"/>
        </w:numPr>
        <w:spacing w:line="360" w:lineRule="auto"/>
        <w:rPr>
          <w:rFonts w:ascii="宋体" w:hAnsi="宋体" w:cs="宋体"/>
          <w:sz w:val="24"/>
          <w:szCs w:val="24"/>
        </w:rPr>
      </w:pPr>
      <w:r>
        <w:rPr>
          <w:rFonts w:hint="eastAsia" w:ascii="宋体" w:hAnsi="宋体" w:cs="宋体"/>
          <w:sz w:val="24"/>
          <w:szCs w:val="24"/>
        </w:rPr>
        <w:t>轮装卸作业报告：一个班次结束对卸船每个具体作业的情况进行登记，比如正常开工作业时间，作业量，停工时间，吃饭时间等。</w:t>
      </w:r>
    </w:p>
    <w:p>
      <w:pPr>
        <w:numPr>
          <w:ilvl w:val="0"/>
          <w:numId w:val="7"/>
        </w:numPr>
        <w:spacing w:line="360" w:lineRule="auto"/>
        <w:rPr>
          <w:rFonts w:ascii="宋体" w:hAnsi="宋体" w:cs="宋体"/>
          <w:sz w:val="24"/>
          <w:szCs w:val="24"/>
        </w:rPr>
      </w:pPr>
      <w:r>
        <w:rPr>
          <w:rFonts w:hint="eastAsia" w:ascii="宋体" w:hAnsi="宋体" w:cs="宋体"/>
          <w:sz w:val="24"/>
          <w:szCs w:val="24"/>
        </w:rPr>
        <w:t>船方计费单证：船舶供水签证单的增加、删除、修改、打印功能；装卸指导员工时记录的增加、删除、修改、打印功能；船舶系解缆作业单的增加、删除、修改、打印功能；船舶停泊签证单的增加、删除、修改、打印功能。</w:t>
      </w:r>
    </w:p>
    <w:p>
      <w:pPr>
        <w:keepNext/>
        <w:keepLines/>
        <w:numPr>
          <w:ilvl w:val="2"/>
          <w:numId w:val="5"/>
        </w:numPr>
        <w:spacing w:before="260" w:after="260" w:line="360" w:lineRule="auto"/>
        <w:outlineLvl w:val="2"/>
        <w:rPr>
          <w:rFonts w:ascii="宋体" w:hAnsi="宋体" w:cs="宋体"/>
          <w:b/>
          <w:sz w:val="24"/>
          <w:szCs w:val="24"/>
        </w:rPr>
      </w:pPr>
      <w:bookmarkStart w:id="549" w:name="_Toc1972"/>
      <w:r>
        <w:rPr>
          <w:rFonts w:hint="eastAsia" w:ascii="宋体" w:hAnsi="宋体" w:cs="宋体"/>
          <w:b/>
          <w:sz w:val="24"/>
          <w:szCs w:val="24"/>
        </w:rPr>
        <w:t>驳船作业管理</w:t>
      </w:r>
      <w:bookmarkEnd w:id="549"/>
    </w:p>
    <w:p>
      <w:pPr>
        <w:spacing w:line="360" w:lineRule="auto"/>
        <w:ind w:firstLine="480" w:firstLineChars="200"/>
        <w:rPr>
          <w:rFonts w:ascii="宋体" w:hAnsi="宋体" w:cs="宋体"/>
          <w:sz w:val="24"/>
          <w:szCs w:val="24"/>
        </w:rPr>
      </w:pPr>
      <w:r>
        <w:rPr>
          <w:rFonts w:hint="eastAsia" w:ascii="宋体" w:hAnsi="宋体" w:cs="宋体"/>
          <w:sz w:val="24"/>
          <w:szCs w:val="24"/>
        </w:rPr>
        <w:t>驳船作业主要指装驳船作业，功能主要包括：驳船配载管理，驳船报到作业管理，驳船指令管理。</w:t>
      </w:r>
    </w:p>
    <w:p>
      <w:pPr>
        <w:numPr>
          <w:ilvl w:val="0"/>
          <w:numId w:val="7"/>
        </w:numPr>
        <w:spacing w:line="360" w:lineRule="auto"/>
        <w:rPr>
          <w:rFonts w:ascii="宋体" w:hAnsi="宋体" w:cs="宋体"/>
          <w:sz w:val="24"/>
          <w:szCs w:val="24"/>
        </w:rPr>
      </w:pPr>
      <w:r>
        <w:rPr>
          <w:rFonts w:hint="eastAsia" w:ascii="宋体" w:hAnsi="宋体" w:cs="宋体"/>
          <w:sz w:val="24"/>
          <w:szCs w:val="24"/>
        </w:rPr>
        <w:t>驳船配载：驳船计划装载信息，为下一港提供装货证明。主要录入水路货物运单的信息，如驳船名，配载量，货物信息，目的港等。主要功能：水路货运单的录入、修改、删除、打印等。</w:t>
      </w:r>
    </w:p>
    <w:p>
      <w:pPr>
        <w:numPr>
          <w:ilvl w:val="0"/>
          <w:numId w:val="7"/>
        </w:numPr>
        <w:spacing w:line="360" w:lineRule="auto"/>
        <w:rPr>
          <w:rFonts w:ascii="宋体" w:hAnsi="宋体" w:cs="宋体"/>
          <w:sz w:val="24"/>
          <w:szCs w:val="24"/>
        </w:rPr>
      </w:pPr>
      <w:r>
        <w:rPr>
          <w:rFonts w:hint="eastAsia" w:ascii="宋体" w:hAnsi="宋体" w:cs="宋体"/>
          <w:sz w:val="24"/>
          <w:szCs w:val="24"/>
        </w:rPr>
        <w:t>驳船报到：驳船到达码头后需到码头报到，证明运载工具到达码头，码头就可以进行装货安排。主要功能：报到、取消报到。</w:t>
      </w:r>
    </w:p>
    <w:p>
      <w:pPr>
        <w:numPr>
          <w:ilvl w:val="0"/>
          <w:numId w:val="7"/>
        </w:numPr>
        <w:spacing w:line="360" w:lineRule="auto"/>
        <w:rPr>
          <w:rFonts w:ascii="宋体" w:hAnsi="宋体" w:cs="宋体"/>
          <w:sz w:val="24"/>
          <w:szCs w:val="24"/>
        </w:rPr>
      </w:pPr>
      <w:r>
        <w:rPr>
          <w:rFonts w:hint="eastAsia" w:ascii="宋体" w:hAnsi="宋体" w:cs="宋体"/>
          <w:sz w:val="24"/>
          <w:szCs w:val="24"/>
        </w:rPr>
        <w:t>驳船指令：主要为转栈装驳指令，除了需要货物信息，出货位置信息外，还需绑定工班和汽车等。主要功能：增加、修改、删除、打印、开始驳船、结束驳船、开始工班、结束工班、生成装货理货点单等。</w:t>
      </w:r>
    </w:p>
    <w:p>
      <w:pPr>
        <w:keepNext/>
        <w:keepLines/>
        <w:numPr>
          <w:ilvl w:val="2"/>
          <w:numId w:val="5"/>
        </w:numPr>
        <w:spacing w:before="260" w:after="260" w:line="360" w:lineRule="auto"/>
        <w:outlineLvl w:val="2"/>
        <w:rPr>
          <w:rFonts w:ascii="宋体" w:hAnsi="宋体" w:cs="宋体"/>
          <w:b/>
          <w:sz w:val="24"/>
          <w:szCs w:val="24"/>
        </w:rPr>
      </w:pPr>
      <w:bookmarkStart w:id="550" w:name="_Toc11712"/>
      <w:r>
        <w:rPr>
          <w:rFonts w:hint="eastAsia" w:ascii="宋体" w:hAnsi="宋体" w:cs="宋体"/>
          <w:b/>
          <w:sz w:val="24"/>
          <w:szCs w:val="24"/>
        </w:rPr>
        <w:t>汽车作业管理</w:t>
      </w:r>
      <w:bookmarkEnd w:id="550"/>
    </w:p>
    <w:p>
      <w:pPr>
        <w:spacing w:line="360" w:lineRule="auto"/>
        <w:ind w:firstLine="480" w:firstLineChars="200"/>
        <w:rPr>
          <w:rFonts w:ascii="宋体" w:hAnsi="宋体" w:cs="宋体"/>
          <w:sz w:val="24"/>
          <w:szCs w:val="24"/>
        </w:rPr>
      </w:pPr>
      <w:r>
        <w:rPr>
          <w:rFonts w:hint="eastAsia" w:ascii="宋体" w:hAnsi="宋体" w:cs="宋体"/>
          <w:sz w:val="24"/>
          <w:szCs w:val="24"/>
        </w:rPr>
        <w:t>汽车作业分装汽车、汽车转栈和汽车装卡驳等业务，功能主要包括：汽车档案管理，提货预约，汽车进出闸口管理，汽车过磅管理（提货、转栈、装驳、装卡、借磅、测磅）。</w:t>
      </w:r>
    </w:p>
    <w:p>
      <w:pPr>
        <w:numPr>
          <w:ilvl w:val="0"/>
          <w:numId w:val="7"/>
        </w:numPr>
        <w:spacing w:line="360" w:lineRule="auto"/>
        <w:rPr>
          <w:rFonts w:ascii="宋体" w:hAnsi="宋体" w:cs="宋体"/>
          <w:sz w:val="24"/>
          <w:szCs w:val="24"/>
        </w:rPr>
      </w:pPr>
      <w:r>
        <w:rPr>
          <w:rFonts w:hint="eastAsia" w:ascii="宋体" w:hAnsi="宋体" w:cs="宋体"/>
          <w:sz w:val="24"/>
          <w:szCs w:val="24"/>
        </w:rPr>
        <w:t>汽车档案：对汽车基本信息进行管理，如车牌号，轴数，限重，空重，行驶证等，</w:t>
      </w:r>
      <w:r>
        <w:rPr>
          <w:rFonts w:ascii="宋体" w:hAnsi="宋体" w:cs="宋体"/>
          <w:sz w:val="24"/>
          <w:szCs w:val="24"/>
        </w:rPr>
        <w:t>并将该部分数据实现与海关、边检等口岸部门的数据互联互通</w:t>
      </w:r>
      <w:r>
        <w:rPr>
          <w:rFonts w:hint="eastAsia" w:ascii="宋体" w:hAnsi="宋体" w:cs="宋体"/>
          <w:sz w:val="24"/>
          <w:szCs w:val="24"/>
        </w:rPr>
        <w:t>。主要功能：增加、修改、删除、黑名单等。</w:t>
      </w:r>
    </w:p>
    <w:p>
      <w:pPr>
        <w:numPr>
          <w:ilvl w:val="0"/>
          <w:numId w:val="7"/>
        </w:numPr>
        <w:spacing w:line="360" w:lineRule="auto"/>
        <w:rPr>
          <w:rFonts w:ascii="宋体" w:hAnsi="宋体" w:cs="宋体"/>
          <w:sz w:val="24"/>
          <w:szCs w:val="24"/>
        </w:rPr>
      </w:pPr>
      <w:r>
        <w:rPr>
          <w:rFonts w:hint="eastAsia" w:ascii="宋体" w:hAnsi="宋体" w:cs="宋体"/>
          <w:sz w:val="24"/>
          <w:szCs w:val="24"/>
        </w:rPr>
        <w:t>提货预约：司机来港提货前需进行预约，预约来港提货车辆、货物及时间等信息。主要功能：预约，取消预约等。可设计成发放号码的分时段预约，也可设计成按可维护的特定规则预约，可发放汽车作业电子换单凭证。优化</w:t>
      </w:r>
      <w:r>
        <w:rPr>
          <w:rFonts w:ascii="宋体" w:hAnsi="宋体" w:cs="宋体"/>
          <w:sz w:val="24"/>
          <w:szCs w:val="24"/>
        </w:rPr>
        <w:t>现有</w:t>
      </w:r>
      <w:r>
        <w:rPr>
          <w:rFonts w:hint="eastAsia" w:ascii="宋体" w:hAnsi="宋体" w:cs="宋体"/>
          <w:sz w:val="24"/>
          <w:szCs w:val="24"/>
        </w:rPr>
        <w:t>各</w:t>
      </w:r>
      <w:r>
        <w:rPr>
          <w:rFonts w:ascii="宋体" w:hAnsi="宋体" w:cs="宋体"/>
          <w:sz w:val="24"/>
          <w:szCs w:val="24"/>
        </w:rPr>
        <w:t>货主办单室</w:t>
      </w:r>
      <w:r>
        <w:rPr>
          <w:rFonts w:hint="eastAsia" w:ascii="宋体" w:hAnsi="宋体" w:cs="宋体"/>
          <w:sz w:val="24"/>
          <w:szCs w:val="24"/>
        </w:rPr>
        <w:t>的</w:t>
      </w:r>
      <w:r>
        <w:rPr>
          <w:rFonts w:ascii="宋体" w:hAnsi="宋体" w:cs="宋体"/>
          <w:sz w:val="24"/>
          <w:szCs w:val="24"/>
        </w:rPr>
        <w:t>功能，</w:t>
      </w:r>
      <w:r>
        <w:rPr>
          <w:rFonts w:hint="eastAsia" w:ascii="宋体" w:hAnsi="宋体" w:cs="宋体"/>
          <w:sz w:val="24"/>
          <w:szCs w:val="24"/>
        </w:rPr>
        <w:t>实现</w:t>
      </w:r>
      <w:r>
        <w:rPr>
          <w:rFonts w:ascii="宋体" w:hAnsi="宋体" w:cs="宋体"/>
          <w:sz w:val="24"/>
          <w:szCs w:val="24"/>
        </w:rPr>
        <w:t>线上办单功能。</w:t>
      </w:r>
    </w:p>
    <w:p>
      <w:pPr>
        <w:numPr>
          <w:ilvl w:val="0"/>
          <w:numId w:val="7"/>
        </w:numPr>
        <w:spacing w:line="360" w:lineRule="auto"/>
        <w:rPr>
          <w:rFonts w:ascii="宋体" w:hAnsi="宋体" w:cs="宋体"/>
          <w:sz w:val="24"/>
          <w:szCs w:val="24"/>
        </w:rPr>
      </w:pPr>
      <w:r>
        <w:rPr>
          <w:rFonts w:hint="eastAsia" w:ascii="宋体" w:hAnsi="宋体" w:cs="宋体"/>
          <w:sz w:val="24"/>
          <w:szCs w:val="24"/>
        </w:rPr>
        <w:t>汽车进出闸口：提货车辆到达港口，结合现有IC卡设备对接绑定车辆，记录车辆进入闸口和进闸时间、车辆出闸口和出闸时间。</w:t>
      </w:r>
    </w:p>
    <w:p>
      <w:pPr>
        <w:numPr>
          <w:ilvl w:val="0"/>
          <w:numId w:val="7"/>
        </w:numPr>
        <w:spacing w:line="360" w:lineRule="auto"/>
        <w:rPr>
          <w:rFonts w:ascii="宋体" w:hAnsi="宋体" w:cs="宋体"/>
          <w:sz w:val="24"/>
          <w:szCs w:val="24"/>
        </w:rPr>
      </w:pPr>
      <w:r>
        <w:rPr>
          <w:rFonts w:hint="eastAsia" w:ascii="宋体" w:hAnsi="宋体" w:cs="宋体"/>
          <w:sz w:val="24"/>
          <w:szCs w:val="24"/>
        </w:rPr>
        <w:t>汽车过磅：主要完成车辆称重业务。结合车提预约，转堆装驳、卡和港内转堆等指令信息采用不同业务处理过程来完成汽车智能过磅业务。主要功能：过空磅、过重磅、重新获取重量、推送电子称重小票等。</w:t>
      </w:r>
    </w:p>
    <w:p>
      <w:pPr>
        <w:keepNext/>
        <w:keepLines/>
        <w:numPr>
          <w:ilvl w:val="2"/>
          <w:numId w:val="5"/>
        </w:numPr>
        <w:spacing w:before="260" w:after="260" w:line="360" w:lineRule="auto"/>
        <w:outlineLvl w:val="2"/>
        <w:rPr>
          <w:rFonts w:ascii="宋体" w:hAnsi="宋体" w:cs="宋体"/>
          <w:b/>
          <w:sz w:val="24"/>
          <w:szCs w:val="24"/>
        </w:rPr>
      </w:pPr>
      <w:bookmarkStart w:id="551" w:name="_Toc32085"/>
      <w:r>
        <w:rPr>
          <w:rFonts w:hint="eastAsia" w:ascii="宋体" w:hAnsi="宋体" w:cs="宋体"/>
          <w:b/>
          <w:sz w:val="24"/>
          <w:szCs w:val="24"/>
        </w:rPr>
        <w:t>转栈作业管理</w:t>
      </w:r>
      <w:bookmarkEnd w:id="551"/>
    </w:p>
    <w:p>
      <w:pPr>
        <w:spacing w:line="360" w:lineRule="auto"/>
        <w:ind w:firstLine="480" w:firstLineChars="200"/>
        <w:rPr>
          <w:rFonts w:ascii="宋体" w:hAnsi="宋体" w:cs="宋体"/>
          <w:sz w:val="24"/>
          <w:szCs w:val="24"/>
        </w:rPr>
      </w:pPr>
      <w:r>
        <w:rPr>
          <w:rFonts w:hint="eastAsia" w:ascii="宋体" w:hAnsi="宋体" w:cs="宋体"/>
          <w:sz w:val="24"/>
          <w:szCs w:val="24"/>
        </w:rPr>
        <w:t>转栈管理主要实现货物从一个堆位转到另一个堆位的目的，功能主要包括：转栈指令管理，转栈证明书管理。</w:t>
      </w:r>
    </w:p>
    <w:p>
      <w:pPr>
        <w:numPr>
          <w:ilvl w:val="0"/>
          <w:numId w:val="7"/>
        </w:numPr>
        <w:spacing w:line="360" w:lineRule="auto"/>
        <w:rPr>
          <w:rFonts w:ascii="宋体" w:hAnsi="宋体" w:cs="宋体"/>
          <w:sz w:val="24"/>
          <w:szCs w:val="24"/>
        </w:rPr>
      </w:pPr>
      <w:r>
        <w:rPr>
          <w:rFonts w:hint="eastAsia" w:ascii="宋体" w:hAnsi="宋体" w:cs="宋体"/>
          <w:sz w:val="24"/>
          <w:szCs w:val="24"/>
        </w:rPr>
        <w:t>转栈指令：用于指导现场作业，明确原堆、目的堆及作业车辆等信息。主要功能：录入、修改、删除、查询、打印。</w:t>
      </w:r>
    </w:p>
    <w:p>
      <w:pPr>
        <w:numPr>
          <w:ilvl w:val="0"/>
          <w:numId w:val="7"/>
        </w:numPr>
        <w:spacing w:line="360" w:lineRule="auto"/>
        <w:rPr>
          <w:rFonts w:ascii="宋体" w:hAnsi="宋体" w:cs="宋体"/>
          <w:sz w:val="24"/>
          <w:szCs w:val="24"/>
        </w:rPr>
      </w:pPr>
      <w:r>
        <w:rPr>
          <w:rFonts w:hint="eastAsia" w:ascii="宋体" w:hAnsi="宋体" w:cs="宋体"/>
          <w:sz w:val="24"/>
          <w:szCs w:val="24"/>
        </w:rPr>
        <w:t>转栈证明书：转栈后结果登记，用于证明货物已经完成位置转移。主要功能：录入、修改、删除、打印。</w:t>
      </w:r>
    </w:p>
    <w:p>
      <w:pPr>
        <w:numPr>
          <w:ilvl w:val="0"/>
          <w:numId w:val="7"/>
        </w:numPr>
        <w:spacing w:line="360" w:lineRule="auto"/>
        <w:rPr>
          <w:rFonts w:ascii="宋体" w:hAnsi="宋体" w:cs="宋体"/>
          <w:bCs/>
          <w:sz w:val="24"/>
          <w:szCs w:val="24"/>
        </w:rPr>
      </w:pPr>
      <w:r>
        <w:rPr>
          <w:rFonts w:hint="eastAsia" w:ascii="宋体" w:hAnsi="宋体" w:cs="宋体"/>
          <w:bCs/>
          <w:sz w:val="24"/>
          <w:szCs w:val="24"/>
        </w:rPr>
        <w:t>皮带</w:t>
      </w:r>
      <w:r>
        <w:rPr>
          <w:rFonts w:ascii="宋体" w:hAnsi="宋体" w:cs="宋体"/>
          <w:bCs/>
          <w:sz w:val="24"/>
          <w:szCs w:val="24"/>
        </w:rPr>
        <w:t>输送作业管理</w:t>
      </w:r>
      <w:r>
        <w:rPr>
          <w:rFonts w:hint="eastAsia" w:ascii="宋体" w:hAnsi="宋体" w:cs="宋体"/>
          <w:bCs/>
          <w:sz w:val="24"/>
          <w:szCs w:val="24"/>
        </w:rPr>
        <w:t>：预留</w:t>
      </w:r>
      <w:r>
        <w:rPr>
          <w:rFonts w:ascii="宋体" w:hAnsi="宋体" w:cs="宋体"/>
          <w:bCs/>
          <w:sz w:val="24"/>
          <w:szCs w:val="24"/>
        </w:rPr>
        <w:t>后期工艺改造后用皮带输送货物的管理功能</w:t>
      </w:r>
      <w:r>
        <w:rPr>
          <w:rFonts w:hint="eastAsia" w:ascii="宋体" w:hAnsi="宋体" w:cs="宋体"/>
          <w:bCs/>
          <w:sz w:val="24"/>
          <w:szCs w:val="24"/>
        </w:rPr>
        <w:t>。主要</w:t>
      </w:r>
      <w:r>
        <w:rPr>
          <w:rFonts w:ascii="宋体" w:hAnsi="宋体" w:cs="宋体"/>
          <w:bCs/>
          <w:sz w:val="24"/>
          <w:szCs w:val="24"/>
        </w:rPr>
        <w:t>功能：</w:t>
      </w:r>
      <w:r>
        <w:rPr>
          <w:rFonts w:hint="eastAsia" w:ascii="宋体" w:hAnsi="宋体" w:cs="宋体"/>
          <w:bCs/>
          <w:sz w:val="24"/>
          <w:szCs w:val="24"/>
        </w:rPr>
        <w:t>录入、修改、删除、查询、打印。</w:t>
      </w:r>
    </w:p>
    <w:p>
      <w:pPr>
        <w:pStyle w:val="2"/>
      </w:pPr>
    </w:p>
    <w:p>
      <w:pPr>
        <w:keepNext/>
        <w:keepLines/>
        <w:numPr>
          <w:ilvl w:val="2"/>
          <w:numId w:val="5"/>
        </w:numPr>
        <w:spacing w:before="260" w:after="260" w:line="360" w:lineRule="auto"/>
        <w:outlineLvl w:val="2"/>
        <w:rPr>
          <w:rFonts w:ascii="宋体" w:hAnsi="宋体" w:cs="宋体"/>
          <w:b/>
          <w:sz w:val="24"/>
          <w:szCs w:val="24"/>
        </w:rPr>
      </w:pPr>
      <w:bookmarkStart w:id="552" w:name="_Toc23324"/>
      <w:r>
        <w:rPr>
          <w:rFonts w:hint="eastAsia" w:ascii="宋体" w:hAnsi="宋体" w:cs="宋体"/>
          <w:b/>
          <w:sz w:val="24"/>
          <w:szCs w:val="24"/>
        </w:rPr>
        <w:t>库场管理</w:t>
      </w:r>
      <w:bookmarkEnd w:id="552"/>
    </w:p>
    <w:p>
      <w:pPr>
        <w:spacing w:line="360" w:lineRule="auto"/>
        <w:ind w:firstLine="480" w:firstLineChars="200"/>
        <w:rPr>
          <w:rFonts w:ascii="宋体" w:hAnsi="宋体" w:cs="宋体"/>
          <w:bCs/>
          <w:sz w:val="24"/>
          <w:szCs w:val="24"/>
        </w:rPr>
      </w:pPr>
      <w:r>
        <w:rPr>
          <w:rFonts w:hint="eastAsia" w:ascii="宋体" w:hAnsi="宋体" w:cs="宋体"/>
          <w:sz w:val="24"/>
          <w:szCs w:val="24"/>
        </w:rPr>
        <w:t>库场管理主要管理货物进出和堆存的详细情况，功能主要包括：理货单管理，理货单检算，进出库记录</w:t>
      </w:r>
      <w:r>
        <w:rPr>
          <w:rFonts w:hint="eastAsia" w:ascii="宋体" w:hAnsi="宋体" w:cs="宋体"/>
          <w:bCs/>
          <w:sz w:val="24"/>
          <w:szCs w:val="24"/>
        </w:rPr>
        <w:t>等。在</w:t>
      </w:r>
      <w:r>
        <w:rPr>
          <w:rFonts w:ascii="宋体" w:hAnsi="宋体" w:cs="宋体"/>
          <w:bCs/>
          <w:sz w:val="24"/>
          <w:szCs w:val="24"/>
        </w:rPr>
        <w:t>海关</w:t>
      </w:r>
      <w:r>
        <w:rPr>
          <w:rFonts w:hint="eastAsia" w:ascii="宋体" w:hAnsi="宋体" w:cs="宋体"/>
          <w:bCs/>
          <w:sz w:val="24"/>
          <w:szCs w:val="24"/>
        </w:rPr>
        <w:t>系统</w:t>
      </w:r>
      <w:r>
        <w:rPr>
          <w:rFonts w:ascii="宋体" w:hAnsi="宋体" w:cs="宋体"/>
          <w:bCs/>
          <w:sz w:val="24"/>
          <w:szCs w:val="24"/>
        </w:rPr>
        <w:t>允许的条件下，实现库存</w:t>
      </w:r>
      <w:r>
        <w:rPr>
          <w:rFonts w:hint="eastAsia" w:ascii="宋体" w:hAnsi="宋体" w:cs="宋体"/>
          <w:bCs/>
          <w:sz w:val="24"/>
          <w:szCs w:val="24"/>
        </w:rPr>
        <w:t>数据</w:t>
      </w:r>
      <w:r>
        <w:rPr>
          <w:rFonts w:ascii="宋体" w:hAnsi="宋体" w:cs="宋体"/>
          <w:bCs/>
          <w:sz w:val="24"/>
          <w:szCs w:val="24"/>
        </w:rPr>
        <w:t>与海关监管系统的数据互联</w:t>
      </w:r>
      <w:r>
        <w:rPr>
          <w:rFonts w:hint="eastAsia" w:ascii="宋体" w:hAnsi="宋体" w:cs="宋体"/>
          <w:bCs/>
          <w:sz w:val="24"/>
          <w:szCs w:val="24"/>
        </w:rPr>
        <w:t>，满足</w:t>
      </w:r>
      <w:r>
        <w:rPr>
          <w:rFonts w:ascii="宋体" w:hAnsi="宋体" w:cs="宋体"/>
          <w:bCs/>
          <w:sz w:val="24"/>
          <w:szCs w:val="24"/>
        </w:rPr>
        <w:t>海关监管需求。</w:t>
      </w:r>
    </w:p>
    <w:p>
      <w:pPr>
        <w:numPr>
          <w:ilvl w:val="0"/>
          <w:numId w:val="7"/>
        </w:numPr>
        <w:spacing w:line="360" w:lineRule="auto"/>
        <w:rPr>
          <w:rFonts w:ascii="宋体" w:hAnsi="宋体" w:cs="宋体"/>
          <w:sz w:val="24"/>
          <w:szCs w:val="24"/>
        </w:rPr>
      </w:pPr>
      <w:r>
        <w:rPr>
          <w:rFonts w:hint="eastAsia" w:ascii="宋体" w:hAnsi="宋体" w:cs="宋体"/>
          <w:sz w:val="24"/>
          <w:szCs w:val="24"/>
        </w:rPr>
        <w:t>理货单：对进出港区货物详细情况进行登记。主要功能：录入、修改、删除、查询、打印。</w:t>
      </w:r>
    </w:p>
    <w:p>
      <w:pPr>
        <w:numPr>
          <w:ilvl w:val="0"/>
          <w:numId w:val="7"/>
        </w:numPr>
        <w:spacing w:line="360" w:lineRule="auto"/>
        <w:rPr>
          <w:rFonts w:ascii="宋体" w:hAnsi="宋体" w:cs="宋体"/>
          <w:sz w:val="24"/>
          <w:szCs w:val="24"/>
        </w:rPr>
      </w:pPr>
      <w:r>
        <w:rPr>
          <w:rFonts w:hint="eastAsia" w:ascii="宋体" w:hAnsi="宋体" w:cs="宋体"/>
          <w:sz w:val="24"/>
          <w:szCs w:val="24"/>
        </w:rPr>
        <w:t>理货单检算：对登记进出的货物进行检查和确认。主要功能：检算、取消检算。</w:t>
      </w:r>
    </w:p>
    <w:p>
      <w:pPr>
        <w:numPr>
          <w:ilvl w:val="0"/>
          <w:numId w:val="7"/>
        </w:numPr>
        <w:spacing w:line="360" w:lineRule="auto"/>
        <w:rPr>
          <w:rFonts w:ascii="宋体" w:hAnsi="宋体" w:cs="宋体"/>
          <w:sz w:val="24"/>
          <w:szCs w:val="24"/>
        </w:rPr>
      </w:pPr>
      <w:r>
        <w:rPr>
          <w:rFonts w:hint="eastAsia" w:ascii="宋体" w:hAnsi="宋体" w:cs="宋体"/>
          <w:sz w:val="24"/>
          <w:szCs w:val="24"/>
        </w:rPr>
        <w:t>进出库记录：根据理货单登记的货物情况提取形成进出库记录(包含堆</w:t>
      </w:r>
      <w:r>
        <w:rPr>
          <w:rFonts w:ascii="宋体" w:hAnsi="宋体" w:cs="宋体"/>
          <w:sz w:val="24"/>
          <w:szCs w:val="24"/>
        </w:rPr>
        <w:t>转堆作业</w:t>
      </w:r>
      <w:r>
        <w:rPr>
          <w:rFonts w:hint="eastAsia" w:ascii="宋体" w:hAnsi="宋体" w:cs="宋体"/>
          <w:sz w:val="24"/>
          <w:szCs w:val="24"/>
        </w:rPr>
        <w:t>)，用于堆存费计算依据。</w:t>
      </w:r>
    </w:p>
    <w:p>
      <w:pPr>
        <w:numPr>
          <w:ilvl w:val="0"/>
          <w:numId w:val="7"/>
        </w:numPr>
        <w:spacing w:line="360" w:lineRule="auto"/>
        <w:rPr>
          <w:rFonts w:ascii="宋体" w:hAnsi="宋体" w:cs="宋体"/>
          <w:sz w:val="24"/>
          <w:szCs w:val="24"/>
        </w:rPr>
      </w:pPr>
      <w:r>
        <w:rPr>
          <w:rFonts w:hint="eastAsia" w:ascii="宋体" w:hAnsi="宋体" w:cs="宋体"/>
          <w:sz w:val="24"/>
          <w:szCs w:val="24"/>
        </w:rPr>
        <w:t>库场可视化：绘制堆场示意图，根据现场货物数据及堆场存放信息直观查看堆场货物。</w:t>
      </w:r>
    </w:p>
    <w:p>
      <w:pPr>
        <w:keepNext/>
        <w:keepLines/>
        <w:numPr>
          <w:ilvl w:val="2"/>
          <w:numId w:val="5"/>
        </w:numPr>
        <w:spacing w:before="260" w:after="260" w:line="360" w:lineRule="auto"/>
        <w:outlineLvl w:val="2"/>
        <w:rPr>
          <w:rFonts w:ascii="宋体" w:hAnsi="宋体" w:cs="宋体"/>
          <w:b/>
          <w:sz w:val="24"/>
          <w:szCs w:val="24"/>
        </w:rPr>
      </w:pPr>
      <w:bookmarkStart w:id="553" w:name="_Toc26405"/>
      <w:r>
        <w:rPr>
          <w:rFonts w:hint="eastAsia" w:ascii="宋体" w:hAnsi="宋体" w:cs="宋体"/>
          <w:b/>
          <w:sz w:val="24"/>
          <w:szCs w:val="24"/>
        </w:rPr>
        <w:t>合同计费管理</w:t>
      </w:r>
      <w:bookmarkEnd w:id="553"/>
    </w:p>
    <w:p>
      <w:pPr>
        <w:spacing w:line="360" w:lineRule="auto"/>
        <w:ind w:firstLine="480" w:firstLineChars="200"/>
        <w:rPr>
          <w:rFonts w:ascii="宋体" w:hAnsi="宋体" w:cs="宋体"/>
          <w:sz w:val="24"/>
          <w:szCs w:val="24"/>
        </w:rPr>
      </w:pPr>
      <w:r>
        <w:rPr>
          <w:rFonts w:hint="eastAsia" w:ascii="宋体" w:hAnsi="宋体" w:cs="宋体"/>
          <w:sz w:val="24"/>
          <w:szCs w:val="24"/>
        </w:rPr>
        <w:t>对合同核心要素登记管理及计费条款和费率的管理，为计费提供依据，功能主要包括：单船合同模板，单船合同，长期合同，船方合同；进口业务计费，出口业务计费，船方费用计费，堆存费。</w:t>
      </w:r>
    </w:p>
    <w:p>
      <w:pPr>
        <w:numPr>
          <w:ilvl w:val="0"/>
          <w:numId w:val="7"/>
        </w:numPr>
        <w:spacing w:line="360" w:lineRule="auto"/>
        <w:rPr>
          <w:rFonts w:ascii="宋体" w:hAnsi="宋体" w:cs="宋体"/>
          <w:sz w:val="24"/>
          <w:szCs w:val="24"/>
        </w:rPr>
      </w:pPr>
      <w:r>
        <w:rPr>
          <w:rFonts w:hint="eastAsia" w:ascii="宋体" w:hAnsi="宋体" w:cs="宋体"/>
          <w:sz w:val="24"/>
          <w:szCs w:val="24"/>
        </w:rPr>
        <w:t>单船合同模板：格式化模板，用于快速完成单船合同编制。主要功能：增加、修改、删除、查询、打印、审核、反审核、作废。</w:t>
      </w:r>
    </w:p>
    <w:p>
      <w:pPr>
        <w:numPr>
          <w:ilvl w:val="0"/>
          <w:numId w:val="7"/>
        </w:numPr>
        <w:spacing w:line="360" w:lineRule="auto"/>
        <w:rPr>
          <w:rFonts w:ascii="宋体" w:hAnsi="宋体" w:cs="宋体"/>
          <w:sz w:val="24"/>
          <w:szCs w:val="24"/>
        </w:rPr>
      </w:pPr>
      <w:r>
        <w:rPr>
          <w:rFonts w:hint="eastAsia" w:ascii="宋体" w:hAnsi="宋体" w:cs="宋体"/>
          <w:sz w:val="24"/>
          <w:szCs w:val="24"/>
        </w:rPr>
        <w:t>单船合同：用于合同内容和协议的登记。主要功能：增加、修改、删除、查询、打印、补充合同、作废、终止。</w:t>
      </w:r>
    </w:p>
    <w:p>
      <w:pPr>
        <w:numPr>
          <w:ilvl w:val="0"/>
          <w:numId w:val="7"/>
        </w:numPr>
        <w:spacing w:line="360" w:lineRule="auto"/>
        <w:rPr>
          <w:rFonts w:ascii="宋体" w:hAnsi="宋体" w:cs="宋体"/>
          <w:sz w:val="24"/>
          <w:szCs w:val="24"/>
        </w:rPr>
      </w:pPr>
      <w:r>
        <w:rPr>
          <w:rFonts w:hint="eastAsia" w:ascii="宋体" w:hAnsi="宋体" w:cs="宋体"/>
          <w:sz w:val="24"/>
          <w:szCs w:val="24"/>
        </w:rPr>
        <w:t>长期合同：用于合同内容和协议的登记。主要功能：增加、修改、删除、查询、打印、补充合同、作废、终止。</w:t>
      </w:r>
    </w:p>
    <w:p>
      <w:pPr>
        <w:numPr>
          <w:ilvl w:val="0"/>
          <w:numId w:val="7"/>
        </w:numPr>
        <w:spacing w:line="360" w:lineRule="auto"/>
        <w:rPr>
          <w:rFonts w:ascii="宋体" w:hAnsi="宋体" w:cs="宋体"/>
          <w:sz w:val="24"/>
          <w:szCs w:val="24"/>
        </w:rPr>
      </w:pPr>
      <w:r>
        <w:rPr>
          <w:rFonts w:hint="eastAsia" w:ascii="宋体" w:hAnsi="宋体" w:cs="宋体"/>
          <w:sz w:val="24"/>
          <w:szCs w:val="24"/>
        </w:rPr>
        <w:t>船方合同：用于合同内容和协议的登记。主要功能：增加、修改、删除、查询、打印、补充合同、作废、终止。</w:t>
      </w:r>
    </w:p>
    <w:p>
      <w:pPr>
        <w:numPr>
          <w:ilvl w:val="0"/>
          <w:numId w:val="7"/>
        </w:numPr>
        <w:spacing w:line="360" w:lineRule="auto"/>
        <w:rPr>
          <w:rFonts w:ascii="宋体" w:hAnsi="宋体" w:cs="宋体"/>
          <w:sz w:val="24"/>
          <w:szCs w:val="24"/>
        </w:rPr>
      </w:pPr>
      <w:r>
        <w:rPr>
          <w:rFonts w:hint="eastAsia" w:ascii="宋体" w:hAnsi="宋体" w:cs="宋体"/>
          <w:sz w:val="24"/>
          <w:szCs w:val="24"/>
        </w:rPr>
        <w:t>进口业务计费：进口业务费用计算。主要功能：自动计费、部分计费、无理货单计费、手工计费、计费清单保存、复核、打印、取消计费。</w:t>
      </w:r>
    </w:p>
    <w:p>
      <w:pPr>
        <w:numPr>
          <w:ilvl w:val="0"/>
          <w:numId w:val="7"/>
        </w:numPr>
        <w:spacing w:line="360" w:lineRule="auto"/>
        <w:rPr>
          <w:rFonts w:ascii="宋体" w:hAnsi="宋体" w:cs="宋体"/>
          <w:sz w:val="24"/>
          <w:szCs w:val="24"/>
        </w:rPr>
      </w:pPr>
      <w:r>
        <w:rPr>
          <w:rFonts w:hint="eastAsia" w:ascii="宋体" w:hAnsi="宋体" w:cs="宋体"/>
          <w:sz w:val="24"/>
          <w:szCs w:val="24"/>
        </w:rPr>
        <w:t>出口业务计费：出口业务费用计算。主要功能：自动计费、部分计费、无理货单计费、手工计费、计费清单保存、复核、打印、取消计费。</w:t>
      </w:r>
    </w:p>
    <w:p>
      <w:pPr>
        <w:numPr>
          <w:ilvl w:val="0"/>
          <w:numId w:val="7"/>
        </w:numPr>
        <w:spacing w:line="360" w:lineRule="auto"/>
        <w:rPr>
          <w:rFonts w:ascii="宋体" w:hAnsi="宋体" w:cs="宋体"/>
          <w:sz w:val="24"/>
          <w:szCs w:val="24"/>
        </w:rPr>
      </w:pPr>
      <w:r>
        <w:rPr>
          <w:rFonts w:hint="eastAsia" w:ascii="宋体" w:hAnsi="宋体" w:cs="宋体"/>
          <w:sz w:val="24"/>
          <w:szCs w:val="24"/>
        </w:rPr>
        <w:t>船方费用计费：船方业务费用</w:t>
      </w:r>
      <w:r>
        <w:rPr>
          <w:rFonts w:hint="eastAsia" w:ascii="宋体" w:hAnsi="宋体" w:cs="宋体"/>
          <w:bCs/>
          <w:sz w:val="24"/>
          <w:szCs w:val="24"/>
        </w:rPr>
        <w:t>（如</w:t>
      </w:r>
      <w:r>
        <w:rPr>
          <w:rFonts w:ascii="宋体" w:hAnsi="宋体" w:cs="宋体"/>
          <w:bCs/>
          <w:sz w:val="24"/>
          <w:szCs w:val="24"/>
        </w:rPr>
        <w:t>加淡水服务等）</w:t>
      </w:r>
      <w:r>
        <w:rPr>
          <w:rFonts w:hint="eastAsia" w:ascii="宋体" w:hAnsi="宋体" w:cs="宋体"/>
          <w:bCs/>
          <w:sz w:val="24"/>
          <w:szCs w:val="24"/>
        </w:rPr>
        <w:t>计算。</w:t>
      </w:r>
      <w:r>
        <w:rPr>
          <w:rFonts w:hint="eastAsia" w:ascii="宋体" w:hAnsi="宋体" w:cs="宋体"/>
          <w:sz w:val="24"/>
          <w:szCs w:val="24"/>
        </w:rPr>
        <w:t>主要功能：自动计费、手工计费、计费清单保存、复核、打印、取消计费。</w:t>
      </w:r>
    </w:p>
    <w:p>
      <w:pPr>
        <w:numPr>
          <w:ilvl w:val="0"/>
          <w:numId w:val="7"/>
        </w:numPr>
        <w:spacing w:line="360" w:lineRule="auto"/>
        <w:rPr>
          <w:rFonts w:ascii="宋体" w:hAnsi="宋体" w:cs="宋体"/>
          <w:sz w:val="24"/>
          <w:szCs w:val="24"/>
        </w:rPr>
      </w:pPr>
      <w:r>
        <w:rPr>
          <w:rFonts w:hint="eastAsia" w:ascii="宋体" w:hAnsi="宋体" w:cs="宋体"/>
          <w:sz w:val="24"/>
          <w:szCs w:val="24"/>
        </w:rPr>
        <w:t>堆存费：货物堆存费用计算。主要功能：自动计费、手工计费、计费清单保存、复核、打印、取消计费。</w:t>
      </w:r>
    </w:p>
    <w:p>
      <w:pPr>
        <w:keepNext/>
        <w:keepLines/>
        <w:numPr>
          <w:ilvl w:val="2"/>
          <w:numId w:val="5"/>
        </w:numPr>
        <w:spacing w:before="260" w:after="260" w:line="360" w:lineRule="auto"/>
        <w:outlineLvl w:val="2"/>
        <w:rPr>
          <w:rFonts w:ascii="宋体" w:hAnsi="宋体" w:cs="宋体"/>
          <w:b/>
          <w:sz w:val="24"/>
          <w:szCs w:val="24"/>
        </w:rPr>
      </w:pPr>
      <w:bookmarkStart w:id="554" w:name="_Toc29214"/>
      <w:r>
        <w:rPr>
          <w:rFonts w:hint="eastAsia" w:ascii="宋体" w:hAnsi="宋体" w:cs="宋体"/>
          <w:b/>
          <w:sz w:val="24"/>
          <w:szCs w:val="24"/>
        </w:rPr>
        <w:t>费收管理</w:t>
      </w:r>
      <w:bookmarkEnd w:id="554"/>
    </w:p>
    <w:p>
      <w:pPr>
        <w:spacing w:line="360" w:lineRule="auto"/>
        <w:ind w:firstLine="480" w:firstLineChars="200"/>
        <w:rPr>
          <w:rFonts w:ascii="宋体" w:hAnsi="宋体" w:cs="宋体"/>
          <w:sz w:val="24"/>
          <w:szCs w:val="24"/>
        </w:rPr>
      </w:pPr>
      <w:r>
        <w:rPr>
          <w:rFonts w:hint="eastAsia" w:ascii="宋体" w:hAnsi="宋体" w:cs="宋体"/>
          <w:sz w:val="24"/>
          <w:szCs w:val="24"/>
        </w:rPr>
        <w:t>对计费后确认的费用情况进行费用管理，功能主要包括：发票管理，结转收入，收款，收款达帐，退款，退款达帐，结算清单签收与退单。</w:t>
      </w:r>
    </w:p>
    <w:p>
      <w:pPr>
        <w:numPr>
          <w:ilvl w:val="0"/>
          <w:numId w:val="7"/>
        </w:numPr>
        <w:spacing w:line="360" w:lineRule="auto"/>
        <w:rPr>
          <w:rFonts w:ascii="宋体" w:hAnsi="宋体" w:cs="宋体"/>
          <w:sz w:val="24"/>
          <w:szCs w:val="24"/>
        </w:rPr>
      </w:pPr>
      <w:r>
        <w:rPr>
          <w:rFonts w:hint="eastAsia" w:ascii="宋体" w:hAnsi="宋体" w:cs="宋体"/>
          <w:sz w:val="24"/>
          <w:szCs w:val="24"/>
        </w:rPr>
        <w:t>发票管理：对接百望发票系统，开出电子发票。主要功能：开发票、获取二维码、发送邮件。</w:t>
      </w:r>
    </w:p>
    <w:p>
      <w:pPr>
        <w:numPr>
          <w:ilvl w:val="0"/>
          <w:numId w:val="7"/>
        </w:numPr>
        <w:spacing w:line="360" w:lineRule="auto"/>
        <w:rPr>
          <w:rFonts w:ascii="宋体" w:hAnsi="宋体" w:cs="宋体"/>
          <w:sz w:val="24"/>
          <w:szCs w:val="24"/>
        </w:rPr>
      </w:pPr>
      <w:r>
        <w:rPr>
          <w:rFonts w:hint="eastAsia" w:ascii="宋体" w:hAnsi="宋体" w:cs="宋体"/>
          <w:sz w:val="24"/>
          <w:szCs w:val="24"/>
        </w:rPr>
        <w:t>结转收入：主要功能：转收入。</w:t>
      </w:r>
    </w:p>
    <w:p>
      <w:pPr>
        <w:numPr>
          <w:ilvl w:val="0"/>
          <w:numId w:val="7"/>
        </w:numPr>
        <w:spacing w:line="360" w:lineRule="auto"/>
        <w:rPr>
          <w:rFonts w:ascii="宋体" w:hAnsi="宋体" w:cs="宋体"/>
          <w:sz w:val="24"/>
          <w:szCs w:val="24"/>
        </w:rPr>
      </w:pPr>
      <w:r>
        <w:rPr>
          <w:rFonts w:hint="eastAsia" w:ascii="宋体" w:hAnsi="宋体" w:cs="宋体"/>
          <w:sz w:val="24"/>
          <w:szCs w:val="24"/>
        </w:rPr>
        <w:t>收款：主要功能：受理、修改、删除、复核、反复核、批量复核、收银、反收银、批量收银、更正收款、更正收款复核、打印、修改达账时间。</w:t>
      </w:r>
    </w:p>
    <w:p>
      <w:pPr>
        <w:numPr>
          <w:ilvl w:val="0"/>
          <w:numId w:val="7"/>
        </w:numPr>
        <w:spacing w:line="360" w:lineRule="auto"/>
        <w:rPr>
          <w:rFonts w:ascii="宋体" w:hAnsi="宋体" w:cs="宋体"/>
          <w:sz w:val="24"/>
          <w:szCs w:val="24"/>
        </w:rPr>
      </w:pPr>
      <w:r>
        <w:rPr>
          <w:rFonts w:hint="eastAsia" w:ascii="宋体" w:hAnsi="宋体" w:cs="宋体"/>
          <w:sz w:val="24"/>
          <w:szCs w:val="24"/>
        </w:rPr>
        <w:t>收款达帐：主要功能：达账、退票、修改收款时间、制作凭证。</w:t>
      </w:r>
    </w:p>
    <w:p>
      <w:pPr>
        <w:numPr>
          <w:ilvl w:val="0"/>
          <w:numId w:val="7"/>
        </w:numPr>
        <w:spacing w:line="360" w:lineRule="auto"/>
        <w:rPr>
          <w:rFonts w:ascii="宋体" w:hAnsi="宋体" w:cs="宋体"/>
          <w:sz w:val="24"/>
          <w:szCs w:val="24"/>
        </w:rPr>
      </w:pPr>
      <w:r>
        <w:rPr>
          <w:rFonts w:hint="eastAsia" w:ascii="宋体" w:hAnsi="宋体" w:cs="宋体"/>
          <w:sz w:val="24"/>
          <w:szCs w:val="24"/>
        </w:rPr>
        <w:t>退款：主要功能：退款、修改、删除、复核、反复核、收银、反收银、打印退款出纳通知书。</w:t>
      </w:r>
    </w:p>
    <w:p>
      <w:pPr>
        <w:numPr>
          <w:ilvl w:val="0"/>
          <w:numId w:val="7"/>
        </w:numPr>
        <w:spacing w:line="360" w:lineRule="auto"/>
        <w:rPr>
          <w:rFonts w:ascii="宋体" w:hAnsi="宋体" w:cs="宋体"/>
          <w:sz w:val="24"/>
          <w:szCs w:val="24"/>
        </w:rPr>
      </w:pPr>
      <w:r>
        <w:rPr>
          <w:rFonts w:hint="eastAsia" w:ascii="宋体" w:hAnsi="宋体" w:cs="宋体"/>
          <w:sz w:val="24"/>
          <w:szCs w:val="24"/>
        </w:rPr>
        <w:t>退款达帐：主要功能：达账、制作凭证。</w:t>
      </w:r>
    </w:p>
    <w:p>
      <w:pPr>
        <w:numPr>
          <w:ilvl w:val="0"/>
          <w:numId w:val="7"/>
        </w:numPr>
        <w:spacing w:line="360" w:lineRule="auto"/>
        <w:rPr>
          <w:rFonts w:ascii="宋体" w:hAnsi="宋体" w:cs="宋体"/>
          <w:sz w:val="24"/>
          <w:szCs w:val="24"/>
        </w:rPr>
      </w:pPr>
      <w:r>
        <w:rPr>
          <w:rFonts w:hint="eastAsia" w:ascii="宋体" w:hAnsi="宋体" w:cs="宋体"/>
          <w:sz w:val="24"/>
          <w:szCs w:val="24"/>
        </w:rPr>
        <w:t>结算清单签收与退单：主要功能：退单、签收、打印。</w:t>
      </w:r>
    </w:p>
    <w:p>
      <w:pPr>
        <w:keepNext/>
        <w:keepLines/>
        <w:numPr>
          <w:ilvl w:val="2"/>
          <w:numId w:val="5"/>
        </w:numPr>
        <w:spacing w:before="260" w:after="260" w:line="360" w:lineRule="auto"/>
        <w:outlineLvl w:val="2"/>
        <w:rPr>
          <w:rFonts w:ascii="宋体" w:hAnsi="宋体" w:cs="宋体"/>
          <w:b/>
          <w:sz w:val="24"/>
          <w:szCs w:val="24"/>
        </w:rPr>
      </w:pPr>
      <w:bookmarkStart w:id="555" w:name="_Toc9826"/>
      <w:r>
        <w:rPr>
          <w:rFonts w:hint="eastAsia" w:ascii="宋体" w:hAnsi="宋体" w:cs="宋体"/>
          <w:b/>
          <w:sz w:val="24"/>
          <w:szCs w:val="24"/>
        </w:rPr>
        <w:t>基础数据管理</w:t>
      </w:r>
      <w:bookmarkEnd w:id="555"/>
    </w:p>
    <w:p>
      <w:pPr>
        <w:spacing w:line="360" w:lineRule="auto"/>
        <w:ind w:firstLine="480" w:firstLineChars="200"/>
        <w:rPr>
          <w:rFonts w:ascii="宋体" w:hAnsi="宋体" w:cs="宋体"/>
          <w:sz w:val="24"/>
          <w:szCs w:val="24"/>
        </w:rPr>
      </w:pPr>
      <w:r>
        <w:rPr>
          <w:rFonts w:hint="eastAsia" w:ascii="宋体" w:hAnsi="宋体" w:cs="宋体"/>
          <w:sz w:val="24"/>
          <w:szCs w:val="24"/>
        </w:rPr>
        <w:t>功能主要包括：客户信息，大船基本信息，驳船基本信息，堆位信息，港口信息，机械信息，工人信息，操作过程，操作方法，货类，货名等的管理功能。</w:t>
      </w:r>
    </w:p>
    <w:p>
      <w:pPr>
        <w:keepNext/>
        <w:keepLines/>
        <w:numPr>
          <w:ilvl w:val="2"/>
          <w:numId w:val="5"/>
        </w:numPr>
        <w:spacing w:before="260" w:after="260" w:line="360" w:lineRule="auto"/>
        <w:outlineLvl w:val="2"/>
        <w:rPr>
          <w:rFonts w:ascii="宋体" w:hAnsi="宋体" w:cs="宋体"/>
          <w:b/>
          <w:sz w:val="24"/>
          <w:szCs w:val="24"/>
        </w:rPr>
      </w:pPr>
      <w:bookmarkStart w:id="556" w:name="_Toc8891"/>
      <w:r>
        <w:rPr>
          <w:rFonts w:hint="eastAsia" w:ascii="宋体" w:hAnsi="宋体" w:cs="宋体"/>
          <w:b/>
          <w:sz w:val="24"/>
          <w:szCs w:val="24"/>
        </w:rPr>
        <w:t>综合查询管理</w:t>
      </w:r>
      <w:bookmarkEnd w:id="556"/>
    </w:p>
    <w:p>
      <w:pPr>
        <w:spacing w:line="360" w:lineRule="auto"/>
        <w:ind w:firstLine="480" w:firstLineChars="200"/>
        <w:rPr>
          <w:rFonts w:ascii="宋体" w:hAnsi="宋体" w:cs="宋体"/>
          <w:sz w:val="24"/>
          <w:szCs w:val="24"/>
        </w:rPr>
      </w:pPr>
      <w:r>
        <w:rPr>
          <w:rFonts w:hint="eastAsia" w:ascii="宋体" w:hAnsi="宋体" w:cs="宋体"/>
          <w:sz w:val="24"/>
          <w:szCs w:val="24"/>
        </w:rPr>
        <w:t>综合查询功能主要包括：过磅记录查询，汽车进出闸口记录查询，库场货物信息查询，应收账款账龄分析，预收余额分析，发票综合查询，收款综合查询，欠款综合查询，应收港口费清理明细，退款综合查询，费收凭证查询，费目凭证查询。</w:t>
      </w:r>
    </w:p>
    <w:p>
      <w:pPr>
        <w:keepNext/>
        <w:keepLines/>
        <w:numPr>
          <w:ilvl w:val="2"/>
          <w:numId w:val="5"/>
        </w:numPr>
        <w:spacing w:before="260" w:after="260" w:line="360" w:lineRule="auto"/>
        <w:outlineLvl w:val="2"/>
        <w:rPr>
          <w:rFonts w:ascii="宋体" w:hAnsi="宋体" w:cs="宋体"/>
          <w:b/>
          <w:sz w:val="24"/>
          <w:szCs w:val="24"/>
        </w:rPr>
      </w:pPr>
      <w:bookmarkStart w:id="557" w:name="_Toc22580"/>
      <w:r>
        <w:rPr>
          <w:rFonts w:hint="eastAsia" w:ascii="宋体" w:hAnsi="宋体" w:cs="宋体"/>
          <w:b/>
          <w:sz w:val="24"/>
          <w:szCs w:val="24"/>
        </w:rPr>
        <w:t>统计报表管理</w:t>
      </w:r>
      <w:bookmarkEnd w:id="557"/>
    </w:p>
    <w:p>
      <w:pPr>
        <w:spacing w:line="360" w:lineRule="auto"/>
        <w:ind w:firstLine="480" w:firstLineChars="200"/>
        <w:rPr>
          <w:rFonts w:ascii="宋体" w:hAnsi="宋体" w:cs="宋体"/>
          <w:sz w:val="24"/>
          <w:szCs w:val="24"/>
        </w:rPr>
      </w:pPr>
      <w:r>
        <w:rPr>
          <w:rFonts w:hint="eastAsia" w:ascii="宋体" w:hAnsi="宋体" w:cs="宋体"/>
          <w:sz w:val="24"/>
          <w:szCs w:val="24"/>
        </w:rPr>
        <w:t>功能主要包括：日、周</w:t>
      </w:r>
      <w:r>
        <w:rPr>
          <w:rFonts w:ascii="宋体" w:hAnsi="宋体" w:cs="宋体"/>
          <w:sz w:val="24"/>
          <w:szCs w:val="24"/>
        </w:rPr>
        <w:t>、</w:t>
      </w:r>
      <w:r>
        <w:rPr>
          <w:rFonts w:hint="eastAsia" w:ascii="宋体" w:hAnsi="宋体" w:cs="宋体"/>
          <w:sz w:val="24"/>
          <w:szCs w:val="24"/>
        </w:rPr>
        <w:t>月、</w:t>
      </w:r>
      <w:r>
        <w:rPr>
          <w:rFonts w:ascii="宋体" w:hAnsi="宋体" w:cs="宋体"/>
          <w:sz w:val="24"/>
          <w:szCs w:val="24"/>
        </w:rPr>
        <w:t>季度、年度</w:t>
      </w:r>
      <w:r>
        <w:rPr>
          <w:rFonts w:hint="eastAsia" w:ascii="宋体" w:hAnsi="宋体" w:cs="宋体"/>
          <w:sz w:val="24"/>
          <w:szCs w:val="24"/>
        </w:rPr>
        <w:t>报表，吞吐量报表，交统港表等</w:t>
      </w:r>
      <w:r>
        <w:rPr>
          <w:rFonts w:ascii="宋体" w:hAnsi="宋体" w:cs="宋体"/>
          <w:sz w:val="24"/>
          <w:szCs w:val="24"/>
        </w:rPr>
        <w:t>，</w:t>
      </w:r>
      <w:r>
        <w:rPr>
          <w:rFonts w:hint="eastAsia" w:ascii="宋体" w:hAnsi="宋体" w:cs="宋体"/>
          <w:sz w:val="24"/>
          <w:szCs w:val="24"/>
        </w:rPr>
        <w:t>可</w:t>
      </w:r>
      <w:r>
        <w:rPr>
          <w:rFonts w:ascii="宋体" w:hAnsi="宋体" w:cs="宋体"/>
          <w:sz w:val="24"/>
          <w:szCs w:val="24"/>
        </w:rPr>
        <w:t>根据实际</w:t>
      </w:r>
      <w:r>
        <w:rPr>
          <w:rFonts w:hint="eastAsia" w:ascii="宋体" w:hAnsi="宋体" w:cs="宋体"/>
          <w:sz w:val="24"/>
          <w:szCs w:val="24"/>
        </w:rPr>
        <w:t>需求</w:t>
      </w:r>
      <w:r>
        <w:rPr>
          <w:rFonts w:ascii="宋体" w:hAnsi="宋体" w:cs="宋体"/>
          <w:sz w:val="24"/>
          <w:szCs w:val="24"/>
        </w:rPr>
        <w:t>提取相关数据要素并生成对应</w:t>
      </w:r>
      <w:r>
        <w:rPr>
          <w:rFonts w:hint="eastAsia" w:ascii="宋体" w:hAnsi="宋体" w:cs="宋体"/>
          <w:sz w:val="24"/>
          <w:szCs w:val="24"/>
        </w:rPr>
        <w:t>个性化</w:t>
      </w:r>
      <w:r>
        <w:rPr>
          <w:rFonts w:ascii="宋体" w:hAnsi="宋体" w:cs="宋体"/>
          <w:sz w:val="24"/>
          <w:szCs w:val="24"/>
        </w:rPr>
        <w:t>表格</w:t>
      </w:r>
      <w:r>
        <w:rPr>
          <w:rFonts w:hint="eastAsia" w:ascii="宋体" w:hAnsi="宋体" w:cs="宋体"/>
          <w:sz w:val="24"/>
          <w:szCs w:val="24"/>
        </w:rPr>
        <w:t>。</w:t>
      </w:r>
    </w:p>
    <w:p>
      <w:pPr>
        <w:keepNext/>
        <w:keepLines/>
        <w:numPr>
          <w:ilvl w:val="2"/>
          <w:numId w:val="5"/>
        </w:numPr>
        <w:spacing w:before="260" w:after="260" w:line="360" w:lineRule="auto"/>
        <w:outlineLvl w:val="2"/>
        <w:rPr>
          <w:rFonts w:ascii="宋体" w:hAnsi="宋体" w:cs="宋体"/>
          <w:b/>
          <w:sz w:val="24"/>
          <w:szCs w:val="24"/>
        </w:rPr>
      </w:pPr>
      <w:bookmarkStart w:id="558" w:name="_Toc5747"/>
      <w:r>
        <w:rPr>
          <w:rFonts w:hint="eastAsia" w:ascii="宋体" w:hAnsi="宋体" w:cs="宋体"/>
          <w:b/>
          <w:sz w:val="24"/>
          <w:szCs w:val="24"/>
        </w:rPr>
        <w:t>用户权限管理</w:t>
      </w:r>
      <w:bookmarkEnd w:id="558"/>
    </w:p>
    <w:p>
      <w:pPr>
        <w:spacing w:line="360" w:lineRule="auto"/>
        <w:ind w:firstLine="480" w:firstLineChars="200"/>
        <w:rPr>
          <w:rFonts w:ascii="宋体" w:hAnsi="宋体" w:cs="宋体"/>
          <w:sz w:val="24"/>
          <w:szCs w:val="24"/>
        </w:rPr>
      </w:pPr>
      <w:r>
        <w:rPr>
          <w:rFonts w:hint="eastAsia" w:ascii="宋体" w:hAnsi="宋体" w:cs="宋体"/>
          <w:sz w:val="24"/>
          <w:szCs w:val="24"/>
        </w:rPr>
        <w:t>功能主要包括：用户管理，权限管理。</w:t>
      </w:r>
    </w:p>
    <w:p>
      <w:pPr>
        <w:keepNext/>
        <w:keepLines/>
        <w:numPr>
          <w:ilvl w:val="2"/>
          <w:numId w:val="5"/>
        </w:numPr>
        <w:spacing w:before="260" w:after="260" w:line="360" w:lineRule="auto"/>
        <w:outlineLvl w:val="2"/>
        <w:rPr>
          <w:rFonts w:ascii="宋体" w:hAnsi="宋体" w:cs="宋体"/>
          <w:b/>
          <w:sz w:val="24"/>
          <w:szCs w:val="24"/>
        </w:rPr>
      </w:pPr>
      <w:bookmarkStart w:id="559" w:name="_Toc25893"/>
      <w:r>
        <w:rPr>
          <w:rFonts w:hint="eastAsia" w:ascii="宋体" w:hAnsi="宋体" w:cs="宋体"/>
          <w:b/>
          <w:sz w:val="24"/>
          <w:szCs w:val="24"/>
        </w:rPr>
        <w:t>客户服务</w:t>
      </w:r>
      <w:bookmarkEnd w:id="559"/>
    </w:p>
    <w:p>
      <w:pPr>
        <w:spacing w:line="360" w:lineRule="auto"/>
        <w:ind w:firstLine="480" w:firstLineChars="200"/>
        <w:rPr>
          <w:rFonts w:ascii="宋体" w:hAnsi="宋体" w:cs="宋体"/>
          <w:sz w:val="24"/>
          <w:szCs w:val="24"/>
        </w:rPr>
      </w:pPr>
      <w:r>
        <w:rPr>
          <w:rFonts w:hint="eastAsia" w:ascii="宋体" w:hAnsi="宋体" w:cs="宋体"/>
          <w:sz w:val="24"/>
          <w:szCs w:val="24"/>
        </w:rPr>
        <w:t>功能主要包括：船舶信息、出库单信息、出库记录信息、计费信息、欠款信息等综合查询功能，实现</w:t>
      </w:r>
      <w:bookmarkStart w:id="560" w:name="OLE_LINK13"/>
      <w:r>
        <w:rPr>
          <w:rFonts w:hint="eastAsia" w:ascii="宋体" w:hAnsi="宋体" w:cs="宋体"/>
          <w:sz w:val="24"/>
          <w:szCs w:val="24"/>
        </w:rPr>
        <w:t>AI</w:t>
      </w:r>
      <w:bookmarkEnd w:id="560"/>
      <w:r>
        <w:rPr>
          <w:rFonts w:hint="eastAsia" w:ascii="宋体" w:hAnsi="宋体" w:cs="宋体"/>
          <w:sz w:val="24"/>
          <w:szCs w:val="24"/>
        </w:rPr>
        <w:t>智能客服助手为客户在码头办理业务提供指引说明。</w:t>
      </w:r>
    </w:p>
    <w:p>
      <w:pPr>
        <w:keepNext/>
        <w:keepLines/>
        <w:numPr>
          <w:ilvl w:val="1"/>
          <w:numId w:val="5"/>
        </w:numPr>
        <w:spacing w:before="260" w:after="260" w:line="360" w:lineRule="auto"/>
        <w:ind w:left="0" w:firstLine="0"/>
        <w:outlineLvl w:val="1"/>
        <w:rPr>
          <w:rFonts w:ascii="宋体" w:hAnsi="宋体" w:cs="宋体"/>
          <w:b/>
          <w:sz w:val="24"/>
          <w:szCs w:val="24"/>
        </w:rPr>
      </w:pPr>
      <w:bookmarkStart w:id="561" w:name="_Toc2821"/>
      <w:bookmarkStart w:id="562" w:name="_Toc11375"/>
      <w:r>
        <w:rPr>
          <w:rFonts w:hint="eastAsia" w:ascii="宋体" w:hAnsi="宋体" w:cs="宋体"/>
          <w:b/>
          <w:sz w:val="24"/>
          <w:szCs w:val="24"/>
        </w:rPr>
        <w:t>物联网建设要求</w:t>
      </w:r>
      <w:bookmarkEnd w:id="561"/>
      <w:bookmarkEnd w:id="562"/>
    </w:p>
    <w:p>
      <w:pPr>
        <w:spacing w:line="360" w:lineRule="auto"/>
        <w:ind w:firstLine="480" w:firstLineChars="200"/>
        <w:rPr>
          <w:rFonts w:ascii="宋体" w:hAnsi="宋体" w:cs="宋体"/>
          <w:sz w:val="24"/>
          <w:szCs w:val="24"/>
        </w:rPr>
      </w:pPr>
      <w:r>
        <w:rPr>
          <w:rFonts w:hint="eastAsia" w:ascii="宋体" w:hAnsi="宋体" w:cs="宋体"/>
          <w:sz w:val="24"/>
          <w:szCs w:val="24"/>
        </w:rPr>
        <w:t>建设5条单向港内物联网智能地磅通道，1条双向港内物联网智能地磅通道。</w:t>
      </w:r>
    </w:p>
    <w:p>
      <w:pPr>
        <w:keepNext/>
        <w:keepLines/>
        <w:numPr>
          <w:ilvl w:val="2"/>
          <w:numId w:val="5"/>
        </w:numPr>
        <w:spacing w:before="260" w:after="260" w:line="360" w:lineRule="auto"/>
        <w:outlineLvl w:val="2"/>
        <w:rPr>
          <w:rFonts w:ascii="宋体" w:hAnsi="宋体" w:cs="宋体"/>
          <w:b/>
          <w:sz w:val="24"/>
          <w:szCs w:val="24"/>
        </w:rPr>
      </w:pPr>
      <w:bookmarkStart w:id="563" w:name="_Toc3427"/>
      <w:r>
        <w:rPr>
          <w:rFonts w:hint="eastAsia" w:ascii="宋体" w:hAnsi="宋体" w:cs="宋体"/>
          <w:b/>
          <w:sz w:val="24"/>
          <w:szCs w:val="24"/>
        </w:rPr>
        <w:t>软件要求</w:t>
      </w:r>
      <w:bookmarkEnd w:id="563"/>
    </w:p>
    <w:p>
      <w:pPr>
        <w:spacing w:line="360" w:lineRule="auto"/>
        <w:ind w:firstLine="480" w:firstLineChars="200"/>
        <w:rPr>
          <w:rFonts w:ascii="宋体" w:hAnsi="宋体" w:cs="宋体"/>
          <w:sz w:val="24"/>
          <w:szCs w:val="24"/>
        </w:rPr>
      </w:pPr>
      <w:r>
        <w:rPr>
          <w:rFonts w:hint="eastAsia" w:ascii="宋体" w:hAnsi="宋体" w:cs="宋体"/>
          <w:sz w:val="24"/>
          <w:szCs w:val="24"/>
        </w:rPr>
        <w:drawing>
          <wp:inline distT="0" distB="0" distL="114300" distR="114300">
            <wp:extent cx="4748530" cy="3188335"/>
            <wp:effectExtent l="0" t="0" r="13970" b="12065"/>
            <wp:docPr id="5" name="图片 5" descr="98feecac2e2ba5103597280e214b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8feecac2e2ba5103597280e214b323"/>
                    <pic:cNvPicPr>
                      <a:picLocks noChangeAspect="1"/>
                    </pic:cNvPicPr>
                  </pic:nvPicPr>
                  <pic:blipFill>
                    <a:blip r:embed="rId8"/>
                    <a:stretch>
                      <a:fillRect/>
                    </a:stretch>
                  </pic:blipFill>
                  <pic:spPr>
                    <a:xfrm>
                      <a:off x="0" y="0"/>
                      <a:ext cx="4748530" cy="3188335"/>
                    </a:xfrm>
                    <a:prstGeom prst="rect">
                      <a:avLst/>
                    </a:prstGeom>
                  </pic:spPr>
                </pic:pic>
              </a:graphicData>
            </a:graphic>
          </wp:inline>
        </w:drawing>
      </w:r>
    </w:p>
    <w:p>
      <w:pPr>
        <w:spacing w:line="360" w:lineRule="auto"/>
        <w:ind w:firstLine="480" w:firstLineChars="200"/>
        <w:rPr>
          <w:rFonts w:ascii="宋体" w:hAnsi="宋体" w:cs="宋体"/>
          <w:sz w:val="24"/>
          <w:szCs w:val="24"/>
        </w:rPr>
      </w:pPr>
      <w:r>
        <w:rPr>
          <w:rFonts w:hint="eastAsia" w:ascii="宋体" w:hAnsi="宋体" w:cs="宋体"/>
          <w:sz w:val="24"/>
          <w:szCs w:val="24"/>
        </w:rPr>
        <w:t>（1）车牌识别：车牌识别采用视频触发方式工作。当车辆进出时检测到车辆进入，智能识别车牌。根据需求开发智能地磅控制软件，利用智能地磅设备，对进出地磅通道的散杂货车辆进行管理，在车辆进出时，自动识别车牌信息，并提交到过磅系统中，根据车辆信息执行相应的进出港操作。</w:t>
      </w:r>
    </w:p>
    <w:p>
      <w:pPr>
        <w:spacing w:line="360" w:lineRule="auto"/>
        <w:ind w:firstLine="480" w:firstLineChars="200"/>
        <w:rPr>
          <w:rFonts w:ascii="宋体" w:hAnsi="宋体" w:cs="宋体"/>
          <w:sz w:val="24"/>
          <w:szCs w:val="24"/>
        </w:rPr>
      </w:pPr>
      <w:bookmarkStart w:id="564" w:name="_Toc16720"/>
      <w:bookmarkStart w:id="565" w:name="_Toc1212"/>
      <w:r>
        <w:rPr>
          <w:rFonts w:hint="eastAsia" w:ascii="宋体" w:hAnsi="宋体" w:cs="宋体"/>
          <w:sz w:val="24"/>
          <w:szCs w:val="24"/>
        </w:rPr>
        <w:t>（2）地磅数据及设备控制</w:t>
      </w:r>
      <w:bookmarkEnd w:id="564"/>
      <w:bookmarkEnd w:id="565"/>
      <w:r>
        <w:rPr>
          <w:rFonts w:hint="eastAsia" w:ascii="宋体" w:hAnsi="宋体" w:cs="宋体"/>
          <w:sz w:val="24"/>
          <w:szCs w:val="24"/>
        </w:rPr>
        <w:t>：该模块主要是获取地磅设备完成对通道设备控制实现放行。硬件控制模块直接控制硬件设备，包括图像抓拍设备、LED显示屏、交通灯等，以及获取地磅数据。硬件控制模块用于完成车辆的进出控制，通过控制软件自动完成车辆信息匹配、判定车辆合法性、车辆放行等功能，异常情况下可切换为人工模式工作。</w:t>
      </w:r>
    </w:p>
    <w:p>
      <w:pPr>
        <w:spacing w:line="360" w:lineRule="auto"/>
        <w:ind w:firstLine="480" w:firstLineChars="200"/>
        <w:rPr>
          <w:rFonts w:ascii="宋体" w:hAnsi="宋体" w:cs="宋体"/>
          <w:sz w:val="24"/>
          <w:szCs w:val="24"/>
        </w:rPr>
      </w:pPr>
      <w:bookmarkStart w:id="566" w:name="_Toc31850"/>
      <w:bookmarkStart w:id="567" w:name="_Toc21488"/>
      <w:r>
        <w:rPr>
          <w:rFonts w:hint="eastAsia" w:ascii="宋体" w:hAnsi="宋体" w:cs="宋体"/>
          <w:sz w:val="24"/>
          <w:szCs w:val="24"/>
        </w:rPr>
        <w:t>（3）自助服务终端</w:t>
      </w:r>
      <w:bookmarkEnd w:id="566"/>
      <w:bookmarkEnd w:id="567"/>
      <w:r>
        <w:rPr>
          <w:rFonts w:hint="eastAsia" w:ascii="宋体" w:hAnsi="宋体" w:cs="宋体"/>
          <w:sz w:val="24"/>
          <w:szCs w:val="24"/>
        </w:rPr>
        <w:t>：自助服务终端中包含对讲系统、提示确认按钮、LED显示。完成现场与监控中心的人员信息交互及沟通，以及自助打印过磅小票。</w:t>
      </w:r>
    </w:p>
    <w:p>
      <w:pPr>
        <w:spacing w:line="360" w:lineRule="auto"/>
        <w:ind w:firstLine="480" w:firstLineChars="200"/>
        <w:rPr>
          <w:rFonts w:ascii="宋体" w:hAnsi="宋体" w:cs="宋体"/>
          <w:sz w:val="24"/>
          <w:szCs w:val="24"/>
        </w:rPr>
      </w:pPr>
      <w:bookmarkStart w:id="568" w:name="_Toc21256"/>
      <w:bookmarkStart w:id="569" w:name="_Toc2494"/>
      <w:r>
        <w:rPr>
          <w:rFonts w:hint="eastAsia" w:ascii="宋体" w:hAnsi="宋体" w:cs="宋体"/>
          <w:sz w:val="24"/>
          <w:szCs w:val="24"/>
        </w:rPr>
        <w:t>（4）红外防作弊</w:t>
      </w:r>
      <w:bookmarkEnd w:id="568"/>
      <w:bookmarkEnd w:id="569"/>
      <w:r>
        <w:rPr>
          <w:rFonts w:hint="eastAsia" w:ascii="宋体" w:hAnsi="宋体" w:cs="宋体"/>
          <w:sz w:val="24"/>
          <w:szCs w:val="24"/>
        </w:rPr>
        <w:t>：使用红外对射技术，判断车辆是否完全上磅，防止车辆未完全上磅导致的货物重量损失。</w:t>
      </w:r>
    </w:p>
    <w:p>
      <w:pPr>
        <w:spacing w:line="360" w:lineRule="auto"/>
        <w:ind w:firstLine="480" w:firstLineChars="200"/>
        <w:rPr>
          <w:rFonts w:ascii="宋体" w:hAnsi="宋体" w:cs="宋体"/>
          <w:sz w:val="24"/>
          <w:szCs w:val="24"/>
        </w:rPr>
      </w:pPr>
      <w:bookmarkStart w:id="570" w:name="_Toc3081"/>
      <w:bookmarkStart w:id="571" w:name="_Toc8409"/>
      <w:r>
        <w:rPr>
          <w:rFonts w:hint="eastAsia" w:ascii="宋体" w:hAnsi="宋体" w:cs="宋体"/>
          <w:sz w:val="24"/>
          <w:szCs w:val="24"/>
        </w:rPr>
        <w:t>（5）视频监控抓拍</w:t>
      </w:r>
      <w:bookmarkEnd w:id="570"/>
      <w:bookmarkEnd w:id="571"/>
      <w:r>
        <w:rPr>
          <w:rFonts w:hint="eastAsia" w:ascii="宋体" w:hAnsi="宋体" w:cs="宋体"/>
          <w:sz w:val="24"/>
          <w:szCs w:val="24"/>
        </w:rPr>
        <w:t>：抓拍摄像控制模块用于完成车辆的视频监控以及车辆检测抓拍，远程监控地磅运行，通过远程监控界面可实时查询地磅进出数据、视频、历史进出数据等。视频监控包含车道监控功能，监控设备包括监控摄像机、补光灯，时空开关为微电脑时控开关。通道监控摄像机为常开状态，系统工作时不间断将图像数据传送至监控中心。微电脑控制开关在进入夜晚时自动开启补光灯，对通道监控和抓拍摄像机进行补光。</w:t>
      </w:r>
    </w:p>
    <w:p>
      <w:pPr>
        <w:spacing w:line="360" w:lineRule="auto"/>
        <w:ind w:firstLine="480" w:firstLineChars="200"/>
        <w:rPr>
          <w:rFonts w:ascii="宋体" w:hAnsi="宋体" w:cs="宋体"/>
          <w:sz w:val="24"/>
          <w:szCs w:val="24"/>
        </w:rPr>
      </w:pPr>
      <w:r>
        <w:rPr>
          <w:rFonts w:hint="eastAsia" w:ascii="宋体" w:hAnsi="宋体" w:cs="宋体"/>
          <w:sz w:val="24"/>
          <w:szCs w:val="24"/>
        </w:rPr>
        <w:t>（6）软硬件工作监测：实时查看设备状态、现场设备管理、终端插件管理及添加、终端软件在线升级等。</w:t>
      </w:r>
    </w:p>
    <w:p>
      <w:pPr>
        <w:spacing w:line="360" w:lineRule="auto"/>
        <w:ind w:firstLine="480" w:firstLineChars="200"/>
        <w:rPr>
          <w:rFonts w:ascii="宋体" w:hAnsi="宋体" w:cs="宋体"/>
          <w:sz w:val="24"/>
          <w:szCs w:val="24"/>
        </w:rPr>
      </w:pPr>
      <w:bookmarkStart w:id="572" w:name="_Toc13995"/>
      <w:bookmarkStart w:id="573" w:name="_Toc26704"/>
      <w:r>
        <w:rPr>
          <w:rFonts w:hint="eastAsia" w:ascii="宋体" w:hAnsi="宋体" w:cs="宋体"/>
          <w:sz w:val="24"/>
          <w:szCs w:val="24"/>
        </w:rPr>
        <w:t>（7）作业指令数据接口</w:t>
      </w:r>
      <w:bookmarkEnd w:id="572"/>
      <w:bookmarkEnd w:id="573"/>
      <w:r>
        <w:rPr>
          <w:rFonts w:hint="eastAsia" w:ascii="宋体" w:hAnsi="宋体" w:cs="宋体"/>
          <w:sz w:val="24"/>
          <w:szCs w:val="24"/>
        </w:rPr>
        <w:t>：完成过磅数据交互，实现作业系统无缝对接，完成车辆信息匹配、判定车辆合法性、车辆放行、车辆过磅等功能。</w:t>
      </w:r>
    </w:p>
    <w:p>
      <w:pPr>
        <w:keepNext/>
        <w:keepLines/>
        <w:numPr>
          <w:ilvl w:val="2"/>
          <w:numId w:val="5"/>
        </w:numPr>
        <w:spacing w:before="260" w:after="260" w:line="360" w:lineRule="auto"/>
        <w:outlineLvl w:val="2"/>
        <w:rPr>
          <w:rFonts w:ascii="宋体" w:hAnsi="宋体" w:cs="宋体"/>
          <w:b/>
          <w:sz w:val="24"/>
          <w:szCs w:val="24"/>
        </w:rPr>
      </w:pPr>
      <w:bookmarkStart w:id="574" w:name="_Toc4928"/>
      <w:r>
        <w:rPr>
          <w:rFonts w:hint="eastAsia" w:ascii="宋体" w:hAnsi="宋体" w:cs="宋体"/>
          <w:b/>
          <w:sz w:val="24"/>
          <w:szCs w:val="24"/>
        </w:rPr>
        <w:t>硬件要求</w:t>
      </w:r>
      <w:bookmarkEnd w:id="574"/>
    </w:p>
    <w:p>
      <w:pPr>
        <w:spacing w:line="360" w:lineRule="auto"/>
        <w:rPr>
          <w:rFonts w:ascii="宋体" w:hAnsi="宋体" w:cs="宋体"/>
          <w:sz w:val="24"/>
          <w:szCs w:val="24"/>
        </w:rPr>
      </w:pPr>
      <w:r>
        <w:rPr>
          <w:rFonts w:hint="eastAsia" w:ascii="宋体" w:hAnsi="宋体" w:cs="宋体"/>
          <w:sz w:val="24"/>
          <w:szCs w:val="24"/>
        </w:rPr>
        <w:t>（1）硬件控制设备集成</w:t>
      </w:r>
    </w:p>
    <w:p>
      <w:pPr>
        <w:spacing w:line="360" w:lineRule="auto"/>
        <w:ind w:firstLine="420"/>
        <w:rPr>
          <w:rFonts w:ascii="宋体" w:hAnsi="宋体" w:cs="宋体"/>
          <w:sz w:val="24"/>
          <w:szCs w:val="24"/>
        </w:rPr>
      </w:pPr>
      <w:r>
        <w:rPr>
          <w:rFonts w:hint="eastAsia" w:ascii="宋体" w:hAnsi="宋体" w:cs="宋体"/>
          <w:sz w:val="24"/>
          <w:szCs w:val="24"/>
        </w:rPr>
        <w:t>硬件控制设备包括交通指示灯、雷达设备。硬件控制设备接收上位机控制指令，自动/手动完成指示、放行、拒绝放行等指令。硬件控制设备按照上位机控制指令工作。车辆合法放行时，交通指示灯显示绿色通行指示；车辆通行结束，交通恢复红色拒绝通行指示。车辆非法时，交通灯保持红色拒绝通行状态。接入岗亭。红绿灯安装在立杆上，抱箍固定，高度与司机视线基本齐平。</w:t>
      </w:r>
    </w:p>
    <w:p>
      <w:pPr>
        <w:spacing w:line="360" w:lineRule="auto"/>
        <w:rPr>
          <w:rFonts w:ascii="宋体" w:hAnsi="宋体" w:cs="宋体"/>
          <w:sz w:val="24"/>
          <w:szCs w:val="24"/>
        </w:rPr>
      </w:pPr>
      <w:r>
        <w:rPr>
          <w:rFonts w:hint="eastAsia" w:ascii="宋体" w:hAnsi="宋体" w:cs="宋体"/>
          <w:sz w:val="24"/>
          <w:szCs w:val="24"/>
        </w:rPr>
        <w:t>（2）主要设备清单</w:t>
      </w:r>
    </w:p>
    <w:tbl>
      <w:tblPr>
        <w:tblStyle w:val="41"/>
        <w:tblW w:w="9260" w:type="dxa"/>
        <w:jc w:val="center"/>
        <w:tblLayout w:type="fixed"/>
        <w:tblCellMar>
          <w:top w:w="0" w:type="dxa"/>
          <w:left w:w="108" w:type="dxa"/>
          <w:bottom w:w="0" w:type="dxa"/>
          <w:right w:w="108" w:type="dxa"/>
        </w:tblCellMar>
      </w:tblPr>
      <w:tblGrid>
        <w:gridCol w:w="527"/>
        <w:gridCol w:w="1300"/>
        <w:gridCol w:w="1080"/>
        <w:gridCol w:w="491"/>
        <w:gridCol w:w="3379"/>
        <w:gridCol w:w="600"/>
        <w:gridCol w:w="720"/>
        <w:gridCol w:w="1163"/>
      </w:tblGrid>
      <w:tr>
        <w:tblPrEx>
          <w:tblCellMar>
            <w:top w:w="0" w:type="dxa"/>
            <w:left w:w="108" w:type="dxa"/>
            <w:bottom w:w="0" w:type="dxa"/>
            <w:right w:w="108" w:type="dxa"/>
          </w:tblCellMar>
        </w:tblPrEx>
        <w:trPr>
          <w:trHeight w:val="60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产品名称</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规格参数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390" w:hRule="atLeast"/>
          <w:jc w:val="center"/>
        </w:trPr>
        <w:tc>
          <w:tcPr>
            <w:tcW w:w="9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1个单向港内地磅物联网设备清单</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监控摄像机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像素400万；镜头 ：2.8-12mm @ F1.4,水平视场角：90.1°~31° ；镜头接口类型 ：Φ14 自动光圈 DC 驱动 ；日夜转换模式 :ICR红外滤片式 ；宽动态范围 :120dB ；背光补偿 :支持，可选择区域 ；视频压缩标准: H.265 / H.264 / MJPEG ；H.265编码类型 Main Profile H.264 编码类型 ；图像:最大图像尺寸 1920×1080  ；第三码流分辨率与帧率 ；独立于主码流设置，最高支持：60Hz: 30fps (1920 × 1080) ；接口协议:ONVIF,PSIA,CGI,ISAPI,GB28181 支持议:TCP/IP,ICMP,HTTP,HTTPS,FTP,DHCP,DNS,DDNS,RTP,RTSP,RTCP,PPPoE,NTP,UPnP,SMTP,SNMP,IGMP,802.1X,QoS,IPv6,Bonjour接口 ；通讯接口 ：1个RJ45 10M/100M/1000M自适应以太网口 ；工作温度和湿度 ：-30℃~60℃,湿度小于95%(无凝结)；</w:t>
            </w:r>
            <w:r>
              <w:rPr>
                <w:rFonts w:hint="eastAsia" w:ascii="宋体" w:hAnsi="宋体" w:cs="宋体"/>
                <w:kern w:val="0"/>
                <w:szCs w:val="21"/>
                <w:lang w:bidi="ar"/>
              </w:rPr>
              <w:br w:type="textWrapping"/>
            </w:r>
            <w:r>
              <w:rPr>
                <w:rFonts w:hint="eastAsia" w:ascii="宋体" w:hAnsi="宋体" w:cs="宋体"/>
                <w:kern w:val="0"/>
                <w:szCs w:val="21"/>
                <w:lang w:bidi="ar"/>
              </w:rPr>
              <w:t>-H:-40℃~60℃ ；电源供应 ：DC12V  2A/ PoE(802.3at) ；功耗 ：12W MAX ；防护等级 ：IP67 ；尺寸（mm） ：206.5×103.9×100 ；重量 ：1700g</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车头1、仪表监控1，车牌1</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车牌识别摄像枪</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CPU ARM600MHZ 主频支持；传感器 1/2.8 ” CMOS (200W) *1；低照度 灵敏度2376mV彩色（补白光）；曝光时间 0-1ms, 0-2ms, 0-3ms, 0-4ms；硬件指标 镜头 定焦镜头6mm （可选）；变焦镜头（2.8mm-12mm，6mm-22mm, 5mm-50mm）（可选）；视频压缩标准 H.264/H.265/MJPEG；视频分辨率 353*288、 640*360、 704*576、 1280*720、 1920*1080；压缩输出码率 512Kbps </w:t>
            </w:r>
            <w:r>
              <w:rPr>
                <w:rFonts w:hint="eastAsia" w:ascii="宋体" w:hAnsi="宋体" w:cs="宋体"/>
                <w:szCs w:val="21"/>
                <w:lang w:bidi="ar"/>
              </w:rPr>
              <w:t>〜5000Kbps；帧率 1〜25帧，默认25帧（1920*1080）；网络接口 1 路 10/100Mbps 自适应 RJ45 口；10接口输出 2路/4路；10接口输入 2路/4路；RS485 1路/2路；RS232 0路/I路；接口指标 AUDIO 1路输入+1路输出；USB 接口 1 路 USBType-A 接口；SD (TF)卡槽 1路TF卡槽，最大支持128G容量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补光灯</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LED灯数量：1W高亮度LED灯珠24颗；控制：常亮/时控开关/光敏控制；等级：IP65，室内外通用；波长：380nm~850nm；视角/视距：15°/150米，30°/80米，45°/50米，60°/40米。通光量：2400lm；工作电压：AC220V。功率：24W；工作温度：－25度～＋85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摄像机配件</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支架、万向节等配件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立杆（镀锌杆）</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定制3米镀锌杆（直径89mm，厚度3.0mm）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立杆高度根据实际情况调整</w:t>
            </w:r>
          </w:p>
        </w:tc>
      </w:tr>
      <w:tr>
        <w:tblPrEx>
          <w:tblCellMar>
            <w:top w:w="0" w:type="dxa"/>
            <w:left w:w="108" w:type="dxa"/>
            <w:bottom w:w="0" w:type="dxa"/>
            <w:right w:w="108" w:type="dxa"/>
          </w:tblCellMar>
        </w:tblPrEx>
        <w:trPr>
          <w:trHeight w:val="13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智能终端</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嵌入式内核参数：</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-四核Cortex-A17 CPU，主频最高1.8GHz</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-多核Mali-T764 GPU,</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-2G内存：</w:t>
            </w:r>
          </w:p>
          <w:p>
            <w:pPr>
              <w:widowControl/>
              <w:jc w:val="left"/>
              <w:textAlignment w:val="center"/>
              <w:rPr>
                <w:rFonts w:ascii="宋体" w:hAnsi="宋体" w:cs="宋体"/>
                <w:szCs w:val="21"/>
              </w:rPr>
            </w:pPr>
            <w:r>
              <w:rPr>
                <w:rFonts w:hint="eastAsia" w:ascii="宋体" w:hAnsi="宋体" w:cs="宋体"/>
                <w:kern w:val="0"/>
                <w:szCs w:val="21"/>
                <w:lang w:bidi="ar"/>
              </w:rPr>
              <w:t>支持千兆以太网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红绿灯</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单孔，红叉绿箭，材质碳钢喷塑，直径300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交换机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网络标准:IEEE 802.3、IEEE 802.3u、IEEE 802.3x、IEEE 802.af 端口:9个10/100Mbps RJ45 端口，其中1-8端口支持PoE功能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激光对射探测器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工作电流450mA报警电流</w:t>
            </w:r>
            <w:r>
              <w:rPr>
                <w:rFonts w:hint="eastAsia" w:ascii="宋体" w:hAnsi="宋体" w:cs="宋体"/>
                <w:kern w:val="0"/>
                <w:szCs w:val="21"/>
                <w:lang w:bidi="ar"/>
              </w:rPr>
              <w:br w:type="textWrapping"/>
            </w:r>
            <w:r>
              <w:rPr>
                <w:rFonts w:hint="eastAsia" w:ascii="宋体" w:hAnsi="宋体" w:cs="宋体"/>
                <w:kern w:val="0"/>
                <w:szCs w:val="21"/>
                <w:lang w:bidi="ar"/>
              </w:rPr>
              <w:t>430mA设备功耗5.4W遮挡时间</w:t>
            </w:r>
            <w:r>
              <w:rPr>
                <w:rFonts w:hint="eastAsia" w:ascii="宋体" w:hAnsi="宋体" w:cs="宋体"/>
                <w:kern w:val="0"/>
                <w:szCs w:val="21"/>
                <w:lang w:bidi="ar"/>
              </w:rPr>
              <w:br w:type="textWrapping"/>
            </w:r>
            <w:r>
              <w:rPr>
                <w:rFonts w:hint="eastAsia" w:ascii="宋体" w:hAnsi="宋体" w:cs="宋体"/>
                <w:kern w:val="0"/>
                <w:szCs w:val="21"/>
                <w:lang w:bidi="ar"/>
              </w:rPr>
              <w:t>40ms,100ms,300ms,700s可调探测方式遮挡单光束或遮挡2光束电源电压</w:t>
            </w:r>
            <w:r>
              <w:rPr>
                <w:rFonts w:hint="eastAsia" w:ascii="宋体" w:hAnsi="宋体" w:cs="宋体"/>
                <w:kern w:val="0"/>
                <w:szCs w:val="21"/>
                <w:lang w:bidi="ar"/>
              </w:rPr>
              <w:br w:type="textWrapping"/>
            </w:r>
            <w:r>
              <w:rPr>
                <w:rFonts w:hint="eastAsia" w:ascii="宋体" w:hAnsi="宋体" w:cs="宋体"/>
                <w:kern w:val="0"/>
                <w:szCs w:val="21"/>
                <w:lang w:bidi="ar"/>
              </w:rPr>
              <w:t>DC/AC12V～24V报警周期</w:t>
            </w:r>
            <w:r>
              <w:rPr>
                <w:rFonts w:hint="eastAsia" w:ascii="宋体" w:hAnsi="宋体" w:cs="宋体"/>
                <w:kern w:val="0"/>
                <w:szCs w:val="21"/>
                <w:lang w:bidi="ar"/>
              </w:rPr>
              <w:br w:type="textWrapping"/>
            </w:r>
            <w:r>
              <w:rPr>
                <w:rFonts w:hint="eastAsia" w:ascii="宋体" w:hAnsi="宋体" w:cs="宋体"/>
                <w:kern w:val="0"/>
                <w:szCs w:val="21"/>
                <w:lang w:bidi="ar"/>
              </w:rPr>
              <w:t>≥1.5s报警输出</w:t>
            </w:r>
            <w:r>
              <w:rPr>
                <w:rFonts w:hint="eastAsia" w:ascii="宋体" w:hAnsi="宋体" w:cs="宋体"/>
                <w:kern w:val="0"/>
                <w:szCs w:val="21"/>
                <w:lang w:bidi="ar"/>
              </w:rPr>
              <w:br w:type="textWrapping"/>
            </w:r>
            <w:r>
              <w:rPr>
                <w:rFonts w:hint="eastAsia" w:ascii="宋体" w:hAnsi="宋体" w:cs="宋体"/>
                <w:kern w:val="0"/>
                <w:szCs w:val="21"/>
                <w:lang w:bidi="ar"/>
              </w:rPr>
              <w:t>AC:125V/0.5A、DC:24V/1A 常开/常闭可选防拆开关常闭，当外壳被移除时打开防护等级IP67校正角度发射角度：＜8′，接收角度：＞10°；水平和垂直±30°环 境温度-20℃～55℃   湿度：≤95%</w:t>
            </w:r>
            <w:r>
              <w:rPr>
                <w:rFonts w:hint="eastAsia" w:ascii="宋体" w:hAnsi="宋体" w:cs="宋体"/>
                <w:kern w:val="0"/>
                <w:szCs w:val="21"/>
                <w:lang w:bidi="ar"/>
              </w:rPr>
              <w:br w:type="textWrapping"/>
            </w:r>
            <w:r>
              <w:rPr>
                <w:rFonts w:hint="eastAsia" w:ascii="宋体" w:hAnsi="宋体" w:cs="宋体"/>
                <w:kern w:val="0"/>
                <w:szCs w:val="21"/>
                <w:lang w:bidi="ar"/>
              </w:rPr>
              <w:t>尺 寸200*200*691mm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LED显示屏</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点中心距：2.5mm</w:t>
            </w:r>
            <w:r>
              <w:rPr>
                <w:rFonts w:hint="eastAsia" w:ascii="宋体" w:hAnsi="宋体" w:cs="宋体"/>
                <w:kern w:val="0"/>
                <w:szCs w:val="21"/>
                <w:lang w:bidi="ar"/>
              </w:rPr>
              <w:br w:type="textWrapping"/>
            </w:r>
            <w:r>
              <w:rPr>
                <w:rFonts w:hint="eastAsia" w:ascii="宋体" w:hAnsi="宋体" w:cs="宋体"/>
                <w:kern w:val="0"/>
                <w:szCs w:val="21"/>
                <w:lang w:bidi="ar"/>
              </w:rPr>
              <w:t>像素密度：160000点/㎡</w:t>
            </w:r>
            <w:r>
              <w:rPr>
                <w:rFonts w:hint="eastAsia" w:ascii="宋体" w:hAnsi="宋体" w:cs="宋体"/>
                <w:kern w:val="0"/>
                <w:szCs w:val="21"/>
                <w:lang w:bidi="ar"/>
              </w:rPr>
              <w:br w:type="textWrapping"/>
            </w:r>
            <w:r>
              <w:rPr>
                <w:rFonts w:hint="eastAsia" w:ascii="宋体" w:hAnsi="宋体" w:cs="宋体"/>
                <w:kern w:val="0"/>
                <w:szCs w:val="21"/>
                <w:lang w:bidi="ar"/>
              </w:rPr>
              <w:t>显示基色：单色</w:t>
            </w:r>
            <w:r>
              <w:rPr>
                <w:rFonts w:hint="eastAsia" w:ascii="宋体" w:hAnsi="宋体" w:cs="宋体"/>
                <w:kern w:val="0"/>
                <w:szCs w:val="21"/>
                <w:lang w:bidi="ar"/>
              </w:rPr>
              <w:br w:type="textWrapping"/>
            </w:r>
            <w:r>
              <w:rPr>
                <w:rFonts w:hint="eastAsia" w:ascii="宋体" w:hAnsi="宋体" w:cs="宋体"/>
                <w:kern w:val="0"/>
                <w:szCs w:val="21"/>
                <w:lang w:bidi="ar"/>
              </w:rPr>
              <w:t>屏体分辨率：64×128</w:t>
            </w:r>
            <w:r>
              <w:rPr>
                <w:rFonts w:hint="eastAsia" w:ascii="宋体" w:hAnsi="宋体" w:cs="宋体"/>
                <w:kern w:val="0"/>
                <w:szCs w:val="21"/>
                <w:lang w:bidi="ar"/>
              </w:rPr>
              <w:br w:type="textWrapping"/>
            </w:r>
            <w:r>
              <w:rPr>
                <w:rFonts w:hint="eastAsia" w:ascii="宋体" w:hAnsi="宋体" w:cs="宋体"/>
                <w:kern w:val="0"/>
                <w:szCs w:val="21"/>
                <w:lang w:bidi="ar"/>
              </w:rPr>
              <w:t>亮度：&gt;1200cd/m2</w:t>
            </w:r>
            <w:r>
              <w:rPr>
                <w:rFonts w:hint="eastAsia" w:ascii="宋体" w:hAnsi="宋体" w:cs="宋体"/>
                <w:kern w:val="0"/>
                <w:szCs w:val="21"/>
                <w:lang w:bidi="ar"/>
              </w:rPr>
              <w:br w:type="textWrapping"/>
            </w:r>
            <w:r>
              <w:rPr>
                <w:rFonts w:hint="eastAsia" w:ascii="宋体" w:hAnsi="宋体" w:cs="宋体"/>
                <w:kern w:val="0"/>
                <w:szCs w:val="21"/>
                <w:lang w:bidi="ar"/>
              </w:rPr>
              <w:t>可视角度：水平：150° 垂直：120°</w:t>
            </w:r>
            <w:r>
              <w:rPr>
                <w:rFonts w:hint="eastAsia" w:ascii="宋体" w:hAnsi="宋体" w:cs="宋体"/>
                <w:kern w:val="0"/>
                <w:szCs w:val="21"/>
                <w:lang w:bidi="ar"/>
              </w:rPr>
              <w:br w:type="textWrapping"/>
            </w:r>
            <w:r>
              <w:rPr>
                <w:rFonts w:hint="eastAsia" w:ascii="宋体" w:hAnsi="宋体" w:cs="宋体"/>
                <w:kern w:val="0"/>
                <w:szCs w:val="21"/>
                <w:lang w:bidi="ar"/>
              </w:rPr>
              <w:t>使用寿命：100000小时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r>
              <w:rPr>
                <w:rFonts w:hint="eastAsia" w:ascii="宋体" w:hAnsi="宋体" w:cs="宋体"/>
                <w:kern w:val="0"/>
                <w:szCs w:val="21"/>
                <w:lang w:bidi="ar"/>
              </w:rPr>
              <w:t>根据实际情况调整大小</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打印机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类型：热敏//凭条打印方案；支持机芯：EPSPON M-T532 m-t532II；支持纸卷宽度：80mm 82.5mm；控制板:IP100 T500II；支持纸卷：MAX150mm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r>
              <w:rPr>
                <w:rFonts w:hint="eastAsia" w:ascii="宋体" w:hAnsi="宋体" w:cs="宋体"/>
                <w:szCs w:val="21"/>
              </w:rPr>
              <w:t>（可选）</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打印机柜</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600*600*400MM,1.5MM厚304不锈钢,单门，304不锈钢定制，防水等级IP54，带按钮、含打印机空位、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r>
              <w:rPr>
                <w:rFonts w:hint="eastAsia" w:ascii="宋体" w:hAnsi="宋体" w:cs="宋体"/>
                <w:szCs w:val="21"/>
              </w:rPr>
              <w:t>（可选）</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串口服务器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1、以太网：端口数量：1；接口类型：RJ45；速率：10/100Mbps，自适应MDI/MDI-X网口保护：内建2KV隔离保护；2、串口端口数量：4；串口类型：RS-232/422/485；接口类型：RJ45串口保护：内建15KV ESD保护。3、串口通讯参数波特率：110-460800bps数据位：5，6，7，8；停止位1，1.5，2；校验位：None，Even，Odd，Space，Mark流量控制：CTS/RTS，XON/XOFF串口信号：RS232：DCD，RXD，TXD，DTR，GND，DSR，RTS，CTSRS485half : DATA+，DATA-，GND；RS422/485FULL : RXD+，RXD-，TXD+，TXD-，GND；4、软件工作模式支持：TCP Realport，TCP Server、TCP Client、UDP、Real Com、Reverse、telnet、Pair Slave/Master、SSH加密等多种模式。管理方式支持：Web Console、Telnet Console、Windows Utility、HTTPS安全配置。网络协议支持：DHCP、Telnet、TCP、UDP、IP、SMTP、RFC2217操作系统支持： Windows 98/ME/NT/2000/XP/2003/win7/win8/win10（X86/X64）配置方式支持： Web browser or Windows Utility</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对讲分机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网络接口：标准RJ45接口；网络协议：TCP/IP、UDP、IGMP；音频采样率：16K～48K Hz；音频模式：16位立体声CD音质；广播音频格式：MP3、WAV；输出频率：20 Hz～20K Hz；谐波失真：&lt; 0.5%；信噪比：&gt; 70dB；内置扬声器阻抗功率：20Ω，2W；MIC输入灵敏度：10mV；音频码流：16Kb～192Kb</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48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对讲主机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网络接口：标准RJ45接口</w:t>
            </w:r>
            <w:r>
              <w:rPr>
                <w:rFonts w:hint="eastAsia" w:ascii="宋体" w:hAnsi="宋体" w:cs="宋体"/>
                <w:kern w:val="0"/>
                <w:szCs w:val="21"/>
                <w:lang w:bidi="ar"/>
              </w:rPr>
              <w:br w:type="textWrapping"/>
            </w:r>
            <w:r>
              <w:rPr>
                <w:rFonts w:hint="eastAsia" w:ascii="宋体" w:hAnsi="宋体" w:cs="宋体"/>
                <w:kern w:val="0"/>
                <w:szCs w:val="21"/>
                <w:lang w:bidi="ar"/>
              </w:rPr>
              <w:t>网络协议：TCP/IP、UDP、IGMP、RTP</w:t>
            </w:r>
            <w:r>
              <w:rPr>
                <w:rFonts w:hint="eastAsia" w:ascii="宋体" w:hAnsi="宋体" w:cs="宋体"/>
                <w:kern w:val="0"/>
                <w:szCs w:val="21"/>
                <w:lang w:bidi="ar"/>
              </w:rPr>
              <w:br w:type="textWrapping"/>
            </w:r>
            <w:r>
              <w:rPr>
                <w:rFonts w:hint="eastAsia" w:ascii="宋体" w:hAnsi="宋体" w:cs="宋体"/>
                <w:kern w:val="0"/>
                <w:szCs w:val="21"/>
                <w:lang w:bidi="ar"/>
              </w:rPr>
              <w:t>音频采样率：16K～48K Hz</w:t>
            </w:r>
            <w:r>
              <w:rPr>
                <w:rFonts w:hint="eastAsia" w:ascii="宋体" w:hAnsi="宋体" w:cs="宋体"/>
                <w:kern w:val="0"/>
                <w:szCs w:val="21"/>
                <w:lang w:bidi="ar"/>
              </w:rPr>
              <w:br w:type="textWrapping"/>
            </w:r>
            <w:r>
              <w:rPr>
                <w:rFonts w:hint="eastAsia" w:ascii="宋体" w:hAnsi="宋体" w:cs="宋体"/>
                <w:kern w:val="0"/>
                <w:szCs w:val="21"/>
                <w:lang w:bidi="ar"/>
              </w:rPr>
              <w:t>音频模式：16位立体声CD音质</w:t>
            </w:r>
            <w:r>
              <w:rPr>
                <w:rFonts w:hint="eastAsia" w:ascii="宋体" w:hAnsi="宋体" w:cs="宋体"/>
                <w:kern w:val="0"/>
                <w:szCs w:val="21"/>
                <w:lang w:bidi="ar"/>
              </w:rPr>
              <w:br w:type="textWrapping"/>
            </w:r>
            <w:r>
              <w:rPr>
                <w:rFonts w:hint="eastAsia" w:ascii="宋体" w:hAnsi="宋体" w:cs="宋体"/>
                <w:kern w:val="0"/>
                <w:szCs w:val="21"/>
                <w:lang w:bidi="ar"/>
              </w:rPr>
              <w:t>广播音频格式：MP3、WAV</w:t>
            </w:r>
            <w:r>
              <w:rPr>
                <w:rFonts w:hint="eastAsia" w:ascii="宋体" w:hAnsi="宋体" w:cs="宋体"/>
                <w:kern w:val="0"/>
                <w:szCs w:val="21"/>
                <w:lang w:bidi="ar"/>
              </w:rPr>
              <w:br w:type="textWrapping"/>
            </w:r>
            <w:r>
              <w:rPr>
                <w:rFonts w:hint="eastAsia" w:ascii="宋体" w:hAnsi="宋体" w:cs="宋体"/>
                <w:kern w:val="0"/>
                <w:szCs w:val="21"/>
                <w:lang w:bidi="ar"/>
              </w:rPr>
              <w:t>输出频率：20 Hz～20K Hz</w:t>
            </w:r>
            <w:r>
              <w:rPr>
                <w:rFonts w:hint="eastAsia" w:ascii="宋体" w:hAnsi="宋体" w:cs="宋体"/>
                <w:kern w:val="0"/>
                <w:szCs w:val="21"/>
                <w:lang w:bidi="ar"/>
              </w:rPr>
              <w:br w:type="textWrapping"/>
            </w:r>
            <w:r>
              <w:rPr>
                <w:rFonts w:hint="eastAsia" w:ascii="宋体" w:hAnsi="宋体" w:cs="宋体"/>
                <w:kern w:val="0"/>
                <w:szCs w:val="21"/>
                <w:lang w:bidi="ar"/>
              </w:rPr>
              <w:t>谐波失真：&lt; 0.5%</w:t>
            </w:r>
            <w:r>
              <w:rPr>
                <w:rFonts w:hint="eastAsia" w:ascii="宋体" w:hAnsi="宋体" w:cs="宋体"/>
                <w:kern w:val="0"/>
                <w:szCs w:val="21"/>
                <w:lang w:bidi="ar"/>
              </w:rPr>
              <w:br w:type="textWrapping"/>
            </w:r>
            <w:r>
              <w:rPr>
                <w:rFonts w:hint="eastAsia" w:ascii="宋体" w:hAnsi="宋体" w:cs="宋体"/>
                <w:kern w:val="0"/>
                <w:szCs w:val="21"/>
                <w:lang w:bidi="ar"/>
              </w:rPr>
              <w:t>信噪比：≥ 90dB</w:t>
            </w:r>
            <w:r>
              <w:rPr>
                <w:rFonts w:hint="eastAsia" w:ascii="宋体" w:hAnsi="宋体" w:cs="宋体"/>
                <w:kern w:val="0"/>
                <w:szCs w:val="21"/>
                <w:lang w:bidi="ar"/>
              </w:rPr>
              <w:br w:type="textWrapping"/>
            </w:r>
            <w:r>
              <w:rPr>
                <w:rFonts w:hint="eastAsia" w:ascii="宋体" w:hAnsi="宋体" w:cs="宋体"/>
                <w:kern w:val="0"/>
                <w:szCs w:val="21"/>
                <w:lang w:bidi="ar"/>
              </w:rPr>
              <w:t>扬声器功率：3W</w:t>
            </w:r>
            <w:r>
              <w:rPr>
                <w:rFonts w:hint="eastAsia" w:ascii="宋体" w:hAnsi="宋体" w:cs="宋体"/>
                <w:kern w:val="0"/>
                <w:szCs w:val="21"/>
                <w:lang w:bidi="ar"/>
              </w:rPr>
              <w:br w:type="textWrapping"/>
            </w:r>
            <w:r>
              <w:rPr>
                <w:rFonts w:hint="eastAsia" w:ascii="宋体" w:hAnsi="宋体" w:cs="宋体"/>
                <w:kern w:val="0"/>
                <w:szCs w:val="21"/>
                <w:lang w:bidi="ar"/>
              </w:rPr>
              <w:t>MIC输入灵敏度：10mV</w:t>
            </w:r>
            <w:r>
              <w:rPr>
                <w:rFonts w:hint="eastAsia" w:ascii="宋体" w:hAnsi="宋体" w:cs="宋体"/>
                <w:kern w:val="0"/>
                <w:szCs w:val="21"/>
                <w:lang w:bidi="ar"/>
              </w:rPr>
              <w:br w:type="textWrapping"/>
            </w:r>
            <w:r>
              <w:rPr>
                <w:rFonts w:hint="eastAsia" w:ascii="宋体" w:hAnsi="宋体" w:cs="宋体"/>
                <w:kern w:val="0"/>
                <w:szCs w:val="21"/>
                <w:lang w:bidi="ar"/>
              </w:rPr>
              <w:t>音频码流：16Kb～192Kb</w:t>
            </w:r>
            <w:r>
              <w:rPr>
                <w:rFonts w:hint="eastAsia" w:ascii="宋体" w:hAnsi="宋体" w:cs="宋体"/>
                <w:kern w:val="0"/>
                <w:szCs w:val="21"/>
                <w:lang w:bidi="ar"/>
              </w:rPr>
              <w:br w:type="textWrapping"/>
            </w:r>
            <w:r>
              <w:rPr>
                <w:rFonts w:hint="eastAsia" w:ascii="宋体" w:hAnsi="宋体" w:cs="宋体"/>
                <w:kern w:val="0"/>
                <w:szCs w:val="21"/>
                <w:lang w:bidi="ar"/>
              </w:rPr>
              <w:t>录音输出电平(峰峰值)：&lt; 3V</w:t>
            </w:r>
            <w:r>
              <w:rPr>
                <w:rFonts w:hint="eastAsia" w:ascii="宋体" w:hAnsi="宋体" w:cs="宋体"/>
                <w:kern w:val="0"/>
                <w:szCs w:val="21"/>
                <w:lang w:bidi="ar"/>
              </w:rPr>
              <w:br w:type="textWrapping"/>
            </w:r>
            <w:r>
              <w:rPr>
                <w:rFonts w:hint="eastAsia" w:ascii="宋体" w:hAnsi="宋体" w:cs="宋体"/>
                <w:kern w:val="0"/>
                <w:szCs w:val="21"/>
                <w:lang w:bidi="ar"/>
              </w:rPr>
              <w:t>联动输出极点负载：24V/3A</w:t>
            </w:r>
            <w:r>
              <w:rPr>
                <w:rFonts w:hint="eastAsia" w:ascii="宋体" w:hAnsi="宋体" w:cs="宋体"/>
                <w:kern w:val="0"/>
                <w:szCs w:val="21"/>
                <w:lang w:bidi="ar"/>
              </w:rPr>
              <w:br w:type="textWrapping"/>
            </w:r>
            <w:r>
              <w:rPr>
                <w:rFonts w:hint="eastAsia" w:ascii="宋体" w:hAnsi="宋体" w:cs="宋体"/>
                <w:kern w:val="0"/>
                <w:szCs w:val="21"/>
                <w:lang w:bidi="ar"/>
              </w:rPr>
              <w:t>功耗：&lt; 3.6W</w:t>
            </w:r>
            <w:r>
              <w:rPr>
                <w:rFonts w:hint="eastAsia" w:ascii="宋体" w:hAnsi="宋体" w:cs="宋体"/>
                <w:kern w:val="0"/>
                <w:szCs w:val="21"/>
                <w:lang w:bidi="ar"/>
              </w:rPr>
              <w:br w:type="textWrapping"/>
            </w:r>
            <w:r>
              <w:rPr>
                <w:rFonts w:hint="eastAsia" w:ascii="宋体" w:hAnsi="宋体" w:cs="宋体"/>
                <w:kern w:val="0"/>
                <w:szCs w:val="21"/>
                <w:lang w:bidi="ar"/>
              </w:rPr>
              <w:t>输入电源：DC14V</w:t>
            </w:r>
            <w:r>
              <w:rPr>
                <w:rFonts w:hint="eastAsia" w:ascii="宋体" w:hAnsi="宋体" w:cs="宋体"/>
                <w:kern w:val="0"/>
                <w:szCs w:val="21"/>
                <w:lang w:bidi="ar"/>
              </w:rPr>
              <w:br w:type="textWrapping"/>
            </w:r>
            <w:r>
              <w:rPr>
                <w:rFonts w:hint="eastAsia" w:ascii="宋体" w:hAnsi="宋体" w:cs="宋体"/>
                <w:kern w:val="0"/>
                <w:szCs w:val="21"/>
                <w:lang w:bidi="ar"/>
              </w:rPr>
              <w:t>工作温度：-20℃ ～ +80℃</w:t>
            </w:r>
            <w:r>
              <w:rPr>
                <w:rFonts w:hint="eastAsia" w:ascii="宋体" w:hAnsi="宋体" w:cs="宋体"/>
                <w:kern w:val="0"/>
                <w:szCs w:val="21"/>
                <w:lang w:bidi="ar"/>
              </w:rPr>
              <w:br w:type="textWrapping"/>
            </w:r>
            <w:r>
              <w:rPr>
                <w:rFonts w:hint="eastAsia" w:ascii="宋体" w:hAnsi="宋体" w:cs="宋体"/>
                <w:kern w:val="0"/>
                <w:szCs w:val="21"/>
                <w:lang w:bidi="ar"/>
              </w:rPr>
              <w:t>工作湿度：10% ～ 90%</w:t>
            </w:r>
            <w:r>
              <w:rPr>
                <w:rFonts w:hint="eastAsia" w:ascii="宋体" w:hAnsi="宋体" w:cs="宋体"/>
                <w:kern w:val="0"/>
                <w:szCs w:val="21"/>
                <w:lang w:bidi="ar"/>
              </w:rPr>
              <w:br w:type="textWrapping"/>
            </w:r>
            <w:r>
              <w:rPr>
                <w:rFonts w:hint="eastAsia" w:ascii="宋体" w:hAnsi="宋体" w:cs="宋体"/>
                <w:kern w:val="0"/>
                <w:szCs w:val="21"/>
                <w:lang w:bidi="ar"/>
              </w:rPr>
              <w:t>尺寸：132x146x36mm(LxWxH)</w:t>
            </w:r>
            <w:r>
              <w:rPr>
                <w:rFonts w:hint="eastAsia" w:ascii="宋体" w:hAnsi="宋体" w:cs="宋体"/>
                <w:kern w:val="0"/>
                <w:szCs w:val="21"/>
                <w:lang w:bidi="ar"/>
              </w:rPr>
              <w:br w:type="textWrapping"/>
            </w:r>
            <w:r>
              <w:rPr>
                <w:rFonts w:hint="eastAsia" w:ascii="宋体" w:hAnsi="宋体" w:cs="宋体"/>
                <w:kern w:val="0"/>
                <w:szCs w:val="21"/>
                <w:lang w:bidi="ar"/>
              </w:rPr>
              <w:t>外包装箱尺寸：495x335x450mm(LxWxH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扩音器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120W带功放；防护等级IP65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网络自动化控制器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输入通道： 8；输入类型：光隔共源；干接点输入；逻辑0： 端口接GND；逻辑1： 端口开路；电平输入；逻辑0：  4 V max；逻辑1：  10 ~ 50 V；输入阻抗： 10 kΩ  0.5W；隔离保护： 3750 VDC；输入具有计数功能；计数通道： 8；最大计数值： 16-bit (65535)；输入频率：  100 Hz；最小脉冲宽度：  5 ms；输出规格；输出通道： 8</w:t>
            </w:r>
            <w:r>
              <w:rPr>
                <w:rFonts w:hint="eastAsia" w:ascii="宋体" w:hAnsi="宋体" w:cs="宋体"/>
                <w:kern w:val="0"/>
                <w:szCs w:val="21"/>
                <w:lang w:bidi="ar"/>
              </w:rPr>
              <w:br w:type="textWrapping"/>
            </w:r>
            <w:r>
              <w:rPr>
                <w:rFonts w:hint="eastAsia" w:ascii="宋体" w:hAnsi="宋体" w:cs="宋体"/>
                <w:kern w:val="0"/>
                <w:szCs w:val="21"/>
                <w:lang w:bidi="ar"/>
              </w:rPr>
              <w:t>输出类型： 源极开路(N-MOSFET)；输出负荷：   650mA/10 ~ 40V max；输出短路保护；隔离保护： 3750 Vrms；电源；电源电压： 10 ~ 30 VDC；电源功耗： 2.2 W；环境；工作温度：-25 ℃ ~ 75 ℃；存储温度：-30 ℃ ~ 85 ℃；相对湿度：5 ~ 95%, 无冷凝支持远程重启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电源</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超薄型塑料机壳·单相，全范围输入·空载待机消耗瓦数 &lt; 0.75W~1W·适合安装于 DIN rail TS-35 / 7.5 或 15·内建主动式功率因子矫正功能 (active PFC)·DC OK 讯号输出 (MDR-10/20)·DC OK 继电器接点 (relay contact) 信号输出 (MDR-40/60/100)·适用于 Class I, Div 2 T4 危险区域 (MDR-40/60)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防护箱</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定制不锈钢304，800*600*400MM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辅材</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含线材、管材、辅材等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21</w:t>
            </w:r>
          </w:p>
        </w:tc>
        <w:tc>
          <w:tcPr>
            <w:tcW w:w="130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地磅服务软件</w:t>
            </w:r>
          </w:p>
        </w:tc>
        <w:tc>
          <w:tcPr>
            <w:tcW w:w="1571"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地磅数据解析服务软件</w:t>
            </w:r>
          </w:p>
        </w:tc>
        <w:tc>
          <w:tcPr>
            <w:tcW w:w="337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业务系统接口解析对接、建立数据池、建立故障日志、提供数据回溯查询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22</w:t>
            </w:r>
          </w:p>
        </w:tc>
        <w:tc>
          <w:tcPr>
            <w:tcW w:w="13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szCs w:val="21"/>
              </w:rPr>
            </w:pPr>
          </w:p>
        </w:tc>
        <w:tc>
          <w:tcPr>
            <w:tcW w:w="1571"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地磅终端硬件控制软件</w:t>
            </w:r>
          </w:p>
        </w:tc>
        <w:tc>
          <w:tcPr>
            <w:tcW w:w="337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智能终端、打印机、扩音器、LED屏、激光对射探测器、红绿灯、网络自动化控制器等设备控制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23</w:t>
            </w:r>
          </w:p>
        </w:tc>
        <w:tc>
          <w:tcPr>
            <w:tcW w:w="13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szCs w:val="21"/>
              </w:rPr>
            </w:pPr>
          </w:p>
        </w:tc>
        <w:tc>
          <w:tcPr>
            <w:tcW w:w="1571"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地磅流程控制软件</w:t>
            </w:r>
          </w:p>
        </w:tc>
        <w:tc>
          <w:tcPr>
            <w:tcW w:w="337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上磅触发（红外地磅双触发）-红绿灯系统信号变更-车牌识别-获取车辆信息-判断红激光作弊信息-获取稳定重量-获取车牌号-获取打印信息-判断打印机-打印小票-业务完成-业务放行-车辆离开-红绿灯系统信号变更-系统复位流程控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390" w:hRule="atLeast"/>
          <w:jc w:val="center"/>
        </w:trPr>
        <w:tc>
          <w:tcPr>
            <w:tcW w:w="92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1个双向港内地磅物联网设备清单</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监控摄像机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像素400万；镜头 ：2.8-12mm @ F1.4,水平视场角：90.1°~31° ；镜头接口类型 ：Φ14 自动光圈 DC 驱动 ；日夜转换模式 :ICR红外滤片式 ；宽动态范围 :120dB ；背光补偿 :支持，可选择区域 ；视频压缩标准: H.265 / H.264 / MJPEG ；H.265编码类型 Main Profile H.264 编码类型 ；图像:最大图像尺寸 1920×1080  ；第三码流分辨率与帧率 ；独立于主码流设置，最高支持：60Hz: 30fps (1920 × 1080) ；接口协议:ONVIF,PSIA,CGI,ISAPI,GB28181 支持议:TCP/IP,ICMP,HTTP,HTTPS,FTP,DHCP,DNS,DDNS,RTP,RTSP,RTCP,PPPoE,NTP,UPnP,SMTP,SNMP,IGMP,802.1X,QoS,IPv6,Bonjour接口 ；通讯接口 ：1个RJ45 10M/100M/1000M自适应以太网口 ；工作温度和湿度 ：-30℃~60℃,湿度小于95%(无凝结)；</w:t>
            </w:r>
            <w:r>
              <w:rPr>
                <w:rFonts w:hint="eastAsia" w:ascii="宋体" w:hAnsi="宋体" w:cs="宋体"/>
                <w:kern w:val="0"/>
                <w:szCs w:val="21"/>
                <w:lang w:bidi="ar"/>
              </w:rPr>
              <w:br w:type="textWrapping"/>
            </w:r>
            <w:r>
              <w:rPr>
                <w:rFonts w:hint="eastAsia" w:ascii="宋体" w:hAnsi="宋体" w:cs="宋体"/>
                <w:kern w:val="0"/>
                <w:szCs w:val="21"/>
                <w:lang w:bidi="ar"/>
              </w:rPr>
              <w:t>-H:-40℃~60℃ ；电源供应 ：DC12V  2A/ PoE(802.3at) ；功耗 ：12W MAX ；防护等级 ：IP67 ；尺寸（mm） ：206.5×103.9×100 ；重量 ：1700g</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车头2、仪表监控1，车牌2</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车牌识别摄像枪</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CPU ARM600MHZ 主频支持；传感器 1/2.8 ” CMOS (200W) *1；低照度 灵敏度2376mV彩色（补白光）；曝光时间 0-1ms, 0-2ms, 0-3ms, 0-4ms；硬件指标 镜头 定焦镜头6mm （可选）；变焦镜头（2.8mm-12mm，6mm-22mm, 5mm-50mm）（可选）；视频压缩标准 H.264/H.265/MJPEG；视频分辨率 353*288、 640*360、 704*576、 1280*720、 1920*1080；压缩输出码率 512Kbps </w:t>
            </w:r>
            <w:r>
              <w:rPr>
                <w:rFonts w:hint="eastAsia" w:ascii="宋体" w:hAnsi="宋体" w:cs="宋体"/>
                <w:szCs w:val="21"/>
                <w:lang w:bidi="ar"/>
              </w:rPr>
              <w:t>〜5000Kbps；帧率 1〜25帧，默认25帧（1920*1080）；网络接口 1 路 10/100Mbps 自适应 RJ45 口；10接口输出 2路/4路；10接口输入 2路/4路；RS485 1路/2路；RS232 0路/I路；接口指标 AUDIO 1路输入+1路输出；USB 接口 1 路 USBType-A 接口；SD (TF)卡槽 1路TF卡槽，最大支持128G容量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补光灯</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LED灯数量：1W高亮度LED灯珠24颗；控制：常亮/时控开关/光敏控制；等级：IP65，室内外通用；波长：380nm~850nm；视角/视距：15°/150米，30°/80米，45°/50米，60°/40米。通光量：2400lm；工作电压：AC220V。功率：24W；工作温度：－25度～＋85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摄像机配件</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支架、万向节等配件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立杆（镀锌杆）</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定制3米镀锌杆（直径89mm，厚度3.0mm）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立杆高度根据实际情况调整</w:t>
            </w:r>
          </w:p>
        </w:tc>
      </w:tr>
      <w:tr>
        <w:tblPrEx>
          <w:tblCellMar>
            <w:top w:w="0" w:type="dxa"/>
            <w:left w:w="108" w:type="dxa"/>
            <w:bottom w:w="0" w:type="dxa"/>
            <w:right w:w="108" w:type="dxa"/>
          </w:tblCellMar>
        </w:tblPrEx>
        <w:trPr>
          <w:trHeight w:val="13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智能终端</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嵌入式内核参数：</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-四核Cortex-A17 CPU，主频最高1.8GHz</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-多核Mali-T764 GPU,</w:t>
            </w:r>
          </w:p>
          <w:p>
            <w:pPr>
              <w:widowControl/>
              <w:jc w:val="left"/>
              <w:textAlignment w:val="center"/>
              <w:rPr>
                <w:rFonts w:ascii="宋体" w:hAnsi="宋体" w:cs="宋体"/>
                <w:kern w:val="0"/>
                <w:szCs w:val="21"/>
                <w:lang w:bidi="ar"/>
              </w:rPr>
            </w:pPr>
            <w:r>
              <w:rPr>
                <w:rFonts w:hint="eastAsia" w:ascii="宋体" w:hAnsi="宋体" w:cs="宋体"/>
                <w:kern w:val="0"/>
                <w:szCs w:val="21"/>
                <w:lang w:bidi="ar"/>
              </w:rPr>
              <w:t>-2G内存：</w:t>
            </w:r>
          </w:p>
          <w:p>
            <w:pPr>
              <w:widowControl/>
              <w:jc w:val="left"/>
              <w:textAlignment w:val="center"/>
              <w:rPr>
                <w:rFonts w:ascii="宋体" w:hAnsi="宋体" w:cs="宋体"/>
                <w:szCs w:val="21"/>
              </w:rPr>
            </w:pPr>
            <w:r>
              <w:rPr>
                <w:rFonts w:hint="eastAsia" w:ascii="宋体" w:hAnsi="宋体" w:cs="宋体"/>
                <w:kern w:val="0"/>
                <w:szCs w:val="21"/>
                <w:lang w:bidi="ar"/>
              </w:rPr>
              <w:t>支持千兆以太网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57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红绿灯</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单孔，红叉绿箭，材质碳钢喷塑，直径300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交换机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网络标准:IEEE 802.3、IEEE 802.3u、IEEE 802.3x、IEEE 802.af 端口:9个10/100Mbps RJ45 端口，其中1-8端口支持PoE功能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激光对射探测器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工作电流450mA报警电流</w:t>
            </w:r>
            <w:r>
              <w:rPr>
                <w:rFonts w:hint="eastAsia" w:ascii="宋体" w:hAnsi="宋体" w:cs="宋体"/>
                <w:kern w:val="0"/>
                <w:szCs w:val="21"/>
                <w:lang w:bidi="ar"/>
              </w:rPr>
              <w:br w:type="textWrapping"/>
            </w:r>
            <w:r>
              <w:rPr>
                <w:rFonts w:hint="eastAsia" w:ascii="宋体" w:hAnsi="宋体" w:cs="宋体"/>
                <w:kern w:val="0"/>
                <w:szCs w:val="21"/>
                <w:lang w:bidi="ar"/>
              </w:rPr>
              <w:t>430mA设备功耗5.4W遮挡时间</w:t>
            </w:r>
            <w:r>
              <w:rPr>
                <w:rFonts w:hint="eastAsia" w:ascii="宋体" w:hAnsi="宋体" w:cs="宋体"/>
                <w:kern w:val="0"/>
                <w:szCs w:val="21"/>
                <w:lang w:bidi="ar"/>
              </w:rPr>
              <w:br w:type="textWrapping"/>
            </w:r>
            <w:r>
              <w:rPr>
                <w:rFonts w:hint="eastAsia" w:ascii="宋体" w:hAnsi="宋体" w:cs="宋体"/>
                <w:kern w:val="0"/>
                <w:szCs w:val="21"/>
                <w:lang w:bidi="ar"/>
              </w:rPr>
              <w:t>40ms,100ms,300ms,700s可调探测方式遮挡单光束或遮挡2光束电源电压</w:t>
            </w:r>
            <w:r>
              <w:rPr>
                <w:rFonts w:hint="eastAsia" w:ascii="宋体" w:hAnsi="宋体" w:cs="宋体"/>
                <w:kern w:val="0"/>
                <w:szCs w:val="21"/>
                <w:lang w:bidi="ar"/>
              </w:rPr>
              <w:br w:type="textWrapping"/>
            </w:r>
            <w:r>
              <w:rPr>
                <w:rFonts w:hint="eastAsia" w:ascii="宋体" w:hAnsi="宋体" w:cs="宋体"/>
                <w:kern w:val="0"/>
                <w:szCs w:val="21"/>
                <w:lang w:bidi="ar"/>
              </w:rPr>
              <w:t>DC/AC12V～24V报警周期</w:t>
            </w:r>
            <w:r>
              <w:rPr>
                <w:rFonts w:hint="eastAsia" w:ascii="宋体" w:hAnsi="宋体" w:cs="宋体"/>
                <w:kern w:val="0"/>
                <w:szCs w:val="21"/>
                <w:lang w:bidi="ar"/>
              </w:rPr>
              <w:br w:type="textWrapping"/>
            </w:r>
            <w:r>
              <w:rPr>
                <w:rFonts w:hint="eastAsia" w:ascii="宋体" w:hAnsi="宋体" w:cs="宋体"/>
                <w:kern w:val="0"/>
                <w:szCs w:val="21"/>
                <w:lang w:bidi="ar"/>
              </w:rPr>
              <w:t>≥1.5s报警输出</w:t>
            </w:r>
            <w:r>
              <w:rPr>
                <w:rFonts w:hint="eastAsia" w:ascii="宋体" w:hAnsi="宋体" w:cs="宋体"/>
                <w:kern w:val="0"/>
                <w:szCs w:val="21"/>
                <w:lang w:bidi="ar"/>
              </w:rPr>
              <w:br w:type="textWrapping"/>
            </w:r>
            <w:r>
              <w:rPr>
                <w:rFonts w:hint="eastAsia" w:ascii="宋体" w:hAnsi="宋体" w:cs="宋体"/>
                <w:kern w:val="0"/>
                <w:szCs w:val="21"/>
                <w:lang w:bidi="ar"/>
              </w:rPr>
              <w:t>AC:125V/0.5A、DC:24V/1A 常开/常闭可选防拆开关常闭，当外壳被移除时打开防护等级IP67校正角度发射角度：＜8′，接收角度：＞10°；水平和垂直±30°环 境温度-20℃～55℃   湿度：≤95%</w:t>
            </w:r>
            <w:r>
              <w:rPr>
                <w:rFonts w:hint="eastAsia" w:ascii="宋体" w:hAnsi="宋体" w:cs="宋体"/>
                <w:kern w:val="0"/>
                <w:szCs w:val="21"/>
                <w:lang w:bidi="ar"/>
              </w:rPr>
              <w:br w:type="textWrapping"/>
            </w:r>
            <w:r>
              <w:rPr>
                <w:rFonts w:hint="eastAsia" w:ascii="宋体" w:hAnsi="宋体" w:cs="宋体"/>
                <w:kern w:val="0"/>
                <w:szCs w:val="21"/>
                <w:lang w:bidi="ar"/>
              </w:rPr>
              <w:t>尺 寸200*200*691mm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LED显示屏</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点中心距：2.5mm</w:t>
            </w:r>
            <w:r>
              <w:rPr>
                <w:rFonts w:hint="eastAsia" w:ascii="宋体" w:hAnsi="宋体" w:cs="宋体"/>
                <w:kern w:val="0"/>
                <w:szCs w:val="21"/>
                <w:lang w:bidi="ar"/>
              </w:rPr>
              <w:br w:type="textWrapping"/>
            </w:r>
            <w:r>
              <w:rPr>
                <w:rFonts w:hint="eastAsia" w:ascii="宋体" w:hAnsi="宋体" w:cs="宋体"/>
                <w:kern w:val="0"/>
                <w:szCs w:val="21"/>
                <w:lang w:bidi="ar"/>
              </w:rPr>
              <w:t>像素密度：160000点/㎡</w:t>
            </w:r>
            <w:r>
              <w:rPr>
                <w:rFonts w:hint="eastAsia" w:ascii="宋体" w:hAnsi="宋体" w:cs="宋体"/>
                <w:kern w:val="0"/>
                <w:szCs w:val="21"/>
                <w:lang w:bidi="ar"/>
              </w:rPr>
              <w:br w:type="textWrapping"/>
            </w:r>
            <w:r>
              <w:rPr>
                <w:rFonts w:hint="eastAsia" w:ascii="宋体" w:hAnsi="宋体" w:cs="宋体"/>
                <w:kern w:val="0"/>
                <w:szCs w:val="21"/>
                <w:lang w:bidi="ar"/>
              </w:rPr>
              <w:t>显示基色：单色</w:t>
            </w:r>
            <w:r>
              <w:rPr>
                <w:rFonts w:hint="eastAsia" w:ascii="宋体" w:hAnsi="宋体" w:cs="宋体"/>
                <w:kern w:val="0"/>
                <w:szCs w:val="21"/>
                <w:lang w:bidi="ar"/>
              </w:rPr>
              <w:br w:type="textWrapping"/>
            </w:r>
            <w:r>
              <w:rPr>
                <w:rFonts w:hint="eastAsia" w:ascii="宋体" w:hAnsi="宋体" w:cs="宋体"/>
                <w:kern w:val="0"/>
                <w:szCs w:val="21"/>
                <w:lang w:bidi="ar"/>
              </w:rPr>
              <w:t>屏体分辨率：64×128</w:t>
            </w:r>
            <w:r>
              <w:rPr>
                <w:rFonts w:hint="eastAsia" w:ascii="宋体" w:hAnsi="宋体" w:cs="宋体"/>
                <w:kern w:val="0"/>
                <w:szCs w:val="21"/>
                <w:lang w:bidi="ar"/>
              </w:rPr>
              <w:br w:type="textWrapping"/>
            </w:r>
            <w:r>
              <w:rPr>
                <w:rFonts w:hint="eastAsia" w:ascii="宋体" w:hAnsi="宋体" w:cs="宋体"/>
                <w:kern w:val="0"/>
                <w:szCs w:val="21"/>
                <w:lang w:bidi="ar"/>
              </w:rPr>
              <w:t>亮度：&gt;1200cd/m2</w:t>
            </w:r>
            <w:r>
              <w:rPr>
                <w:rFonts w:hint="eastAsia" w:ascii="宋体" w:hAnsi="宋体" w:cs="宋体"/>
                <w:kern w:val="0"/>
                <w:szCs w:val="21"/>
                <w:lang w:bidi="ar"/>
              </w:rPr>
              <w:br w:type="textWrapping"/>
            </w:r>
            <w:r>
              <w:rPr>
                <w:rFonts w:hint="eastAsia" w:ascii="宋体" w:hAnsi="宋体" w:cs="宋体"/>
                <w:kern w:val="0"/>
                <w:szCs w:val="21"/>
                <w:lang w:bidi="ar"/>
              </w:rPr>
              <w:t>可视角度：水平：150° 垂直：120°</w:t>
            </w:r>
            <w:r>
              <w:rPr>
                <w:rFonts w:hint="eastAsia" w:ascii="宋体" w:hAnsi="宋体" w:cs="宋体"/>
                <w:kern w:val="0"/>
                <w:szCs w:val="21"/>
                <w:lang w:bidi="ar"/>
              </w:rPr>
              <w:br w:type="textWrapping"/>
            </w:r>
            <w:r>
              <w:rPr>
                <w:rFonts w:hint="eastAsia" w:ascii="宋体" w:hAnsi="宋体" w:cs="宋体"/>
                <w:kern w:val="0"/>
                <w:szCs w:val="21"/>
                <w:lang w:bidi="ar"/>
              </w:rPr>
              <w:t>使用寿命：100000小时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r>
              <w:rPr>
                <w:rFonts w:hint="eastAsia" w:ascii="宋体" w:hAnsi="宋体" w:cs="宋体"/>
                <w:kern w:val="0"/>
                <w:szCs w:val="21"/>
                <w:lang w:bidi="ar"/>
              </w:rPr>
              <w:t>根据实际情况调整大小</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打印机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类型：热敏//凭条打印方案；支持机芯：EPSPON M-T532 m-t532II；支持纸卷宽度：80mm 82.5mm；控制板:IP100 T500II；支持纸卷：MAX150mm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r>
              <w:rPr>
                <w:rFonts w:hint="eastAsia" w:ascii="宋体" w:hAnsi="宋体" w:cs="宋体"/>
                <w:szCs w:val="21"/>
              </w:rPr>
              <w:t>（可选）</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打印机柜</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600*600*400MM,1.5MM厚304不锈钢,单门，304不锈钢定制，防水等级IP54，带按钮、含打印机空位、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r>
              <w:rPr>
                <w:rFonts w:hint="eastAsia" w:ascii="宋体" w:hAnsi="宋体" w:cs="宋体"/>
                <w:szCs w:val="21"/>
              </w:rPr>
              <w:t>（可选）</w:t>
            </w: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串口服务器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1、以太网：端口数量：1；接口类型：RJ45；速率：10/100Mbps，自适应MDI/MDI-X网口保护：内建2KV隔离保护；2、串口端口数量：4；串口类型：RS-232/422/485；接口类型：RJ45串口保护：内建15KV ESD保护。3、串口通讯参数波特率：110-460800bps数据位：5，6，7，8；停止位1，1.5，2；校验位：None，Even，Odd，Space，Mark流量控制：CTS/RTS，XON/XOFF串口信号：RS232：DCD，RXD，TXD，DTR，GND，DSR，RTS，CTSRS485half : DATA+，DATA-，GND；RS422/485FULL : RXD+，RXD-，TXD+，TXD-，GND；4、软件工作模式支持：TCP Realport，TCP Server、TCP Client、UDP、Real Com、Reverse、telnet、Pair Slave/Master、SSH加密等多种模式。管理方式支持：Web Console、Telnet Console、Windows Utility、HTTPS安全配置。网络协议支持：DHCP、Telnet、TCP、UDP、IP、SMTP、RFC2217操作系统支持： Windows 98/ME/NT/2000/XP/2003/win7/win8/win10（X86/X64）配置方式支持： Web browser or Windows Utility</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对讲分机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网络接口：标准RJ45接口；网络协议：TCP/IP、UDP、IGMP；音频采样率：16K～48K Hz；音频模式：16位立体声CD音质；广播音频格式：MP3、WAV；输出频率：20 Hz～20K Hz；谐波失真：&lt; 0.5%；信噪比：&gt; 70dB；内置扬声器阻抗功率：20Ω，2W；MIC输入灵敏度：10mV；音频码流：16Kb～192Kb</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对讲主机</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网络接口：标准RJ45接口</w:t>
            </w:r>
            <w:r>
              <w:rPr>
                <w:rFonts w:hint="eastAsia" w:ascii="宋体" w:hAnsi="宋体" w:cs="宋体"/>
                <w:kern w:val="0"/>
                <w:szCs w:val="21"/>
                <w:lang w:bidi="ar"/>
              </w:rPr>
              <w:br w:type="textWrapping"/>
            </w:r>
            <w:r>
              <w:rPr>
                <w:rFonts w:hint="eastAsia" w:ascii="宋体" w:hAnsi="宋体" w:cs="宋体"/>
                <w:kern w:val="0"/>
                <w:szCs w:val="21"/>
                <w:lang w:bidi="ar"/>
              </w:rPr>
              <w:t>网络协议：TCP/IP、UDP、IGMP、RTP</w:t>
            </w:r>
            <w:r>
              <w:rPr>
                <w:rFonts w:hint="eastAsia" w:ascii="宋体" w:hAnsi="宋体" w:cs="宋体"/>
                <w:kern w:val="0"/>
                <w:szCs w:val="21"/>
                <w:lang w:bidi="ar"/>
              </w:rPr>
              <w:br w:type="textWrapping"/>
            </w:r>
            <w:r>
              <w:rPr>
                <w:rFonts w:hint="eastAsia" w:ascii="宋体" w:hAnsi="宋体" w:cs="宋体"/>
                <w:kern w:val="0"/>
                <w:szCs w:val="21"/>
                <w:lang w:bidi="ar"/>
              </w:rPr>
              <w:t>音频采样率：16K～48K Hz</w:t>
            </w:r>
            <w:r>
              <w:rPr>
                <w:rFonts w:hint="eastAsia" w:ascii="宋体" w:hAnsi="宋体" w:cs="宋体"/>
                <w:kern w:val="0"/>
                <w:szCs w:val="21"/>
                <w:lang w:bidi="ar"/>
              </w:rPr>
              <w:br w:type="textWrapping"/>
            </w:r>
            <w:r>
              <w:rPr>
                <w:rFonts w:hint="eastAsia" w:ascii="宋体" w:hAnsi="宋体" w:cs="宋体"/>
                <w:kern w:val="0"/>
                <w:szCs w:val="21"/>
                <w:lang w:bidi="ar"/>
              </w:rPr>
              <w:t>音频模式：16位立体声CD音质</w:t>
            </w:r>
            <w:r>
              <w:rPr>
                <w:rFonts w:hint="eastAsia" w:ascii="宋体" w:hAnsi="宋体" w:cs="宋体"/>
                <w:kern w:val="0"/>
                <w:szCs w:val="21"/>
                <w:lang w:bidi="ar"/>
              </w:rPr>
              <w:br w:type="textWrapping"/>
            </w:r>
            <w:r>
              <w:rPr>
                <w:rFonts w:hint="eastAsia" w:ascii="宋体" w:hAnsi="宋体" w:cs="宋体"/>
                <w:kern w:val="0"/>
                <w:szCs w:val="21"/>
                <w:lang w:bidi="ar"/>
              </w:rPr>
              <w:t>广播音频格式：MP3、WAV</w:t>
            </w:r>
            <w:r>
              <w:rPr>
                <w:rFonts w:hint="eastAsia" w:ascii="宋体" w:hAnsi="宋体" w:cs="宋体"/>
                <w:kern w:val="0"/>
                <w:szCs w:val="21"/>
                <w:lang w:bidi="ar"/>
              </w:rPr>
              <w:br w:type="textWrapping"/>
            </w:r>
            <w:r>
              <w:rPr>
                <w:rFonts w:hint="eastAsia" w:ascii="宋体" w:hAnsi="宋体" w:cs="宋体"/>
                <w:kern w:val="0"/>
                <w:szCs w:val="21"/>
                <w:lang w:bidi="ar"/>
              </w:rPr>
              <w:t>输出频率：20 Hz～20K Hz</w:t>
            </w:r>
            <w:r>
              <w:rPr>
                <w:rFonts w:hint="eastAsia" w:ascii="宋体" w:hAnsi="宋体" w:cs="宋体"/>
                <w:kern w:val="0"/>
                <w:szCs w:val="21"/>
                <w:lang w:bidi="ar"/>
              </w:rPr>
              <w:br w:type="textWrapping"/>
            </w:r>
            <w:r>
              <w:rPr>
                <w:rFonts w:hint="eastAsia" w:ascii="宋体" w:hAnsi="宋体" w:cs="宋体"/>
                <w:kern w:val="0"/>
                <w:szCs w:val="21"/>
                <w:lang w:bidi="ar"/>
              </w:rPr>
              <w:t>谐波失真：&lt; 0.5%</w:t>
            </w:r>
            <w:r>
              <w:rPr>
                <w:rFonts w:hint="eastAsia" w:ascii="宋体" w:hAnsi="宋体" w:cs="宋体"/>
                <w:kern w:val="0"/>
                <w:szCs w:val="21"/>
                <w:lang w:bidi="ar"/>
              </w:rPr>
              <w:br w:type="textWrapping"/>
            </w:r>
            <w:r>
              <w:rPr>
                <w:rFonts w:hint="eastAsia" w:ascii="宋体" w:hAnsi="宋体" w:cs="宋体"/>
                <w:kern w:val="0"/>
                <w:szCs w:val="21"/>
                <w:lang w:bidi="ar"/>
              </w:rPr>
              <w:t>信噪比：≥ 90dB</w:t>
            </w:r>
            <w:r>
              <w:rPr>
                <w:rFonts w:hint="eastAsia" w:ascii="宋体" w:hAnsi="宋体" w:cs="宋体"/>
                <w:kern w:val="0"/>
                <w:szCs w:val="21"/>
                <w:lang w:bidi="ar"/>
              </w:rPr>
              <w:br w:type="textWrapping"/>
            </w:r>
            <w:r>
              <w:rPr>
                <w:rFonts w:hint="eastAsia" w:ascii="宋体" w:hAnsi="宋体" w:cs="宋体"/>
                <w:kern w:val="0"/>
                <w:szCs w:val="21"/>
                <w:lang w:bidi="ar"/>
              </w:rPr>
              <w:t>扬声器功率：3W</w:t>
            </w:r>
            <w:r>
              <w:rPr>
                <w:rFonts w:hint="eastAsia" w:ascii="宋体" w:hAnsi="宋体" w:cs="宋体"/>
                <w:kern w:val="0"/>
                <w:szCs w:val="21"/>
                <w:lang w:bidi="ar"/>
              </w:rPr>
              <w:br w:type="textWrapping"/>
            </w:r>
            <w:r>
              <w:rPr>
                <w:rFonts w:hint="eastAsia" w:ascii="宋体" w:hAnsi="宋体" w:cs="宋体"/>
                <w:kern w:val="0"/>
                <w:szCs w:val="21"/>
                <w:lang w:bidi="ar"/>
              </w:rPr>
              <w:t>MIC输入灵敏度：10mV</w:t>
            </w:r>
            <w:r>
              <w:rPr>
                <w:rFonts w:hint="eastAsia" w:ascii="宋体" w:hAnsi="宋体" w:cs="宋体"/>
                <w:kern w:val="0"/>
                <w:szCs w:val="21"/>
                <w:lang w:bidi="ar"/>
              </w:rPr>
              <w:br w:type="textWrapping"/>
            </w:r>
            <w:r>
              <w:rPr>
                <w:rFonts w:hint="eastAsia" w:ascii="宋体" w:hAnsi="宋体" w:cs="宋体"/>
                <w:kern w:val="0"/>
                <w:szCs w:val="21"/>
                <w:lang w:bidi="ar"/>
              </w:rPr>
              <w:t>音频码流：16Kb～192Kb</w:t>
            </w:r>
            <w:r>
              <w:rPr>
                <w:rFonts w:hint="eastAsia" w:ascii="宋体" w:hAnsi="宋体" w:cs="宋体"/>
                <w:kern w:val="0"/>
                <w:szCs w:val="21"/>
                <w:lang w:bidi="ar"/>
              </w:rPr>
              <w:br w:type="textWrapping"/>
            </w:r>
            <w:r>
              <w:rPr>
                <w:rFonts w:hint="eastAsia" w:ascii="宋体" w:hAnsi="宋体" w:cs="宋体"/>
                <w:kern w:val="0"/>
                <w:szCs w:val="21"/>
                <w:lang w:bidi="ar"/>
              </w:rPr>
              <w:t>录音输出电平(峰峰值)：&lt; 3V</w:t>
            </w:r>
            <w:r>
              <w:rPr>
                <w:rFonts w:hint="eastAsia" w:ascii="宋体" w:hAnsi="宋体" w:cs="宋体"/>
                <w:kern w:val="0"/>
                <w:szCs w:val="21"/>
                <w:lang w:bidi="ar"/>
              </w:rPr>
              <w:br w:type="textWrapping"/>
            </w:r>
            <w:r>
              <w:rPr>
                <w:rFonts w:hint="eastAsia" w:ascii="宋体" w:hAnsi="宋体" w:cs="宋体"/>
                <w:kern w:val="0"/>
                <w:szCs w:val="21"/>
                <w:lang w:bidi="ar"/>
              </w:rPr>
              <w:t>联动输出极点负载：24V/3A</w:t>
            </w:r>
            <w:r>
              <w:rPr>
                <w:rFonts w:hint="eastAsia" w:ascii="宋体" w:hAnsi="宋体" w:cs="宋体"/>
                <w:kern w:val="0"/>
                <w:szCs w:val="21"/>
                <w:lang w:bidi="ar"/>
              </w:rPr>
              <w:br w:type="textWrapping"/>
            </w:r>
            <w:r>
              <w:rPr>
                <w:rFonts w:hint="eastAsia" w:ascii="宋体" w:hAnsi="宋体" w:cs="宋体"/>
                <w:kern w:val="0"/>
                <w:szCs w:val="21"/>
                <w:lang w:bidi="ar"/>
              </w:rPr>
              <w:t>功耗：&lt; 3.6W</w:t>
            </w:r>
            <w:r>
              <w:rPr>
                <w:rFonts w:hint="eastAsia" w:ascii="宋体" w:hAnsi="宋体" w:cs="宋体"/>
                <w:kern w:val="0"/>
                <w:szCs w:val="21"/>
                <w:lang w:bidi="ar"/>
              </w:rPr>
              <w:br w:type="textWrapping"/>
            </w:r>
            <w:r>
              <w:rPr>
                <w:rFonts w:hint="eastAsia" w:ascii="宋体" w:hAnsi="宋体" w:cs="宋体"/>
                <w:kern w:val="0"/>
                <w:szCs w:val="21"/>
                <w:lang w:bidi="ar"/>
              </w:rPr>
              <w:t>输入电源：DC14V</w:t>
            </w:r>
            <w:r>
              <w:rPr>
                <w:rFonts w:hint="eastAsia" w:ascii="宋体" w:hAnsi="宋体" w:cs="宋体"/>
                <w:kern w:val="0"/>
                <w:szCs w:val="21"/>
                <w:lang w:bidi="ar"/>
              </w:rPr>
              <w:br w:type="textWrapping"/>
            </w:r>
            <w:r>
              <w:rPr>
                <w:rFonts w:hint="eastAsia" w:ascii="宋体" w:hAnsi="宋体" w:cs="宋体"/>
                <w:kern w:val="0"/>
                <w:szCs w:val="21"/>
                <w:lang w:bidi="ar"/>
              </w:rPr>
              <w:t>工作温度：-20℃ ～ +80℃</w:t>
            </w:r>
            <w:r>
              <w:rPr>
                <w:rFonts w:hint="eastAsia" w:ascii="宋体" w:hAnsi="宋体" w:cs="宋体"/>
                <w:kern w:val="0"/>
                <w:szCs w:val="21"/>
                <w:lang w:bidi="ar"/>
              </w:rPr>
              <w:br w:type="textWrapping"/>
            </w:r>
            <w:r>
              <w:rPr>
                <w:rFonts w:hint="eastAsia" w:ascii="宋体" w:hAnsi="宋体" w:cs="宋体"/>
                <w:kern w:val="0"/>
                <w:szCs w:val="21"/>
                <w:lang w:bidi="ar"/>
              </w:rPr>
              <w:t>工作湿度：10% ～ 90%</w:t>
            </w:r>
            <w:r>
              <w:rPr>
                <w:rFonts w:hint="eastAsia" w:ascii="宋体" w:hAnsi="宋体" w:cs="宋体"/>
                <w:kern w:val="0"/>
                <w:szCs w:val="21"/>
                <w:lang w:bidi="ar"/>
              </w:rPr>
              <w:br w:type="textWrapping"/>
            </w:r>
            <w:r>
              <w:rPr>
                <w:rFonts w:hint="eastAsia" w:ascii="宋体" w:hAnsi="宋体" w:cs="宋体"/>
                <w:kern w:val="0"/>
                <w:szCs w:val="21"/>
                <w:lang w:bidi="ar"/>
              </w:rPr>
              <w:t>尺寸：132x146x36mm(LxWxH)</w:t>
            </w:r>
            <w:r>
              <w:rPr>
                <w:rFonts w:hint="eastAsia" w:ascii="宋体" w:hAnsi="宋体" w:cs="宋体"/>
                <w:kern w:val="0"/>
                <w:szCs w:val="21"/>
                <w:lang w:bidi="ar"/>
              </w:rPr>
              <w:br w:type="textWrapping"/>
            </w:r>
            <w:r>
              <w:rPr>
                <w:rFonts w:hint="eastAsia" w:ascii="宋体" w:hAnsi="宋体" w:cs="宋体"/>
                <w:kern w:val="0"/>
                <w:szCs w:val="21"/>
                <w:lang w:bidi="ar"/>
              </w:rPr>
              <w:t>外包装箱尺寸：495x335x450mm(LxWxH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扩音器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120W带功放；防护等级IP65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网络自动化控制器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输入通道： 8；输入类型：光隔共源；干接点输入；逻辑0： 端口接GND；逻辑1： 端口开路；电平输入；逻辑0：  4 V max；逻辑1：  10 ~ 50 V；输入阻抗： 10 kΩ  0.5W；隔离保护： 3750 VDC；输入具有计数功能；计数通道： 8；最大计数值： 16-bit (65535)；输入频率：  100 Hz；最小脉冲宽度：  5 ms；输出规格；输出通道： 8</w:t>
            </w:r>
            <w:r>
              <w:rPr>
                <w:rFonts w:hint="eastAsia" w:ascii="宋体" w:hAnsi="宋体" w:cs="宋体"/>
                <w:kern w:val="0"/>
                <w:szCs w:val="21"/>
                <w:lang w:bidi="ar"/>
              </w:rPr>
              <w:br w:type="textWrapping"/>
            </w:r>
            <w:r>
              <w:rPr>
                <w:rFonts w:hint="eastAsia" w:ascii="宋体" w:hAnsi="宋体" w:cs="宋体"/>
                <w:kern w:val="0"/>
                <w:szCs w:val="21"/>
                <w:lang w:bidi="ar"/>
              </w:rPr>
              <w:t>输出类型： 源极开路(N-MOSFET)；输出负荷：   650mA/10 ~ 40V max；输出短路保护；隔离保护： 3750 Vrms；电源；电源电压： 10 ~ 30 VDC；电源功耗： 2.2 W；环境；工作温度：-25 ℃ ~ 75 ℃；存储温度：-30 ℃ ~ 85 ℃；相对湿度：5 ~ 95%, 无冷凝支持远程重启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电源</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·超薄型塑料机壳·单相，全范围输入·空载待机消耗瓦数 &lt; 0.75W~1W·适合安装于 DIN rail TS-35 / 7.5 或 15·内建主动式功率因子矫正功能 (active PFC)·DC OK 讯号输出 (MDR-10/20)·DC OK 继电器接点 (relay contact) 信号输出 (MDR-40/60/100)·适用于 Class I, Div 2 T4 危险区域 (MDR-40/60)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防护箱</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定制不锈钢304，800*600*400MM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4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辅材</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含网线、电源线、信号线、管材、辅材等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21</w:t>
            </w:r>
          </w:p>
        </w:tc>
        <w:tc>
          <w:tcPr>
            <w:tcW w:w="130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地磅服务软件</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地磅数据解析服务软件</w:t>
            </w:r>
          </w:p>
        </w:tc>
        <w:tc>
          <w:tcPr>
            <w:tcW w:w="387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业务系统接口解析对接、建立数据池、建立故障日志、提供数据回溯查询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22</w:t>
            </w:r>
          </w:p>
        </w:tc>
        <w:tc>
          <w:tcPr>
            <w:tcW w:w="13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地磅终端硬件控制软件</w:t>
            </w:r>
          </w:p>
        </w:tc>
        <w:tc>
          <w:tcPr>
            <w:tcW w:w="387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智能终端、打印机、扩音器、LED屏、激光对射探测器、红绿灯、网络自动化控制器等设备控制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163" w:type="dxa"/>
            <w:vMerge w:val="restart"/>
            <w:tcBorders>
              <w:top w:val="single" w:color="000000" w:sz="4" w:space="0"/>
              <w:left w:val="single" w:color="000000" w:sz="4" w:space="0"/>
              <w:right w:val="single" w:color="000000" w:sz="4" w:space="0"/>
            </w:tcBorders>
            <w:shd w:val="clear" w:color="auto" w:fill="auto"/>
            <w:noWrap/>
            <w:vAlign w:val="center"/>
          </w:tcPr>
          <w:p>
            <w:pPr>
              <w:jc w:val="left"/>
              <w:rPr>
                <w:rFonts w:ascii="宋体" w:hAnsi="宋体" w:cs="宋体"/>
                <w:szCs w:val="21"/>
              </w:rPr>
            </w:pPr>
          </w:p>
        </w:tc>
      </w:tr>
      <w:tr>
        <w:tblPrEx>
          <w:tblCellMar>
            <w:top w:w="0" w:type="dxa"/>
            <w:left w:w="108" w:type="dxa"/>
            <w:bottom w:w="0" w:type="dxa"/>
            <w:right w:w="108" w:type="dxa"/>
          </w:tblCellMar>
        </w:tblPrEx>
        <w:trPr>
          <w:trHeight w:val="660" w:hRule="atLeast"/>
          <w:jc w:val="center"/>
        </w:trPr>
        <w:tc>
          <w:tcPr>
            <w:tcW w:w="5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lang w:bidi="ar"/>
              </w:rPr>
              <w:t>23</w:t>
            </w:r>
          </w:p>
        </w:tc>
        <w:tc>
          <w:tcPr>
            <w:tcW w:w="13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kern w:val="0"/>
                <w:szCs w:val="21"/>
                <w:lang w:bidi="ar"/>
              </w:rPr>
              <w:t>地磅流程控制软件</w:t>
            </w:r>
          </w:p>
        </w:tc>
        <w:tc>
          <w:tcPr>
            <w:tcW w:w="387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Cs w:val="21"/>
                <w:lang w:bidi="ar"/>
              </w:rPr>
            </w:pPr>
            <w:r>
              <w:rPr>
                <w:rFonts w:hint="eastAsia" w:ascii="宋体" w:hAnsi="宋体" w:cs="宋体"/>
                <w:kern w:val="0"/>
                <w:szCs w:val="21"/>
                <w:lang w:bidi="ar"/>
              </w:rPr>
              <w:t>上磅触发（红外地磅双触发）-红绿灯系统信号变更-车牌识别-获取车辆信息-判断红激光作弊信息-获取稳定重量-获取车牌号-获取打印信息-判断打印机-打印小票-业务完成-业务放行-车辆离开-红绿灯系统信号变更-系统复位流程控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163" w:type="dxa"/>
            <w:vMerge w:val="continue"/>
            <w:tcBorders>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szCs w:val="21"/>
              </w:rPr>
            </w:pPr>
          </w:p>
        </w:tc>
      </w:tr>
    </w:tbl>
    <w:p>
      <w:pPr>
        <w:spacing w:line="360" w:lineRule="auto"/>
        <w:rPr>
          <w:rFonts w:ascii="宋体" w:hAnsi="宋体" w:cs="宋体"/>
          <w:sz w:val="24"/>
          <w:szCs w:val="24"/>
        </w:rPr>
      </w:pPr>
    </w:p>
    <w:p>
      <w:pPr>
        <w:keepNext/>
        <w:keepLines/>
        <w:numPr>
          <w:ilvl w:val="2"/>
          <w:numId w:val="5"/>
        </w:numPr>
        <w:spacing w:before="260" w:after="260" w:line="360" w:lineRule="auto"/>
        <w:outlineLvl w:val="2"/>
        <w:rPr>
          <w:rFonts w:ascii="宋体" w:hAnsi="宋体" w:cs="宋体"/>
          <w:b/>
          <w:sz w:val="24"/>
          <w:szCs w:val="24"/>
        </w:rPr>
      </w:pPr>
      <w:bookmarkStart w:id="575" w:name="_Toc24552"/>
      <w:r>
        <w:rPr>
          <w:rFonts w:hint="eastAsia" w:ascii="宋体" w:hAnsi="宋体" w:cs="宋体"/>
          <w:b/>
          <w:sz w:val="24"/>
          <w:szCs w:val="24"/>
        </w:rPr>
        <w:t>安装部署要求</w:t>
      </w:r>
      <w:bookmarkEnd w:id="575"/>
    </w:p>
    <w:p>
      <w:pPr>
        <w:numPr>
          <w:ilvl w:val="1"/>
          <w:numId w:val="0"/>
        </w:numPr>
        <w:spacing w:line="360" w:lineRule="auto"/>
        <w:ind w:left="210" w:leftChars="100" w:firstLine="480" w:firstLineChars="200"/>
        <w:rPr>
          <w:rFonts w:ascii="宋体" w:hAnsi="宋体" w:cs="宋体"/>
          <w:sz w:val="24"/>
          <w:szCs w:val="24"/>
        </w:rPr>
      </w:pPr>
      <w:r>
        <w:rPr>
          <w:rFonts w:hint="eastAsia" w:ascii="宋体" w:hAnsi="宋体" w:cs="宋体"/>
          <w:sz w:val="24"/>
          <w:szCs w:val="24"/>
        </w:rPr>
        <w:t>所有安装的设备要有较好地防雷防水效果。</w:t>
      </w:r>
    </w:p>
    <w:p>
      <w:pPr>
        <w:spacing w:line="360" w:lineRule="auto"/>
        <w:ind w:firstLine="480" w:firstLineChars="200"/>
        <w:rPr>
          <w:rFonts w:ascii="宋体" w:hAnsi="宋体" w:cs="宋体"/>
          <w:sz w:val="24"/>
          <w:szCs w:val="24"/>
        </w:rPr>
      </w:pPr>
      <w:r>
        <w:rPr>
          <w:rFonts w:hint="eastAsia" w:ascii="宋体" w:hAnsi="宋体" w:cs="宋体"/>
          <w:sz w:val="24"/>
          <w:szCs w:val="24"/>
        </w:rPr>
        <w:t>物联网建设系统必须与现有码头物联网系统已有设备有良好的软硬件联动响应效率；实现新旧系统无缝切换。</w:t>
      </w:r>
    </w:p>
    <w:p>
      <w:pPr>
        <w:spacing w:line="360" w:lineRule="auto"/>
        <w:ind w:firstLine="480" w:firstLineChars="200"/>
        <w:rPr>
          <w:rFonts w:ascii="宋体" w:hAnsi="宋体" w:cs="宋体"/>
          <w:sz w:val="24"/>
          <w:szCs w:val="24"/>
        </w:rPr>
      </w:pPr>
      <w:r>
        <w:rPr>
          <w:rFonts w:hint="eastAsia" w:ascii="宋体" w:hAnsi="宋体" w:cs="宋体"/>
          <w:sz w:val="24"/>
          <w:szCs w:val="24"/>
        </w:rPr>
        <w:t>系统功能界面应规范、易用、友好、一致，操作简单，尽可能少录入信息。</w:t>
      </w:r>
    </w:p>
    <w:p>
      <w:pPr>
        <w:spacing w:line="360" w:lineRule="auto"/>
        <w:ind w:firstLine="480" w:firstLineChars="200"/>
        <w:rPr>
          <w:rFonts w:ascii="宋体" w:hAnsi="宋体" w:cs="宋体"/>
          <w:sz w:val="24"/>
          <w:szCs w:val="24"/>
        </w:rPr>
      </w:pPr>
      <w:r>
        <w:rPr>
          <w:rFonts w:hint="eastAsia" w:ascii="宋体" w:hAnsi="宋体" w:cs="宋体"/>
          <w:sz w:val="24"/>
          <w:szCs w:val="24"/>
        </w:rPr>
        <w:t>系统功能应满足仓库地磅员现场作业业务需要。</w:t>
      </w:r>
    </w:p>
    <w:p>
      <w:pPr>
        <w:spacing w:line="360" w:lineRule="auto"/>
        <w:ind w:firstLine="480" w:firstLineChars="200"/>
        <w:rPr>
          <w:rFonts w:ascii="宋体" w:hAnsi="宋体" w:cs="宋体"/>
          <w:sz w:val="24"/>
          <w:szCs w:val="24"/>
        </w:rPr>
      </w:pPr>
      <w:r>
        <w:rPr>
          <w:rFonts w:hint="eastAsia" w:ascii="宋体" w:hAnsi="宋体" w:cs="宋体"/>
          <w:sz w:val="24"/>
          <w:szCs w:val="24"/>
        </w:rPr>
        <w:t>码头物联网设备在局域网内部署数据采集与统一监控服务，通过与生产业务系统进行数据交互实现现场汽车作业。</w:t>
      </w:r>
    </w:p>
    <w:p>
      <w:pPr>
        <w:spacing w:line="360" w:lineRule="auto"/>
        <w:ind w:firstLine="480" w:firstLineChars="200"/>
        <w:rPr>
          <w:rFonts w:ascii="宋体" w:hAnsi="宋体" w:cs="宋体"/>
          <w:sz w:val="24"/>
          <w:szCs w:val="24"/>
        </w:rPr>
      </w:pPr>
      <w:r>
        <w:rPr>
          <w:rFonts w:hint="eastAsia" w:ascii="宋体" w:hAnsi="宋体" w:cs="宋体"/>
          <w:sz w:val="24"/>
          <w:szCs w:val="24"/>
        </w:rPr>
        <w:t>地磅采集支持互联网、局域网和本地运行，在本地运行的在网络恢复后自动上传数据，确保作业数据闭环管理。</w:t>
      </w:r>
    </w:p>
    <w:p>
      <w:pPr>
        <w:spacing w:line="360" w:lineRule="auto"/>
        <w:ind w:firstLine="480" w:firstLineChars="200"/>
        <w:rPr>
          <w:rFonts w:ascii="宋体" w:hAnsi="宋体" w:cs="宋体"/>
          <w:sz w:val="24"/>
          <w:szCs w:val="24"/>
        </w:rPr>
      </w:pPr>
      <w:r>
        <w:rPr>
          <w:rFonts w:hint="eastAsia" w:ascii="宋体" w:hAnsi="宋体" w:cs="宋体"/>
          <w:sz w:val="24"/>
          <w:szCs w:val="24"/>
        </w:rPr>
        <w:t>拥有物联网监控平台，可实时监控业务数据和图片的监控页面；可以实时查看设备状态，进行远程设备重启，远程运维；设备状态监测，会产生报警提醒。</w:t>
      </w:r>
    </w:p>
    <w:p>
      <w:pPr>
        <w:keepNext/>
        <w:keepLines/>
        <w:numPr>
          <w:ilvl w:val="1"/>
          <w:numId w:val="5"/>
        </w:numPr>
        <w:spacing w:before="260" w:after="260" w:line="360" w:lineRule="auto"/>
        <w:ind w:left="0" w:firstLine="0"/>
        <w:outlineLvl w:val="1"/>
        <w:rPr>
          <w:rFonts w:ascii="宋体" w:hAnsi="宋体" w:cs="宋体"/>
          <w:b/>
          <w:sz w:val="24"/>
          <w:szCs w:val="24"/>
        </w:rPr>
      </w:pPr>
      <w:bookmarkStart w:id="576" w:name="_Toc6557"/>
      <w:bookmarkStart w:id="577" w:name="_Toc5607"/>
      <w:r>
        <w:rPr>
          <w:rFonts w:hint="eastAsia" w:ascii="宋体" w:hAnsi="宋体" w:cs="宋体"/>
          <w:b/>
          <w:sz w:val="24"/>
          <w:szCs w:val="24"/>
        </w:rPr>
        <w:t>实时数据采集要求</w:t>
      </w:r>
      <w:bookmarkEnd w:id="576"/>
      <w:bookmarkEnd w:id="577"/>
    </w:p>
    <w:p>
      <w:pPr>
        <w:keepNext/>
        <w:keepLines/>
        <w:numPr>
          <w:ilvl w:val="2"/>
          <w:numId w:val="5"/>
        </w:numPr>
        <w:spacing w:before="260" w:after="260" w:line="360" w:lineRule="auto"/>
        <w:outlineLvl w:val="2"/>
        <w:rPr>
          <w:rFonts w:ascii="宋体" w:hAnsi="宋体" w:cs="宋体"/>
          <w:b/>
          <w:sz w:val="24"/>
          <w:szCs w:val="24"/>
        </w:rPr>
      </w:pPr>
      <w:bookmarkStart w:id="578" w:name="_Toc15351"/>
      <w:bookmarkStart w:id="579" w:name="_Toc4809"/>
      <w:r>
        <w:rPr>
          <w:rFonts w:hint="eastAsia" w:ascii="宋体" w:hAnsi="宋体" w:cs="宋体"/>
          <w:b/>
          <w:sz w:val="24"/>
          <w:szCs w:val="24"/>
        </w:rPr>
        <w:t>物联网地磅数据采集</w:t>
      </w:r>
      <w:bookmarkEnd w:id="578"/>
      <w:bookmarkEnd w:id="579"/>
    </w:p>
    <w:p>
      <w:pPr>
        <w:spacing w:line="360" w:lineRule="auto"/>
        <w:ind w:firstLine="480" w:firstLineChars="200"/>
        <w:rPr>
          <w:rFonts w:ascii="宋体" w:hAnsi="宋体" w:cs="宋体"/>
          <w:sz w:val="24"/>
          <w:szCs w:val="24"/>
        </w:rPr>
      </w:pPr>
      <w:r>
        <w:rPr>
          <w:rFonts w:hint="eastAsia" w:ascii="宋体" w:hAnsi="宋体" w:cs="宋体"/>
          <w:sz w:val="24"/>
          <w:szCs w:val="24"/>
        </w:rPr>
        <w:t>通过在地磅安装物联网设备，如车牌识别、LED、红外、视频监控摄像枪、对讲主分机等设备，实时获取车牌号及地磅称重数据，结合指令或预约信息完成过磅业务数据采集。</w:t>
      </w:r>
    </w:p>
    <w:p>
      <w:pPr>
        <w:keepNext/>
        <w:keepLines/>
        <w:numPr>
          <w:ilvl w:val="2"/>
          <w:numId w:val="5"/>
        </w:numPr>
        <w:spacing w:before="260" w:after="260" w:line="360" w:lineRule="auto"/>
        <w:outlineLvl w:val="2"/>
        <w:rPr>
          <w:rFonts w:ascii="宋体" w:hAnsi="宋体" w:cs="宋体"/>
          <w:b/>
          <w:sz w:val="24"/>
          <w:szCs w:val="24"/>
        </w:rPr>
      </w:pPr>
      <w:bookmarkStart w:id="580" w:name="_Toc2517"/>
      <w:bookmarkStart w:id="581" w:name="_Toc24016"/>
      <w:r>
        <w:rPr>
          <w:rFonts w:hint="eastAsia" w:ascii="宋体" w:hAnsi="宋体" w:cs="宋体"/>
          <w:b/>
          <w:sz w:val="24"/>
          <w:szCs w:val="24"/>
        </w:rPr>
        <w:t>移动端数据采集</w:t>
      </w:r>
      <w:bookmarkEnd w:id="580"/>
      <w:bookmarkEnd w:id="581"/>
    </w:p>
    <w:p>
      <w:pPr>
        <w:spacing w:after="120" w:line="360" w:lineRule="auto"/>
        <w:ind w:firstLine="552" w:firstLineChars="230"/>
        <w:rPr>
          <w:rFonts w:ascii="宋体" w:hAnsi="宋体" w:cs="宋体"/>
          <w:sz w:val="24"/>
          <w:szCs w:val="24"/>
        </w:rPr>
      </w:pPr>
      <w:r>
        <w:rPr>
          <w:rFonts w:hint="eastAsia" w:ascii="宋体" w:hAnsi="宋体" w:cs="宋体"/>
          <w:sz w:val="24"/>
          <w:szCs w:val="24"/>
        </w:rPr>
        <w:t>对于无计量设备的作业，如卸船的段结段报等数据采集等。通过开发移动端数据采集，及时对每段作业采集当班次每个船舱卸船量进行移动端录入，及时采集卸船作业数据，同时填写卸船堆场，及时采集堆场堆存情况。移动端采用H5、小程序、公众号等其中一种技术实现现场作业数据收集。</w:t>
      </w:r>
    </w:p>
    <w:p>
      <w:pPr>
        <w:keepNext/>
        <w:keepLines/>
        <w:numPr>
          <w:ilvl w:val="1"/>
          <w:numId w:val="5"/>
        </w:numPr>
        <w:spacing w:before="260" w:after="260" w:line="360" w:lineRule="auto"/>
        <w:ind w:left="0" w:firstLine="0"/>
        <w:outlineLvl w:val="1"/>
        <w:rPr>
          <w:rFonts w:ascii="宋体" w:hAnsi="宋体" w:cs="宋体"/>
          <w:b/>
          <w:sz w:val="24"/>
          <w:szCs w:val="24"/>
        </w:rPr>
      </w:pPr>
      <w:bookmarkStart w:id="582" w:name="_Toc14237"/>
      <w:bookmarkStart w:id="583" w:name="_Toc10882"/>
      <w:r>
        <w:rPr>
          <w:rFonts w:hint="eastAsia" w:ascii="宋体" w:hAnsi="宋体" w:cs="宋体"/>
          <w:b/>
          <w:sz w:val="24"/>
          <w:szCs w:val="24"/>
        </w:rPr>
        <w:t>系统对接要求</w:t>
      </w:r>
      <w:bookmarkEnd w:id="582"/>
      <w:bookmarkEnd w:id="583"/>
    </w:p>
    <w:p>
      <w:pPr>
        <w:spacing w:line="360" w:lineRule="auto"/>
        <w:ind w:firstLine="480" w:firstLineChars="200"/>
        <w:rPr>
          <w:rFonts w:ascii="宋体" w:hAnsi="宋体" w:cs="宋体"/>
          <w:sz w:val="24"/>
          <w:szCs w:val="24"/>
        </w:rPr>
      </w:pPr>
      <w:r>
        <w:rPr>
          <w:rFonts w:hint="eastAsia" w:ascii="宋体" w:hAnsi="宋体" w:cs="宋体"/>
          <w:sz w:val="24"/>
          <w:szCs w:val="24"/>
        </w:rPr>
        <w:t>为节省项目费用的投入和便于获取有关上级单位的支持与指导，生产业务系统需部署在主导</w:t>
      </w:r>
      <w:r>
        <w:rPr>
          <w:rFonts w:ascii="宋体" w:hAnsi="宋体" w:cs="宋体"/>
          <w:sz w:val="24"/>
          <w:szCs w:val="24"/>
        </w:rPr>
        <w:t>亚太码头生产经营的上级单位的云端服务器上，</w:t>
      </w:r>
      <w:r>
        <w:rPr>
          <w:rFonts w:hint="eastAsia" w:ascii="宋体" w:hAnsi="宋体" w:cs="宋体"/>
          <w:sz w:val="24"/>
          <w:szCs w:val="24"/>
        </w:rPr>
        <w:t>以便</w:t>
      </w:r>
      <w:r>
        <w:rPr>
          <w:rFonts w:ascii="宋体" w:hAnsi="宋体" w:cs="宋体"/>
          <w:sz w:val="24"/>
          <w:szCs w:val="24"/>
        </w:rPr>
        <w:t>其对生产业务进行</w:t>
      </w:r>
      <w:r>
        <w:rPr>
          <w:rFonts w:hint="eastAsia" w:ascii="宋体" w:hAnsi="宋体" w:cs="宋体"/>
          <w:sz w:val="24"/>
          <w:szCs w:val="24"/>
        </w:rPr>
        <w:t>合理</w:t>
      </w:r>
      <w:r>
        <w:rPr>
          <w:rFonts w:ascii="宋体" w:hAnsi="宋体" w:cs="宋体"/>
          <w:sz w:val="24"/>
          <w:szCs w:val="24"/>
        </w:rPr>
        <w:t>统筹、支持与指导</w:t>
      </w:r>
      <w:r>
        <w:rPr>
          <w:rFonts w:hint="eastAsia" w:ascii="宋体" w:hAnsi="宋体" w:cs="宋体"/>
          <w:sz w:val="24"/>
          <w:szCs w:val="24"/>
        </w:rPr>
        <w:t>。</w:t>
      </w:r>
      <w:r>
        <w:rPr>
          <w:rFonts w:ascii="宋体" w:hAnsi="宋体" w:cs="宋体"/>
          <w:sz w:val="24"/>
          <w:szCs w:val="24"/>
        </w:rPr>
        <w:t>系统</w:t>
      </w:r>
      <w:r>
        <w:rPr>
          <w:rFonts w:hint="eastAsia" w:ascii="宋体" w:hAnsi="宋体" w:cs="宋体"/>
          <w:sz w:val="24"/>
          <w:szCs w:val="24"/>
        </w:rPr>
        <w:t>采用B/S架构，用户可以通过互联网或者局域网直接使用浏览器访问，并支持负载均衡确保系统的高可用性。</w:t>
      </w:r>
    </w:p>
    <w:p>
      <w:pPr>
        <w:spacing w:line="360" w:lineRule="auto"/>
        <w:ind w:firstLine="480" w:firstLineChars="200"/>
        <w:rPr>
          <w:rFonts w:ascii="宋体" w:hAnsi="宋体" w:cs="宋体"/>
          <w:sz w:val="24"/>
          <w:szCs w:val="24"/>
        </w:rPr>
      </w:pPr>
      <w:bookmarkStart w:id="584" w:name="OLE_LINK6"/>
      <w:r>
        <w:rPr>
          <w:rFonts w:hint="eastAsia" w:ascii="宋体" w:hAnsi="宋体" w:cs="宋体"/>
          <w:sz w:val="24"/>
          <w:szCs w:val="24"/>
        </w:rPr>
        <w:t>★</w:t>
      </w:r>
      <w:bookmarkEnd w:id="584"/>
      <w:r>
        <w:rPr>
          <w:rFonts w:hint="eastAsia" w:ascii="宋体" w:hAnsi="宋体" w:cs="宋体"/>
          <w:sz w:val="24"/>
          <w:szCs w:val="24"/>
        </w:rPr>
        <w:t>网络安全要求，本系统的PC网页端和移动端需符合网络安全等级保护2.0标准，完成等保测评，切实提高网络安全防护能力。投标人需提供免费升级服务直至本系统符合等保标准。</w:t>
      </w:r>
    </w:p>
    <w:p>
      <w:pPr>
        <w:spacing w:line="360" w:lineRule="auto"/>
        <w:ind w:firstLine="480" w:firstLineChars="200"/>
        <w:rPr>
          <w:rFonts w:ascii="宋体" w:hAnsi="宋体" w:cs="宋体"/>
          <w:sz w:val="24"/>
          <w:szCs w:val="24"/>
        </w:rPr>
      </w:pPr>
      <w:r>
        <w:rPr>
          <w:rFonts w:hint="eastAsia" w:ascii="宋体" w:hAnsi="宋体" w:cs="宋体"/>
          <w:sz w:val="24"/>
          <w:szCs w:val="24"/>
        </w:rPr>
        <w:t>★本系统须与主导</w:t>
      </w:r>
      <w:r>
        <w:rPr>
          <w:rFonts w:ascii="宋体" w:hAnsi="宋体" w:cs="宋体"/>
          <w:sz w:val="24"/>
          <w:szCs w:val="24"/>
        </w:rPr>
        <w:t>亚太码头生产经营的上级单位的</w:t>
      </w:r>
      <w:r>
        <w:rPr>
          <w:rFonts w:hint="eastAsia" w:ascii="宋体" w:hAnsi="宋体" w:cs="宋体"/>
          <w:sz w:val="24"/>
          <w:szCs w:val="24"/>
        </w:rPr>
        <w:t>数据中心实现数据对接，数据回归至该数据中心，对接的所有接口费用都包含在投标总价中。</w:t>
      </w:r>
    </w:p>
    <w:p>
      <w:pPr>
        <w:spacing w:line="360" w:lineRule="auto"/>
        <w:ind w:firstLine="480" w:firstLineChars="200"/>
        <w:rPr>
          <w:rFonts w:ascii="宋体" w:hAnsi="宋体" w:cs="宋体"/>
          <w:sz w:val="24"/>
          <w:szCs w:val="24"/>
        </w:rPr>
      </w:pPr>
      <w:r>
        <w:rPr>
          <w:rFonts w:hint="eastAsia" w:ascii="宋体" w:hAnsi="宋体" w:cs="宋体"/>
          <w:sz w:val="24"/>
          <w:szCs w:val="24"/>
        </w:rPr>
        <w:t>★本系统须与主导</w:t>
      </w:r>
      <w:r>
        <w:rPr>
          <w:rFonts w:ascii="宋体" w:hAnsi="宋体" w:cs="宋体"/>
          <w:sz w:val="24"/>
          <w:szCs w:val="24"/>
        </w:rPr>
        <w:t>亚太码头生产经营的上级单位的</w:t>
      </w:r>
      <w:r>
        <w:rPr>
          <w:rFonts w:hint="eastAsia" w:ascii="宋体" w:hAnsi="宋体" w:cs="宋体"/>
          <w:sz w:val="24"/>
          <w:szCs w:val="24"/>
        </w:rPr>
        <w:t>客户关系管理系统实现数据对接，对接的所有接口费用都包含在投标总价中。</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highlight w:val="none"/>
        </w:rPr>
        <w:t>本系统须做异地容灾，并要求在业主本地部署运行环境。</w:t>
      </w:r>
    </w:p>
    <w:p>
      <w:pPr>
        <w:spacing w:line="360" w:lineRule="auto"/>
        <w:ind w:firstLine="480" w:firstLineChars="200"/>
        <w:rPr>
          <w:rFonts w:ascii="宋体" w:hAnsi="宋体" w:cs="宋体"/>
          <w:sz w:val="24"/>
          <w:szCs w:val="24"/>
        </w:rPr>
      </w:pPr>
      <w:r>
        <w:rPr>
          <w:rFonts w:hint="eastAsia" w:ascii="宋体" w:hAnsi="宋体" w:cs="宋体"/>
          <w:sz w:val="24"/>
          <w:szCs w:val="24"/>
        </w:rPr>
        <w:t>本系统需预留智能环保工程、机械设备的对接接口。</w:t>
      </w:r>
    </w:p>
    <w:p>
      <w:pPr>
        <w:keepNext/>
        <w:keepLines/>
        <w:numPr>
          <w:ilvl w:val="0"/>
          <w:numId w:val="5"/>
        </w:numPr>
        <w:spacing w:before="340" w:after="330" w:line="360" w:lineRule="auto"/>
        <w:outlineLvl w:val="0"/>
        <w:rPr>
          <w:rFonts w:ascii="宋体" w:hAnsi="宋体" w:cs="宋体"/>
          <w:b/>
          <w:kern w:val="44"/>
          <w:sz w:val="24"/>
          <w:szCs w:val="24"/>
        </w:rPr>
      </w:pPr>
      <w:bookmarkStart w:id="585" w:name="_Toc19129"/>
      <w:r>
        <w:rPr>
          <w:rFonts w:hint="eastAsia" w:ascii="宋体" w:hAnsi="宋体" w:cs="宋体"/>
          <w:b/>
          <w:kern w:val="44"/>
          <w:sz w:val="24"/>
          <w:szCs w:val="24"/>
        </w:rPr>
        <w:t>其他要求</w:t>
      </w:r>
      <w:bookmarkEnd w:id="585"/>
    </w:p>
    <w:p>
      <w:pPr>
        <w:spacing w:after="120" w:line="360" w:lineRule="auto"/>
        <w:ind w:firstLine="480" w:firstLineChars="200"/>
        <w:rPr>
          <w:rFonts w:ascii="宋体" w:hAnsi="宋体" w:cs="宋体"/>
          <w:sz w:val="24"/>
          <w:szCs w:val="24"/>
        </w:rPr>
      </w:pPr>
      <w:r>
        <w:rPr>
          <w:rFonts w:hint="eastAsia" w:ascii="宋体" w:hAnsi="宋体" w:cs="宋体"/>
          <w:sz w:val="24"/>
          <w:szCs w:val="24"/>
        </w:rPr>
        <w:t>1.★项目工期：项目总工期为12个月。合同签订后10个月内完成项目内容建设，并具备上线运行条件；2个月内完成试运行，验收合格后交付甲方使用。</w:t>
      </w:r>
    </w:p>
    <w:p>
      <w:pPr>
        <w:spacing w:after="120" w:line="360" w:lineRule="auto"/>
        <w:ind w:firstLine="480" w:firstLineChars="200"/>
        <w:rPr>
          <w:rFonts w:ascii="宋体" w:hAnsi="宋体" w:cs="宋体"/>
          <w:sz w:val="24"/>
          <w:szCs w:val="24"/>
        </w:rPr>
      </w:pPr>
      <w:bookmarkStart w:id="586" w:name="OLE_LINK7"/>
      <w:r>
        <w:rPr>
          <w:rFonts w:hint="eastAsia" w:ascii="宋体" w:hAnsi="宋体" w:cs="宋体"/>
          <w:sz w:val="24"/>
          <w:szCs w:val="24"/>
        </w:rPr>
        <w:t>2.</w:t>
      </w:r>
      <w:bookmarkStart w:id="587" w:name="OLE_LINK12"/>
      <w:r>
        <w:rPr>
          <w:rFonts w:hint="eastAsia" w:ascii="宋体" w:hAnsi="宋体" w:cs="宋体"/>
          <w:sz w:val="24"/>
          <w:szCs w:val="24"/>
        </w:rPr>
        <w:t>★</w:t>
      </w:r>
      <w:bookmarkEnd w:id="586"/>
      <w:bookmarkEnd w:id="587"/>
      <w:r>
        <w:rPr>
          <w:rFonts w:hint="eastAsia" w:ascii="宋体" w:hAnsi="宋体" w:cs="宋体"/>
          <w:sz w:val="24"/>
          <w:szCs w:val="24"/>
        </w:rPr>
        <w:t>项目维护期：提供壹年免费维护，7</w:t>
      </w:r>
      <w:bookmarkStart w:id="588" w:name="OLE_LINK15"/>
      <w:r>
        <w:rPr>
          <w:rFonts w:hint="eastAsia" w:ascii="宋体" w:hAnsi="宋体" w:cs="宋体"/>
          <w:sz w:val="24"/>
          <w:szCs w:val="24"/>
        </w:rPr>
        <w:t>×</w:t>
      </w:r>
      <w:bookmarkEnd w:id="588"/>
      <w:r>
        <w:rPr>
          <w:rFonts w:hint="eastAsia" w:ascii="宋体" w:hAnsi="宋体" w:cs="宋体"/>
          <w:sz w:val="24"/>
          <w:szCs w:val="24"/>
        </w:rPr>
        <w:t>24小时技术支持服务。免费维护期自项目通过验收之日起计算。</w:t>
      </w:r>
    </w:p>
    <w:p>
      <w:pPr>
        <w:spacing w:after="120" w:line="360" w:lineRule="auto"/>
        <w:ind w:firstLine="480" w:firstLineChars="200"/>
        <w:rPr>
          <w:rFonts w:ascii="宋体" w:hAnsi="宋体" w:cs="宋体"/>
          <w:sz w:val="24"/>
          <w:szCs w:val="24"/>
        </w:rPr>
      </w:pPr>
      <w:r>
        <w:rPr>
          <w:rFonts w:hint="eastAsia" w:ascii="宋体" w:hAnsi="宋体" w:cs="宋体"/>
          <w:sz w:val="24"/>
          <w:szCs w:val="24"/>
        </w:rPr>
        <w:t>质保期内中标人必须提供7×24小时服务，并在30分钟内对招标人所提出的要求做出响应，如2小时内无法排除故障，中标人须派出技术人员在24小时内到达招标人现场给予技术支持，中标人须保证在24小时内系统恢复正常运行。由此产生的一切费用均由中标人承担。</w:t>
      </w:r>
    </w:p>
    <w:p>
      <w:pPr>
        <w:spacing w:after="120" w:line="360" w:lineRule="auto"/>
        <w:ind w:firstLine="480" w:firstLineChars="200"/>
        <w:rPr>
          <w:rFonts w:ascii="宋体" w:hAnsi="宋体" w:cs="宋体"/>
          <w:sz w:val="24"/>
          <w:szCs w:val="24"/>
        </w:rPr>
      </w:pPr>
      <w:r>
        <w:rPr>
          <w:rFonts w:hint="eastAsia" w:ascii="宋体" w:hAnsi="宋体" w:cs="宋体"/>
          <w:sz w:val="24"/>
          <w:szCs w:val="24"/>
        </w:rPr>
        <w:t>3.★中标人需承诺为招标人提供系统功能使用指导、培训工作，且中标人需承诺指导、培训内容能覆盖系统平台的运营工作。运营工作包括但不限于以下内容：基础资料维护、平台部署、参数配置、用户权限管理维护、数据库维护。（提供承诺函，格式自拟并加盖投标人公章）。</w:t>
      </w:r>
    </w:p>
    <w:p>
      <w:pPr>
        <w:spacing w:after="120" w:line="360" w:lineRule="auto"/>
        <w:ind w:firstLine="480" w:firstLineChars="200"/>
        <w:rPr>
          <w:rFonts w:ascii="宋体" w:hAnsi="宋体" w:cs="宋体"/>
          <w:sz w:val="24"/>
          <w:szCs w:val="24"/>
        </w:rPr>
      </w:pPr>
      <w:bookmarkStart w:id="589" w:name="OLE_LINK14"/>
      <w:r>
        <w:rPr>
          <w:rFonts w:hint="eastAsia" w:ascii="宋体" w:hAnsi="宋体" w:cs="宋体"/>
          <w:sz w:val="24"/>
          <w:szCs w:val="24"/>
        </w:rPr>
        <w:t>4.★为保证项</w:t>
      </w:r>
      <w:bookmarkEnd w:id="589"/>
      <w:r>
        <w:rPr>
          <w:rFonts w:hint="eastAsia" w:ascii="宋体" w:hAnsi="宋体" w:cs="宋体"/>
          <w:sz w:val="24"/>
          <w:szCs w:val="24"/>
        </w:rPr>
        <w:t>目建设顺利进行，建设过程中出现问题，建设团队能够快速响应，中标人应承诺参与项目建设人员中包括1名项目经理、至少2名以上工程师在项目实施期间驻场服务，并将人员信息报招标人备案。项目人员一经确定后，原则上不允许调换，如需调换，需经招标人同意后方可调换。项目建设周期中，人员更换率不得超过20%。中标人应配置软件定制所需的必要技术人员数量，提供参与人员清单，保障定制开发顺利进行（提供承诺函，格式自拟并加盖投标人公章）。</w:t>
      </w:r>
    </w:p>
    <w:p>
      <w:pPr>
        <w:spacing w:after="120" w:line="360" w:lineRule="auto"/>
        <w:ind w:firstLine="480" w:firstLineChars="200"/>
        <w:rPr>
          <w:rFonts w:ascii="宋体" w:hAnsi="宋体" w:cs="宋体"/>
          <w:sz w:val="24"/>
          <w:szCs w:val="24"/>
        </w:rPr>
      </w:pPr>
      <w:r>
        <w:rPr>
          <w:rFonts w:hint="eastAsia" w:ascii="宋体" w:hAnsi="宋体" w:cs="宋体"/>
          <w:sz w:val="24"/>
          <w:szCs w:val="24"/>
        </w:rPr>
        <w:t>5.项目功能要求中的AI应用需提供系统截图或实现方法说明。</w:t>
      </w:r>
    </w:p>
    <w:p>
      <w:pPr>
        <w:spacing w:line="440" w:lineRule="exact"/>
        <w:jc w:val="center"/>
        <w:rPr>
          <w:rFonts w:ascii="Times New Roman" w:hAnsi="Times New Roman"/>
        </w:rPr>
      </w:pPr>
      <w:r>
        <w:rPr>
          <w:rFonts w:ascii="Times New Roman" w:hAnsi="Times New Roman"/>
        </w:rPr>
        <w:br w:type="page"/>
      </w:r>
    </w:p>
    <w:p>
      <w:pPr>
        <w:spacing w:line="440" w:lineRule="exact"/>
        <w:jc w:val="center"/>
      </w:pPr>
    </w:p>
    <w:p>
      <w:pPr>
        <w:pStyle w:val="8"/>
        <w:spacing w:line="440" w:lineRule="exact"/>
        <w:jc w:val="center"/>
      </w:pPr>
      <w:bookmarkStart w:id="590" w:name="_Toc5774"/>
      <w:r>
        <w:t>第</w:t>
      </w:r>
      <w:r>
        <w:rPr>
          <w:rFonts w:hint="eastAsia"/>
        </w:rPr>
        <w:t>三</w:t>
      </w:r>
      <w:r>
        <w:t>卷</w:t>
      </w:r>
      <w:r>
        <w:rPr>
          <w:rFonts w:hint="eastAsia"/>
        </w:rPr>
        <w:t xml:space="preserve"> 投标文件格式</w:t>
      </w:r>
      <w:bookmarkEnd w:id="590"/>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br w:type="page"/>
      </w:r>
    </w:p>
    <w:p>
      <w:pPr>
        <w:spacing w:line="440" w:lineRule="exact"/>
        <w:jc w:val="center"/>
        <w:rPr>
          <w:rFonts w:ascii="Times New Roman" w:hAnsi="Times New Roman" w:eastAsia="黑体"/>
          <w:sz w:val="28"/>
          <w:szCs w:val="28"/>
        </w:rPr>
      </w:pPr>
      <w:r>
        <w:rPr>
          <w:rFonts w:ascii="Times New Roman" w:hAnsi="Times New Roman" w:eastAsia="黑体"/>
          <w:sz w:val="28"/>
          <w:szCs w:val="28"/>
          <w:u w:val="single"/>
        </w:rPr>
        <w:t xml:space="preserve">        </w:t>
      </w:r>
      <w:r>
        <w:rPr>
          <w:rFonts w:ascii="Times New Roman" w:hAnsi="Times New Roman" w:eastAsia="黑体"/>
          <w:sz w:val="28"/>
          <w:szCs w:val="28"/>
        </w:rPr>
        <w:t>（</w:t>
      </w:r>
      <w:r>
        <w:rPr>
          <w:rFonts w:hint="eastAsia" w:ascii="Times New Roman" w:hAnsi="Times New Roman" w:eastAsia="黑体"/>
          <w:sz w:val="28"/>
          <w:szCs w:val="28"/>
        </w:rPr>
        <w:t>招标</w:t>
      </w:r>
      <w:r>
        <w:rPr>
          <w:rFonts w:ascii="Times New Roman" w:hAnsi="Times New Roman" w:eastAsia="黑体"/>
          <w:sz w:val="28"/>
          <w:szCs w:val="28"/>
        </w:rPr>
        <w:t>项目名称）</w:t>
      </w:r>
    </w:p>
    <w:p>
      <w:pPr>
        <w:spacing w:line="440" w:lineRule="exact"/>
        <w:rPr>
          <w:rFonts w:ascii="Times New Roman" w:hAnsi="Times New Roman" w:eastAsia="黑体"/>
          <w:sz w:val="20"/>
        </w:rPr>
      </w:pPr>
    </w:p>
    <w:p>
      <w:pPr>
        <w:spacing w:line="440" w:lineRule="exact"/>
        <w:rPr>
          <w:rFonts w:ascii="Times New Roman" w:hAnsi="Times New Roman" w:eastAsia="黑体"/>
          <w:sz w:val="20"/>
        </w:rPr>
      </w:pPr>
    </w:p>
    <w:p>
      <w:pPr>
        <w:spacing w:line="440" w:lineRule="exact"/>
        <w:jc w:val="center"/>
        <w:rPr>
          <w:rFonts w:ascii="Times New Roman" w:hAnsi="Times New Roman" w:eastAsia="黑体"/>
          <w:sz w:val="44"/>
        </w:rPr>
      </w:pPr>
      <w:r>
        <w:rPr>
          <w:rFonts w:ascii="Times New Roman" w:hAnsi="Times New Roman" w:eastAsia="黑体"/>
          <w:sz w:val="44"/>
        </w:rPr>
        <w:t>投 标 文 件</w:t>
      </w:r>
    </w:p>
    <w:p>
      <w:pPr>
        <w:spacing w:line="440" w:lineRule="exact"/>
        <w:jc w:val="center"/>
        <w:rPr>
          <w:rFonts w:ascii="Times New Roman" w:hAnsi="Times New Roman" w:eastAsia="黑体"/>
          <w:sz w:val="44"/>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widowControl/>
        <w:autoSpaceDE w:val="0"/>
        <w:autoSpaceDN w:val="0"/>
        <w:adjustRightInd w:val="0"/>
        <w:spacing w:line="440" w:lineRule="exact"/>
        <w:ind w:firstLine="2693" w:firstLineChars="962"/>
        <w:jc w:val="left"/>
        <w:textAlignment w:val="baseline"/>
        <w:rPr>
          <w:rFonts w:ascii="Times New Roman" w:hAnsi="Times New Roman"/>
          <w:kern w:val="0"/>
          <w:sz w:val="28"/>
          <w:szCs w:val="28"/>
          <w:u w:val="single"/>
        </w:rPr>
      </w:pPr>
      <w:r>
        <w:rPr>
          <w:rFonts w:ascii="Times New Roman" w:hAnsi="Times New Roman"/>
          <w:kern w:val="0"/>
          <w:sz w:val="28"/>
          <w:szCs w:val="28"/>
        </w:rPr>
        <w:t>招标编号：</w:t>
      </w:r>
      <w:r>
        <w:rPr>
          <w:rFonts w:ascii="Times New Roman" w:hAnsi="Times New Roman"/>
          <w:kern w:val="0"/>
          <w:sz w:val="28"/>
          <w:szCs w:val="28"/>
          <w:u w:val="single"/>
        </w:rPr>
        <w:t xml:space="preserve">            </w:t>
      </w: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rPr>
          <w:rFonts w:ascii="Times New Roman" w:hAnsi="Times New Roman" w:eastAsia="黑体"/>
          <w:sz w:val="28"/>
        </w:rPr>
      </w:pPr>
    </w:p>
    <w:p>
      <w:pPr>
        <w:spacing w:line="440" w:lineRule="exact"/>
        <w:ind w:firstLine="1120" w:firstLineChars="40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r>
        <w:rPr>
          <w:rFonts w:ascii="Times New Roman" w:hAnsi="Times New Roman" w:eastAsia="黑体"/>
          <w:sz w:val="28"/>
        </w:rPr>
        <w:t>（盖单位章）</w:t>
      </w:r>
    </w:p>
    <w:p>
      <w:pPr>
        <w:spacing w:line="440" w:lineRule="exact"/>
        <w:ind w:firstLine="1120" w:firstLineChars="400"/>
        <w:jc w:val="left"/>
        <w:rPr>
          <w:rFonts w:ascii="Times New Roman" w:hAnsi="Times New Roman" w:eastAsia="黑体"/>
          <w:sz w:val="28"/>
        </w:rPr>
      </w:pPr>
      <w:r>
        <w:rPr>
          <w:rFonts w:ascii="Times New Roman" w:hAnsi="Times New Roman" w:eastAsia="黑体"/>
          <w:sz w:val="28"/>
        </w:rPr>
        <w:t>法定代表人或其委托代理人：</w:t>
      </w:r>
      <w:r>
        <w:rPr>
          <w:rFonts w:ascii="Times New Roman" w:hAnsi="Times New Roman"/>
          <w:u w:val="single"/>
        </w:rPr>
        <w:t xml:space="preserve">       </w:t>
      </w:r>
      <w:r>
        <w:rPr>
          <w:rFonts w:ascii="Times New Roman" w:hAnsi="Times New Roman" w:eastAsia="黑体"/>
          <w:sz w:val="28"/>
        </w:rPr>
        <w:t>（签字）</w:t>
      </w:r>
    </w:p>
    <w:p>
      <w:pPr>
        <w:spacing w:line="440" w:lineRule="exact"/>
        <w:jc w:val="center"/>
        <w:rPr>
          <w:rFonts w:ascii="Times New Roman" w:hAnsi="Times New Roman" w:eastAsia="黑体"/>
          <w:sz w:val="28"/>
        </w:rPr>
      </w:pPr>
    </w:p>
    <w:p>
      <w:pPr>
        <w:spacing w:line="440" w:lineRule="exact"/>
        <w:jc w:val="center"/>
        <w:rPr>
          <w:rFonts w:ascii="Times New Roman" w:hAnsi="Times New Roman"/>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p>
    <w:p>
      <w:pPr>
        <w:pStyle w:val="9"/>
        <w:spacing w:line="440" w:lineRule="exact"/>
        <w:jc w:val="center"/>
        <w:rPr>
          <w:rFonts w:ascii="Times New Roman" w:hAnsi="Times New Roman"/>
        </w:rPr>
      </w:pPr>
      <w:bookmarkStart w:id="591" w:name="_Toc32274"/>
      <w:r>
        <w:rPr>
          <w:rFonts w:hint="eastAsia" w:ascii="Times New Roman" w:hAnsi="Times New Roman"/>
        </w:rPr>
        <w:t>目录</w:t>
      </w:r>
      <w:bookmarkEnd w:id="591"/>
    </w:p>
    <w:p>
      <w:pPr>
        <w:spacing w:line="440" w:lineRule="exact"/>
        <w:rPr>
          <w:rFonts w:ascii="Times New Roman" w:hAnsi="Times New Roman"/>
        </w:rPr>
      </w:pPr>
      <w:r>
        <w:rPr>
          <w:rFonts w:hint="eastAsia" w:ascii="Times New Roman" w:hAnsi="Times New Roman"/>
        </w:rPr>
        <w:t>投标人自行编制目录（含页码）</w:t>
      </w:r>
    </w:p>
    <w:p>
      <w:pPr>
        <w:widowControl/>
        <w:spacing w:line="440" w:lineRule="exact"/>
        <w:jc w:val="left"/>
        <w:rPr>
          <w:rFonts w:ascii="Times New Roman" w:hAnsi="Times New Roman"/>
        </w:rPr>
      </w:pPr>
      <w:bookmarkStart w:id="592" w:name="_Toc352691655"/>
      <w:bookmarkStart w:id="593" w:name="_Toc369531691"/>
      <w:bookmarkStart w:id="594" w:name="_Toc7039"/>
      <w:r>
        <w:rPr>
          <w:rFonts w:ascii="Times New Roman" w:hAnsi="Times New Roman"/>
        </w:rPr>
        <w:br w:type="page"/>
      </w:r>
    </w:p>
    <w:p>
      <w:pPr>
        <w:keepNext/>
        <w:keepLines/>
        <w:spacing w:line="440" w:lineRule="exact"/>
        <w:jc w:val="center"/>
        <w:outlineLvl w:val="1"/>
        <w:rPr>
          <w:rFonts w:ascii="宋体" w:hAnsi="宋体"/>
          <w:bCs/>
          <w:sz w:val="28"/>
          <w:szCs w:val="28"/>
        </w:rPr>
      </w:pPr>
      <w:bookmarkStart w:id="595" w:name="_Toc476644826"/>
      <w:bookmarkStart w:id="596" w:name="_Toc13610"/>
      <w:bookmarkStart w:id="597" w:name="_Toc519863462"/>
      <w:bookmarkStart w:id="598" w:name="_Toc100261959"/>
      <w:bookmarkStart w:id="599" w:name="_Toc131600015"/>
      <w:r>
        <w:rPr>
          <w:rFonts w:hint="eastAsia" w:ascii="Arial" w:hAnsi="Arial" w:eastAsia="黑体"/>
          <w:sz w:val="28"/>
          <w:szCs w:val="28"/>
        </w:rPr>
        <w:t>初步评审自查表</w:t>
      </w:r>
      <w:bookmarkEnd w:id="595"/>
      <w:bookmarkEnd w:id="596"/>
      <w:bookmarkEnd w:id="597"/>
      <w:bookmarkEnd w:id="598"/>
      <w:bookmarkEnd w:id="599"/>
    </w:p>
    <w:tbl>
      <w:tblPr>
        <w:tblStyle w:val="41"/>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030"/>
        <w:gridCol w:w="2055"/>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3030" w:type="dxa"/>
            <w:vAlign w:val="center"/>
          </w:tcPr>
          <w:p>
            <w:pPr>
              <w:spacing w:line="4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评审内容</w:t>
            </w:r>
          </w:p>
        </w:tc>
        <w:tc>
          <w:tcPr>
            <w:tcW w:w="2055" w:type="dxa"/>
            <w:vAlign w:val="center"/>
          </w:tcPr>
          <w:p>
            <w:pPr>
              <w:spacing w:line="4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自查结论</w:t>
            </w:r>
          </w:p>
        </w:tc>
        <w:tc>
          <w:tcPr>
            <w:tcW w:w="2090" w:type="dxa"/>
            <w:vAlign w:val="center"/>
          </w:tcPr>
          <w:p>
            <w:pPr>
              <w:spacing w:line="440" w:lineRule="exact"/>
              <w:ind w:right="-178" w:rightChars="-85"/>
              <w:jc w:val="center"/>
              <w:rPr>
                <w:rFonts w:asciiTheme="minorEastAsia" w:hAnsiTheme="minorEastAsia" w:eastAsiaTheme="minorEastAsia"/>
                <w:b/>
                <w:bCs/>
                <w:szCs w:val="21"/>
              </w:rPr>
            </w:pPr>
            <w:r>
              <w:rPr>
                <w:rFonts w:hint="eastAsia" w:asciiTheme="minorEastAsia" w:hAnsiTheme="minorEastAsia" w:eastAsiaTheme="minorEastAsia"/>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一</w:t>
            </w:r>
          </w:p>
        </w:tc>
        <w:tc>
          <w:tcPr>
            <w:tcW w:w="7175" w:type="dxa"/>
            <w:gridSpan w:val="3"/>
            <w:vAlign w:val="center"/>
          </w:tcPr>
          <w:p>
            <w:pPr>
              <w:spacing w:line="440" w:lineRule="exact"/>
              <w:ind w:right="-178" w:rightChars="-85"/>
              <w:jc w:val="left"/>
              <w:rPr>
                <w:rFonts w:asciiTheme="minorEastAsia" w:hAnsiTheme="minorEastAsia" w:eastAsiaTheme="minorEastAsia"/>
                <w:b/>
                <w:bCs/>
                <w:szCs w:val="21"/>
              </w:rPr>
            </w:pPr>
            <w:r>
              <w:rPr>
                <w:rFonts w:hint="eastAsia" w:asciiTheme="minorEastAsia" w:hAnsiTheme="minorEastAsia" w:eastAsiaTheme="minorEastAsia"/>
                <w:b/>
                <w:bCs/>
                <w:szCs w:val="21"/>
              </w:rPr>
              <w:t>形式评审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投标人名称</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投标函</w:t>
            </w:r>
            <w:r>
              <w:rPr>
                <w:rFonts w:hint="eastAsia" w:asciiTheme="minorEastAsia" w:hAnsiTheme="minorEastAsia" w:eastAsiaTheme="minorEastAsia"/>
                <w:szCs w:val="21"/>
              </w:rPr>
              <w:t>及投标函附录</w:t>
            </w:r>
            <w:r>
              <w:rPr>
                <w:rFonts w:asciiTheme="minorEastAsia" w:hAnsiTheme="minorEastAsia" w:eastAsiaTheme="minorEastAsia"/>
                <w:szCs w:val="21"/>
              </w:rPr>
              <w:t>签字盖章</w:t>
            </w:r>
          </w:p>
        </w:tc>
        <w:tc>
          <w:tcPr>
            <w:tcW w:w="2055" w:type="dxa"/>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备选投标方案</w:t>
            </w:r>
          </w:p>
        </w:tc>
        <w:tc>
          <w:tcPr>
            <w:tcW w:w="2055" w:type="dxa"/>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3030" w:type="dxa"/>
            <w:vAlign w:val="center"/>
          </w:tcPr>
          <w:p>
            <w:pPr>
              <w:spacing w:line="440" w:lineRule="exact"/>
              <w:rPr>
                <w:rFonts w:asciiTheme="minorEastAsia" w:hAnsiTheme="minorEastAsia" w:eastAsiaTheme="minorEastAsia"/>
                <w:szCs w:val="21"/>
              </w:rPr>
            </w:pPr>
          </w:p>
        </w:tc>
        <w:tc>
          <w:tcPr>
            <w:tcW w:w="2055" w:type="dxa"/>
            <w:vAlign w:val="center"/>
          </w:tcPr>
          <w:p>
            <w:pPr>
              <w:spacing w:line="440" w:lineRule="exact"/>
              <w:jc w:val="center"/>
              <w:rPr>
                <w:rFonts w:asciiTheme="minorEastAsia" w:hAnsiTheme="minorEastAsia" w:eastAsiaTheme="minorEastAsia"/>
                <w:szCs w:val="21"/>
              </w:rPr>
            </w:pPr>
          </w:p>
        </w:tc>
        <w:tc>
          <w:tcPr>
            <w:tcW w:w="2090" w:type="dxa"/>
            <w:vAlign w:val="center"/>
          </w:tcPr>
          <w:p>
            <w:pPr>
              <w:spacing w:line="440" w:lineRule="exact"/>
              <w:ind w:right="-178" w:rightChars="-85"/>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二</w:t>
            </w:r>
          </w:p>
        </w:tc>
        <w:tc>
          <w:tcPr>
            <w:tcW w:w="7175" w:type="dxa"/>
            <w:gridSpan w:val="3"/>
            <w:vAlign w:val="center"/>
          </w:tcPr>
          <w:p>
            <w:pPr>
              <w:spacing w:line="440" w:lineRule="exact"/>
              <w:ind w:right="-178" w:rightChars="-85"/>
              <w:rPr>
                <w:rFonts w:asciiTheme="minorEastAsia" w:hAnsiTheme="minorEastAsia" w:eastAsiaTheme="minorEastAsia"/>
                <w:b/>
                <w:bCs/>
                <w:szCs w:val="21"/>
              </w:rPr>
            </w:pPr>
            <w:r>
              <w:rPr>
                <w:rFonts w:hint="eastAsia" w:asciiTheme="minorEastAsia" w:hAnsiTheme="minorEastAsia" w:eastAsiaTheme="minorEastAsia"/>
                <w:b/>
                <w:bCs/>
                <w:szCs w:val="21"/>
              </w:rPr>
              <w:t>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营业执照和组织机构代码证</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资质要求</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信誉要求</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项目负责人</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其他要求</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030" w:type="dxa"/>
            <w:vAlign w:val="center"/>
          </w:tcPr>
          <w:p>
            <w:pPr>
              <w:spacing w:line="440" w:lineRule="exact"/>
              <w:rPr>
                <w:rFonts w:asciiTheme="minorEastAsia" w:hAnsiTheme="minorEastAsia" w:eastAsiaTheme="minorEastAsia"/>
                <w:szCs w:val="21"/>
              </w:rPr>
            </w:pPr>
            <w:r>
              <w:rPr>
                <w:rFonts w:asciiTheme="minorEastAsia" w:hAnsiTheme="minorEastAsia" w:eastAsiaTheme="minorEastAsia"/>
                <w:szCs w:val="21"/>
              </w:rPr>
              <w:t>不存在禁止投标的情形</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3030" w:type="dxa"/>
            <w:vAlign w:val="center"/>
          </w:tcPr>
          <w:p>
            <w:pPr>
              <w:spacing w:line="440" w:lineRule="exact"/>
              <w:rPr>
                <w:rFonts w:asciiTheme="minorEastAsia" w:hAnsiTheme="minorEastAsia" w:eastAsiaTheme="minorEastAsia"/>
                <w:szCs w:val="21"/>
              </w:rPr>
            </w:pPr>
          </w:p>
        </w:tc>
        <w:tc>
          <w:tcPr>
            <w:tcW w:w="2055" w:type="dxa"/>
            <w:vAlign w:val="center"/>
          </w:tcPr>
          <w:p>
            <w:pPr>
              <w:spacing w:line="440" w:lineRule="exact"/>
              <w:ind w:left="36" w:leftChars="17"/>
              <w:jc w:val="center"/>
              <w:rPr>
                <w:rFonts w:asciiTheme="minorEastAsia" w:hAnsiTheme="minorEastAsia" w:eastAsiaTheme="minorEastAsia"/>
                <w:szCs w:val="21"/>
              </w:rPr>
            </w:pPr>
          </w:p>
        </w:tc>
        <w:tc>
          <w:tcPr>
            <w:tcW w:w="2090" w:type="dxa"/>
            <w:vAlign w:val="center"/>
          </w:tcPr>
          <w:p>
            <w:pPr>
              <w:spacing w:line="440" w:lineRule="exact"/>
              <w:ind w:right="-178" w:rightChars="-85"/>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三</w:t>
            </w:r>
          </w:p>
        </w:tc>
        <w:tc>
          <w:tcPr>
            <w:tcW w:w="7175" w:type="dxa"/>
            <w:gridSpan w:val="3"/>
            <w:vAlign w:val="center"/>
          </w:tcPr>
          <w:p>
            <w:pPr>
              <w:spacing w:line="440" w:lineRule="exact"/>
              <w:ind w:right="-178" w:rightChars="-85"/>
              <w:rPr>
                <w:rFonts w:asciiTheme="minorEastAsia" w:hAnsiTheme="minorEastAsia" w:eastAsiaTheme="minorEastAsia"/>
                <w:szCs w:val="21"/>
              </w:rPr>
            </w:pPr>
            <w:r>
              <w:rPr>
                <w:rFonts w:hint="eastAsia" w:asciiTheme="minorEastAsia" w:hAnsiTheme="minorEastAsia" w:eastAsiaTheme="minorEastAsia"/>
                <w:b/>
                <w:bCs/>
                <w:szCs w:val="21"/>
              </w:rPr>
              <w:t>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030" w:type="dxa"/>
            <w:vAlign w:val="center"/>
          </w:tcPr>
          <w:p>
            <w:pPr>
              <w:tabs>
                <w:tab w:val="left" w:pos="2880"/>
              </w:tabs>
              <w:spacing w:line="440" w:lineRule="exact"/>
              <w:rPr>
                <w:rFonts w:asciiTheme="minorEastAsia" w:hAnsiTheme="minorEastAsia" w:eastAsiaTheme="minorEastAsia"/>
                <w:szCs w:val="21"/>
              </w:rPr>
            </w:pPr>
            <w:r>
              <w:rPr>
                <w:rFonts w:asciiTheme="minorEastAsia" w:hAnsiTheme="minorEastAsia" w:eastAsiaTheme="minorEastAsia"/>
                <w:szCs w:val="21"/>
              </w:rPr>
              <w:t>投标报价</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030" w:type="dxa"/>
            <w:vAlign w:val="center"/>
          </w:tcPr>
          <w:p>
            <w:pPr>
              <w:tabs>
                <w:tab w:val="left" w:pos="2880"/>
              </w:tabs>
              <w:spacing w:line="440" w:lineRule="exact"/>
              <w:rPr>
                <w:rFonts w:asciiTheme="minorEastAsia" w:hAnsiTheme="minorEastAsia" w:eastAsiaTheme="minorEastAsia"/>
                <w:szCs w:val="21"/>
              </w:rPr>
            </w:pPr>
            <w:r>
              <w:rPr>
                <w:rFonts w:asciiTheme="minorEastAsia" w:hAnsiTheme="minorEastAsia" w:eastAsiaTheme="minorEastAsia"/>
                <w:szCs w:val="21"/>
              </w:rPr>
              <w:t>投标内容</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030" w:type="dxa"/>
            <w:vAlign w:val="center"/>
          </w:tcPr>
          <w:p>
            <w:pPr>
              <w:tabs>
                <w:tab w:val="left" w:pos="2880"/>
              </w:tabs>
              <w:spacing w:line="440" w:lineRule="exact"/>
              <w:rPr>
                <w:rFonts w:asciiTheme="minorEastAsia" w:hAnsiTheme="minorEastAsia" w:eastAsiaTheme="minorEastAsia"/>
                <w:szCs w:val="21"/>
              </w:rPr>
            </w:pPr>
            <w:r>
              <w:rPr>
                <w:rFonts w:asciiTheme="minorEastAsia" w:hAnsiTheme="minorEastAsia" w:eastAsiaTheme="minorEastAsia"/>
                <w:szCs w:val="21"/>
              </w:rPr>
              <w:t>服务期限</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asciiTheme="minorEastAsia" w:hAnsiTheme="minorEastAsia" w:eastAsiaTheme="minorEastAsia"/>
                <w:szCs w:val="21"/>
              </w:rPr>
              <w:t>4</w:t>
            </w:r>
          </w:p>
        </w:tc>
        <w:tc>
          <w:tcPr>
            <w:tcW w:w="3030" w:type="dxa"/>
            <w:vAlign w:val="center"/>
          </w:tcPr>
          <w:p>
            <w:pPr>
              <w:tabs>
                <w:tab w:val="left" w:pos="2880"/>
              </w:tabs>
              <w:spacing w:line="440" w:lineRule="exact"/>
              <w:rPr>
                <w:rFonts w:asciiTheme="minorEastAsia" w:hAnsiTheme="minorEastAsia" w:eastAsiaTheme="minorEastAsia"/>
                <w:szCs w:val="21"/>
              </w:rPr>
            </w:pPr>
            <w:r>
              <w:rPr>
                <w:rFonts w:hint="eastAsia" w:asciiTheme="minorEastAsia" w:hAnsiTheme="minorEastAsia" w:eastAsiaTheme="minorEastAsia"/>
                <w:szCs w:val="21"/>
              </w:rPr>
              <w:t>质量标准</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3030" w:type="dxa"/>
            <w:vAlign w:val="center"/>
          </w:tcPr>
          <w:p>
            <w:pPr>
              <w:tabs>
                <w:tab w:val="left" w:pos="2880"/>
              </w:tabs>
              <w:spacing w:line="440" w:lineRule="exact"/>
              <w:rPr>
                <w:rFonts w:asciiTheme="minorEastAsia" w:hAnsiTheme="minorEastAsia" w:eastAsiaTheme="minorEastAsia"/>
                <w:szCs w:val="21"/>
              </w:rPr>
            </w:pPr>
            <w:r>
              <w:rPr>
                <w:rFonts w:asciiTheme="minorEastAsia" w:hAnsiTheme="minorEastAsia" w:eastAsiaTheme="minorEastAsia"/>
                <w:szCs w:val="21"/>
              </w:rPr>
              <w:t>投标有效期</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030" w:type="dxa"/>
            <w:vAlign w:val="center"/>
          </w:tcPr>
          <w:p>
            <w:pPr>
              <w:tabs>
                <w:tab w:val="left" w:pos="2880"/>
              </w:tabs>
              <w:spacing w:line="440" w:lineRule="exact"/>
              <w:rPr>
                <w:rFonts w:asciiTheme="minorEastAsia" w:hAnsiTheme="minorEastAsia" w:eastAsiaTheme="minorEastAsia"/>
                <w:szCs w:val="21"/>
              </w:rPr>
            </w:pPr>
            <w:r>
              <w:rPr>
                <w:rFonts w:asciiTheme="minorEastAsia" w:hAnsiTheme="minorEastAsia" w:eastAsiaTheme="minorEastAsia"/>
                <w:szCs w:val="21"/>
              </w:rPr>
              <w:t>投标保证金</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3030" w:type="dxa"/>
            <w:vAlign w:val="center"/>
          </w:tcPr>
          <w:p>
            <w:pPr>
              <w:tabs>
                <w:tab w:val="left" w:pos="2880"/>
              </w:tabs>
              <w:spacing w:line="440" w:lineRule="exact"/>
              <w:rPr>
                <w:rFonts w:asciiTheme="minorEastAsia" w:hAnsiTheme="minorEastAsia" w:eastAsiaTheme="minorEastAsia"/>
                <w:szCs w:val="21"/>
              </w:rPr>
            </w:pPr>
            <w:r>
              <w:rPr>
                <w:rFonts w:asciiTheme="minorEastAsia" w:hAnsiTheme="minorEastAsia" w:eastAsiaTheme="minorEastAsia"/>
                <w:szCs w:val="21"/>
              </w:rPr>
              <w:t>权利义务</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tabs>
                <w:tab w:val="left" w:pos="2880"/>
              </w:tabs>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030" w:type="dxa"/>
            <w:vAlign w:val="center"/>
          </w:tcPr>
          <w:p>
            <w:pPr>
              <w:tabs>
                <w:tab w:val="left" w:pos="2880"/>
              </w:tabs>
              <w:spacing w:line="440" w:lineRule="exact"/>
              <w:rPr>
                <w:rFonts w:asciiTheme="minorEastAsia" w:hAnsiTheme="minorEastAsia" w:eastAsiaTheme="minorEastAsia"/>
                <w:szCs w:val="21"/>
              </w:rPr>
            </w:pPr>
            <w:r>
              <w:rPr>
                <w:rFonts w:hint="eastAsia" w:asciiTheme="minorEastAsia" w:hAnsiTheme="minorEastAsia" w:eastAsiaTheme="minorEastAsia"/>
                <w:szCs w:val="21"/>
              </w:rPr>
              <w:t>实质性响应</w:t>
            </w: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4"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w:t>
            </w:r>
          </w:p>
        </w:tc>
        <w:tc>
          <w:tcPr>
            <w:tcW w:w="3030" w:type="dxa"/>
            <w:vAlign w:val="center"/>
          </w:tcPr>
          <w:p>
            <w:pPr>
              <w:tabs>
                <w:tab w:val="left" w:pos="2880"/>
              </w:tabs>
              <w:spacing w:line="440" w:lineRule="exact"/>
              <w:jc w:val="center"/>
              <w:rPr>
                <w:rFonts w:asciiTheme="minorEastAsia" w:hAnsiTheme="minorEastAsia" w:eastAsiaTheme="minorEastAsia"/>
                <w:szCs w:val="21"/>
              </w:rPr>
            </w:pPr>
          </w:p>
        </w:tc>
        <w:tc>
          <w:tcPr>
            <w:tcW w:w="2055" w:type="dxa"/>
          </w:tcPr>
          <w:p>
            <w:pPr>
              <w:spacing w:line="440" w:lineRule="exact"/>
              <w:ind w:left="36" w:leftChars="17"/>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2090" w:type="dxa"/>
            <w:vAlign w:val="center"/>
          </w:tcPr>
          <w:p>
            <w:pPr>
              <w:spacing w:line="440" w:lineRule="exact"/>
              <w:ind w:right="-178" w:rightChars="-85"/>
              <w:jc w:val="center"/>
              <w:rPr>
                <w:rFonts w:asciiTheme="minorEastAsia" w:hAnsiTheme="minorEastAsia" w:eastAsiaTheme="minorEastAsia"/>
                <w:szCs w:val="21"/>
              </w:rPr>
            </w:pPr>
            <w:r>
              <w:rPr>
                <w:rFonts w:hint="eastAsia" w:asciiTheme="minorEastAsia" w:hAnsiTheme="minorEastAsia" w:eastAsiaTheme="minorEastAsia"/>
                <w:szCs w:val="21"/>
              </w:rPr>
              <w:t>见投标文件第( )页</w:t>
            </w:r>
          </w:p>
        </w:tc>
      </w:tr>
    </w:tbl>
    <w:p>
      <w:pPr>
        <w:spacing w:line="440" w:lineRule="exact"/>
        <w:ind w:left="2940" w:firstLine="480"/>
        <w:rPr>
          <w:rFonts w:ascii="宋体" w:hAnsi="宋体"/>
          <w:sz w:val="24"/>
          <w:szCs w:val="24"/>
        </w:rPr>
      </w:pPr>
    </w:p>
    <w:p>
      <w:pPr>
        <w:spacing w:line="440" w:lineRule="exact"/>
        <w:rPr>
          <w:rFonts w:ascii="宋体" w:hAnsi="宋体"/>
          <w:szCs w:val="21"/>
        </w:rPr>
      </w:pPr>
      <w:r>
        <w:rPr>
          <w:rFonts w:hint="eastAsia" w:ascii="宋体" w:hAnsi="宋体"/>
          <w:szCs w:val="21"/>
        </w:rPr>
        <w:t>注：投标人应对照第三章评标办法“初步评审标准”的内容填写本表，并在对应的□打“√”。</w:t>
      </w:r>
    </w:p>
    <w:p>
      <w:pPr>
        <w:spacing w:line="440" w:lineRule="exact"/>
        <w:ind w:left="2940" w:firstLine="480"/>
        <w:rPr>
          <w:rFonts w:ascii="宋体" w:hAnsi="宋体"/>
          <w:sz w:val="24"/>
          <w:szCs w:val="24"/>
        </w:rPr>
      </w:pPr>
    </w:p>
    <w:p>
      <w:pPr>
        <w:adjustRightInd w:val="0"/>
        <w:spacing w:line="440" w:lineRule="exact"/>
        <w:ind w:left="3359" w:leftChars="1013" w:hanging="1232" w:hangingChars="587"/>
        <w:textAlignment w:val="baseline"/>
        <w:rPr>
          <w:rFonts w:ascii="宋体" w:hAnsi="宋体"/>
          <w:kern w:val="24"/>
          <w:szCs w:val="20"/>
        </w:rPr>
      </w:pPr>
      <w:r>
        <w:rPr>
          <w:rFonts w:hint="eastAsia" w:ascii="宋体" w:hAnsi="宋体"/>
          <w:kern w:val="24"/>
          <w:szCs w:val="20"/>
        </w:rPr>
        <w:t>投标人</w:t>
      </w:r>
      <w:r>
        <w:rPr>
          <w:rFonts w:ascii="宋体" w:hAnsi="宋体"/>
          <w:kern w:val="24"/>
          <w:szCs w:val="20"/>
        </w:rPr>
        <w:t>：</w:t>
      </w:r>
      <w:r>
        <w:rPr>
          <w:rFonts w:hint="eastAsia" w:ascii="宋体" w:hAnsi="宋体"/>
          <w:kern w:val="24"/>
          <w:szCs w:val="20"/>
          <w:u w:val="single"/>
        </w:rPr>
        <w:t xml:space="preserve">                          </w:t>
      </w:r>
      <w:r>
        <w:rPr>
          <w:rFonts w:ascii="宋体" w:hAnsi="宋体"/>
          <w:kern w:val="24"/>
          <w:szCs w:val="20"/>
        </w:rPr>
        <w:t>（单位公章）</w:t>
      </w:r>
    </w:p>
    <w:p>
      <w:pPr>
        <w:adjustRightInd w:val="0"/>
        <w:spacing w:line="440" w:lineRule="exact"/>
        <w:ind w:left="3359" w:leftChars="1013" w:hanging="1232" w:hangingChars="587"/>
        <w:textAlignment w:val="baseline"/>
        <w:rPr>
          <w:rFonts w:ascii="宋体" w:hAnsi="宋体"/>
          <w:kern w:val="24"/>
          <w:szCs w:val="20"/>
        </w:rPr>
      </w:pPr>
      <w:r>
        <w:rPr>
          <w:rFonts w:hint="eastAsia" w:ascii="宋体" w:hAnsi="宋体"/>
          <w:kern w:val="24"/>
          <w:szCs w:val="20"/>
        </w:rPr>
        <w:t>法定代表人（单位负责人）或其委托代理人</w:t>
      </w:r>
      <w:r>
        <w:rPr>
          <w:rFonts w:ascii="宋体" w:hAnsi="宋体"/>
          <w:kern w:val="24"/>
          <w:szCs w:val="20"/>
        </w:rPr>
        <w:t>：</w:t>
      </w:r>
      <w:r>
        <w:rPr>
          <w:rFonts w:hint="eastAsia" w:ascii="宋体" w:hAnsi="宋体"/>
          <w:kern w:val="24"/>
          <w:szCs w:val="20"/>
          <w:u w:val="single"/>
        </w:rPr>
        <w:t xml:space="preserve"> </w:t>
      </w:r>
      <w:r>
        <w:rPr>
          <w:rFonts w:ascii="宋体" w:hAnsi="宋体"/>
          <w:kern w:val="24"/>
          <w:szCs w:val="20"/>
          <w:u w:val="single"/>
        </w:rPr>
        <w:t xml:space="preserve">  </w:t>
      </w:r>
      <w:r>
        <w:rPr>
          <w:rFonts w:hint="eastAsia" w:ascii="宋体" w:hAnsi="宋体"/>
          <w:kern w:val="24"/>
          <w:szCs w:val="20"/>
          <w:u w:val="single"/>
        </w:rPr>
        <w:t xml:space="preserve">  </w:t>
      </w:r>
      <w:r>
        <w:rPr>
          <w:rFonts w:ascii="宋体" w:hAnsi="宋体"/>
          <w:kern w:val="24"/>
          <w:szCs w:val="20"/>
        </w:rPr>
        <w:t>（签字或签章）</w:t>
      </w:r>
    </w:p>
    <w:p>
      <w:pPr>
        <w:adjustRightInd w:val="0"/>
        <w:spacing w:line="440" w:lineRule="exact"/>
        <w:ind w:left="3359" w:leftChars="1013" w:hanging="1232" w:hangingChars="587"/>
        <w:textAlignment w:val="baseline"/>
        <w:rPr>
          <w:rFonts w:ascii="宋体" w:hAnsi="宋体"/>
          <w:kern w:val="24"/>
          <w:szCs w:val="20"/>
        </w:rPr>
      </w:pPr>
      <w:r>
        <w:rPr>
          <w:rFonts w:ascii="宋体" w:hAnsi="宋体"/>
          <w:kern w:val="24"/>
          <w:szCs w:val="20"/>
        </w:rPr>
        <w:t>日  期：</w:t>
      </w:r>
      <w:r>
        <w:rPr>
          <w:rFonts w:ascii="宋体" w:hAnsi="宋体"/>
          <w:kern w:val="24"/>
          <w:szCs w:val="20"/>
          <w:u w:val="single"/>
        </w:rPr>
        <w:t xml:space="preserve">   </w:t>
      </w:r>
      <w:r>
        <w:rPr>
          <w:rFonts w:hint="eastAsia" w:ascii="宋体" w:hAnsi="宋体"/>
          <w:kern w:val="24"/>
          <w:szCs w:val="20"/>
          <w:u w:val="single"/>
        </w:rPr>
        <w:t xml:space="preserve">  </w:t>
      </w:r>
      <w:r>
        <w:rPr>
          <w:rFonts w:hint="eastAsia" w:ascii="宋体" w:hAnsi="宋体"/>
          <w:kern w:val="24"/>
          <w:szCs w:val="20"/>
        </w:rPr>
        <w:t xml:space="preserve"> </w:t>
      </w:r>
      <w:r>
        <w:rPr>
          <w:rFonts w:ascii="宋体" w:hAnsi="宋体"/>
          <w:kern w:val="24"/>
          <w:szCs w:val="20"/>
        </w:rPr>
        <w:t>年</w:t>
      </w:r>
      <w:r>
        <w:rPr>
          <w:rFonts w:ascii="宋体" w:hAnsi="宋体"/>
          <w:kern w:val="24"/>
          <w:szCs w:val="20"/>
          <w:u w:val="single"/>
        </w:rPr>
        <w:t xml:space="preserve">  </w:t>
      </w:r>
      <w:r>
        <w:rPr>
          <w:rFonts w:hint="eastAsia" w:ascii="宋体" w:hAnsi="宋体"/>
          <w:kern w:val="24"/>
          <w:szCs w:val="20"/>
          <w:u w:val="single"/>
        </w:rPr>
        <w:t xml:space="preserve">  </w:t>
      </w:r>
      <w:r>
        <w:rPr>
          <w:rFonts w:ascii="宋体" w:hAnsi="宋体"/>
          <w:kern w:val="24"/>
          <w:szCs w:val="20"/>
          <w:u w:val="single"/>
        </w:rPr>
        <w:t xml:space="preserve"> </w:t>
      </w:r>
      <w:r>
        <w:rPr>
          <w:rFonts w:ascii="宋体" w:hAnsi="宋体"/>
          <w:kern w:val="24"/>
          <w:szCs w:val="20"/>
        </w:rPr>
        <w:t>月</w:t>
      </w:r>
      <w:r>
        <w:rPr>
          <w:rFonts w:ascii="宋体" w:hAnsi="宋体"/>
          <w:kern w:val="24"/>
          <w:szCs w:val="20"/>
          <w:u w:val="single"/>
        </w:rPr>
        <w:t xml:space="preserve"> </w:t>
      </w:r>
      <w:r>
        <w:rPr>
          <w:rFonts w:hint="eastAsia" w:ascii="宋体" w:hAnsi="宋体"/>
          <w:kern w:val="24"/>
          <w:szCs w:val="20"/>
          <w:u w:val="single"/>
        </w:rPr>
        <w:t xml:space="preserve">   </w:t>
      </w:r>
      <w:r>
        <w:rPr>
          <w:rFonts w:ascii="宋体" w:hAnsi="宋体"/>
          <w:kern w:val="24"/>
          <w:szCs w:val="20"/>
          <w:u w:val="single"/>
        </w:rPr>
        <w:t xml:space="preserve"> </w:t>
      </w:r>
      <w:r>
        <w:rPr>
          <w:rFonts w:ascii="宋体" w:hAnsi="宋体"/>
          <w:kern w:val="24"/>
          <w:szCs w:val="20"/>
        </w:rPr>
        <w:t>日</w:t>
      </w:r>
    </w:p>
    <w:p>
      <w:pPr>
        <w:adjustRightInd w:val="0"/>
        <w:snapToGrid w:val="0"/>
        <w:spacing w:line="440" w:lineRule="exact"/>
        <w:rPr>
          <w:rFonts w:ascii="宋体" w:hAnsi="宋体"/>
          <w:b/>
          <w:bCs/>
          <w:sz w:val="28"/>
        </w:rPr>
      </w:pPr>
    </w:p>
    <w:p>
      <w:pPr>
        <w:spacing w:line="440" w:lineRule="exact"/>
        <w:jc w:val="center"/>
        <w:rPr>
          <w:rFonts w:ascii="仿宋_GB2312" w:hAnsi="仿宋" w:eastAsia="仿宋_GB2312"/>
          <w:b/>
          <w:bCs/>
          <w:sz w:val="32"/>
        </w:rPr>
      </w:pPr>
      <w:r>
        <w:rPr>
          <w:rFonts w:ascii="仿宋_GB2312" w:hAnsi="仿宋" w:eastAsia="仿宋_GB2312"/>
          <w:b/>
          <w:bCs/>
          <w:sz w:val="32"/>
        </w:rPr>
        <w:br w:type="page"/>
      </w:r>
    </w:p>
    <w:p>
      <w:pPr>
        <w:keepNext/>
        <w:keepLines/>
        <w:spacing w:line="440" w:lineRule="exact"/>
        <w:jc w:val="center"/>
        <w:outlineLvl w:val="1"/>
        <w:rPr>
          <w:rFonts w:ascii="Arial" w:hAnsi="Arial" w:eastAsia="黑体"/>
          <w:sz w:val="28"/>
          <w:szCs w:val="28"/>
        </w:rPr>
      </w:pPr>
      <w:bookmarkStart w:id="600" w:name="_Toc476644827"/>
      <w:bookmarkStart w:id="601" w:name="_Toc131600016"/>
      <w:bookmarkStart w:id="602" w:name="_Toc519863463"/>
      <w:bookmarkStart w:id="603" w:name="_Toc6887"/>
      <w:bookmarkStart w:id="604" w:name="_Toc100261960"/>
      <w:r>
        <w:rPr>
          <w:rFonts w:hint="eastAsia" w:ascii="Arial" w:hAnsi="Arial" w:eastAsia="黑体"/>
          <w:sz w:val="28"/>
          <w:szCs w:val="28"/>
        </w:rPr>
        <w:t>商务/技术评审项目自查表</w:t>
      </w:r>
      <w:bookmarkEnd w:id="600"/>
      <w:bookmarkEnd w:id="601"/>
      <w:bookmarkEnd w:id="602"/>
      <w:bookmarkEnd w:id="603"/>
      <w:bookmarkEnd w:id="604"/>
    </w:p>
    <w:p>
      <w:pPr>
        <w:spacing w:line="440" w:lineRule="exact"/>
        <w:rPr>
          <w:rFonts w:ascii="宋体" w:hAnsi="宋体"/>
        </w:rPr>
      </w:pPr>
    </w:p>
    <w:tbl>
      <w:tblPr>
        <w:tblStyle w:val="4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706"/>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snapToGrid w:val="0"/>
              <w:spacing w:line="440" w:lineRule="exact"/>
              <w:jc w:val="center"/>
              <w:rPr>
                <w:rFonts w:ascii="宋体" w:hAnsi="宋体"/>
                <w:b/>
                <w:bCs/>
                <w:sz w:val="24"/>
                <w:szCs w:val="24"/>
              </w:rPr>
            </w:pPr>
            <w:r>
              <w:rPr>
                <w:rFonts w:hint="eastAsia" w:ascii="宋体" w:hAnsi="宋体"/>
                <w:b/>
                <w:bCs/>
                <w:sz w:val="24"/>
                <w:szCs w:val="24"/>
              </w:rPr>
              <w:t>序号</w:t>
            </w:r>
          </w:p>
        </w:tc>
        <w:tc>
          <w:tcPr>
            <w:tcW w:w="4706" w:type="dxa"/>
            <w:vAlign w:val="center"/>
          </w:tcPr>
          <w:p>
            <w:pPr>
              <w:snapToGrid w:val="0"/>
              <w:spacing w:line="440" w:lineRule="exact"/>
              <w:jc w:val="center"/>
              <w:rPr>
                <w:rFonts w:ascii="宋体" w:hAnsi="宋体"/>
                <w:b/>
                <w:bCs/>
                <w:sz w:val="24"/>
                <w:szCs w:val="24"/>
              </w:rPr>
            </w:pPr>
            <w:r>
              <w:rPr>
                <w:rFonts w:hint="eastAsia" w:ascii="宋体" w:hAnsi="宋体"/>
                <w:b/>
                <w:bCs/>
                <w:sz w:val="24"/>
                <w:szCs w:val="24"/>
              </w:rPr>
              <w:t>评审项目</w:t>
            </w:r>
          </w:p>
        </w:tc>
        <w:tc>
          <w:tcPr>
            <w:tcW w:w="2972" w:type="dxa"/>
            <w:vAlign w:val="center"/>
          </w:tcPr>
          <w:p>
            <w:pPr>
              <w:snapToGrid w:val="0"/>
              <w:spacing w:line="440" w:lineRule="exact"/>
              <w:jc w:val="center"/>
              <w:rPr>
                <w:rFonts w:ascii="宋体" w:hAnsi="宋体"/>
                <w:b/>
                <w:bCs/>
                <w:sz w:val="24"/>
                <w:szCs w:val="24"/>
              </w:rPr>
            </w:pPr>
            <w:r>
              <w:rPr>
                <w:rFonts w:hint="eastAsia" w:ascii="宋体" w:hAnsi="宋体"/>
                <w:b/>
                <w:bCs/>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spacing w:line="440" w:lineRule="exact"/>
              <w:jc w:val="center"/>
              <w:rPr>
                <w:rFonts w:ascii="宋体" w:hAnsi="宋体"/>
              </w:rPr>
            </w:pPr>
            <w:r>
              <w:rPr>
                <w:rFonts w:hint="eastAsia" w:ascii="宋体" w:hAnsi="宋体"/>
              </w:rPr>
              <w:t>1</w:t>
            </w:r>
          </w:p>
        </w:tc>
        <w:tc>
          <w:tcPr>
            <w:tcW w:w="4706" w:type="dxa"/>
            <w:vAlign w:val="center"/>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spacing w:line="440" w:lineRule="exact"/>
              <w:jc w:val="center"/>
              <w:rPr>
                <w:rFonts w:ascii="宋体" w:hAnsi="宋体"/>
              </w:rPr>
            </w:pPr>
            <w:r>
              <w:rPr>
                <w:rFonts w:hint="eastAsia" w:ascii="宋体" w:hAnsi="宋体"/>
              </w:rPr>
              <w:t>2</w:t>
            </w:r>
          </w:p>
        </w:tc>
        <w:tc>
          <w:tcPr>
            <w:tcW w:w="4706" w:type="dxa"/>
            <w:vAlign w:val="center"/>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spacing w:line="440" w:lineRule="exact"/>
              <w:jc w:val="center"/>
              <w:rPr>
                <w:rFonts w:ascii="宋体" w:hAnsi="宋体"/>
              </w:rPr>
            </w:pPr>
            <w:r>
              <w:rPr>
                <w:rFonts w:ascii="宋体" w:hAnsi="宋体"/>
              </w:rPr>
              <w:t>3</w:t>
            </w:r>
          </w:p>
        </w:tc>
        <w:tc>
          <w:tcPr>
            <w:tcW w:w="4706" w:type="dxa"/>
            <w:vAlign w:val="center"/>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spacing w:line="440" w:lineRule="exact"/>
              <w:jc w:val="center"/>
              <w:rPr>
                <w:rFonts w:ascii="宋体" w:hAnsi="宋体"/>
              </w:rPr>
            </w:pPr>
            <w:r>
              <w:rPr>
                <w:rFonts w:hint="eastAsia" w:ascii="宋体" w:hAnsi="宋体"/>
              </w:rPr>
              <w:t>4</w:t>
            </w:r>
          </w:p>
        </w:tc>
        <w:tc>
          <w:tcPr>
            <w:tcW w:w="4706" w:type="dxa"/>
            <w:vAlign w:val="center"/>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spacing w:line="440" w:lineRule="exact"/>
              <w:jc w:val="center"/>
              <w:rPr>
                <w:rFonts w:ascii="宋体" w:hAnsi="宋体"/>
              </w:rPr>
            </w:pPr>
            <w:r>
              <w:rPr>
                <w:rFonts w:hint="eastAsia" w:ascii="宋体" w:hAnsi="宋体"/>
              </w:rPr>
              <w:t>5</w:t>
            </w:r>
          </w:p>
        </w:tc>
        <w:tc>
          <w:tcPr>
            <w:tcW w:w="4706" w:type="dxa"/>
            <w:vAlign w:val="center"/>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Align w:val="center"/>
          </w:tcPr>
          <w:p>
            <w:pPr>
              <w:spacing w:line="440" w:lineRule="exact"/>
              <w:jc w:val="center"/>
              <w:rPr>
                <w:rFonts w:ascii="宋体" w:hAnsi="宋体"/>
              </w:rPr>
            </w:pPr>
            <w:r>
              <w:rPr>
                <w:rFonts w:ascii="宋体" w:hAnsi="宋体"/>
              </w:rPr>
              <w:t>…</w:t>
            </w:r>
          </w:p>
        </w:tc>
        <w:tc>
          <w:tcPr>
            <w:tcW w:w="4706" w:type="dxa"/>
            <w:vAlign w:val="center"/>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Pr>
          <w:p>
            <w:pPr>
              <w:spacing w:line="440" w:lineRule="exact"/>
              <w:jc w:val="center"/>
              <w:rPr>
                <w:rFonts w:ascii="宋体" w:hAnsi="宋体"/>
              </w:rPr>
            </w:pPr>
          </w:p>
        </w:tc>
        <w:tc>
          <w:tcPr>
            <w:tcW w:w="4706" w:type="dxa"/>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Pr>
          <w:p>
            <w:pPr>
              <w:spacing w:line="440" w:lineRule="exact"/>
              <w:jc w:val="center"/>
              <w:rPr>
                <w:rFonts w:ascii="宋体" w:hAnsi="宋体"/>
              </w:rPr>
            </w:pPr>
          </w:p>
        </w:tc>
        <w:tc>
          <w:tcPr>
            <w:tcW w:w="4706" w:type="dxa"/>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Pr>
          <w:p>
            <w:pPr>
              <w:spacing w:line="440" w:lineRule="exact"/>
              <w:jc w:val="center"/>
              <w:rPr>
                <w:rFonts w:ascii="宋体" w:hAnsi="宋体"/>
              </w:rPr>
            </w:pPr>
          </w:p>
        </w:tc>
        <w:tc>
          <w:tcPr>
            <w:tcW w:w="4706" w:type="dxa"/>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Pr>
          <w:p>
            <w:pPr>
              <w:spacing w:line="440" w:lineRule="exact"/>
              <w:jc w:val="center"/>
              <w:rPr>
                <w:rFonts w:ascii="宋体" w:hAnsi="宋体"/>
              </w:rPr>
            </w:pPr>
          </w:p>
        </w:tc>
        <w:tc>
          <w:tcPr>
            <w:tcW w:w="4706" w:type="dxa"/>
          </w:tcPr>
          <w:p>
            <w:pPr>
              <w:spacing w:line="440" w:lineRule="exact"/>
              <w:rPr>
                <w:rFonts w:ascii="宋体" w:hAnsi="宋体"/>
              </w:rPr>
            </w:pPr>
          </w:p>
        </w:tc>
        <w:tc>
          <w:tcPr>
            <w:tcW w:w="2972" w:type="dxa"/>
            <w:vAlign w:val="center"/>
          </w:tcPr>
          <w:p>
            <w:pPr>
              <w:spacing w:line="440" w:lineRule="exact"/>
              <w:jc w:val="center"/>
              <w:rPr>
                <w:rFonts w:ascii="宋体" w:hAnsi="宋体"/>
                <w:szCs w:val="21"/>
              </w:rPr>
            </w:pPr>
            <w:r>
              <w:rPr>
                <w:rFonts w:hint="eastAsia" w:ascii="宋体" w:hAnsi="宋体"/>
                <w:szCs w:val="21"/>
              </w:rPr>
              <w:t>见投标文件第( )页</w:t>
            </w:r>
          </w:p>
        </w:tc>
      </w:tr>
    </w:tbl>
    <w:p>
      <w:pPr>
        <w:spacing w:line="440" w:lineRule="exact"/>
        <w:rPr>
          <w:rFonts w:ascii="宋体" w:hAnsi="宋体"/>
        </w:rPr>
      </w:pPr>
    </w:p>
    <w:p>
      <w:pPr>
        <w:spacing w:line="440" w:lineRule="exact"/>
        <w:rPr>
          <w:rFonts w:ascii="宋体" w:hAnsi="宋体"/>
          <w:szCs w:val="21"/>
        </w:rPr>
      </w:pPr>
      <w:r>
        <w:rPr>
          <w:rFonts w:hint="eastAsia" w:ascii="宋体" w:hAnsi="宋体"/>
          <w:szCs w:val="21"/>
        </w:rPr>
        <w:t>注：投标人应当对照第三章评标办法的内容填写本表。</w:t>
      </w:r>
    </w:p>
    <w:p>
      <w:pPr>
        <w:adjustRightInd w:val="0"/>
        <w:snapToGrid w:val="0"/>
        <w:spacing w:line="440" w:lineRule="exact"/>
        <w:rPr>
          <w:rFonts w:ascii="宋体" w:hAnsi="宋体"/>
          <w:sz w:val="28"/>
          <w:szCs w:val="28"/>
        </w:rPr>
      </w:pPr>
    </w:p>
    <w:p>
      <w:pPr>
        <w:adjustRightInd w:val="0"/>
        <w:spacing w:line="440" w:lineRule="exact"/>
        <w:ind w:left="3360" w:leftChars="1080" w:hanging="1092" w:hangingChars="520"/>
        <w:textAlignment w:val="baseline"/>
        <w:rPr>
          <w:rFonts w:ascii="宋体" w:hAnsi="宋体"/>
          <w:kern w:val="24"/>
          <w:szCs w:val="20"/>
        </w:rPr>
      </w:pPr>
      <w:r>
        <w:rPr>
          <w:rFonts w:hint="eastAsia" w:ascii="宋体" w:hAnsi="宋体"/>
          <w:kern w:val="24"/>
          <w:szCs w:val="20"/>
        </w:rPr>
        <w:t>投标人</w:t>
      </w:r>
      <w:r>
        <w:rPr>
          <w:rFonts w:ascii="宋体" w:hAnsi="宋体"/>
          <w:kern w:val="24"/>
          <w:szCs w:val="20"/>
        </w:rPr>
        <w:t>：</w:t>
      </w:r>
      <w:r>
        <w:rPr>
          <w:rFonts w:hint="eastAsia" w:ascii="宋体" w:hAnsi="宋体"/>
          <w:kern w:val="24"/>
          <w:szCs w:val="20"/>
          <w:u w:val="single"/>
        </w:rPr>
        <w:t xml:space="preserve">                           </w:t>
      </w:r>
      <w:r>
        <w:rPr>
          <w:rFonts w:ascii="宋体" w:hAnsi="宋体"/>
          <w:kern w:val="24"/>
          <w:szCs w:val="20"/>
        </w:rPr>
        <w:t>（单位公章）</w:t>
      </w:r>
    </w:p>
    <w:p>
      <w:pPr>
        <w:adjustRightInd w:val="0"/>
        <w:spacing w:line="440" w:lineRule="exact"/>
        <w:ind w:left="3360" w:leftChars="1080" w:hanging="1092" w:hangingChars="520"/>
        <w:textAlignment w:val="baseline"/>
        <w:rPr>
          <w:rFonts w:ascii="宋体" w:hAnsi="宋体"/>
          <w:kern w:val="24"/>
          <w:szCs w:val="20"/>
        </w:rPr>
      </w:pPr>
      <w:r>
        <w:rPr>
          <w:rFonts w:hint="eastAsia" w:ascii="宋体" w:hAnsi="宋体"/>
          <w:kern w:val="24"/>
          <w:szCs w:val="20"/>
        </w:rPr>
        <w:t>法定代表人（单位负责人）或其委托代理人</w:t>
      </w:r>
      <w:r>
        <w:rPr>
          <w:rFonts w:ascii="宋体" w:hAnsi="宋体"/>
          <w:kern w:val="24"/>
          <w:szCs w:val="20"/>
        </w:rPr>
        <w:t>：</w:t>
      </w:r>
      <w:r>
        <w:rPr>
          <w:rFonts w:hint="eastAsia" w:ascii="宋体" w:hAnsi="宋体"/>
          <w:kern w:val="24"/>
          <w:szCs w:val="20"/>
          <w:u w:val="single"/>
        </w:rPr>
        <w:t xml:space="preserve">    </w:t>
      </w:r>
      <w:r>
        <w:rPr>
          <w:rFonts w:ascii="宋体" w:hAnsi="宋体"/>
          <w:kern w:val="24"/>
          <w:szCs w:val="20"/>
        </w:rPr>
        <w:t>（签字或签章）</w:t>
      </w:r>
    </w:p>
    <w:p>
      <w:pPr>
        <w:adjustRightInd w:val="0"/>
        <w:spacing w:line="440" w:lineRule="exact"/>
        <w:ind w:left="3360" w:leftChars="1080" w:hanging="1092" w:hangingChars="520"/>
        <w:textAlignment w:val="baseline"/>
        <w:rPr>
          <w:rFonts w:ascii="宋体" w:hAnsi="宋体"/>
          <w:kern w:val="24"/>
          <w:szCs w:val="20"/>
        </w:rPr>
      </w:pPr>
      <w:r>
        <w:rPr>
          <w:rFonts w:ascii="宋体" w:hAnsi="宋体"/>
          <w:kern w:val="24"/>
          <w:szCs w:val="20"/>
        </w:rPr>
        <w:t>日  期：</w:t>
      </w:r>
      <w:r>
        <w:rPr>
          <w:rFonts w:ascii="宋体" w:hAnsi="宋体"/>
          <w:kern w:val="24"/>
          <w:szCs w:val="20"/>
          <w:u w:val="single"/>
        </w:rPr>
        <w:t xml:space="preserve">   </w:t>
      </w:r>
      <w:r>
        <w:rPr>
          <w:rFonts w:hint="eastAsia" w:ascii="宋体" w:hAnsi="宋体"/>
          <w:kern w:val="24"/>
          <w:szCs w:val="20"/>
          <w:u w:val="single"/>
        </w:rPr>
        <w:t xml:space="preserve">  </w:t>
      </w:r>
      <w:r>
        <w:rPr>
          <w:rFonts w:hint="eastAsia" w:ascii="宋体" w:hAnsi="宋体"/>
          <w:kern w:val="24"/>
          <w:szCs w:val="20"/>
        </w:rPr>
        <w:t xml:space="preserve"> </w:t>
      </w:r>
      <w:r>
        <w:rPr>
          <w:rFonts w:ascii="宋体" w:hAnsi="宋体"/>
          <w:kern w:val="24"/>
          <w:szCs w:val="20"/>
        </w:rPr>
        <w:t>年</w:t>
      </w:r>
      <w:r>
        <w:rPr>
          <w:rFonts w:ascii="宋体" w:hAnsi="宋体"/>
          <w:kern w:val="24"/>
          <w:szCs w:val="20"/>
          <w:u w:val="single"/>
        </w:rPr>
        <w:t xml:space="preserve">  </w:t>
      </w:r>
      <w:r>
        <w:rPr>
          <w:rFonts w:hint="eastAsia" w:ascii="宋体" w:hAnsi="宋体"/>
          <w:kern w:val="24"/>
          <w:szCs w:val="20"/>
          <w:u w:val="single"/>
        </w:rPr>
        <w:t xml:space="preserve">  </w:t>
      </w:r>
      <w:r>
        <w:rPr>
          <w:rFonts w:ascii="宋体" w:hAnsi="宋体"/>
          <w:kern w:val="24"/>
          <w:szCs w:val="20"/>
          <w:u w:val="single"/>
        </w:rPr>
        <w:t xml:space="preserve"> </w:t>
      </w:r>
      <w:r>
        <w:rPr>
          <w:rFonts w:ascii="宋体" w:hAnsi="宋体"/>
          <w:kern w:val="24"/>
          <w:szCs w:val="20"/>
        </w:rPr>
        <w:t>月</w:t>
      </w:r>
      <w:r>
        <w:rPr>
          <w:rFonts w:ascii="宋体" w:hAnsi="宋体"/>
          <w:kern w:val="24"/>
          <w:szCs w:val="20"/>
          <w:u w:val="single"/>
        </w:rPr>
        <w:t xml:space="preserve"> </w:t>
      </w:r>
      <w:r>
        <w:rPr>
          <w:rFonts w:hint="eastAsia" w:ascii="宋体" w:hAnsi="宋体"/>
          <w:kern w:val="24"/>
          <w:szCs w:val="20"/>
          <w:u w:val="single"/>
        </w:rPr>
        <w:t xml:space="preserve">   </w:t>
      </w:r>
      <w:r>
        <w:rPr>
          <w:rFonts w:ascii="宋体" w:hAnsi="宋体"/>
          <w:kern w:val="24"/>
          <w:szCs w:val="20"/>
          <w:u w:val="single"/>
        </w:rPr>
        <w:t xml:space="preserve"> </w:t>
      </w:r>
      <w:r>
        <w:rPr>
          <w:rFonts w:ascii="宋体" w:hAnsi="宋体"/>
          <w:kern w:val="24"/>
          <w:szCs w:val="20"/>
        </w:rPr>
        <w:t>日</w:t>
      </w:r>
    </w:p>
    <w:p>
      <w:pPr>
        <w:spacing w:line="440" w:lineRule="exact"/>
        <w:rPr>
          <w:rFonts w:ascii="Times New Roman" w:hAnsi="Times New Roman" w:eastAsia="黑体"/>
          <w:sz w:val="20"/>
        </w:rPr>
      </w:pPr>
      <w:r>
        <w:rPr>
          <w:rFonts w:ascii="Times New Roman" w:hAnsi="Times New Roman"/>
        </w:rPr>
        <w:br w:type="page"/>
      </w:r>
    </w:p>
    <w:bookmarkEnd w:id="592"/>
    <w:bookmarkEnd w:id="593"/>
    <w:bookmarkEnd w:id="594"/>
    <w:p>
      <w:pPr>
        <w:pStyle w:val="9"/>
        <w:spacing w:line="440" w:lineRule="exact"/>
        <w:jc w:val="center"/>
        <w:rPr>
          <w:rFonts w:ascii="Times New Roman" w:hAnsi="Times New Roman"/>
        </w:rPr>
      </w:pPr>
      <w:bookmarkStart w:id="605" w:name="_Toc3286"/>
      <w:r>
        <w:rPr>
          <w:rFonts w:ascii="Times New Roman" w:hAnsi="Times New Roman"/>
        </w:rPr>
        <w:t>一、投标</w:t>
      </w:r>
      <w:bookmarkStart w:id="606" w:name="_Toc369531692"/>
      <w:bookmarkStart w:id="607" w:name="_Toc6931"/>
      <w:bookmarkStart w:id="608" w:name="_Toc352691656"/>
      <w:r>
        <w:rPr>
          <w:rFonts w:ascii="Times New Roman" w:hAnsi="Times New Roman"/>
        </w:rPr>
        <w:t>函及投标函附录</w:t>
      </w:r>
      <w:bookmarkEnd w:id="605"/>
    </w:p>
    <w:bookmarkEnd w:id="606"/>
    <w:bookmarkEnd w:id="607"/>
    <w:bookmarkEnd w:id="608"/>
    <w:p>
      <w:pPr>
        <w:pStyle w:val="10"/>
        <w:spacing w:line="440" w:lineRule="exact"/>
        <w:ind w:firstLine="137"/>
        <w:rPr>
          <w:rFonts w:ascii="Times New Roman" w:hAnsi="Times New Roman"/>
        </w:rPr>
      </w:pPr>
      <w:bookmarkStart w:id="609" w:name="_Toc359594235"/>
      <w:bookmarkStart w:id="610" w:name="_Toc370676426"/>
      <w:bookmarkStart w:id="611" w:name="_Toc391394111"/>
      <w:bookmarkStart w:id="612" w:name="_Toc385943065"/>
      <w:bookmarkStart w:id="613" w:name="_Toc482188651"/>
      <w:r>
        <w:rPr>
          <w:rFonts w:hint="eastAsia" w:ascii="Times New Roman" w:hAnsi="Times New Roman"/>
        </w:rPr>
        <w:t>（一）投标函</w:t>
      </w:r>
      <w:bookmarkEnd w:id="609"/>
      <w:bookmarkEnd w:id="610"/>
      <w:bookmarkEnd w:id="611"/>
      <w:bookmarkEnd w:id="612"/>
      <w:bookmarkEnd w:id="613"/>
    </w:p>
    <w:p>
      <w:pPr>
        <w:spacing w:line="44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（招标人名称）：</w:t>
      </w:r>
    </w:p>
    <w:p>
      <w:pPr>
        <w:spacing w:line="440" w:lineRule="exact"/>
        <w:ind w:firstLine="405"/>
        <w:rPr>
          <w:rFonts w:ascii="Times New Roman" w:hAnsi="Times New Roman"/>
          <w:szCs w:val="21"/>
        </w:rPr>
      </w:pPr>
      <w:r>
        <w:rPr>
          <w:rFonts w:ascii="Times New Roman" w:hAnsi="Times New Roman"/>
          <w:szCs w:val="21"/>
        </w:rPr>
        <w:t>1．我方已仔细研究了</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招标</w:t>
      </w:r>
      <w:r>
        <w:rPr>
          <w:rFonts w:ascii="Times New Roman" w:hAnsi="Times New Roman"/>
          <w:szCs w:val="21"/>
        </w:rPr>
        <w:t>项目名称）招标文件的全部内容，愿意以人民币（大写）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eastAsia="黑体"/>
          <w:szCs w:val="21"/>
        </w:rPr>
        <w:t>，</w:t>
      </w:r>
      <w:r>
        <w:rPr>
          <w:rFonts w:ascii="Times New Roman" w:hAnsi="Times New Roman"/>
          <w:szCs w:val="21"/>
        </w:rPr>
        <w:t>服务期限：</w:t>
      </w:r>
      <w:r>
        <w:rPr>
          <w:rFonts w:ascii="Times New Roman" w:hAnsi="Times New Roman"/>
          <w:szCs w:val="21"/>
          <w:u w:val="single"/>
        </w:rPr>
        <w:t xml:space="preserve">      </w:t>
      </w:r>
      <w:r>
        <w:rPr>
          <w:rFonts w:ascii="Times New Roman" w:hAnsi="Times New Roman"/>
          <w:szCs w:val="21"/>
        </w:rPr>
        <w:t>，按合同约定完成</w:t>
      </w:r>
      <w:r>
        <w:rPr>
          <w:rFonts w:hint="eastAsia" w:ascii="Times New Roman" w:hAnsi="Times New Roman"/>
          <w:szCs w:val="21"/>
        </w:rPr>
        <w:t>本项目系统建设的内容</w:t>
      </w:r>
      <w:r>
        <w:rPr>
          <w:rFonts w:ascii="Times New Roman" w:hAnsi="Times New Roman"/>
          <w:szCs w:val="21"/>
        </w:rPr>
        <w:t>。</w:t>
      </w:r>
    </w:p>
    <w:p>
      <w:pPr>
        <w:spacing w:line="440" w:lineRule="exact"/>
        <w:ind w:firstLine="420" w:firstLineChars="200"/>
        <w:rPr>
          <w:rFonts w:ascii="Times New Roman" w:hAnsi="Times New Roman"/>
          <w:szCs w:val="21"/>
        </w:rPr>
      </w:pPr>
      <w:r>
        <w:rPr>
          <w:rFonts w:ascii="Times New Roman" w:hAnsi="Times New Roman"/>
          <w:szCs w:val="21"/>
        </w:rPr>
        <w:t>2. 我方的投标文件包括下列内容：</w:t>
      </w:r>
    </w:p>
    <w:p>
      <w:pPr>
        <w:spacing w:line="440" w:lineRule="exact"/>
        <w:ind w:firstLine="405"/>
        <w:rPr>
          <w:rFonts w:ascii="Times New Roman" w:hAnsi="Times New Roman"/>
          <w:szCs w:val="21"/>
        </w:rPr>
      </w:pPr>
      <w:r>
        <w:rPr>
          <w:rFonts w:ascii="Times New Roman" w:hAnsi="Times New Roman"/>
          <w:szCs w:val="21"/>
        </w:rPr>
        <w:t>（1）投标函</w:t>
      </w:r>
      <w:r>
        <w:rPr>
          <w:rFonts w:ascii="Times New Roman" w:hAnsi="Times New Roman"/>
        </w:rPr>
        <w:t>及投标函附录</w:t>
      </w:r>
      <w:r>
        <w:rPr>
          <w:rFonts w:ascii="Times New Roman" w:hAnsi="Times New Roman"/>
          <w:szCs w:val="21"/>
        </w:rPr>
        <w:t>；</w:t>
      </w:r>
    </w:p>
    <w:p>
      <w:pPr>
        <w:spacing w:line="440" w:lineRule="exact"/>
        <w:ind w:firstLine="405"/>
        <w:rPr>
          <w:rFonts w:ascii="Times New Roman" w:hAnsi="Times New Roman"/>
          <w:szCs w:val="21"/>
        </w:rPr>
      </w:pPr>
      <w:r>
        <w:rPr>
          <w:rFonts w:ascii="Times New Roman" w:hAnsi="Times New Roman"/>
          <w:szCs w:val="21"/>
        </w:rPr>
        <w:t>（2）法定代表人身份证明或授权委托书；</w:t>
      </w:r>
    </w:p>
    <w:p>
      <w:pPr>
        <w:spacing w:line="440" w:lineRule="exact"/>
        <w:ind w:firstLine="405"/>
        <w:rPr>
          <w:rFonts w:ascii="Times New Roman" w:hAnsi="Times New Roman"/>
          <w:szCs w:val="21"/>
        </w:rPr>
      </w:pPr>
      <w:r>
        <w:rPr>
          <w:rFonts w:ascii="Times New Roman" w:hAnsi="Times New Roman"/>
          <w:szCs w:val="21"/>
        </w:rPr>
        <w:t>（3）投标保证金（如有）；</w:t>
      </w:r>
    </w:p>
    <w:p>
      <w:pPr>
        <w:spacing w:line="440" w:lineRule="exact"/>
        <w:ind w:firstLine="405"/>
        <w:rPr>
          <w:rFonts w:ascii="Times New Roman" w:hAnsi="Times New Roman"/>
          <w:szCs w:val="21"/>
        </w:rPr>
      </w:pPr>
      <w:r>
        <w:rPr>
          <w:rFonts w:hint="eastAsia" w:ascii="Times New Roman" w:hAnsi="Times New Roman"/>
          <w:szCs w:val="21"/>
        </w:rPr>
        <w:t>（4）报价明细表</w:t>
      </w:r>
      <w:r>
        <w:rPr>
          <w:rFonts w:ascii="Times New Roman" w:hAnsi="Times New Roman"/>
          <w:szCs w:val="21"/>
        </w:rPr>
        <w:t>；</w:t>
      </w:r>
    </w:p>
    <w:p>
      <w:pPr>
        <w:spacing w:line="440" w:lineRule="exact"/>
        <w:ind w:firstLine="405"/>
        <w:rPr>
          <w:rFonts w:ascii="Times New Roman" w:hAnsi="Times New Roman"/>
          <w:szCs w:val="21"/>
        </w:rPr>
      </w:pPr>
      <w:r>
        <w:rPr>
          <w:rFonts w:hint="eastAsia" w:ascii="Times New Roman" w:hAnsi="Times New Roman"/>
          <w:szCs w:val="21"/>
        </w:rPr>
        <w:t>（5）</w:t>
      </w:r>
      <w:r>
        <w:rPr>
          <w:rFonts w:ascii="Times New Roman" w:hAnsi="Times New Roman"/>
          <w:szCs w:val="21"/>
        </w:rPr>
        <w:t>资格审查资料；</w:t>
      </w:r>
    </w:p>
    <w:p>
      <w:pPr>
        <w:spacing w:line="440" w:lineRule="exact"/>
        <w:ind w:firstLine="405"/>
        <w:rPr>
          <w:rFonts w:ascii="Times New Roman" w:hAnsi="Times New Roman"/>
          <w:szCs w:val="21"/>
        </w:rPr>
      </w:pPr>
      <w:r>
        <w:rPr>
          <w:rFonts w:hint="eastAsia" w:ascii="Times New Roman" w:hAnsi="Times New Roman"/>
          <w:szCs w:val="21"/>
        </w:rPr>
        <w:t>（6）商务和技术偏差表</w:t>
      </w:r>
    </w:p>
    <w:p>
      <w:pPr>
        <w:spacing w:line="440" w:lineRule="exact"/>
        <w:ind w:firstLine="405"/>
        <w:rPr>
          <w:rFonts w:ascii="Times New Roman" w:hAnsi="Times New Roman"/>
          <w:szCs w:val="21"/>
        </w:rPr>
      </w:pPr>
      <w:r>
        <w:rPr>
          <w:rFonts w:hint="eastAsia" w:ascii="Times New Roman" w:hAnsi="Times New Roman"/>
          <w:szCs w:val="21"/>
        </w:rPr>
        <w:t>（7）服务方案；</w:t>
      </w:r>
    </w:p>
    <w:p>
      <w:pPr>
        <w:spacing w:line="440" w:lineRule="exact"/>
        <w:ind w:firstLine="405"/>
        <w:rPr>
          <w:rFonts w:ascii="Times New Roman" w:hAnsi="Times New Roman"/>
          <w:szCs w:val="21"/>
        </w:rPr>
      </w:pPr>
      <w:r>
        <w:rPr>
          <w:rFonts w:hint="eastAsia" w:ascii="Times New Roman" w:hAnsi="Times New Roman"/>
          <w:szCs w:val="21"/>
        </w:rPr>
        <w:t>（8）其他资料。</w:t>
      </w:r>
    </w:p>
    <w:p>
      <w:pPr>
        <w:spacing w:line="440" w:lineRule="exact"/>
        <w:ind w:firstLine="420" w:firstLineChars="200"/>
        <w:rPr>
          <w:rFonts w:ascii="Times New Roman" w:hAnsi="Times New Roman"/>
          <w:szCs w:val="21"/>
        </w:rPr>
      </w:pPr>
      <w:r>
        <w:rPr>
          <w:rFonts w:ascii="Times New Roman" w:hAnsi="Times New Roman"/>
          <w:szCs w:val="21"/>
        </w:rPr>
        <w:t>投标文件的上述组成部分如存在内容不一致的，以投标函为准。</w:t>
      </w:r>
    </w:p>
    <w:p>
      <w:pPr>
        <w:spacing w:line="440" w:lineRule="exact"/>
        <w:ind w:firstLine="420" w:firstLineChars="200"/>
        <w:rPr>
          <w:rFonts w:ascii="Times New Roman" w:hAnsi="Times New Roman"/>
          <w:szCs w:val="21"/>
        </w:rPr>
      </w:pPr>
      <w:r>
        <w:rPr>
          <w:rFonts w:ascii="Times New Roman" w:hAnsi="Times New Roman"/>
          <w:szCs w:val="21"/>
        </w:rPr>
        <w:t>3．我方承诺在招标文件规定的投标有效期内</w:t>
      </w:r>
      <w:r>
        <w:rPr>
          <w:rFonts w:hint="eastAsia" w:ascii="Times New Roman" w:hAnsi="Times New Roman"/>
          <w:szCs w:val="21"/>
        </w:rPr>
        <w:t>（投标截止时间后的120天内）</w:t>
      </w:r>
      <w:r>
        <w:rPr>
          <w:rFonts w:ascii="Times New Roman" w:hAnsi="Times New Roman"/>
          <w:szCs w:val="21"/>
        </w:rPr>
        <w:t>不撤销投标文件。</w:t>
      </w:r>
    </w:p>
    <w:p>
      <w:pPr>
        <w:spacing w:line="440" w:lineRule="exact"/>
        <w:ind w:firstLine="420" w:firstLineChars="200"/>
        <w:rPr>
          <w:rFonts w:ascii="Times New Roman" w:hAnsi="Times New Roman"/>
          <w:szCs w:val="21"/>
        </w:rPr>
      </w:pPr>
      <w:r>
        <w:rPr>
          <w:rFonts w:ascii="Times New Roman" w:hAnsi="Times New Roman"/>
          <w:szCs w:val="21"/>
        </w:rPr>
        <w:t>4．如我方中标，我方承诺：</w:t>
      </w:r>
    </w:p>
    <w:p>
      <w:pPr>
        <w:spacing w:line="440" w:lineRule="exact"/>
        <w:ind w:left="945" w:leftChars="400" w:hanging="105" w:hangingChars="50"/>
        <w:rPr>
          <w:rFonts w:ascii="Times New Roman" w:hAnsi="Times New Roman"/>
          <w:szCs w:val="21"/>
        </w:rPr>
      </w:pPr>
      <w:r>
        <w:rPr>
          <w:rFonts w:ascii="Times New Roman" w:hAnsi="Times New Roman"/>
          <w:szCs w:val="21"/>
        </w:rPr>
        <w:t>（1）在收到中标通知书后，在中标通知书规定的期限内与你方签订合同；</w:t>
      </w:r>
    </w:p>
    <w:p>
      <w:pPr>
        <w:spacing w:line="440" w:lineRule="exact"/>
        <w:ind w:left="945" w:leftChars="400" w:hanging="105" w:hangingChars="50"/>
        <w:rPr>
          <w:rFonts w:ascii="Times New Roman" w:hAnsi="Times New Roman"/>
          <w:szCs w:val="21"/>
        </w:rPr>
      </w:pPr>
      <w:r>
        <w:rPr>
          <w:rFonts w:ascii="Times New Roman" w:hAnsi="Times New Roman"/>
          <w:szCs w:val="21"/>
        </w:rPr>
        <w:t>（2）在签订合同时不向你方提出附加条件；</w:t>
      </w:r>
    </w:p>
    <w:p>
      <w:pPr>
        <w:spacing w:line="440" w:lineRule="exact"/>
        <w:ind w:left="945" w:leftChars="400" w:hanging="105" w:hangingChars="50"/>
        <w:rPr>
          <w:rFonts w:ascii="Times New Roman" w:hAnsi="Times New Roman"/>
          <w:szCs w:val="21"/>
        </w:rPr>
      </w:pPr>
      <w:r>
        <w:rPr>
          <w:rFonts w:ascii="Times New Roman" w:hAnsi="Times New Roman"/>
          <w:szCs w:val="21"/>
        </w:rPr>
        <w:t>（3）按照招标文件要求提交履约保证金；</w:t>
      </w:r>
      <w:bookmarkStart w:id="614" w:name="_Toc352691658"/>
      <w:bookmarkStart w:id="615" w:name="_Toc1187"/>
      <w:bookmarkStart w:id="616" w:name="_Toc369531694"/>
    </w:p>
    <w:p>
      <w:pPr>
        <w:spacing w:line="440" w:lineRule="exact"/>
        <w:ind w:left="945" w:leftChars="400" w:hanging="105" w:hangingChars="50"/>
        <w:rPr>
          <w:rFonts w:ascii="Times New Roman" w:hAnsi="Times New Roman"/>
          <w:szCs w:val="21"/>
        </w:rPr>
      </w:pPr>
      <w:r>
        <w:rPr>
          <w:rFonts w:ascii="Times New Roman" w:hAnsi="Times New Roman"/>
          <w:szCs w:val="21"/>
        </w:rPr>
        <w:t>（4）在合</w:t>
      </w:r>
      <w:bookmarkEnd w:id="614"/>
      <w:bookmarkEnd w:id="615"/>
      <w:bookmarkEnd w:id="616"/>
      <w:r>
        <w:rPr>
          <w:rFonts w:ascii="Times New Roman" w:hAnsi="Times New Roman"/>
          <w:szCs w:val="21"/>
        </w:rPr>
        <w:t>同约定的期限内完成合同规定的全部义务。</w:t>
      </w:r>
    </w:p>
    <w:p>
      <w:pPr>
        <w:spacing w:line="440" w:lineRule="exact"/>
        <w:ind w:firstLine="420" w:firstLineChars="200"/>
        <w:rPr>
          <w:rFonts w:ascii="Times New Roman" w:hAnsi="Times New Roman"/>
          <w:szCs w:val="21"/>
        </w:rPr>
      </w:pPr>
      <w:r>
        <w:rPr>
          <w:rFonts w:ascii="Times New Roman" w:hAnsi="Times New Roman"/>
          <w:szCs w:val="21"/>
        </w:rPr>
        <w:t>5．我方在此声明，所递交的投标文件及有关资料内容完整、真实和准确，且不存在第二章“投标人须知”第1.4.3项规定的任何一种情形。</w:t>
      </w:r>
    </w:p>
    <w:p>
      <w:pPr>
        <w:spacing w:line="440" w:lineRule="exact"/>
        <w:ind w:firstLine="420" w:firstLineChars="200"/>
        <w:rPr>
          <w:rFonts w:ascii="Times New Roman" w:hAnsi="Times New Roman"/>
          <w:szCs w:val="21"/>
        </w:rPr>
      </w:pPr>
      <w:r>
        <w:rPr>
          <w:rFonts w:ascii="Times New Roman" w:hAnsi="Times New Roman"/>
          <w:szCs w:val="21"/>
        </w:rPr>
        <w:t>6．</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p>
      <w:pPr>
        <w:spacing w:line="440" w:lineRule="exact"/>
        <w:ind w:firstLine="420" w:firstLineChars="200"/>
        <w:rPr>
          <w:rFonts w:ascii="Times New Roman" w:hAnsi="Times New Roman"/>
          <w:szCs w:val="21"/>
        </w:rPr>
      </w:pPr>
    </w:p>
    <w:p>
      <w:pPr>
        <w:pStyle w:val="24"/>
        <w:spacing w:line="440" w:lineRule="exact"/>
      </w:pPr>
    </w:p>
    <w:p>
      <w:pPr>
        <w:pStyle w:val="24"/>
        <w:spacing w:line="440" w:lineRule="exact"/>
      </w:pPr>
    </w:p>
    <w:p>
      <w:pPr>
        <w:pStyle w:val="24"/>
        <w:spacing w:line="440" w:lineRule="exact"/>
        <w:ind w:firstLine="420" w:firstLineChars="200"/>
        <w:rPr>
          <w:rFonts w:ascii="Times New Roman" w:hAnsi="Times New Roman"/>
          <w:szCs w:val="21"/>
        </w:rPr>
      </w:pPr>
    </w:p>
    <w:bookmarkEnd w:id="428"/>
    <w:bookmarkEnd w:id="429"/>
    <w:bookmarkEnd w:id="430"/>
    <w:bookmarkEnd w:id="431"/>
    <w:bookmarkEnd w:id="432"/>
    <w:bookmarkEnd w:id="433"/>
    <w:bookmarkEnd w:id="434"/>
    <w:bookmarkEnd w:id="435"/>
    <w:bookmarkEnd w:id="436"/>
    <w:p>
      <w:pPr>
        <w:spacing w:line="440" w:lineRule="exact"/>
        <w:ind w:firstLine="2100" w:firstLineChars="1000"/>
        <w:jc w:val="left"/>
        <w:rPr>
          <w:rFonts w:ascii="Times New Roman" w:hAnsi="Times New Roman"/>
          <w:szCs w:val="21"/>
        </w:rPr>
      </w:pPr>
      <w:bookmarkStart w:id="617" w:name="_Toc369531696"/>
      <w:bookmarkEnd w:id="617"/>
      <w:bookmarkStart w:id="618" w:name="_Toc352691660"/>
      <w:bookmarkEnd w:id="618"/>
      <w:bookmarkStart w:id="619" w:name="_Toc352691659"/>
      <w:bookmarkEnd w:id="619"/>
      <w:bookmarkStart w:id="620" w:name="_Toc369531695"/>
      <w:bookmarkEnd w:id="620"/>
      <w:bookmarkStart w:id="621" w:name="_Toc16824"/>
      <w:bookmarkEnd w:id="621"/>
      <w:bookmarkStart w:id="622" w:name="_Toc16568"/>
      <w:bookmarkEnd w:id="622"/>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jc w:val="left"/>
        <w:rPr>
          <w:rFonts w:ascii="Times New Roman" w:hAnsi="Times New Roman"/>
          <w:szCs w:val="21"/>
        </w:rPr>
      </w:pPr>
      <w:r>
        <w:rPr>
          <w:rFonts w:ascii="Times New Roman" w:hAnsi="Times New Roman"/>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firstLine="2100" w:firstLineChars="1000"/>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125" w:firstLineChars="1012"/>
        <w:jc w:val="left"/>
        <w:rPr>
          <w:rFonts w:ascii="Times New Roman" w:hAnsi="Times New Roman"/>
          <w:szCs w:val="21"/>
        </w:rPr>
      </w:pPr>
      <w:r>
        <w:rPr>
          <w:rFonts w:ascii="Times New Roman" w:hAnsi="Times New Roman"/>
          <w:szCs w:val="21"/>
        </w:rPr>
        <w:t>网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125" w:firstLineChars="1012"/>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125" w:firstLineChars="1012"/>
        <w:jc w:val="left"/>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125" w:firstLineChars="1012"/>
        <w:jc w:val="left"/>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440" w:lineRule="exact"/>
        <w:ind w:firstLine="2125" w:firstLineChars="1012"/>
        <w:jc w:val="right"/>
        <w:rPr>
          <w:rFonts w:ascii="Times New Roman" w:hAnsi="Times New Roman"/>
          <w:szCs w:val="21"/>
        </w:rPr>
      </w:pP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w:t>
      </w:r>
    </w:p>
    <w:p>
      <w:pPr>
        <w:spacing w:line="440" w:lineRule="exact"/>
        <w:rPr>
          <w:rFonts w:ascii="Times New Roman" w:hAnsi="Times New Roman"/>
          <w:szCs w:val="21"/>
        </w:rPr>
      </w:pPr>
    </w:p>
    <w:p>
      <w:pPr>
        <w:spacing w:line="440" w:lineRule="exact"/>
        <w:rPr>
          <w:rFonts w:ascii="Times New Roman" w:hAnsi="Times New Roman" w:eastAsia="黑体"/>
          <w:sz w:val="20"/>
        </w:rPr>
      </w:pPr>
      <w:bookmarkStart w:id="623" w:name="_Toc152045787"/>
      <w:bookmarkStart w:id="624" w:name="_Toc247514246"/>
      <w:bookmarkStart w:id="625" w:name="_Toc361508752"/>
      <w:bookmarkStart w:id="626" w:name="_Toc152042576"/>
      <w:bookmarkStart w:id="627" w:name="_Toc247527827"/>
      <w:bookmarkStart w:id="628" w:name="_Toc144974856"/>
      <w:bookmarkStart w:id="629" w:name="_Toc300835209"/>
      <w:bookmarkStart w:id="630" w:name="_Toc384308375"/>
      <w:bookmarkStart w:id="631" w:name="_Toc369531697"/>
      <w:bookmarkStart w:id="632" w:name="_Toc352691661"/>
      <w:bookmarkStart w:id="633" w:name="_Toc17960"/>
    </w:p>
    <w:p>
      <w:pPr>
        <w:spacing w:line="440" w:lineRule="exact"/>
        <w:rPr>
          <w:rFonts w:ascii="Times New Roman" w:hAnsi="Times New Roman" w:eastAsia="黑体"/>
          <w:sz w:val="20"/>
        </w:rPr>
      </w:pPr>
      <w:r>
        <w:rPr>
          <w:rFonts w:ascii="Times New Roman" w:hAnsi="Times New Roman"/>
          <w:szCs w:val="21"/>
        </w:rPr>
        <w:br w:type="page"/>
      </w:r>
    </w:p>
    <w:p>
      <w:pPr>
        <w:pStyle w:val="10"/>
        <w:spacing w:line="440" w:lineRule="exact"/>
        <w:ind w:firstLine="137"/>
        <w:rPr>
          <w:rFonts w:ascii="Times New Roman" w:hAnsi="Times New Roman"/>
        </w:rPr>
      </w:pPr>
      <w:bookmarkStart w:id="634" w:name="_Toc385943066"/>
      <w:bookmarkStart w:id="635" w:name="_Toc482188652"/>
      <w:bookmarkStart w:id="636" w:name="_Toc370676427"/>
      <w:bookmarkStart w:id="637" w:name="_Toc359594236"/>
      <w:bookmarkStart w:id="638" w:name="_Toc391394112"/>
      <w:r>
        <w:rPr>
          <w:rFonts w:hint="eastAsia" w:ascii="Times New Roman" w:hAnsi="Times New Roman"/>
        </w:rPr>
        <w:t>（二）投标函附录</w:t>
      </w:r>
      <w:bookmarkEnd w:id="634"/>
      <w:bookmarkEnd w:id="635"/>
      <w:bookmarkEnd w:id="636"/>
      <w:bookmarkEnd w:id="637"/>
      <w:bookmarkEnd w:id="638"/>
    </w:p>
    <w:tbl>
      <w:tblPr>
        <w:tblStyle w:val="4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386"/>
        <w:gridCol w:w="28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29" w:type="dxa"/>
            <w:vAlign w:val="center"/>
          </w:tcPr>
          <w:p>
            <w:pPr>
              <w:spacing w:line="440" w:lineRule="exact"/>
              <w:jc w:val="center"/>
              <w:rPr>
                <w:rFonts w:ascii="Times New Roman" w:hAnsi="Times New Roman"/>
                <w:b/>
              </w:rPr>
            </w:pPr>
            <w:r>
              <w:rPr>
                <w:rFonts w:hint="eastAsia" w:ascii="Times New Roman" w:hAnsi="Times New Roman"/>
                <w:b/>
              </w:rPr>
              <w:t>序号</w:t>
            </w:r>
          </w:p>
        </w:tc>
        <w:tc>
          <w:tcPr>
            <w:tcW w:w="2386" w:type="dxa"/>
            <w:vAlign w:val="center"/>
          </w:tcPr>
          <w:p>
            <w:pPr>
              <w:spacing w:line="440" w:lineRule="exact"/>
              <w:jc w:val="center"/>
              <w:rPr>
                <w:rFonts w:ascii="Times New Roman" w:hAnsi="Times New Roman"/>
                <w:b/>
              </w:rPr>
            </w:pPr>
            <w:r>
              <w:rPr>
                <w:rFonts w:hint="eastAsia" w:ascii="Times New Roman" w:hAnsi="Times New Roman"/>
                <w:b/>
              </w:rPr>
              <w:t>条款名称</w:t>
            </w:r>
          </w:p>
        </w:tc>
        <w:tc>
          <w:tcPr>
            <w:tcW w:w="2859" w:type="dxa"/>
            <w:vAlign w:val="center"/>
          </w:tcPr>
          <w:p>
            <w:pPr>
              <w:spacing w:line="440" w:lineRule="exact"/>
              <w:jc w:val="center"/>
              <w:rPr>
                <w:rFonts w:ascii="Times New Roman" w:hAnsi="Times New Roman"/>
                <w:b/>
              </w:rPr>
            </w:pPr>
            <w:r>
              <w:rPr>
                <w:rFonts w:hint="eastAsia" w:ascii="Times New Roman" w:hAnsi="Times New Roman"/>
                <w:b/>
              </w:rPr>
              <w:t>约定内容</w:t>
            </w:r>
          </w:p>
        </w:tc>
        <w:tc>
          <w:tcPr>
            <w:tcW w:w="1701" w:type="dxa"/>
            <w:vAlign w:val="center"/>
          </w:tcPr>
          <w:p>
            <w:pPr>
              <w:spacing w:line="440" w:lineRule="exact"/>
              <w:jc w:val="center"/>
              <w:rPr>
                <w:rFonts w:ascii="Times New Roman" w:hAnsi="Times New Roman"/>
                <w:b/>
              </w:rPr>
            </w:pPr>
            <w:r>
              <w:rPr>
                <w:rFonts w:hint="eastAsia" w:ascii="Times New Roman" w:hAnsi="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1</w:t>
            </w:r>
          </w:p>
        </w:tc>
        <w:tc>
          <w:tcPr>
            <w:tcW w:w="2386"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项目负责人</w:t>
            </w:r>
          </w:p>
        </w:tc>
        <w:tc>
          <w:tcPr>
            <w:tcW w:w="2859" w:type="dxa"/>
            <w:vAlign w:val="center"/>
          </w:tcPr>
          <w:p>
            <w:pPr>
              <w:pStyle w:val="20"/>
              <w:topLinePunct/>
              <w:spacing w:line="440" w:lineRule="exact"/>
              <w:rPr>
                <w:rFonts w:ascii="Times New Roman" w:hAnsi="Times New Roman"/>
                <w:sz w:val="21"/>
                <w:szCs w:val="21"/>
              </w:rPr>
            </w:pPr>
            <w:r>
              <w:rPr>
                <w:rFonts w:hint="eastAsia" w:ascii="Times New Roman" w:hAnsi="Times New Roman"/>
                <w:sz w:val="21"/>
                <w:szCs w:val="21"/>
              </w:rPr>
              <w:t>姓名：</w:t>
            </w:r>
            <w:r>
              <w:rPr>
                <w:rFonts w:ascii="Times New Roman" w:hAnsi="Times New Roman"/>
                <w:sz w:val="21"/>
                <w:szCs w:val="21"/>
                <w:u w:val="single"/>
              </w:rPr>
              <w:t xml:space="preserve">      </w:t>
            </w:r>
          </w:p>
        </w:tc>
        <w:tc>
          <w:tcPr>
            <w:tcW w:w="1701" w:type="dxa"/>
            <w:vAlign w:val="center"/>
          </w:tcPr>
          <w:p>
            <w:pPr>
              <w:snapToGrid w:val="0"/>
              <w:spacing w:line="440" w:lineRule="exact"/>
              <w:rPr>
                <w:szCs w:val="21"/>
                <w:u w:val="single"/>
              </w:rPr>
            </w:pPr>
            <w:r>
              <w:rPr>
                <w:rFonts w:hint="eastAsia"/>
                <w:szCs w:val="21"/>
              </w:rPr>
              <w:t>证书编号：</w:t>
            </w:r>
            <w:r>
              <w:rPr>
                <w:rFonts w:hint="eastAsia"/>
                <w:szCs w:val="21"/>
                <w:u w:val="single"/>
              </w:rPr>
              <w:t>　　</w:t>
            </w:r>
          </w:p>
          <w:p>
            <w:pPr>
              <w:spacing w:line="440" w:lineRule="exact"/>
              <w:rPr>
                <w:rFonts w:ascii="Times New Roman" w:hAnsi="Times New Roman"/>
              </w:rPr>
            </w:pPr>
            <w:r>
              <w:rPr>
                <w:rFonts w:hint="eastAsia"/>
                <w:szCs w:val="21"/>
              </w:rPr>
              <w:t>职称</w:t>
            </w:r>
            <w:r>
              <w:rPr>
                <w:rFonts w:hint="eastAsia"/>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2</w:t>
            </w:r>
          </w:p>
        </w:tc>
        <w:tc>
          <w:tcPr>
            <w:tcW w:w="2386"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服务期限</w:t>
            </w:r>
          </w:p>
        </w:tc>
        <w:tc>
          <w:tcPr>
            <w:tcW w:w="2859" w:type="dxa"/>
            <w:vAlign w:val="center"/>
          </w:tcPr>
          <w:p>
            <w:pPr>
              <w:pStyle w:val="20"/>
              <w:topLinePunct/>
              <w:spacing w:before="100" w:beforeAutospacing="1" w:after="100" w:afterAutospacing="1" w:line="440" w:lineRule="exact"/>
              <w:rPr>
                <w:rFonts w:ascii="Times New Roman" w:hAnsi="Times New Roman"/>
                <w:sz w:val="21"/>
                <w:szCs w:val="21"/>
              </w:rPr>
            </w:pPr>
            <w:r>
              <w:rPr>
                <w:rFonts w:hint="eastAsia" w:ascii="Times New Roman" w:hAnsi="Times New Roman"/>
                <w:sz w:val="21"/>
                <w:szCs w:val="21"/>
              </w:rPr>
              <w:t>服务期限：</w:t>
            </w:r>
            <w:r>
              <w:rPr>
                <w:rFonts w:ascii="Times New Roman" w:hAnsi="Times New Roman"/>
                <w:sz w:val="21"/>
                <w:szCs w:val="21"/>
                <w:u w:val="single"/>
              </w:rPr>
              <w:t xml:space="preserve">      </w:t>
            </w:r>
          </w:p>
        </w:tc>
        <w:tc>
          <w:tcPr>
            <w:tcW w:w="1701" w:type="dxa"/>
            <w:vAlign w:val="center"/>
          </w:tcPr>
          <w:p>
            <w:pPr>
              <w:spacing w:before="100" w:beforeAutospacing="1" w:after="100" w:afterAutospacing="1"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before="100" w:beforeAutospacing="1" w:after="100" w:afterAutospacing="1" w:line="440" w:lineRule="exact"/>
              <w:jc w:val="center"/>
              <w:rPr>
                <w:rFonts w:ascii="Times New Roman" w:hAnsi="Times New Roman"/>
                <w:szCs w:val="21"/>
              </w:rPr>
            </w:pPr>
            <w:r>
              <w:rPr>
                <w:rFonts w:ascii="Times New Roman" w:hAnsi="Times New Roman"/>
                <w:szCs w:val="21"/>
              </w:rPr>
              <w:t>3</w:t>
            </w:r>
          </w:p>
        </w:tc>
        <w:tc>
          <w:tcPr>
            <w:tcW w:w="2386" w:type="dxa"/>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质量标准</w:t>
            </w:r>
          </w:p>
        </w:tc>
        <w:tc>
          <w:tcPr>
            <w:tcW w:w="2859" w:type="dxa"/>
          </w:tcPr>
          <w:p>
            <w:pPr>
              <w:spacing w:before="100" w:beforeAutospacing="1" w:after="100" w:afterAutospacing="1" w:line="440" w:lineRule="exact"/>
              <w:rPr>
                <w:rFonts w:ascii="Times New Roman" w:hAnsi="Times New Roman"/>
                <w:szCs w:val="21"/>
              </w:rPr>
            </w:pPr>
            <w:r>
              <w:rPr>
                <w:rFonts w:hint="eastAsia" w:ascii="Times New Roman" w:hAnsi="Times New Roman"/>
                <w:szCs w:val="21"/>
              </w:rPr>
              <w:t>质量标准：</w:t>
            </w:r>
            <w:r>
              <w:rPr>
                <w:rFonts w:ascii="Times New Roman" w:hAnsi="Times New Roman"/>
                <w:szCs w:val="21"/>
                <w:u w:val="single"/>
              </w:rPr>
              <w:t xml:space="preserve">      </w:t>
            </w:r>
          </w:p>
        </w:tc>
        <w:tc>
          <w:tcPr>
            <w:tcW w:w="1701" w:type="dxa"/>
            <w:vAlign w:val="center"/>
          </w:tcPr>
          <w:p>
            <w:pPr>
              <w:spacing w:before="100" w:beforeAutospacing="1" w:after="100" w:afterAutospacing="1"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before="100" w:beforeAutospacing="1" w:after="100" w:afterAutospacing="1" w:line="440" w:lineRule="exact"/>
              <w:jc w:val="center"/>
              <w:rPr>
                <w:rFonts w:ascii="Times New Roman" w:hAnsi="Times New Roman"/>
                <w:szCs w:val="21"/>
              </w:rPr>
            </w:pPr>
            <w:r>
              <w:rPr>
                <w:rFonts w:hint="eastAsia" w:ascii="Times New Roman" w:hAnsi="Times New Roman"/>
                <w:szCs w:val="21"/>
              </w:rPr>
              <w:t>4</w:t>
            </w:r>
          </w:p>
        </w:tc>
        <w:tc>
          <w:tcPr>
            <w:tcW w:w="2386" w:type="dxa"/>
            <w:vAlign w:val="center"/>
          </w:tcPr>
          <w:p>
            <w:pPr>
              <w:spacing w:before="100" w:beforeAutospacing="1" w:after="100" w:afterAutospacing="1" w:line="440" w:lineRule="exact"/>
              <w:jc w:val="center"/>
              <w:rPr>
                <w:rFonts w:ascii="Times New Roman" w:hAnsi="Times New Roman"/>
                <w:szCs w:val="21"/>
              </w:rPr>
            </w:pPr>
            <w:r>
              <w:rPr>
                <w:rFonts w:asciiTheme="minorEastAsia" w:hAnsiTheme="minorEastAsia" w:eastAsiaTheme="minorEastAsia"/>
                <w:szCs w:val="21"/>
              </w:rPr>
              <w:t>权利义务</w:t>
            </w:r>
          </w:p>
        </w:tc>
        <w:tc>
          <w:tcPr>
            <w:tcW w:w="2859" w:type="dxa"/>
          </w:tcPr>
          <w:p>
            <w:pPr>
              <w:spacing w:before="100" w:beforeAutospacing="1" w:after="100" w:afterAutospacing="1" w:line="440" w:lineRule="exact"/>
              <w:rPr>
                <w:rFonts w:ascii="Times New Roman" w:hAnsi="Times New Roman"/>
                <w:szCs w:val="21"/>
              </w:rPr>
            </w:pPr>
            <w:r>
              <w:rPr>
                <w:rFonts w:ascii="Times New Roman" w:hAnsi="Times New Roman"/>
              </w:rPr>
              <w:t>符合第四章“合同条款及格式”</w:t>
            </w:r>
            <w:r>
              <w:rPr>
                <w:rFonts w:hint="eastAsia" w:ascii="Times New Roman" w:hAnsi="Times New Roman"/>
              </w:rPr>
              <w:t>和第五章“发包人要求”</w:t>
            </w:r>
            <w:r>
              <w:rPr>
                <w:rFonts w:ascii="Times New Roman" w:hAnsi="Times New Roman"/>
              </w:rPr>
              <w:t>中的实质性要求和条件</w:t>
            </w:r>
          </w:p>
        </w:tc>
        <w:tc>
          <w:tcPr>
            <w:tcW w:w="1701" w:type="dxa"/>
            <w:vAlign w:val="center"/>
          </w:tcPr>
          <w:p>
            <w:pPr>
              <w:spacing w:before="100" w:beforeAutospacing="1" w:after="100" w:afterAutospacing="1"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before="100" w:beforeAutospacing="1" w:after="100" w:afterAutospacing="1" w:line="440" w:lineRule="exact"/>
              <w:jc w:val="center"/>
              <w:rPr>
                <w:rFonts w:ascii="Times New Roman" w:hAnsi="Times New Roman"/>
              </w:rPr>
            </w:pPr>
            <w:r>
              <w:rPr>
                <w:rFonts w:ascii="Times New Roman" w:hAnsi="Times New Roman"/>
              </w:rPr>
              <w:t>……</w:t>
            </w:r>
          </w:p>
        </w:tc>
        <w:tc>
          <w:tcPr>
            <w:tcW w:w="2386" w:type="dxa"/>
          </w:tcPr>
          <w:p>
            <w:pPr>
              <w:spacing w:before="100" w:beforeAutospacing="1" w:after="100" w:afterAutospacing="1" w:line="440" w:lineRule="exact"/>
              <w:jc w:val="center"/>
              <w:rPr>
                <w:rFonts w:ascii="Times New Roman" w:hAnsi="Times New Roman"/>
              </w:rPr>
            </w:pPr>
            <w:r>
              <w:rPr>
                <w:rFonts w:ascii="Times New Roman" w:hAnsi="Times New Roman"/>
              </w:rPr>
              <w:t>……</w:t>
            </w:r>
          </w:p>
        </w:tc>
        <w:tc>
          <w:tcPr>
            <w:tcW w:w="2859" w:type="dxa"/>
          </w:tcPr>
          <w:p>
            <w:pPr>
              <w:spacing w:before="100" w:beforeAutospacing="1" w:after="100" w:afterAutospacing="1" w:line="440" w:lineRule="exact"/>
              <w:jc w:val="center"/>
              <w:rPr>
                <w:rFonts w:ascii="Times New Roman" w:hAnsi="Times New Roman"/>
              </w:rPr>
            </w:pPr>
            <w:r>
              <w:rPr>
                <w:rFonts w:ascii="Times New Roman" w:hAnsi="Times New Roman"/>
              </w:rPr>
              <w:t>……</w:t>
            </w:r>
          </w:p>
        </w:tc>
        <w:tc>
          <w:tcPr>
            <w:tcW w:w="1701" w:type="dxa"/>
            <w:vAlign w:val="center"/>
          </w:tcPr>
          <w:p>
            <w:pPr>
              <w:spacing w:line="440" w:lineRule="exact"/>
              <w:rPr>
                <w:rFonts w:ascii="Times New Roman" w:hAnsi="Times New Roman"/>
              </w:rPr>
            </w:pPr>
          </w:p>
        </w:tc>
      </w:tr>
    </w:tbl>
    <w:p>
      <w:pPr>
        <w:spacing w:line="440" w:lineRule="exact"/>
        <w:ind w:firstLine="2520" w:firstLineChars="1200"/>
        <w:jc w:val="left"/>
        <w:rPr>
          <w:rFonts w:ascii="Times New Roman" w:hAnsi="Times New Roman"/>
          <w:szCs w:val="21"/>
        </w:rPr>
      </w:pPr>
    </w:p>
    <w:p>
      <w:pPr>
        <w:spacing w:line="440" w:lineRule="exact"/>
        <w:ind w:firstLine="1274" w:firstLineChars="607"/>
        <w:jc w:val="lef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440" w:lineRule="exact"/>
        <w:ind w:firstLine="1274" w:firstLineChars="607"/>
        <w:jc w:val="left"/>
        <w:rPr>
          <w:rFonts w:ascii="Times New Roman" w:hAnsi="Times New Roman"/>
          <w:szCs w:val="21"/>
        </w:rPr>
      </w:pPr>
      <w:r>
        <w:rPr>
          <w:rFonts w:ascii="Times New Roman" w:hAnsi="Times New Roman"/>
        </w:rPr>
        <w:t>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p>
    <w:p>
      <w:pPr>
        <w:spacing w:line="440" w:lineRule="exact"/>
        <w:ind w:right="840" w:firstLine="1484" w:firstLineChars="707"/>
        <w:rPr>
          <w:rFonts w:ascii="Times New Roman" w:hAnsi="Times New Roman"/>
          <w:szCs w:val="21"/>
        </w:rPr>
      </w:pP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w:t>
      </w:r>
    </w:p>
    <w:p>
      <w:pPr>
        <w:spacing w:line="440" w:lineRule="exact"/>
        <w:ind w:firstLine="1274" w:firstLineChars="607"/>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eastAsia="黑体"/>
          <w:sz w:val="20"/>
        </w:rPr>
      </w:pPr>
    </w:p>
    <w:p>
      <w:pPr>
        <w:spacing w:line="440" w:lineRule="exact"/>
        <w:rPr>
          <w:rFonts w:ascii="Times New Roman" w:hAnsi="Times New Roman"/>
          <w:sz w:val="20"/>
        </w:rPr>
      </w:pPr>
    </w:p>
    <w:p>
      <w:pPr>
        <w:spacing w:line="440" w:lineRule="exact"/>
        <w:ind w:firstLine="420" w:firstLineChars="200"/>
        <w:rPr>
          <w:rFonts w:ascii="Times New Roman" w:hAnsi="Times New Roman"/>
          <w:szCs w:val="21"/>
        </w:rPr>
      </w:pPr>
      <w:r>
        <w:rPr>
          <w:rFonts w:ascii="Times New Roman" w:hAnsi="Times New Roman"/>
          <w:szCs w:val="21"/>
        </w:rPr>
        <w:br w:type="page"/>
      </w:r>
    </w:p>
    <w:p>
      <w:pPr>
        <w:pStyle w:val="9"/>
        <w:spacing w:line="440" w:lineRule="exact"/>
        <w:jc w:val="center"/>
        <w:rPr>
          <w:rFonts w:ascii="Times New Roman" w:hAnsi="Times New Roman"/>
        </w:rPr>
      </w:pPr>
      <w:bookmarkStart w:id="639" w:name="_Toc16646"/>
      <w:r>
        <w:rPr>
          <w:rFonts w:ascii="Times New Roman" w:hAnsi="Times New Roman"/>
        </w:rPr>
        <w:t>二</w:t>
      </w:r>
      <w:bookmarkEnd w:id="623"/>
      <w:bookmarkEnd w:id="624"/>
      <w:bookmarkEnd w:id="625"/>
      <w:bookmarkEnd w:id="626"/>
      <w:bookmarkEnd w:id="627"/>
      <w:bookmarkEnd w:id="628"/>
      <w:bookmarkEnd w:id="629"/>
      <w:bookmarkEnd w:id="630"/>
      <w:bookmarkEnd w:id="631"/>
      <w:bookmarkEnd w:id="632"/>
      <w:bookmarkEnd w:id="633"/>
      <w:r>
        <w:rPr>
          <w:rFonts w:ascii="Times New Roman" w:hAnsi="Times New Roman"/>
        </w:rPr>
        <w:t>、法定代表人身份证明</w:t>
      </w:r>
      <w:bookmarkEnd w:id="639"/>
    </w:p>
    <w:p>
      <w:pPr>
        <w:spacing w:line="440" w:lineRule="exact"/>
        <w:rPr>
          <w:rFonts w:ascii="Times New Roman" w:hAnsi="Times New Roman"/>
          <w:sz w:val="20"/>
        </w:rPr>
      </w:pP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投标人名称：</w:t>
      </w:r>
      <w:r>
        <w:rPr>
          <w:rFonts w:ascii="Times New Roman" w:hAnsi="Times New Roman"/>
          <w:u w:val="single"/>
        </w:rPr>
        <w:t xml:space="preserve">                        </w:t>
      </w:r>
    </w:p>
    <w:p>
      <w:pPr>
        <w:spacing w:line="440" w:lineRule="exact"/>
        <w:rPr>
          <w:rFonts w:ascii="Times New Roman" w:hAnsi="Times New Roman"/>
        </w:rPr>
      </w:pPr>
      <w:r>
        <w:rPr>
          <w:rFonts w:ascii="Times New Roman" w:hAnsi="Times New Roman"/>
        </w:rPr>
        <w:t>姓名：</w:t>
      </w:r>
      <w:r>
        <w:rPr>
          <w:rFonts w:ascii="Times New Roman" w:hAnsi="Times New Roman"/>
          <w:u w:val="single"/>
        </w:rPr>
        <w:t xml:space="preserve">                </w:t>
      </w:r>
      <w:r>
        <w:rPr>
          <w:rFonts w:ascii="Times New Roman" w:hAnsi="Times New Roman"/>
        </w:rPr>
        <w:t>性别：</w:t>
      </w:r>
      <w:bookmarkStart w:id="640" w:name="_Toc369531698"/>
      <w:bookmarkStart w:id="641" w:name="_Toc27897"/>
      <w:bookmarkStart w:id="642" w:name="_Toc352691662"/>
      <w:r>
        <w:rPr>
          <w:rFonts w:ascii="Times New Roman" w:hAnsi="Times New Roman"/>
          <w:u w:val="single"/>
        </w:rPr>
        <w:t xml:space="preserve">        </w:t>
      </w:r>
      <w:r>
        <w:rPr>
          <w:rFonts w:ascii="Times New Roman" w:hAnsi="Times New Roman"/>
        </w:rPr>
        <w:t>年</w:t>
      </w:r>
      <w:bookmarkEnd w:id="640"/>
      <w:bookmarkEnd w:id="641"/>
      <w:bookmarkEnd w:id="642"/>
      <w:r>
        <w:rPr>
          <w:rFonts w:ascii="Times New Roman" w:hAnsi="Times New Roman"/>
        </w:rPr>
        <w:t>龄</w:t>
      </w:r>
      <w:bookmarkStart w:id="643" w:name="_Toc15573"/>
      <w:bookmarkStart w:id="644" w:name="_Toc144974858"/>
      <w:bookmarkStart w:id="645" w:name="_Toc247527829"/>
      <w:bookmarkStart w:id="646" w:name="_Toc384308377"/>
      <w:bookmarkStart w:id="647" w:name="_Toc369531699"/>
      <w:bookmarkStart w:id="648" w:name="_Toc300835211"/>
      <w:bookmarkStart w:id="649" w:name="_Toc152042578"/>
      <w:bookmarkStart w:id="650" w:name="_Toc152045789"/>
      <w:bookmarkStart w:id="651" w:name="_Toc247514248"/>
      <w:bookmarkStart w:id="652" w:name="_Toc352691663"/>
      <w:bookmarkStart w:id="653" w:name="_Toc361508754"/>
      <w:r>
        <w:rPr>
          <w:rFonts w:ascii="Times New Roman" w:hAnsi="Times New Roman"/>
        </w:rPr>
        <w:t>：</w:t>
      </w:r>
      <w:bookmarkEnd w:id="643"/>
      <w:bookmarkEnd w:id="644"/>
      <w:bookmarkEnd w:id="645"/>
      <w:bookmarkEnd w:id="646"/>
      <w:bookmarkEnd w:id="647"/>
      <w:bookmarkEnd w:id="648"/>
      <w:bookmarkEnd w:id="649"/>
      <w:bookmarkEnd w:id="650"/>
      <w:bookmarkEnd w:id="651"/>
      <w:bookmarkEnd w:id="652"/>
      <w:bookmarkEnd w:id="653"/>
      <w:r>
        <w:rPr>
          <w:rFonts w:ascii="Times New Roman" w:hAnsi="Times New Roman"/>
          <w:u w:val="single"/>
        </w:rPr>
        <w:t xml:space="preserve">        </w:t>
      </w:r>
      <w:r>
        <w:rPr>
          <w:rFonts w:ascii="Times New Roman" w:hAnsi="Times New Roman"/>
        </w:rPr>
        <w:t>职务：</w:t>
      </w:r>
      <w:r>
        <w:rPr>
          <w:rFonts w:ascii="Times New Roman" w:hAnsi="Times New Roman"/>
          <w:u w:val="single"/>
        </w:rPr>
        <w:t xml:space="preserve">        </w:t>
      </w:r>
    </w:p>
    <w:p>
      <w:pPr>
        <w:spacing w:line="440" w:lineRule="exact"/>
        <w:rPr>
          <w:rFonts w:ascii="Times New Roman" w:hAnsi="Times New Roman"/>
        </w:rPr>
      </w:pPr>
      <w:r>
        <w:rPr>
          <w:rFonts w:ascii="Times New Roman" w:hAnsi="Times New Roman"/>
        </w:rPr>
        <w:t>系</w:t>
      </w:r>
      <w:r>
        <w:rPr>
          <w:rFonts w:ascii="Times New Roman" w:hAnsi="Times New Roman"/>
          <w:u w:val="single"/>
        </w:rPr>
        <w:t xml:space="preserve">                        </w:t>
      </w:r>
      <w:r>
        <w:rPr>
          <w:rFonts w:ascii="Times New Roman" w:hAnsi="Times New Roman"/>
        </w:rPr>
        <w:t>（投标人名称）的法定代表人。</w:t>
      </w:r>
    </w:p>
    <w:p>
      <w:pPr>
        <w:spacing w:line="440" w:lineRule="exact"/>
        <w:ind w:firstLine="420" w:firstLineChars="200"/>
        <w:rPr>
          <w:rFonts w:ascii="Times New Roman" w:hAnsi="Times New Roman"/>
        </w:rPr>
      </w:pPr>
      <w:r>
        <w:rPr>
          <w:rFonts w:ascii="Times New Roman" w:hAnsi="Times New Roman"/>
        </w:rPr>
        <w:t>特此证明。</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附：法定代表人身份证</w:t>
      </w:r>
      <w:r>
        <w:rPr>
          <w:rFonts w:hint="eastAsia" w:asciiTheme="minorEastAsia" w:hAnsiTheme="minorEastAsia" w:eastAsiaTheme="minorEastAsia"/>
          <w:szCs w:val="21"/>
        </w:rPr>
        <w:t>扫描件</w:t>
      </w:r>
      <w:r>
        <w:rPr>
          <w:rFonts w:ascii="Times New Roman" w:hAnsi="Times New Roman"/>
        </w:rPr>
        <w:t>。</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注：本身份证明需由投标人加盖单位公章。</w:t>
      </w:r>
    </w:p>
    <w:p>
      <w:pPr>
        <w:spacing w:line="440" w:lineRule="exact"/>
        <w:rPr>
          <w:rFonts w:ascii="Times New Roman" w:hAnsi="Times New Roman"/>
        </w:rPr>
      </w:pPr>
    </w:p>
    <w:p>
      <w:pPr>
        <w:spacing w:line="440" w:lineRule="exact"/>
        <w:rPr>
          <w:rFonts w:ascii="Times New Roman" w:hAnsi="Times New Roman"/>
        </w:rPr>
      </w:pPr>
    </w:p>
    <w:p>
      <w:pPr>
        <w:spacing w:line="440" w:lineRule="exact"/>
        <w:jc w:val="center"/>
        <w:rPr>
          <w:rFonts w:ascii="Times New Roman" w:hAnsi="Times New Roman"/>
        </w:rPr>
      </w:pPr>
      <w:r>
        <w:rPr>
          <w:rFonts w:ascii="Times New Roman" w:hAnsi="Times New Roman"/>
        </w:rPr>
        <w:t xml:space="preserve">                              投标人：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w:t>
      </w:r>
      <w:r>
        <w:rPr>
          <w:rFonts w:hint="eastAsia" w:ascii="Times New Roman" w:hAnsi="Times New Roman"/>
        </w:rPr>
        <w:t>盖</w:t>
      </w:r>
      <w:r>
        <w:rPr>
          <w:rFonts w:ascii="Times New Roman" w:hAnsi="Times New Roman"/>
        </w:rPr>
        <w:t>单位</w:t>
      </w:r>
      <w:r>
        <w:rPr>
          <w:rFonts w:hint="eastAsia" w:ascii="Times New Roman" w:hAnsi="Times New Roman"/>
        </w:rPr>
        <w:t>章</w:t>
      </w:r>
      <w:r>
        <w:rPr>
          <w:rFonts w:ascii="Times New Roman" w:hAnsi="Times New Roman"/>
        </w:rPr>
        <w:t>）</w:t>
      </w:r>
    </w:p>
    <w:p>
      <w:pPr>
        <w:spacing w:line="440" w:lineRule="exact"/>
        <w:rPr>
          <w:rFonts w:ascii="Times New Roman" w:hAnsi="Times New Roman"/>
        </w:rPr>
      </w:pPr>
    </w:p>
    <w:p>
      <w:pPr>
        <w:spacing w:line="440" w:lineRule="exact"/>
        <w:ind w:firstLine="4620" w:firstLineChars="2200"/>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rPr>
          <w:rFonts w:ascii="Times New Roman" w:hAnsi="Times New Roman" w:eastAsia="黑体"/>
          <w:sz w:val="20"/>
        </w:rPr>
      </w:pPr>
    </w:p>
    <w:p>
      <w:pPr>
        <w:spacing w:line="440" w:lineRule="exact"/>
        <w:jc w:val="center"/>
        <w:rPr>
          <w:rFonts w:ascii="Times New Roman" w:hAnsi="Times New Roman" w:eastAsia="黑体"/>
          <w:sz w:val="20"/>
        </w:rPr>
      </w:pPr>
      <w:r>
        <w:rPr>
          <w:rFonts w:ascii="Times New Roman" w:hAnsi="Times New Roman" w:eastAsia="黑体"/>
          <w:sz w:val="20"/>
        </w:rPr>
        <w:br w:type="page"/>
      </w:r>
    </w:p>
    <w:p>
      <w:pPr>
        <w:pStyle w:val="9"/>
        <w:spacing w:line="440" w:lineRule="exact"/>
        <w:jc w:val="center"/>
        <w:rPr>
          <w:rFonts w:ascii="Times New Roman" w:hAnsi="Times New Roman"/>
        </w:rPr>
      </w:pPr>
      <w:bookmarkStart w:id="654" w:name="_Toc27693"/>
      <w:r>
        <w:rPr>
          <w:rFonts w:hint="eastAsia" w:ascii="Times New Roman" w:hAnsi="Times New Roman"/>
        </w:rPr>
        <w:t>二、授权委托书</w:t>
      </w:r>
      <w:bookmarkEnd w:id="654"/>
    </w:p>
    <w:p>
      <w:pPr>
        <w:spacing w:line="440" w:lineRule="exact"/>
        <w:rPr>
          <w:rFonts w:ascii="Times New Roman" w:hAnsi="Times New Roman" w:eastAsia="黑体"/>
        </w:rPr>
      </w:pPr>
    </w:p>
    <w:p>
      <w:pPr>
        <w:topLinePunct/>
        <w:spacing w:line="440" w:lineRule="exact"/>
        <w:ind w:firstLine="420" w:firstLineChars="200"/>
        <w:rPr>
          <w:rFonts w:ascii="Times New Roman" w:hAnsi="Times New Roman"/>
        </w:rPr>
      </w:pPr>
      <w:r>
        <w:rPr>
          <w:rFonts w:ascii="Times New Roman" w:hAnsi="Times New Roman"/>
        </w:rPr>
        <w:t>本人</w:t>
      </w:r>
      <w:r>
        <w:rPr>
          <w:rFonts w:ascii="Times New Roman" w:hAnsi="Times New Roman"/>
          <w:u w:val="single"/>
        </w:rPr>
        <w:t xml:space="preserve">              </w:t>
      </w:r>
      <w:r>
        <w:rPr>
          <w:rFonts w:ascii="Times New Roman" w:hAnsi="Times New Roman"/>
        </w:rPr>
        <w:t>（姓名）系</w:t>
      </w:r>
      <w:r>
        <w:rPr>
          <w:rFonts w:ascii="Times New Roman" w:hAnsi="Times New Roman"/>
          <w:u w:val="single"/>
        </w:rPr>
        <w:t xml:space="preserve">                    </w:t>
      </w:r>
      <w:r>
        <w:rPr>
          <w:rFonts w:ascii="Times New Roman" w:hAnsi="Times New Roman"/>
        </w:rPr>
        <w:t>（投标人名称）的法定代表人，现委托</w:t>
      </w:r>
      <w:r>
        <w:rPr>
          <w:rFonts w:ascii="Times New Roman" w:hAnsi="Times New Roman"/>
          <w:u w:val="single"/>
        </w:rPr>
        <w:t xml:space="preserve">            </w:t>
      </w:r>
      <w:r>
        <w:rPr>
          <w:rFonts w:ascii="Times New Roman" w:hAnsi="Times New Roman"/>
        </w:rPr>
        <w:t>（姓名）为我方代理人。代理人根据授权，以我方名义签署、澄清确认、递交、撤回、修改</w:t>
      </w:r>
      <w:r>
        <w:rPr>
          <w:rFonts w:ascii="Times New Roman" w:hAnsi="Times New Roman"/>
          <w:u w:val="single"/>
        </w:rPr>
        <w:t xml:space="preserve">      </w:t>
      </w:r>
      <w:r>
        <w:rPr>
          <w:rFonts w:hint="eastAsia" w:ascii="Times New Roman" w:hAnsi="Times New Roman"/>
        </w:rPr>
        <w:t>（</w:t>
      </w:r>
      <w:r>
        <w:rPr>
          <w:rFonts w:ascii="Times New Roman" w:hAnsi="Times New Roman"/>
        </w:rPr>
        <w:t>招标项目</w:t>
      </w:r>
      <w:r>
        <w:rPr>
          <w:rFonts w:hint="eastAsia" w:ascii="Times New Roman" w:hAnsi="Times New Roman"/>
        </w:rPr>
        <w:t>名称）</w:t>
      </w:r>
      <w:r>
        <w:rPr>
          <w:rFonts w:ascii="Times New Roman" w:hAnsi="Times New Roman"/>
        </w:rPr>
        <w:t>投标文件、签订合同和处理有关事宜，其法律后果由我方承担。</w:t>
      </w:r>
    </w:p>
    <w:p>
      <w:pPr>
        <w:spacing w:line="440" w:lineRule="exact"/>
        <w:rPr>
          <w:rFonts w:ascii="Times New Roman" w:hAnsi="Times New Roman"/>
        </w:rPr>
      </w:pPr>
      <w:r>
        <w:rPr>
          <w:rFonts w:ascii="Times New Roman" w:hAnsi="Times New Roman"/>
        </w:rPr>
        <w:t>委托期限：</w:t>
      </w:r>
      <w:r>
        <w:rPr>
          <w:rFonts w:ascii="Times New Roman" w:hAnsi="Times New Roman"/>
          <w:u w:val="single"/>
        </w:rPr>
        <w:t xml:space="preserve">                       </w:t>
      </w:r>
      <w:r>
        <w:rPr>
          <w:rFonts w:ascii="Times New Roman" w:hAnsi="Times New Roman"/>
        </w:rPr>
        <w:t>。</w:t>
      </w:r>
    </w:p>
    <w:p>
      <w:pPr>
        <w:spacing w:line="440" w:lineRule="exact"/>
        <w:ind w:firstLine="420" w:firstLineChars="200"/>
        <w:rPr>
          <w:rFonts w:ascii="Times New Roman" w:hAnsi="Times New Roman"/>
        </w:rPr>
      </w:pPr>
      <w:r>
        <w:rPr>
          <w:rFonts w:ascii="Times New Roman" w:hAnsi="Times New Roman"/>
        </w:rPr>
        <w:t>代理人无转委托权。</w:t>
      </w:r>
    </w:p>
    <w:p>
      <w:pPr>
        <w:spacing w:line="440" w:lineRule="exact"/>
        <w:ind w:firstLine="420" w:firstLineChars="200"/>
        <w:rPr>
          <w:rFonts w:ascii="Times New Roman" w:hAnsi="Times New Roman"/>
        </w:rPr>
      </w:pPr>
    </w:p>
    <w:p>
      <w:pPr>
        <w:spacing w:line="440" w:lineRule="exact"/>
        <w:rPr>
          <w:rFonts w:ascii="Times New Roman" w:hAnsi="Times New Roman"/>
        </w:rPr>
      </w:pPr>
      <w:r>
        <w:rPr>
          <w:rFonts w:ascii="Times New Roman" w:hAnsi="Times New Roman"/>
        </w:rPr>
        <w:t>附：法定代表人身份证</w:t>
      </w:r>
      <w:r>
        <w:rPr>
          <w:rFonts w:hint="eastAsia" w:ascii="Times New Roman" w:hAnsi="Times New Roman"/>
        </w:rPr>
        <w:t>扫描件</w:t>
      </w:r>
      <w:r>
        <w:rPr>
          <w:rFonts w:ascii="Times New Roman" w:hAnsi="Times New Roman"/>
        </w:rPr>
        <w:t>及委托代理人身份证</w:t>
      </w:r>
      <w:r>
        <w:rPr>
          <w:rFonts w:hint="eastAsia" w:ascii="Times New Roman" w:hAnsi="Times New Roman"/>
        </w:rPr>
        <w:t>扫描件</w:t>
      </w:r>
    </w:p>
    <w:p>
      <w:pPr>
        <w:spacing w:line="440" w:lineRule="exact"/>
        <w:rPr>
          <w:rFonts w:ascii="Times New Roman" w:hAnsi="Times New Roman"/>
        </w:rPr>
      </w:pPr>
    </w:p>
    <w:p>
      <w:pPr>
        <w:spacing w:line="440" w:lineRule="exact"/>
        <w:rPr>
          <w:rFonts w:ascii="Times New Roman" w:hAnsi="Times New Roman"/>
        </w:rPr>
      </w:pPr>
      <w:r>
        <w:rPr>
          <w:rFonts w:ascii="Times New Roman" w:hAnsi="Times New Roman"/>
        </w:rPr>
        <w:t>注：本授权委托书需由投标人加盖单位公章并由其法定代表人和委托代理人签字。</w:t>
      </w:r>
    </w:p>
    <w:p>
      <w:pPr>
        <w:spacing w:line="440" w:lineRule="exact"/>
        <w:rPr>
          <w:rFonts w:ascii="Times New Roman" w:hAnsi="Times New Roman"/>
        </w:rPr>
      </w:pPr>
    </w:p>
    <w:p>
      <w:pPr>
        <w:spacing w:line="440" w:lineRule="exact"/>
        <w:ind w:firstLine="2268" w:firstLineChars="1080"/>
        <w:rPr>
          <w:rFonts w:ascii="Times New Roman" w:hAnsi="Times New Roman"/>
        </w:rPr>
      </w:pPr>
      <w:r>
        <w:rPr>
          <w:rFonts w:ascii="Times New Roman" w:hAnsi="Times New Roman"/>
        </w:rPr>
        <w:t>投  标  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w:t>
      </w:r>
      <w:r>
        <w:rPr>
          <w:rFonts w:hint="eastAsia" w:ascii="Times New Roman" w:hAnsi="Times New Roman"/>
        </w:rPr>
        <w:t>盖</w:t>
      </w:r>
      <w:r>
        <w:rPr>
          <w:rFonts w:ascii="Times New Roman" w:hAnsi="Times New Roman"/>
        </w:rPr>
        <w:t>单位</w:t>
      </w:r>
      <w:r>
        <w:rPr>
          <w:rFonts w:hint="eastAsia" w:ascii="Times New Roman" w:hAnsi="Times New Roman"/>
        </w:rPr>
        <w:t>章</w:t>
      </w:r>
      <w:r>
        <w:rPr>
          <w:rFonts w:ascii="Times New Roman" w:hAnsi="Times New Roman"/>
        </w:rPr>
        <w:t>）</w:t>
      </w:r>
    </w:p>
    <w:p>
      <w:pPr>
        <w:spacing w:line="440" w:lineRule="exact"/>
        <w:ind w:firstLine="2268" w:firstLineChars="1080"/>
        <w:rPr>
          <w:rFonts w:ascii="Times New Roman" w:hAnsi="Times New Roman"/>
        </w:rPr>
      </w:pPr>
    </w:p>
    <w:p>
      <w:pPr>
        <w:spacing w:line="440" w:lineRule="exact"/>
        <w:ind w:firstLine="2268" w:firstLineChars="1080"/>
        <w:jc w:val="left"/>
        <w:rPr>
          <w:rFonts w:ascii="Times New Roman" w:hAnsi="Times New Roman"/>
        </w:rPr>
      </w:pPr>
      <w:r>
        <w:rPr>
          <w:rFonts w:ascii="Times New Roman" w:hAnsi="Times New Roman"/>
        </w:rPr>
        <w:t>法定代表人：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（签字）</w:t>
      </w:r>
    </w:p>
    <w:p>
      <w:pPr>
        <w:spacing w:line="440" w:lineRule="exact"/>
        <w:ind w:firstLine="2268" w:firstLineChars="1080"/>
        <w:rPr>
          <w:rFonts w:ascii="Times New Roman" w:hAnsi="Times New Roman"/>
        </w:rPr>
      </w:pPr>
    </w:p>
    <w:p>
      <w:pPr>
        <w:spacing w:line="440" w:lineRule="exact"/>
        <w:ind w:firstLine="2268" w:firstLineChars="1080"/>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268" w:firstLineChars="1080"/>
        <w:rPr>
          <w:rFonts w:ascii="Times New Roman" w:hAnsi="Times New Roman"/>
        </w:rPr>
      </w:pPr>
    </w:p>
    <w:p>
      <w:pPr>
        <w:spacing w:line="440" w:lineRule="exact"/>
        <w:ind w:firstLine="2268" w:firstLineChars="1080"/>
        <w:rPr>
          <w:rFonts w:ascii="Times New Roman" w:hAnsi="Times New Roman"/>
        </w:rPr>
      </w:pPr>
      <w:r>
        <w:rPr>
          <w:rFonts w:ascii="Times New Roman" w:hAnsi="Times New Roman"/>
        </w:rPr>
        <w:t>委托代理人：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（签字）</w:t>
      </w:r>
    </w:p>
    <w:p>
      <w:pPr>
        <w:spacing w:line="440" w:lineRule="exact"/>
        <w:ind w:firstLine="2268" w:firstLineChars="1080"/>
        <w:rPr>
          <w:rFonts w:ascii="Times New Roman" w:hAnsi="Times New Roman"/>
        </w:rPr>
      </w:pPr>
    </w:p>
    <w:p>
      <w:pPr>
        <w:spacing w:line="440" w:lineRule="exact"/>
        <w:ind w:firstLine="2268" w:firstLineChars="1080"/>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440" w:lineRule="exact"/>
        <w:ind w:firstLine="2692" w:firstLineChars="1282"/>
        <w:rPr>
          <w:rFonts w:ascii="Times New Roman" w:hAnsi="Times New Roman"/>
        </w:rPr>
      </w:pPr>
    </w:p>
    <w:p>
      <w:pPr>
        <w:spacing w:line="440" w:lineRule="exact"/>
        <w:ind w:firstLine="2692" w:firstLineChars="1282"/>
        <w:rPr>
          <w:rFonts w:ascii="Times New Roman" w:hAnsi="Times New Roman"/>
        </w:rPr>
      </w:pPr>
    </w:p>
    <w:p>
      <w:pPr>
        <w:spacing w:line="440" w:lineRule="exact"/>
        <w:ind w:firstLine="4057" w:firstLineChars="1932"/>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4057" w:firstLineChars="1932"/>
        <w:jc w:val="right"/>
        <w:rPr>
          <w:rFonts w:ascii="Times New Roman" w:hAnsi="Times New Roman"/>
        </w:rPr>
      </w:pPr>
      <w:r>
        <w:rPr>
          <w:rFonts w:ascii="Times New Roman" w:hAnsi="Times New Roman"/>
        </w:rPr>
        <w:br w:type="page"/>
      </w:r>
    </w:p>
    <w:p>
      <w:pPr>
        <w:pStyle w:val="9"/>
        <w:spacing w:line="440" w:lineRule="exact"/>
        <w:jc w:val="center"/>
        <w:rPr>
          <w:rFonts w:ascii="Times New Roman" w:hAnsi="Times New Roman"/>
        </w:rPr>
      </w:pPr>
      <w:bookmarkStart w:id="655" w:name="_Toc8836"/>
      <w:r>
        <w:rPr>
          <w:rFonts w:hint="eastAsia" w:ascii="Times New Roman" w:hAnsi="Times New Roman"/>
        </w:rPr>
        <w:t>三、</w:t>
      </w:r>
      <w:bookmarkStart w:id="656" w:name="_Toc300835214"/>
      <w:bookmarkStart w:id="657" w:name="_Toc152042581"/>
      <w:bookmarkStart w:id="658" w:name="_Toc369531702"/>
      <w:bookmarkStart w:id="659" w:name="_Toc352691666"/>
      <w:bookmarkStart w:id="660" w:name="_Toc144974861"/>
      <w:bookmarkStart w:id="661" w:name="_Toc247514284"/>
      <w:bookmarkStart w:id="662" w:name="_Toc247527832"/>
      <w:bookmarkStart w:id="663" w:name="_Toc13469"/>
      <w:bookmarkStart w:id="664" w:name="_Toc152045792"/>
      <w:bookmarkStart w:id="665" w:name="_Toc361508757"/>
      <w:bookmarkStart w:id="666" w:name="_Toc384308381"/>
      <w:r>
        <w:rPr>
          <w:rFonts w:hint="eastAsia" w:ascii="Times New Roman" w:hAnsi="Times New Roman"/>
        </w:rPr>
        <w:t>投标保证金</w:t>
      </w:r>
      <w:bookmarkEnd w:id="655"/>
    </w:p>
    <w:bookmarkEnd w:id="656"/>
    <w:bookmarkEnd w:id="657"/>
    <w:bookmarkEnd w:id="658"/>
    <w:bookmarkEnd w:id="659"/>
    <w:bookmarkEnd w:id="660"/>
    <w:bookmarkEnd w:id="661"/>
    <w:bookmarkEnd w:id="662"/>
    <w:bookmarkEnd w:id="663"/>
    <w:bookmarkEnd w:id="664"/>
    <w:bookmarkEnd w:id="665"/>
    <w:bookmarkEnd w:id="666"/>
    <w:p>
      <w:pPr>
        <w:spacing w:line="440" w:lineRule="exact"/>
        <w:jc w:val="center"/>
        <w:rPr>
          <w:rFonts w:ascii="Times New Roman" w:hAnsi="Times New Roman"/>
          <w:i/>
          <w:iCs/>
        </w:rPr>
      </w:pPr>
      <w:r>
        <w:rPr>
          <w:rFonts w:hint="eastAsia" w:ascii="宋体" w:hAnsi="宋体" w:cs="宋体"/>
          <w:b/>
          <w:snapToGrid w:val="0"/>
          <w:kern w:val="0"/>
          <w:sz w:val="30"/>
          <w:szCs w:val="30"/>
        </w:rPr>
        <w:t>投标人应在此提供投标保证金确认回执或投标保函复印件。</w:t>
      </w:r>
    </w:p>
    <w:p>
      <w:pPr>
        <w:widowControl/>
        <w:spacing w:line="440" w:lineRule="exact"/>
        <w:jc w:val="left"/>
        <w:rPr>
          <w:rFonts w:ascii="宋体"/>
        </w:rPr>
      </w:pPr>
      <w:r>
        <w:br w:type="page"/>
      </w:r>
    </w:p>
    <w:p>
      <w:pPr>
        <w:pStyle w:val="9"/>
        <w:spacing w:line="440" w:lineRule="exact"/>
        <w:jc w:val="center"/>
        <w:rPr>
          <w:rFonts w:ascii="Times New Roman" w:hAnsi="Times New Roman"/>
        </w:rPr>
      </w:pPr>
      <w:bookmarkStart w:id="667" w:name="_Toc27468"/>
      <w:r>
        <w:rPr>
          <w:rFonts w:hint="eastAsia" w:ascii="Times New Roman" w:hAnsi="Times New Roman"/>
        </w:rPr>
        <w:t>四</w:t>
      </w:r>
      <w:r>
        <w:rPr>
          <w:rFonts w:ascii="Times New Roman" w:hAnsi="Times New Roman"/>
        </w:rPr>
        <w:t>、</w:t>
      </w:r>
      <w:r>
        <w:rPr>
          <w:rFonts w:hint="eastAsia" w:ascii="Times New Roman" w:hAnsi="Times New Roman"/>
        </w:rPr>
        <w:t>报价明细表</w:t>
      </w:r>
      <w:bookmarkEnd w:id="667"/>
    </w:p>
    <w:p>
      <w:pPr>
        <w:spacing w:line="440" w:lineRule="exact"/>
        <w:ind w:firstLine="420" w:firstLineChars="200"/>
        <w:rPr>
          <w:rFonts w:ascii="Times New Roman" w:hAnsi="Times New Roman"/>
          <w:szCs w:val="21"/>
        </w:rPr>
      </w:pPr>
      <w:r>
        <w:br w:type="page"/>
      </w:r>
    </w:p>
    <w:p>
      <w:pPr>
        <w:pStyle w:val="9"/>
        <w:spacing w:after="0" w:line="440" w:lineRule="exact"/>
        <w:jc w:val="center"/>
        <w:rPr>
          <w:rFonts w:ascii="Times New Roman" w:hAnsi="Times New Roman"/>
        </w:rPr>
      </w:pPr>
      <w:bookmarkStart w:id="668" w:name="_Toc21495"/>
      <w:bookmarkStart w:id="669" w:name="_Toc361508760"/>
      <w:r>
        <w:rPr>
          <w:rFonts w:hint="eastAsia" w:ascii="Times New Roman" w:hAnsi="Times New Roman"/>
        </w:rPr>
        <w:t>五、资格审查资料</w:t>
      </w:r>
      <w:bookmarkEnd w:id="668"/>
    </w:p>
    <w:p>
      <w:pPr>
        <w:pStyle w:val="10"/>
        <w:spacing w:before="20" w:after="0" w:line="440" w:lineRule="exact"/>
        <w:ind w:firstLine="137"/>
        <w:rPr>
          <w:rFonts w:ascii="Times New Roman" w:hAnsi="Times New Roman"/>
        </w:rPr>
      </w:pPr>
      <w:r>
        <w:rPr>
          <w:rFonts w:hint="eastAsia" w:ascii="Times New Roman" w:hAnsi="Times New Roman"/>
        </w:rPr>
        <w:t>（一）基本情况表</w:t>
      </w:r>
    </w:p>
    <w:tbl>
      <w:tblPr>
        <w:tblStyle w:val="41"/>
        <w:tblW w:w="97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02"/>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w:t>
            </w:r>
            <w:r>
              <w:rPr>
                <w:rFonts w:ascii="Times New Roman" w:hAnsi="Times New Roman"/>
              </w:rPr>
              <w:t xml:space="preserve"> </w:t>
            </w:r>
            <w:r>
              <w:rPr>
                <w:rFonts w:hint="eastAsia" w:ascii="Times New Roman" w:hAnsi="Times New Roman"/>
              </w:rPr>
              <w:t>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传</w:t>
            </w:r>
            <w:r>
              <w:rPr>
                <w:rFonts w:ascii="Times New Roman" w:hAnsi="Times New Roman"/>
              </w:rPr>
              <w:t xml:space="preserve">  </w:t>
            </w:r>
            <w:r>
              <w:rPr>
                <w:rFonts w:hint="eastAsia" w:ascii="Times New Roman" w:hAnsi="Times New Roman"/>
              </w:rPr>
              <w:t>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网</w:t>
            </w:r>
            <w:r>
              <w:rPr>
                <w:rFonts w:ascii="Times New Roman" w:hAnsi="Times New Roman"/>
              </w:rPr>
              <w:t xml:space="preserve"> </w:t>
            </w:r>
            <w:r>
              <w:rPr>
                <w:rFonts w:hint="eastAsia" w:ascii="Times New Roman" w:hAnsi="Times New Roman"/>
              </w:rPr>
              <w:t>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r>
              <w:rPr>
                <w:rFonts w:hint="eastAsia" w:ascii="Times New Roman" w:hAnsi="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Times New Roman" w:hAnsi="Times New Roman"/>
              </w:rPr>
            </w:pPr>
            <w:r>
              <w:rPr>
                <w:rFonts w:hint="eastAsia" w:ascii="Times New Roman" w:hAnsi="Times New Roman"/>
              </w:rPr>
              <w:t>类型：</w:t>
            </w:r>
            <w:r>
              <w:rPr>
                <w:rFonts w:ascii="Times New Roman" w:hAnsi="Times New Roman"/>
              </w:rPr>
              <w:t xml:space="preserve">                    </w:t>
            </w:r>
            <w:r>
              <w:rPr>
                <w:rFonts w:hint="eastAsia" w:ascii="Times New Roman" w:hAnsi="Times New Roman"/>
              </w:rPr>
              <w:t>等级：</w:t>
            </w:r>
            <w:r>
              <w:rPr>
                <w:rFonts w:ascii="Times New Roman" w:hAnsi="Times New Roman"/>
              </w:rPr>
              <w:t xml:space="preserve">      </w:t>
            </w:r>
            <w:r>
              <w:rPr>
                <w:rFonts w:hint="eastAsia" w:ascii="Times New Roman" w:hAnsi="Times New Roman"/>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pPr>
              <w:spacing w:line="440" w:lineRule="exact"/>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Times New Roman" w:hAnsi="Times New Roman"/>
              </w:rPr>
            </w:pPr>
            <w:r>
              <w:rPr>
                <w:rFonts w:hint="eastAsia" w:ascii="Times New Roman" w:hAnsi="Times New Roman"/>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02"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90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imes New Roman" w:hAnsi="Times New Roman"/>
              </w:rPr>
            </w:pPr>
            <w:r>
              <w:rPr>
                <w:rFonts w:hint="eastAsia" w:ascii="Times New Roman" w:hAnsi="Times New Roman"/>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rPr>
            </w:pPr>
          </w:p>
        </w:tc>
      </w:tr>
    </w:tbl>
    <w:p>
      <w:pPr>
        <w:spacing w:line="440" w:lineRule="exact"/>
      </w:pPr>
      <w:r>
        <w:rPr>
          <w:rFonts w:ascii="Times New Roman" w:hAnsi="Times New Roman"/>
        </w:rPr>
        <w:t>注：</w:t>
      </w:r>
      <w:r>
        <w:rPr>
          <w:rFonts w:hint="eastAsia" w:ascii="Times New Roman" w:hAnsi="Times New Roman"/>
        </w:rPr>
        <w:t>表后应附：（1）企业简介；（2）营业执照副本（加盖公章）；（3）相关资质证书等扫描件（加盖公章）。其他具体证明文件以第一章招标公告附件1投标人资格要求、第三章评标办法前附表要求为准。</w:t>
      </w:r>
      <w:r>
        <w:br w:type="page"/>
      </w:r>
    </w:p>
    <w:p>
      <w:pPr>
        <w:pStyle w:val="10"/>
        <w:spacing w:line="440" w:lineRule="exact"/>
        <w:ind w:firstLine="137"/>
        <w:jc w:val="left"/>
        <w:rPr>
          <w:rFonts w:ascii="Times New Roman" w:hAnsi="Times New Roman"/>
        </w:rPr>
      </w:pPr>
      <w:r>
        <w:rPr>
          <w:rFonts w:hint="eastAsia" w:ascii="Times New Roman" w:hAnsi="Times New Roman"/>
        </w:rPr>
        <w:t>（二）近年类似项目汇总表</w:t>
      </w:r>
    </w:p>
    <w:p>
      <w:pPr>
        <w:snapToGrid w:val="0"/>
        <w:spacing w:line="440" w:lineRule="exact"/>
        <w:rPr>
          <w:rFonts w:ascii="Times New Roman" w:hAnsi="Times New Roman"/>
          <w:u w:val="single"/>
        </w:rPr>
      </w:pPr>
      <w:r>
        <w:rPr>
          <w:rFonts w:hint="eastAsia" w:ascii="Times New Roman" w:hAnsi="Times New Roman"/>
        </w:rPr>
        <w:t>投标人名称：</w:t>
      </w:r>
      <w:r>
        <w:rPr>
          <w:rFonts w:ascii="Times New Roman" w:hAnsi="Times New Roman"/>
          <w:u w:val="single"/>
        </w:rPr>
        <w:t xml:space="preserve">                   </w:t>
      </w:r>
    </w:p>
    <w:tbl>
      <w:tblPr>
        <w:tblStyle w:val="41"/>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554"/>
        <w:gridCol w:w="924"/>
        <w:gridCol w:w="924"/>
        <w:gridCol w:w="993"/>
        <w:gridCol w:w="992"/>
        <w:gridCol w:w="790"/>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szCs w:val="21"/>
              </w:rPr>
              <w:t>序号</w:t>
            </w: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szCs w:val="21"/>
              </w:rPr>
              <w:t>项目名称</w:t>
            </w: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rStyle w:val="98"/>
                <w:rFonts w:hint="eastAsia" w:cs="华文细黑" w:asciiTheme="minorEastAsia" w:hAnsiTheme="minorEastAsia" w:eastAsiaTheme="minorEastAsia"/>
                <w:szCs w:val="21"/>
              </w:rPr>
              <w:t>项目类型</w:t>
            </w: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szCs w:val="21"/>
              </w:rPr>
              <w:t>承担工作内容</w:t>
            </w: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rFonts w:hint="eastAsia"/>
                <w:szCs w:val="21"/>
              </w:rPr>
              <w:t>委托人名称</w:t>
            </w: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rFonts w:hint="eastAsia"/>
                <w:szCs w:val="21"/>
              </w:rPr>
              <w:t>合同签订日期</w:t>
            </w: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rFonts w:hint="eastAsia"/>
                <w:szCs w:val="21"/>
              </w:rPr>
              <w:t>验收日期</w:t>
            </w: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r>
              <w:rPr>
                <w:rFonts w:hint="eastAsia"/>
                <w:szCs w:val="21"/>
              </w:rPr>
              <w:t>合同</w:t>
            </w:r>
            <w:r>
              <w:rPr>
                <w:szCs w:val="21"/>
              </w:rPr>
              <w:t>价款</w:t>
            </w:r>
          </w:p>
          <w:p>
            <w:pPr>
              <w:pStyle w:val="106"/>
              <w:spacing w:line="440" w:lineRule="exact"/>
              <w:ind w:left="17"/>
              <w:rPr>
                <w:szCs w:val="21"/>
              </w:rPr>
            </w:pPr>
            <w:r>
              <w:rPr>
                <w:rFonts w:hint="eastAsia"/>
                <w:szCs w:val="21"/>
              </w:rPr>
              <w:t>（</w:t>
            </w:r>
            <w:r>
              <w:rPr>
                <w:szCs w:val="21"/>
              </w:rPr>
              <w:t>万元</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255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790"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c>
          <w:tcPr>
            <w:tcW w:w="1169" w:type="dxa"/>
            <w:tcBorders>
              <w:top w:val="single" w:color="auto" w:sz="4" w:space="0"/>
              <w:left w:val="single" w:color="auto" w:sz="4" w:space="0"/>
              <w:bottom w:val="single" w:color="auto" w:sz="4" w:space="0"/>
              <w:right w:val="single" w:color="auto" w:sz="4" w:space="0"/>
            </w:tcBorders>
            <w:vAlign w:val="center"/>
          </w:tcPr>
          <w:p>
            <w:pPr>
              <w:pStyle w:val="106"/>
              <w:spacing w:line="440" w:lineRule="exact"/>
              <w:ind w:left="17"/>
              <w:rPr>
                <w:szCs w:val="21"/>
              </w:rPr>
            </w:pPr>
          </w:p>
        </w:tc>
      </w:tr>
    </w:tbl>
    <w:p>
      <w:pPr>
        <w:spacing w:line="440" w:lineRule="exact"/>
        <w:rPr>
          <w:rFonts w:ascii="Times New Roman" w:hAnsi="Times New Roman"/>
        </w:rPr>
      </w:pPr>
      <w:r>
        <w:rPr>
          <w:rFonts w:ascii="Times New Roman" w:hAnsi="Times New Roman"/>
        </w:rPr>
        <w:t>注：</w:t>
      </w:r>
      <w:r>
        <w:rPr>
          <w:rFonts w:hint="eastAsia" w:ascii="Times New Roman" w:hAnsi="Times New Roman"/>
        </w:rPr>
        <w:t>拟投入业绩证明文件以第三章评标办法前附表要求为准</w:t>
      </w:r>
      <w:r>
        <w:rPr>
          <w:rFonts w:ascii="Times New Roman" w:hAnsi="Times New Roman"/>
        </w:rPr>
        <w:t>。</w:t>
      </w:r>
    </w:p>
    <w:p>
      <w:pPr>
        <w:topLinePunct/>
        <w:spacing w:line="440" w:lineRule="exact"/>
        <w:rPr>
          <w:rFonts w:ascii="Times New Roman" w:hAnsi="Times New Roman"/>
        </w:rPr>
      </w:pPr>
      <w:r>
        <w:rPr>
          <w:rFonts w:ascii="Times New Roman" w:hAnsi="Times New Roman"/>
        </w:rPr>
        <w:br w:type="page"/>
      </w:r>
    </w:p>
    <w:bookmarkEnd w:id="669"/>
    <w:p>
      <w:pPr>
        <w:pStyle w:val="10"/>
        <w:spacing w:line="440" w:lineRule="exact"/>
        <w:ind w:firstLine="0" w:firstLineChars="0"/>
        <w:rPr>
          <w:rFonts w:ascii="Times New Roman" w:hAnsi="Times New Roman"/>
        </w:rPr>
      </w:pPr>
      <w:bookmarkStart w:id="670" w:name="_Toc482188667"/>
      <w:r>
        <w:rPr>
          <w:rFonts w:hint="eastAsia" w:ascii="Times New Roman" w:hAnsi="Times New Roman"/>
        </w:rPr>
        <w:t>（三）拟委任的主要人员汇总表</w:t>
      </w:r>
      <w:bookmarkEnd w:id="670"/>
    </w:p>
    <w:tbl>
      <w:tblPr>
        <w:tblStyle w:val="41"/>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17"/>
        <w:gridCol w:w="734"/>
        <w:gridCol w:w="709"/>
        <w:gridCol w:w="640"/>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pPr>
              <w:spacing w:line="440" w:lineRule="exact"/>
              <w:jc w:val="center"/>
              <w:rPr>
                <w:rFonts w:ascii="Times New Roman" w:hAnsi="Times New Roman"/>
              </w:rPr>
            </w:pPr>
            <w:r>
              <w:rPr>
                <w:rFonts w:hint="eastAsia" w:ascii="Times New Roman" w:hAnsi="Times New Roman"/>
              </w:rPr>
              <w:t>序号</w:t>
            </w:r>
          </w:p>
        </w:tc>
        <w:tc>
          <w:tcPr>
            <w:tcW w:w="1817" w:type="dxa"/>
            <w:vMerge w:val="restart"/>
            <w:vAlign w:val="center"/>
          </w:tcPr>
          <w:p>
            <w:pPr>
              <w:spacing w:line="440" w:lineRule="exact"/>
              <w:jc w:val="center"/>
              <w:rPr>
                <w:rFonts w:ascii="Times New Roman" w:hAnsi="Times New Roman"/>
              </w:rPr>
            </w:pPr>
            <w:r>
              <w:rPr>
                <w:rFonts w:hint="eastAsia" w:ascii="Times New Roman" w:hAnsi="Times New Roman"/>
              </w:rPr>
              <w:t>本项目任职</w:t>
            </w:r>
          </w:p>
        </w:tc>
        <w:tc>
          <w:tcPr>
            <w:tcW w:w="734" w:type="dxa"/>
            <w:vMerge w:val="restart"/>
            <w:vAlign w:val="center"/>
          </w:tcPr>
          <w:p>
            <w:pPr>
              <w:spacing w:line="440" w:lineRule="exact"/>
              <w:jc w:val="center"/>
              <w:rPr>
                <w:rFonts w:ascii="Times New Roman" w:hAnsi="Times New Roman"/>
              </w:rPr>
            </w:pPr>
            <w:r>
              <w:rPr>
                <w:rFonts w:hint="eastAsia" w:ascii="Times New Roman" w:hAnsi="Times New Roman"/>
              </w:rPr>
              <w:t>姓名</w:t>
            </w:r>
          </w:p>
        </w:tc>
        <w:tc>
          <w:tcPr>
            <w:tcW w:w="709" w:type="dxa"/>
            <w:vMerge w:val="restart"/>
            <w:vAlign w:val="center"/>
          </w:tcPr>
          <w:p>
            <w:pPr>
              <w:spacing w:line="440" w:lineRule="exact"/>
              <w:jc w:val="center"/>
              <w:rPr>
                <w:rFonts w:ascii="Times New Roman" w:hAnsi="Times New Roman"/>
              </w:rPr>
            </w:pPr>
            <w:r>
              <w:rPr>
                <w:rFonts w:hint="eastAsia" w:ascii="Times New Roman" w:hAnsi="Times New Roman"/>
              </w:rPr>
              <w:t>职称</w:t>
            </w:r>
          </w:p>
        </w:tc>
        <w:tc>
          <w:tcPr>
            <w:tcW w:w="640" w:type="dxa"/>
            <w:vMerge w:val="restart"/>
            <w:vAlign w:val="center"/>
          </w:tcPr>
          <w:p>
            <w:pPr>
              <w:spacing w:line="440" w:lineRule="exact"/>
              <w:jc w:val="center"/>
              <w:rPr>
                <w:rFonts w:ascii="Times New Roman" w:hAnsi="Times New Roman"/>
              </w:rPr>
            </w:pPr>
            <w:r>
              <w:rPr>
                <w:rFonts w:hint="eastAsia" w:ascii="Times New Roman" w:hAnsi="Times New Roman"/>
              </w:rPr>
              <w:t>专业</w:t>
            </w:r>
          </w:p>
        </w:tc>
        <w:tc>
          <w:tcPr>
            <w:tcW w:w="2714" w:type="dxa"/>
            <w:gridSpan w:val="3"/>
            <w:vAlign w:val="center"/>
          </w:tcPr>
          <w:p>
            <w:pPr>
              <w:spacing w:line="440" w:lineRule="exact"/>
              <w:jc w:val="center"/>
              <w:rPr>
                <w:rFonts w:ascii="Times New Roman" w:hAnsi="Times New Roman"/>
              </w:rPr>
            </w:pPr>
            <w:r>
              <w:rPr>
                <w:rFonts w:hint="eastAsia" w:ascii="Times New Roman" w:hAnsi="Times New Roman"/>
              </w:rPr>
              <w:t>执业或职业资格证明</w:t>
            </w:r>
          </w:p>
        </w:tc>
        <w:tc>
          <w:tcPr>
            <w:tcW w:w="1134" w:type="dxa"/>
            <w:vAlign w:val="center"/>
          </w:tcPr>
          <w:p>
            <w:pPr>
              <w:spacing w:line="440" w:lineRule="exact"/>
              <w:jc w:val="cente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spacing w:line="440" w:lineRule="exact"/>
              <w:rPr>
                <w:rFonts w:ascii="Times New Roman" w:hAnsi="Times New Roman"/>
              </w:rPr>
            </w:pPr>
          </w:p>
        </w:tc>
        <w:tc>
          <w:tcPr>
            <w:tcW w:w="1817" w:type="dxa"/>
            <w:vMerge w:val="continue"/>
          </w:tcPr>
          <w:p>
            <w:pPr>
              <w:spacing w:line="440" w:lineRule="exact"/>
              <w:rPr>
                <w:rFonts w:ascii="Times New Roman" w:hAnsi="Times New Roman"/>
              </w:rPr>
            </w:pPr>
          </w:p>
        </w:tc>
        <w:tc>
          <w:tcPr>
            <w:tcW w:w="734" w:type="dxa"/>
            <w:vMerge w:val="continue"/>
            <w:vAlign w:val="center"/>
          </w:tcPr>
          <w:p>
            <w:pPr>
              <w:spacing w:line="440" w:lineRule="exact"/>
              <w:rPr>
                <w:rFonts w:ascii="Times New Roman" w:hAnsi="Times New Roman"/>
              </w:rPr>
            </w:pPr>
          </w:p>
        </w:tc>
        <w:tc>
          <w:tcPr>
            <w:tcW w:w="709" w:type="dxa"/>
            <w:vMerge w:val="continue"/>
            <w:vAlign w:val="center"/>
          </w:tcPr>
          <w:p>
            <w:pPr>
              <w:spacing w:line="440" w:lineRule="exact"/>
              <w:rPr>
                <w:rFonts w:ascii="Times New Roman" w:hAnsi="Times New Roman"/>
              </w:rPr>
            </w:pPr>
          </w:p>
        </w:tc>
        <w:tc>
          <w:tcPr>
            <w:tcW w:w="640" w:type="dxa"/>
            <w:vMerge w:val="continue"/>
            <w:vAlign w:val="center"/>
          </w:tcPr>
          <w:p>
            <w:pPr>
              <w:spacing w:line="440" w:lineRule="exact"/>
              <w:jc w:val="center"/>
              <w:rPr>
                <w:rFonts w:ascii="Times New Roman" w:hAnsi="Times New Roman"/>
              </w:rPr>
            </w:pPr>
          </w:p>
        </w:tc>
        <w:tc>
          <w:tcPr>
            <w:tcW w:w="1134"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证书名称</w:t>
            </w:r>
          </w:p>
        </w:tc>
        <w:tc>
          <w:tcPr>
            <w:tcW w:w="709"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级别</w:t>
            </w:r>
          </w:p>
        </w:tc>
        <w:tc>
          <w:tcPr>
            <w:tcW w:w="871"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证号</w:t>
            </w: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1</w:t>
            </w:r>
          </w:p>
        </w:tc>
        <w:tc>
          <w:tcPr>
            <w:tcW w:w="1817" w:type="dxa"/>
            <w:vAlign w:val="center"/>
          </w:tcPr>
          <w:p>
            <w:pPr>
              <w:spacing w:line="440" w:lineRule="exact"/>
              <w:jc w:val="center"/>
              <w:rPr>
                <w:rFonts w:ascii="Times New Roman" w:hAnsi="Times New Roman"/>
              </w:rPr>
            </w:pPr>
          </w:p>
        </w:tc>
        <w:tc>
          <w:tcPr>
            <w:tcW w:w="734" w:type="dxa"/>
            <w:vAlign w:val="center"/>
          </w:tcPr>
          <w:p>
            <w:pPr>
              <w:spacing w:line="440" w:lineRule="exact"/>
              <w:jc w:val="center"/>
              <w:rPr>
                <w:rFonts w:ascii="Times New Roman" w:hAnsi="Times New Roman"/>
              </w:rPr>
            </w:pPr>
          </w:p>
        </w:tc>
        <w:tc>
          <w:tcPr>
            <w:tcW w:w="709" w:type="dxa"/>
            <w:vAlign w:val="center"/>
          </w:tcPr>
          <w:p>
            <w:pPr>
              <w:spacing w:line="440" w:lineRule="exact"/>
              <w:jc w:val="center"/>
              <w:rPr>
                <w:rFonts w:ascii="Times New Roman" w:hAnsi="Times New Roman"/>
              </w:rPr>
            </w:pPr>
          </w:p>
        </w:tc>
        <w:tc>
          <w:tcPr>
            <w:tcW w:w="640"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c>
          <w:tcPr>
            <w:tcW w:w="709" w:type="dxa"/>
            <w:vAlign w:val="center"/>
          </w:tcPr>
          <w:p>
            <w:pPr>
              <w:spacing w:line="440" w:lineRule="exact"/>
              <w:jc w:val="center"/>
              <w:rPr>
                <w:rFonts w:ascii="Times New Roman" w:hAnsi="Times New Roman"/>
              </w:rPr>
            </w:pPr>
          </w:p>
        </w:tc>
        <w:tc>
          <w:tcPr>
            <w:tcW w:w="871"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2</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3</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4</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5</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6</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ascii="Times New Roman" w:hAnsi="Times New Roman"/>
              </w:rPr>
              <w:t>7</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8</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40" w:lineRule="exact"/>
              <w:jc w:val="center"/>
              <w:rPr>
                <w:rFonts w:ascii="Times New Roman" w:hAnsi="Times New Roman"/>
              </w:rPr>
            </w:pPr>
            <w:r>
              <w:rPr>
                <w:rFonts w:hint="eastAsia" w:ascii="Times New Roman" w:hAnsi="Times New Roman"/>
              </w:rPr>
              <w:t>9</w:t>
            </w:r>
          </w:p>
        </w:tc>
        <w:tc>
          <w:tcPr>
            <w:tcW w:w="1817" w:type="dxa"/>
            <w:vAlign w:val="center"/>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line="440" w:lineRule="exact"/>
              <w:jc w:val="center"/>
              <w:rPr>
                <w:rFonts w:ascii="Times New Roman" w:hAnsi="Times New Roman"/>
              </w:rPr>
            </w:pPr>
            <w:r>
              <w:rPr>
                <w:rFonts w:ascii="Times New Roman" w:hAnsi="Times New Roman"/>
              </w:rPr>
              <w:t>…</w:t>
            </w:r>
          </w:p>
        </w:tc>
        <w:tc>
          <w:tcPr>
            <w:tcW w:w="1817" w:type="dxa"/>
          </w:tcPr>
          <w:p>
            <w:pPr>
              <w:spacing w:line="440" w:lineRule="exact"/>
              <w:jc w:val="center"/>
              <w:rPr>
                <w:rFonts w:ascii="Times New Roman" w:hAnsi="Times New Roman"/>
              </w:rPr>
            </w:pPr>
            <w:r>
              <w:rPr>
                <w:rFonts w:ascii="Times New Roman" w:hAnsi="Times New Roman"/>
              </w:rPr>
              <w:t>…</w:t>
            </w: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line="440" w:lineRule="exact"/>
              <w:jc w:val="center"/>
              <w:rPr>
                <w:rFonts w:ascii="Times New Roman" w:hAnsi="Times New Roman"/>
              </w:rPr>
            </w:pPr>
          </w:p>
        </w:tc>
        <w:tc>
          <w:tcPr>
            <w:tcW w:w="1817" w:type="dxa"/>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spacing w:line="440" w:lineRule="exact"/>
              <w:jc w:val="center"/>
              <w:rPr>
                <w:rFonts w:ascii="Times New Roman" w:hAnsi="Times New Roman"/>
              </w:rPr>
            </w:pPr>
          </w:p>
        </w:tc>
        <w:tc>
          <w:tcPr>
            <w:tcW w:w="1817" w:type="dxa"/>
          </w:tcPr>
          <w:p>
            <w:pPr>
              <w:spacing w:line="440" w:lineRule="exact"/>
              <w:jc w:val="center"/>
              <w:rPr>
                <w:rFonts w:ascii="Times New Roman" w:hAnsi="Times New Roman"/>
              </w:rPr>
            </w:pPr>
          </w:p>
        </w:tc>
        <w:tc>
          <w:tcPr>
            <w:tcW w:w="7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640"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bl>
    <w:p>
      <w:pPr>
        <w:spacing w:line="440" w:lineRule="exact"/>
        <w:rPr>
          <w:rFonts w:ascii="Times New Roman" w:hAnsi="Times New Roman"/>
        </w:rPr>
      </w:pPr>
      <w:r>
        <w:rPr>
          <w:rFonts w:ascii="Times New Roman" w:hAnsi="Times New Roman"/>
        </w:rPr>
        <w:br w:type="page"/>
      </w:r>
      <w:bookmarkStart w:id="671" w:name="_Toc179632825"/>
      <w:bookmarkStart w:id="672" w:name="_Toc144974873"/>
      <w:bookmarkStart w:id="673" w:name="_Toc152045805"/>
      <w:bookmarkStart w:id="674" w:name="_Toc152042594"/>
    </w:p>
    <w:p>
      <w:pPr>
        <w:pStyle w:val="10"/>
        <w:spacing w:line="440" w:lineRule="exact"/>
        <w:ind w:firstLine="137"/>
        <w:rPr>
          <w:rFonts w:ascii="Times New Roman" w:hAnsi="Times New Roman"/>
        </w:rPr>
      </w:pPr>
      <w:bookmarkStart w:id="675" w:name="_Toc384308390"/>
      <w:bookmarkStart w:id="676" w:name="_Toc391394125"/>
      <w:bookmarkStart w:id="677" w:name="_Toc300835232"/>
      <w:bookmarkStart w:id="678" w:name="_Toc385943079"/>
      <w:bookmarkStart w:id="679" w:name="_Toc482188668"/>
      <w:bookmarkStart w:id="680" w:name="_Toc370676440"/>
      <w:bookmarkStart w:id="681" w:name="_Toc359594249"/>
      <w:r>
        <w:rPr>
          <w:rFonts w:hint="eastAsia" w:ascii="Times New Roman" w:hAnsi="Times New Roman"/>
        </w:rPr>
        <w:t>（四）主要人员简历表</w:t>
      </w:r>
      <w:bookmarkEnd w:id="671"/>
      <w:bookmarkEnd w:id="672"/>
      <w:bookmarkEnd w:id="673"/>
      <w:bookmarkEnd w:id="674"/>
      <w:bookmarkEnd w:id="675"/>
      <w:bookmarkEnd w:id="676"/>
      <w:bookmarkEnd w:id="677"/>
      <w:bookmarkEnd w:id="678"/>
      <w:bookmarkEnd w:id="679"/>
      <w:bookmarkEnd w:id="680"/>
      <w:bookmarkEnd w:id="681"/>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574"/>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rFonts w:ascii="Times New Roman" w:hAnsi="Times New Roman"/>
              </w:rPr>
            </w:pPr>
            <w:r>
              <w:rPr>
                <w:rFonts w:hint="eastAsia" w:ascii="Times New Roman" w:hAnsi="Times New Roman"/>
              </w:rPr>
              <w:t>姓</w:t>
            </w:r>
            <w:r>
              <w:rPr>
                <w:rFonts w:ascii="Times New Roman" w:hAnsi="Times New Roman"/>
              </w:rPr>
              <w:t xml:space="preserve">  </w:t>
            </w:r>
            <w:r>
              <w:rPr>
                <w:rFonts w:hint="eastAsia" w:ascii="Times New Roman" w:hAnsi="Times New Roman"/>
              </w:rPr>
              <w:t>名</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line="440" w:lineRule="exact"/>
              <w:jc w:val="center"/>
              <w:rPr>
                <w:rFonts w:ascii="Times New Roman" w:hAnsi="Times New Roman"/>
              </w:rPr>
            </w:pPr>
            <w:r>
              <w:rPr>
                <w:rFonts w:hint="eastAsia" w:ascii="Times New Roman" w:hAnsi="Times New Roman"/>
              </w:rPr>
              <w:t>年龄</w:t>
            </w:r>
          </w:p>
        </w:tc>
        <w:tc>
          <w:tcPr>
            <w:tcW w:w="1065" w:type="dxa"/>
            <w:vAlign w:val="center"/>
          </w:tcPr>
          <w:p>
            <w:pPr>
              <w:spacing w:line="440" w:lineRule="exact"/>
              <w:jc w:val="center"/>
              <w:rPr>
                <w:rFonts w:ascii="Times New Roman" w:hAnsi="Times New Roman"/>
              </w:rPr>
            </w:pPr>
          </w:p>
        </w:tc>
        <w:tc>
          <w:tcPr>
            <w:tcW w:w="2541" w:type="dxa"/>
            <w:gridSpan w:val="3"/>
            <w:vAlign w:val="center"/>
          </w:tcPr>
          <w:p>
            <w:pPr>
              <w:spacing w:line="440" w:lineRule="exact"/>
              <w:jc w:val="center"/>
              <w:rPr>
                <w:rFonts w:ascii="Times New Roman" w:hAnsi="Times New Roman"/>
              </w:rPr>
            </w:pPr>
            <w:r>
              <w:rPr>
                <w:rFonts w:hint="eastAsia" w:ascii="Times New Roman" w:hAnsi="Times New Roman"/>
              </w:rPr>
              <w:t>执业资格证书（或上岗证书）名称</w:t>
            </w:r>
          </w:p>
        </w:tc>
        <w:tc>
          <w:tcPr>
            <w:tcW w:w="1723"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rFonts w:ascii="Times New Roman" w:hAnsi="Times New Roman"/>
              </w:rPr>
            </w:pPr>
            <w:r>
              <w:rPr>
                <w:rFonts w:hint="eastAsia" w:ascii="Times New Roman" w:hAnsi="Times New Roman"/>
              </w:rPr>
              <w:t>职</w:t>
            </w:r>
            <w:r>
              <w:rPr>
                <w:rFonts w:ascii="Times New Roman" w:hAnsi="Times New Roman"/>
              </w:rPr>
              <w:t xml:space="preserve">  </w:t>
            </w:r>
            <w:r>
              <w:rPr>
                <w:rFonts w:hint="eastAsia" w:ascii="Times New Roman" w:hAnsi="Times New Roman"/>
              </w:rPr>
              <w:t>称</w:t>
            </w:r>
          </w:p>
        </w:tc>
        <w:tc>
          <w:tcPr>
            <w:tcW w:w="1048" w:type="dxa"/>
            <w:gridSpan w:val="2"/>
            <w:vAlign w:val="center"/>
          </w:tcPr>
          <w:p>
            <w:pPr>
              <w:spacing w:line="440" w:lineRule="exact"/>
              <w:jc w:val="center"/>
              <w:rPr>
                <w:rFonts w:ascii="Times New Roman" w:hAnsi="Times New Roman"/>
              </w:rPr>
            </w:pPr>
          </w:p>
        </w:tc>
        <w:tc>
          <w:tcPr>
            <w:tcW w:w="958"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学历</w:t>
            </w:r>
          </w:p>
        </w:tc>
        <w:tc>
          <w:tcPr>
            <w:tcW w:w="1065" w:type="dxa"/>
            <w:vAlign w:val="center"/>
          </w:tcPr>
          <w:p>
            <w:pPr>
              <w:spacing w:line="440" w:lineRule="exact"/>
              <w:jc w:val="center"/>
              <w:rPr>
                <w:rFonts w:ascii="Times New Roman" w:hAnsi="Times New Roman"/>
              </w:rPr>
            </w:pPr>
          </w:p>
        </w:tc>
        <w:tc>
          <w:tcPr>
            <w:tcW w:w="2541" w:type="dxa"/>
            <w:gridSpan w:val="3"/>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拟在本项目任职</w:t>
            </w:r>
          </w:p>
        </w:tc>
        <w:tc>
          <w:tcPr>
            <w:tcW w:w="1723"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工作年限</w:t>
            </w:r>
          </w:p>
        </w:tc>
        <w:tc>
          <w:tcPr>
            <w:tcW w:w="3071" w:type="dxa"/>
            <w:gridSpan w:val="4"/>
            <w:vAlign w:val="center"/>
          </w:tcPr>
          <w:p>
            <w:pPr>
              <w:spacing w:line="440" w:lineRule="exact"/>
              <w:jc w:val="center"/>
              <w:rPr>
                <w:rFonts w:ascii="Times New Roman" w:hAnsi="Times New Roman"/>
              </w:rPr>
            </w:pPr>
          </w:p>
        </w:tc>
        <w:tc>
          <w:tcPr>
            <w:tcW w:w="2541" w:type="dxa"/>
            <w:gridSpan w:val="3"/>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从事工作年限</w:t>
            </w:r>
          </w:p>
        </w:tc>
        <w:tc>
          <w:tcPr>
            <w:tcW w:w="1723"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毕业学校</w:t>
            </w:r>
          </w:p>
        </w:tc>
        <w:tc>
          <w:tcPr>
            <w:tcW w:w="7335" w:type="dxa"/>
            <w:gridSpan w:val="8"/>
            <w:vAlign w:val="center"/>
          </w:tcPr>
          <w:p>
            <w:pPr>
              <w:spacing w:before="100" w:beforeAutospacing="1" w:after="100" w:afterAutospacing="1" w:line="440" w:lineRule="exact"/>
              <w:ind w:firstLine="1155" w:firstLineChars="550"/>
              <w:rPr>
                <w:rFonts w:ascii="Times New Roman" w:hAnsi="Times New Roman"/>
              </w:rPr>
            </w:pPr>
            <w:r>
              <w:rPr>
                <w:rFonts w:hint="eastAsia" w:ascii="Times New Roman" w:hAnsi="Times New Roman"/>
              </w:rPr>
              <w:t>年毕业于</w:t>
            </w:r>
            <w:r>
              <w:rPr>
                <w:rFonts w:ascii="Times New Roman" w:hAnsi="Times New Roman"/>
              </w:rPr>
              <w:t xml:space="preserve">            </w:t>
            </w:r>
            <w:r>
              <w:rPr>
                <w:rFonts w:hint="eastAsia" w:ascii="Times New Roman" w:hAnsi="Times New Roman"/>
              </w:rPr>
              <w:t>学校</w:t>
            </w:r>
            <w:r>
              <w:rPr>
                <w:rFonts w:ascii="Times New Roman" w:hAnsi="Times New Roman"/>
              </w:rPr>
              <w:t xml:space="preserve">        </w:t>
            </w:r>
            <w:r>
              <w:rPr>
                <w:rFonts w:hint="eastAsia" w:ascii="Times New Roman" w:hAnsi="Times New Roma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rFonts w:ascii="Times New Roman" w:hAnsi="Times New Roman"/>
              </w:rPr>
            </w:pPr>
            <w:r>
              <w:rPr>
                <w:rFonts w:hint="eastAsia" w:ascii="Times New Roman" w:hAnsi="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时</w:t>
            </w:r>
            <w:r>
              <w:rPr>
                <w:rFonts w:ascii="Times New Roman" w:hAnsi="Times New Roman"/>
              </w:rPr>
              <w:t xml:space="preserve">  </w:t>
            </w:r>
            <w:r>
              <w:rPr>
                <w:rFonts w:hint="eastAsia" w:ascii="Times New Roman" w:hAnsi="Times New Roman"/>
              </w:rPr>
              <w:t>间</w:t>
            </w:r>
          </w:p>
        </w:tc>
        <w:tc>
          <w:tcPr>
            <w:tcW w:w="3420" w:type="dxa"/>
            <w:gridSpan w:val="4"/>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参加过的类似项目</w:t>
            </w:r>
          </w:p>
        </w:tc>
        <w:tc>
          <w:tcPr>
            <w:tcW w:w="1261" w:type="dxa"/>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担任职务</w:t>
            </w:r>
          </w:p>
        </w:tc>
        <w:tc>
          <w:tcPr>
            <w:tcW w:w="2297" w:type="dxa"/>
            <w:gridSpan w:val="2"/>
            <w:vAlign w:val="center"/>
          </w:tcPr>
          <w:p>
            <w:pPr>
              <w:spacing w:before="100" w:beforeAutospacing="1" w:after="100" w:afterAutospacing="1" w:line="440" w:lineRule="exact"/>
              <w:jc w:val="center"/>
              <w:rPr>
                <w:rFonts w:ascii="Times New Roman" w:hAnsi="Times New Roman"/>
              </w:rPr>
            </w:pPr>
            <w:r>
              <w:rPr>
                <w:rFonts w:hint="eastAsia" w:ascii="Times New Roman" w:hAnsi="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Times New Roman" w:hAnsi="Times New Roman"/>
              </w:rPr>
            </w:pPr>
          </w:p>
        </w:tc>
        <w:tc>
          <w:tcPr>
            <w:tcW w:w="3420" w:type="dxa"/>
            <w:gridSpan w:val="4"/>
          </w:tcPr>
          <w:p>
            <w:pPr>
              <w:spacing w:line="440" w:lineRule="exact"/>
              <w:rPr>
                <w:rFonts w:ascii="Times New Roman" w:hAnsi="Times New Roman"/>
              </w:rPr>
            </w:pPr>
          </w:p>
        </w:tc>
        <w:tc>
          <w:tcPr>
            <w:tcW w:w="1261" w:type="dxa"/>
          </w:tcPr>
          <w:p>
            <w:pPr>
              <w:spacing w:line="440" w:lineRule="exact"/>
              <w:rPr>
                <w:rFonts w:ascii="Times New Roman" w:hAnsi="Times New Roman"/>
              </w:rPr>
            </w:pPr>
          </w:p>
        </w:tc>
        <w:tc>
          <w:tcPr>
            <w:tcW w:w="2297" w:type="dxa"/>
            <w:gridSpan w:val="2"/>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Times New Roman" w:hAnsi="Times New Roman"/>
              </w:rPr>
            </w:pPr>
          </w:p>
        </w:tc>
        <w:tc>
          <w:tcPr>
            <w:tcW w:w="3420" w:type="dxa"/>
            <w:gridSpan w:val="4"/>
            <w:vAlign w:val="center"/>
          </w:tcPr>
          <w:p>
            <w:pPr>
              <w:spacing w:line="440" w:lineRule="exact"/>
              <w:rPr>
                <w:rFonts w:ascii="Times New Roman" w:hAnsi="Times New Roman"/>
              </w:rPr>
            </w:pPr>
          </w:p>
        </w:tc>
        <w:tc>
          <w:tcPr>
            <w:tcW w:w="1261" w:type="dxa"/>
            <w:vAlign w:val="center"/>
          </w:tcPr>
          <w:p>
            <w:pPr>
              <w:spacing w:line="440" w:lineRule="exact"/>
              <w:rPr>
                <w:rFonts w:ascii="Times New Roman" w:hAnsi="Times New Roman"/>
              </w:rPr>
            </w:pPr>
          </w:p>
        </w:tc>
        <w:tc>
          <w:tcPr>
            <w:tcW w:w="2297" w:type="dxa"/>
            <w:gridSpan w:val="2"/>
            <w:vAlign w:val="center"/>
          </w:tcPr>
          <w:p>
            <w:pPr>
              <w:spacing w:line="440" w:lineRule="exact"/>
              <w:rPr>
                <w:rFonts w:ascii="Times New Roman" w:hAnsi="Times New Roman"/>
              </w:rPr>
            </w:pPr>
          </w:p>
        </w:tc>
      </w:tr>
    </w:tbl>
    <w:p>
      <w:pPr>
        <w:spacing w:line="440" w:lineRule="exact"/>
        <w:rPr>
          <w:rFonts w:ascii="Times New Roman" w:hAnsi="Times New Roman"/>
        </w:rPr>
      </w:pPr>
      <w:r>
        <w:rPr>
          <w:rFonts w:ascii="Times New Roman" w:hAnsi="Times New Roman"/>
        </w:rPr>
        <w:t>注：</w:t>
      </w:r>
      <w:r>
        <w:rPr>
          <w:rFonts w:hint="eastAsia" w:ascii="Times New Roman" w:hAnsi="Times New Roman"/>
        </w:rPr>
        <w:t>1.主要人员指项目负责人、专业负责人；</w:t>
      </w:r>
    </w:p>
    <w:p>
      <w:pPr>
        <w:spacing w:line="440" w:lineRule="exact"/>
        <w:rPr>
          <w:rFonts w:ascii="Times New Roman" w:hAnsi="Times New Roman"/>
        </w:rPr>
      </w:pPr>
      <w:r>
        <w:rPr>
          <w:rFonts w:hint="eastAsia" w:ascii="Times New Roman" w:hAnsi="Times New Roman"/>
        </w:rPr>
        <w:t>2.表后须附身份证、毕业证、学位证（如有）、职称证（如有）、执业资格证（如有）、招标公告发布之日前近三个月</w:t>
      </w:r>
      <w:r>
        <w:rPr>
          <w:rFonts w:hint="eastAsia" w:asciiTheme="minorEastAsia" w:hAnsiTheme="minorEastAsia" w:eastAsiaTheme="minorEastAsia"/>
          <w:szCs w:val="21"/>
        </w:rPr>
        <w:t>有效的社保证明材料，社保证明需能反映参保人在该投标单位缴纳及相关证书证明材料</w:t>
      </w:r>
      <w:r>
        <w:rPr>
          <w:rFonts w:hint="eastAsia" w:ascii="Times New Roman" w:hAnsi="Times New Roman"/>
        </w:rPr>
        <w:t>；</w:t>
      </w:r>
    </w:p>
    <w:p>
      <w:pPr>
        <w:spacing w:line="440" w:lineRule="exact"/>
        <w:rPr>
          <w:rFonts w:ascii="Times New Roman" w:hAnsi="Times New Roman"/>
        </w:rPr>
      </w:pPr>
      <w:r>
        <w:rPr>
          <w:rFonts w:ascii="Times New Roman" w:hAnsi="Times New Roman"/>
        </w:rPr>
        <w:t>3</w:t>
      </w:r>
      <w:r>
        <w:rPr>
          <w:rFonts w:hint="eastAsia" w:ascii="Times New Roman" w:hAnsi="Times New Roman"/>
        </w:rPr>
        <w:t>.拟投入人员其他证明文件以第一章招标公告附件1投标人资格要求、第三章评标办法前附表要求为准。</w:t>
      </w:r>
    </w:p>
    <w:p>
      <w:pPr>
        <w:spacing w:line="440" w:lineRule="exact"/>
        <w:rPr>
          <w:rFonts w:ascii="Times New Roman" w:hAnsi="Times New Roman"/>
        </w:rPr>
      </w:pPr>
      <w:r>
        <w:rPr>
          <w:rFonts w:ascii="Times New Roman" w:hAnsi="Times New Roman"/>
        </w:rPr>
        <w:br w:type="page"/>
      </w:r>
      <w:bookmarkStart w:id="682" w:name="_Toc300835229"/>
      <w:bookmarkStart w:id="683" w:name="_Toc352703741"/>
    </w:p>
    <w:bookmarkEnd w:id="682"/>
    <w:bookmarkEnd w:id="683"/>
    <w:p>
      <w:pPr>
        <w:pStyle w:val="10"/>
        <w:spacing w:line="440" w:lineRule="exact"/>
        <w:ind w:firstLine="137"/>
        <w:jc w:val="center"/>
        <w:rPr>
          <w:rFonts w:hint="default" w:ascii="Times New Roman" w:hAnsi="Times New Roman" w:eastAsia="黑体"/>
          <w:lang w:val="en-US" w:eastAsia="zh-CN"/>
        </w:rPr>
      </w:pPr>
      <w:bookmarkStart w:id="684" w:name="_Toc32156"/>
      <w:r>
        <w:rPr>
          <w:rFonts w:hint="eastAsia" w:ascii="Times New Roman" w:hAnsi="Times New Roman"/>
        </w:rPr>
        <w:t>（</w:t>
      </w:r>
      <w:r>
        <w:rPr>
          <w:rFonts w:hint="eastAsia" w:ascii="Times New Roman" w:hAnsi="Times New Roman"/>
          <w:lang w:val="en-US" w:eastAsia="zh-CN"/>
        </w:rPr>
        <w:t>五</w:t>
      </w:r>
      <w:r>
        <w:rPr>
          <w:rFonts w:hint="eastAsia" w:ascii="Times New Roman" w:hAnsi="Times New Roman"/>
        </w:rPr>
        <w:t>）</w:t>
      </w:r>
      <w:r>
        <w:rPr>
          <w:rFonts w:hint="eastAsia" w:ascii="Times New Roman" w:hAnsi="Times New Roman"/>
          <w:lang w:val="en-US" w:eastAsia="zh-CN"/>
        </w:rPr>
        <w:t>承诺函</w:t>
      </w:r>
    </w:p>
    <w:p>
      <w:pPr>
        <w:numPr>
          <w:ilvl w:val="255"/>
          <w:numId w:val="0"/>
        </w:numPr>
        <w:shd w:val="clear"/>
        <w:spacing w:line="360" w:lineRule="auto"/>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致潮州市亚太港口有限公司：</w:t>
      </w:r>
    </w:p>
    <w:p>
      <w:pPr>
        <w:numPr>
          <w:ilvl w:val="255"/>
          <w:numId w:val="0"/>
        </w:numPr>
        <w:shd w:val="clear"/>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lang w:eastAsia="zh-CN"/>
        </w:rPr>
        <w:t>在参加</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lang w:eastAsia="zh-CN"/>
        </w:rPr>
        <w:t>的招标采购活动中，作出以下承诺:</w:t>
      </w:r>
    </w:p>
    <w:p>
      <w:pPr>
        <w:numPr>
          <w:ilvl w:val="0"/>
          <w:numId w:val="8"/>
        </w:numPr>
        <w:shd w:val="clear"/>
        <w:spacing w:line="360" w:lineRule="auto"/>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我单位具备完成本项目生产业务管理系统建设的能力</w:t>
      </w:r>
      <w:r>
        <w:rPr>
          <w:rFonts w:hint="eastAsia" w:cs="宋体"/>
          <w:color w:val="auto"/>
          <w:sz w:val="28"/>
          <w:szCs w:val="28"/>
          <w:highlight w:val="none"/>
          <w:lang w:val="en-US" w:eastAsia="zh-CN"/>
        </w:rPr>
        <w:t>；</w:t>
      </w:r>
    </w:p>
    <w:p>
      <w:pPr>
        <w:numPr>
          <w:ilvl w:val="0"/>
          <w:numId w:val="8"/>
        </w:numPr>
        <w:shd w:val="clear"/>
        <w:spacing w:line="360" w:lineRule="auto"/>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我单位没有处于财产被接管、冻结、破产的状态；</w:t>
      </w:r>
    </w:p>
    <w:p>
      <w:pPr>
        <w:numPr>
          <w:ilvl w:val="0"/>
          <w:numId w:val="8"/>
        </w:numPr>
        <w:shd w:val="clear"/>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我单位没有处于被责令停业；</w:t>
      </w:r>
    </w:p>
    <w:p>
      <w:pPr>
        <w:numPr>
          <w:ilvl w:val="0"/>
          <w:numId w:val="8"/>
        </w:numPr>
        <w:shd w:val="clear"/>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我单位没有处于被建设行政主管部门暂停或取消投标资格的处罚期内；</w:t>
      </w:r>
    </w:p>
    <w:p>
      <w:pPr>
        <w:numPr>
          <w:ilvl w:val="0"/>
          <w:numId w:val="8"/>
        </w:numPr>
        <w:shd w:val="clear"/>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我单位未与单位负责人为同一人或者存在控股、管理关系的不同投标人同时参加本次招标项目投标。</w:t>
      </w:r>
    </w:p>
    <w:p>
      <w:pPr>
        <w:numPr>
          <w:ilvl w:val="0"/>
          <w:numId w:val="8"/>
        </w:numPr>
        <w:shd w:val="clear"/>
        <w:spacing w:line="360" w:lineRule="auto"/>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其他：</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w:t>
      </w:r>
    </w:p>
    <w:p>
      <w:pPr>
        <w:numPr>
          <w:ilvl w:val="255"/>
          <w:numId w:val="0"/>
        </w:numPr>
        <w:tabs>
          <w:tab w:val="left" w:pos="312"/>
        </w:tabs>
        <w:wordWrap w:val="0"/>
        <w:jc w:val="righ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投标人（盖章）：        </w:t>
      </w:r>
    </w:p>
    <w:p>
      <w:pPr>
        <w:jc w:val="right"/>
        <w:rPr>
          <w:rFonts w:hint="eastAsia" w:ascii="Times New Roman" w:hAnsi="Times New Roman"/>
        </w:rPr>
      </w:pPr>
      <w:r>
        <w:rPr>
          <w:rFonts w:hint="eastAsia" w:ascii="宋体" w:hAnsi="宋体" w:eastAsia="宋体" w:cs="宋体"/>
          <w:color w:val="auto"/>
          <w:sz w:val="28"/>
          <w:szCs w:val="28"/>
          <w:highlight w:val="none"/>
          <w:lang w:eastAsia="zh-CN"/>
        </w:rPr>
        <w:t>日期：    年   月   日</w:t>
      </w:r>
      <w:r>
        <w:rPr>
          <w:rFonts w:hint="eastAsia" w:ascii="Times New Roman" w:hAnsi="Times New Roman"/>
        </w:rPr>
        <w:br w:type="page"/>
      </w:r>
    </w:p>
    <w:p>
      <w:pPr>
        <w:pStyle w:val="9"/>
        <w:tabs>
          <w:tab w:val="left" w:pos="0"/>
        </w:tabs>
        <w:jc w:val="center"/>
        <w:rPr>
          <w:rFonts w:ascii="Times New Roman" w:hAnsi="Times New Roman"/>
        </w:rPr>
      </w:pPr>
      <w:r>
        <w:rPr>
          <w:rFonts w:hint="eastAsia" w:ascii="Times New Roman" w:hAnsi="Times New Roman"/>
        </w:rPr>
        <w:t>六、商务和技术偏差表</w:t>
      </w:r>
      <w:bookmarkEnd w:id="684"/>
    </w:p>
    <w:p>
      <w:pPr>
        <w:topLinePunct/>
        <w:snapToGrid w:val="0"/>
        <w:spacing w:after="160" w:line="360" w:lineRule="auto"/>
        <w:ind w:right="53"/>
        <w:jc w:val="center"/>
        <w:rPr>
          <w:rFonts w:ascii="Times New Roman" w:hAnsi="Times New Roman" w:eastAsia="黑体" w:cs="宋体"/>
          <w:kern w:val="0"/>
          <w:sz w:val="28"/>
          <w:szCs w:val="20"/>
        </w:rPr>
      </w:pPr>
      <w:r>
        <w:rPr>
          <w:rFonts w:hint="eastAsia" w:ascii="Times New Roman" w:hAnsi="Times New Roman" w:eastAsia="黑体" w:cs="宋体"/>
          <w:kern w:val="0"/>
          <w:sz w:val="28"/>
          <w:szCs w:val="20"/>
        </w:rPr>
        <w:t>6-1商务条款响应/偏离表</w:t>
      </w:r>
    </w:p>
    <w:p>
      <w:pPr>
        <w:widowControl/>
        <w:tabs>
          <w:tab w:val="left" w:pos="7380"/>
        </w:tabs>
        <w:spacing w:after="160" w:line="278" w:lineRule="auto"/>
        <w:ind w:right="53" w:firstLine="240"/>
        <w:jc w:val="left"/>
        <w:rPr>
          <w:rFonts w:ascii="宋体" w:hAnsi="宋体" w:cs="宋体"/>
          <w:kern w:val="0"/>
          <w:szCs w:val="21"/>
          <w:u w:val="single"/>
        </w:rPr>
      </w:pPr>
    </w:p>
    <w:tbl>
      <w:tblPr>
        <w:tblStyle w:val="41"/>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3118"/>
        <w:gridCol w:w="1754"/>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hint="eastAsia" w:ascii="宋体" w:hAnsi="宋体" w:cs="宋体"/>
                <w:kern w:val="0"/>
                <w:sz w:val="22"/>
                <w:lang w:eastAsia="en-US"/>
              </w:rPr>
              <w:t>序号</w:t>
            </w:r>
          </w:p>
        </w:tc>
        <w:tc>
          <w:tcPr>
            <w:tcW w:w="1843"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hint="eastAsia" w:ascii="宋体" w:hAnsi="宋体" w:cs="宋体"/>
                <w:kern w:val="0"/>
                <w:sz w:val="22"/>
                <w:lang w:eastAsia="en-US"/>
              </w:rPr>
              <w:t>条款号</w:t>
            </w:r>
          </w:p>
        </w:tc>
        <w:tc>
          <w:tcPr>
            <w:tcW w:w="3118"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hint="eastAsia" w:ascii="宋体" w:hAnsi="宋体" w:cs="宋体"/>
                <w:kern w:val="0"/>
                <w:sz w:val="22"/>
                <w:lang w:eastAsia="en-US"/>
              </w:rPr>
              <w:t>条款名称</w:t>
            </w:r>
          </w:p>
        </w:tc>
        <w:tc>
          <w:tcPr>
            <w:tcW w:w="1754"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hint="eastAsia" w:ascii="宋体" w:hAnsi="宋体" w:cs="宋体"/>
                <w:kern w:val="0"/>
                <w:sz w:val="22"/>
                <w:lang w:eastAsia="en-US"/>
              </w:rPr>
              <w:t>是否完全响应</w:t>
            </w:r>
          </w:p>
        </w:tc>
        <w:tc>
          <w:tcPr>
            <w:tcW w:w="1931"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hint="eastAsia" w:ascii="宋体" w:hAnsi="宋体" w:cs="宋体"/>
                <w:kern w:val="0"/>
                <w:sz w:val="22"/>
                <w:lang w:eastAsia="en-US"/>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widowControl/>
              <w:tabs>
                <w:tab w:val="left" w:pos="7380"/>
              </w:tabs>
              <w:spacing w:after="160" w:line="278" w:lineRule="auto"/>
              <w:ind w:right="53"/>
              <w:jc w:val="center"/>
              <w:rPr>
                <w:rFonts w:ascii="宋体" w:hAnsi="宋体" w:cs="宋体"/>
                <w:kern w:val="0"/>
                <w:sz w:val="22"/>
                <w:lang w:eastAsia="en-US"/>
              </w:rPr>
            </w:pPr>
            <w:r>
              <w:rPr>
                <w:rFonts w:hint="eastAsia" w:ascii="宋体" w:hAnsi="宋体" w:cs="宋体"/>
                <w:kern w:val="0"/>
                <w:sz w:val="22"/>
                <w:szCs w:val="21"/>
                <w:lang w:eastAsia="en-US"/>
              </w:rPr>
              <w:t>1</w:t>
            </w:r>
          </w:p>
        </w:tc>
        <w:tc>
          <w:tcPr>
            <w:tcW w:w="1843" w:type="dxa"/>
            <w:vAlign w:val="center"/>
          </w:tcPr>
          <w:p>
            <w:pPr>
              <w:widowControl/>
              <w:tabs>
                <w:tab w:val="left" w:pos="7380"/>
              </w:tabs>
              <w:spacing w:after="160" w:line="278" w:lineRule="auto"/>
              <w:ind w:right="53"/>
              <w:jc w:val="center"/>
              <w:rPr>
                <w:rFonts w:ascii="宋体" w:hAnsi="宋体" w:cs="宋体"/>
                <w:kern w:val="0"/>
                <w:sz w:val="22"/>
                <w:lang w:eastAsia="en-US"/>
              </w:rPr>
            </w:pPr>
          </w:p>
        </w:tc>
        <w:tc>
          <w:tcPr>
            <w:tcW w:w="3118" w:type="dxa"/>
            <w:vAlign w:val="center"/>
          </w:tcPr>
          <w:p>
            <w:pPr>
              <w:widowControl/>
              <w:tabs>
                <w:tab w:val="left" w:pos="7380"/>
              </w:tabs>
              <w:spacing w:after="160" w:line="278" w:lineRule="auto"/>
              <w:ind w:right="53"/>
              <w:jc w:val="left"/>
              <w:rPr>
                <w:rFonts w:ascii="宋体" w:hAnsi="宋体" w:cs="宋体"/>
                <w:bCs/>
                <w:kern w:val="0"/>
                <w:sz w:val="22"/>
                <w:szCs w:val="21"/>
                <w:lang w:eastAsia="en-US" w:bidi="ar"/>
              </w:rPr>
            </w:pPr>
          </w:p>
        </w:tc>
        <w:tc>
          <w:tcPr>
            <w:tcW w:w="1754" w:type="dxa"/>
            <w:vAlign w:val="center"/>
          </w:tcPr>
          <w:p>
            <w:pPr>
              <w:widowControl/>
              <w:tabs>
                <w:tab w:val="left" w:pos="7380"/>
              </w:tabs>
              <w:spacing w:after="160" w:line="278" w:lineRule="auto"/>
              <w:ind w:right="53"/>
              <w:jc w:val="center"/>
              <w:rPr>
                <w:rFonts w:ascii="宋体" w:hAnsi="宋体" w:cs="宋体"/>
                <w:kern w:val="0"/>
                <w:sz w:val="22"/>
                <w:lang w:eastAsia="en-US"/>
              </w:rPr>
            </w:pPr>
          </w:p>
        </w:tc>
        <w:tc>
          <w:tcPr>
            <w:tcW w:w="1931" w:type="dxa"/>
            <w:vAlign w:val="center"/>
          </w:tcPr>
          <w:p>
            <w:pPr>
              <w:widowControl/>
              <w:tabs>
                <w:tab w:val="left" w:pos="7380"/>
              </w:tabs>
              <w:spacing w:after="160" w:line="278" w:lineRule="auto"/>
              <w:ind w:right="53"/>
              <w:jc w:val="center"/>
              <w:rPr>
                <w:rFonts w:ascii="宋体" w:hAnsi="宋体" w:cs="宋体"/>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widowControl/>
              <w:tabs>
                <w:tab w:val="left" w:pos="7380"/>
              </w:tabs>
              <w:spacing w:after="160" w:line="278" w:lineRule="auto"/>
              <w:ind w:right="53"/>
              <w:jc w:val="center"/>
              <w:rPr>
                <w:rFonts w:ascii="宋体" w:hAnsi="宋体" w:cs="宋体"/>
                <w:kern w:val="0"/>
                <w:sz w:val="22"/>
                <w:lang w:eastAsia="en-US"/>
              </w:rPr>
            </w:pPr>
            <w:r>
              <w:rPr>
                <w:rFonts w:hint="eastAsia" w:ascii="宋体" w:hAnsi="宋体" w:cs="宋体"/>
                <w:kern w:val="0"/>
                <w:sz w:val="22"/>
                <w:szCs w:val="21"/>
                <w:lang w:eastAsia="en-US"/>
              </w:rPr>
              <w:t>2</w:t>
            </w:r>
          </w:p>
        </w:tc>
        <w:tc>
          <w:tcPr>
            <w:tcW w:w="1843" w:type="dxa"/>
            <w:vAlign w:val="center"/>
          </w:tcPr>
          <w:p>
            <w:pPr>
              <w:widowControl/>
              <w:tabs>
                <w:tab w:val="left" w:pos="7380"/>
              </w:tabs>
              <w:spacing w:after="160" w:line="278" w:lineRule="auto"/>
              <w:ind w:right="53"/>
              <w:jc w:val="center"/>
              <w:rPr>
                <w:rFonts w:ascii="宋体" w:hAnsi="宋体" w:cs="宋体"/>
                <w:kern w:val="0"/>
                <w:sz w:val="22"/>
                <w:lang w:eastAsia="en-US"/>
              </w:rPr>
            </w:pPr>
          </w:p>
        </w:tc>
        <w:tc>
          <w:tcPr>
            <w:tcW w:w="3118" w:type="dxa"/>
            <w:vAlign w:val="center"/>
          </w:tcPr>
          <w:p>
            <w:pPr>
              <w:widowControl/>
              <w:tabs>
                <w:tab w:val="left" w:pos="7380"/>
              </w:tabs>
              <w:spacing w:after="160" w:line="278" w:lineRule="auto"/>
              <w:ind w:right="53"/>
              <w:jc w:val="left"/>
              <w:rPr>
                <w:rFonts w:ascii="宋体" w:hAnsi="宋体" w:cs="宋体"/>
                <w:bCs/>
                <w:kern w:val="0"/>
                <w:sz w:val="22"/>
                <w:szCs w:val="21"/>
                <w:lang w:eastAsia="en-US" w:bidi="ar"/>
              </w:rPr>
            </w:pPr>
          </w:p>
        </w:tc>
        <w:tc>
          <w:tcPr>
            <w:tcW w:w="1754" w:type="dxa"/>
            <w:vAlign w:val="center"/>
          </w:tcPr>
          <w:p>
            <w:pPr>
              <w:widowControl/>
              <w:tabs>
                <w:tab w:val="left" w:pos="7380"/>
              </w:tabs>
              <w:spacing w:after="160" w:line="278" w:lineRule="auto"/>
              <w:ind w:right="53"/>
              <w:jc w:val="center"/>
              <w:rPr>
                <w:rFonts w:ascii="宋体" w:hAnsi="宋体" w:cs="宋体"/>
                <w:kern w:val="0"/>
                <w:sz w:val="22"/>
                <w:lang w:eastAsia="en-US"/>
              </w:rPr>
            </w:pPr>
          </w:p>
        </w:tc>
        <w:tc>
          <w:tcPr>
            <w:tcW w:w="1931" w:type="dxa"/>
            <w:vAlign w:val="center"/>
          </w:tcPr>
          <w:p>
            <w:pPr>
              <w:widowControl/>
              <w:tabs>
                <w:tab w:val="left" w:pos="7380"/>
              </w:tabs>
              <w:spacing w:after="160" w:line="278" w:lineRule="auto"/>
              <w:ind w:right="53"/>
              <w:jc w:val="center"/>
              <w:rPr>
                <w:rFonts w:ascii="宋体" w:hAnsi="宋体" w:cs="宋体"/>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hint="eastAsia" w:ascii="宋体" w:hAnsi="宋体" w:cs="宋体"/>
                <w:kern w:val="0"/>
                <w:sz w:val="22"/>
                <w:szCs w:val="21"/>
                <w:lang w:eastAsia="en-US"/>
              </w:rPr>
              <w:t>3</w:t>
            </w:r>
          </w:p>
        </w:tc>
        <w:tc>
          <w:tcPr>
            <w:tcW w:w="1843" w:type="dxa"/>
            <w:vAlign w:val="center"/>
          </w:tcPr>
          <w:p>
            <w:pPr>
              <w:widowControl/>
              <w:tabs>
                <w:tab w:val="left" w:pos="7380"/>
              </w:tabs>
              <w:spacing w:after="160" w:line="278" w:lineRule="auto"/>
              <w:ind w:right="53"/>
              <w:jc w:val="center"/>
              <w:rPr>
                <w:rFonts w:ascii="宋体" w:hAnsi="宋体" w:cs="宋体"/>
                <w:kern w:val="0"/>
                <w:sz w:val="22"/>
                <w:szCs w:val="21"/>
                <w:lang w:eastAsia="en-US"/>
              </w:rPr>
            </w:pPr>
          </w:p>
        </w:tc>
        <w:tc>
          <w:tcPr>
            <w:tcW w:w="3118" w:type="dxa"/>
            <w:vAlign w:val="center"/>
          </w:tcPr>
          <w:p>
            <w:pPr>
              <w:widowControl/>
              <w:tabs>
                <w:tab w:val="left" w:pos="7380"/>
              </w:tabs>
              <w:spacing w:after="160" w:line="278" w:lineRule="auto"/>
              <w:ind w:right="53"/>
              <w:jc w:val="left"/>
              <w:rPr>
                <w:rFonts w:ascii="宋体" w:hAnsi="宋体" w:cs="宋体"/>
                <w:bCs/>
                <w:kern w:val="0"/>
                <w:sz w:val="22"/>
                <w:szCs w:val="21"/>
                <w:lang w:eastAsia="en-US"/>
              </w:rPr>
            </w:pPr>
          </w:p>
        </w:tc>
        <w:tc>
          <w:tcPr>
            <w:tcW w:w="1754" w:type="dxa"/>
          </w:tcPr>
          <w:p>
            <w:pPr>
              <w:widowControl/>
              <w:tabs>
                <w:tab w:val="left" w:pos="7380"/>
              </w:tabs>
              <w:spacing w:after="160" w:line="278" w:lineRule="auto"/>
              <w:ind w:right="53"/>
              <w:jc w:val="left"/>
              <w:rPr>
                <w:rFonts w:ascii="宋体" w:hAnsi="宋体" w:cs="宋体"/>
                <w:kern w:val="0"/>
                <w:sz w:val="22"/>
                <w:szCs w:val="21"/>
                <w:lang w:eastAsia="en-US"/>
              </w:rPr>
            </w:pPr>
          </w:p>
        </w:tc>
        <w:tc>
          <w:tcPr>
            <w:tcW w:w="1931" w:type="dxa"/>
          </w:tcPr>
          <w:p>
            <w:pPr>
              <w:widowControl/>
              <w:tabs>
                <w:tab w:val="left" w:pos="7380"/>
              </w:tabs>
              <w:spacing w:after="160" w:line="278" w:lineRule="auto"/>
              <w:ind w:right="53"/>
              <w:jc w:val="left"/>
              <w:rPr>
                <w:rFonts w:ascii="宋体" w:hAnsi="宋体" w:cs="宋体"/>
                <w:kern w:val="0"/>
                <w:sz w:val="22"/>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ascii="宋体" w:hAnsi="宋体" w:cs="宋体"/>
                <w:kern w:val="0"/>
                <w:sz w:val="22"/>
                <w:szCs w:val="21"/>
                <w:lang w:eastAsia="en-US"/>
              </w:rPr>
              <w:t>…</w:t>
            </w:r>
          </w:p>
        </w:tc>
        <w:tc>
          <w:tcPr>
            <w:tcW w:w="1843" w:type="dxa"/>
            <w:vAlign w:val="center"/>
          </w:tcPr>
          <w:p>
            <w:pPr>
              <w:widowControl/>
              <w:tabs>
                <w:tab w:val="left" w:pos="7380"/>
              </w:tabs>
              <w:spacing w:after="160" w:line="278" w:lineRule="auto"/>
              <w:ind w:right="53"/>
              <w:jc w:val="center"/>
              <w:rPr>
                <w:rFonts w:ascii="宋体" w:hAnsi="宋体" w:cs="宋体"/>
                <w:kern w:val="0"/>
                <w:sz w:val="22"/>
                <w:szCs w:val="21"/>
                <w:lang w:eastAsia="en-US"/>
              </w:rPr>
            </w:pPr>
            <w:r>
              <w:rPr>
                <w:rFonts w:ascii="宋体" w:hAnsi="宋体" w:cs="宋体"/>
                <w:kern w:val="0"/>
                <w:sz w:val="22"/>
                <w:szCs w:val="21"/>
                <w:lang w:eastAsia="en-US"/>
              </w:rPr>
              <w:t>…</w:t>
            </w:r>
          </w:p>
        </w:tc>
        <w:tc>
          <w:tcPr>
            <w:tcW w:w="3118" w:type="dxa"/>
            <w:vAlign w:val="center"/>
          </w:tcPr>
          <w:p>
            <w:pPr>
              <w:widowControl/>
              <w:tabs>
                <w:tab w:val="left" w:pos="7380"/>
              </w:tabs>
              <w:spacing w:after="160" w:line="278" w:lineRule="auto"/>
              <w:ind w:right="53"/>
              <w:jc w:val="left"/>
              <w:rPr>
                <w:rFonts w:ascii="宋体" w:hAnsi="宋体" w:cs="宋体"/>
                <w:bCs/>
                <w:kern w:val="0"/>
                <w:sz w:val="22"/>
                <w:szCs w:val="21"/>
                <w:lang w:eastAsia="en-US" w:bidi="ar"/>
              </w:rPr>
            </w:pPr>
            <w:r>
              <w:rPr>
                <w:rFonts w:ascii="宋体" w:hAnsi="宋体" w:cs="宋体"/>
                <w:bCs/>
                <w:kern w:val="0"/>
                <w:sz w:val="22"/>
                <w:szCs w:val="21"/>
                <w:lang w:eastAsia="en-US" w:bidi="ar"/>
              </w:rPr>
              <w:t>…</w:t>
            </w:r>
          </w:p>
        </w:tc>
        <w:tc>
          <w:tcPr>
            <w:tcW w:w="1754" w:type="dxa"/>
          </w:tcPr>
          <w:p>
            <w:pPr>
              <w:widowControl/>
              <w:tabs>
                <w:tab w:val="left" w:pos="7380"/>
              </w:tabs>
              <w:spacing w:after="160" w:line="278" w:lineRule="auto"/>
              <w:ind w:right="53"/>
              <w:jc w:val="left"/>
              <w:rPr>
                <w:rFonts w:ascii="宋体" w:hAnsi="宋体" w:cs="宋体"/>
                <w:kern w:val="0"/>
                <w:sz w:val="22"/>
                <w:szCs w:val="21"/>
                <w:lang w:eastAsia="en-US"/>
              </w:rPr>
            </w:pPr>
          </w:p>
        </w:tc>
        <w:tc>
          <w:tcPr>
            <w:tcW w:w="1931" w:type="dxa"/>
          </w:tcPr>
          <w:p>
            <w:pPr>
              <w:widowControl/>
              <w:tabs>
                <w:tab w:val="left" w:pos="7380"/>
              </w:tabs>
              <w:spacing w:after="160" w:line="278" w:lineRule="auto"/>
              <w:ind w:right="53"/>
              <w:jc w:val="left"/>
              <w:rPr>
                <w:rFonts w:ascii="宋体" w:hAnsi="宋体" w:cs="宋体"/>
                <w:kern w:val="0"/>
                <w:sz w:val="22"/>
                <w:szCs w:val="21"/>
                <w:lang w:eastAsia="en-US"/>
              </w:rPr>
            </w:pPr>
          </w:p>
        </w:tc>
      </w:tr>
    </w:tbl>
    <w:p>
      <w:pPr>
        <w:snapToGrid w:val="0"/>
        <w:spacing w:after="160" w:line="360" w:lineRule="auto"/>
        <w:ind w:right="53" w:firstLine="330" w:firstLineChars="150"/>
        <w:jc w:val="left"/>
        <w:rPr>
          <w:rFonts w:ascii="宋体" w:hAnsi="宋体" w:cs="宋体"/>
          <w:kern w:val="0"/>
          <w:sz w:val="22"/>
          <w:szCs w:val="21"/>
        </w:rPr>
      </w:pPr>
      <w:r>
        <w:rPr>
          <w:rFonts w:hint="eastAsia" w:ascii="宋体" w:hAnsi="宋体" w:cs="宋体"/>
          <w:kern w:val="0"/>
          <w:sz w:val="22"/>
          <w:szCs w:val="21"/>
        </w:rPr>
        <w:t>注：商务条款偏离表须对合同条款所有偏离情况（包括“★”号条款）进行填写，</w:t>
      </w:r>
      <w:r>
        <w:rPr>
          <w:rFonts w:hint="eastAsia" w:ascii="宋体" w:hAnsi="宋体" w:cs="宋体"/>
          <w:b/>
          <w:bCs/>
          <w:kern w:val="0"/>
          <w:sz w:val="22"/>
          <w:szCs w:val="21"/>
        </w:rPr>
        <w:t>请认真阅读合同条款及格式</w:t>
      </w:r>
      <w:r>
        <w:rPr>
          <w:rFonts w:hint="eastAsia" w:ascii="宋体" w:hAnsi="宋体" w:cs="宋体"/>
          <w:kern w:val="0"/>
          <w:sz w:val="22"/>
          <w:szCs w:val="21"/>
        </w:rPr>
        <w:t>；如无偏离，则无需填写。</w:t>
      </w:r>
    </w:p>
    <w:p>
      <w:pPr>
        <w:spacing w:after="160" w:line="278" w:lineRule="auto"/>
        <w:ind w:right="53"/>
        <w:jc w:val="left"/>
        <w:rPr>
          <w:rFonts w:ascii="宋体" w:hAnsi="宋体" w:cs="宋体"/>
          <w:kern w:val="0"/>
          <w:sz w:val="22"/>
          <w:szCs w:val="21"/>
        </w:rPr>
      </w:pPr>
    </w:p>
    <w:p>
      <w:pPr>
        <w:snapToGrid w:val="0"/>
        <w:spacing w:after="160" w:line="360" w:lineRule="auto"/>
        <w:ind w:right="53" w:firstLine="331" w:firstLineChars="150"/>
        <w:jc w:val="left"/>
        <w:rPr>
          <w:rFonts w:ascii="宋体" w:hAnsi="宋体" w:cs="宋体"/>
          <w:kern w:val="0"/>
          <w:szCs w:val="21"/>
        </w:rPr>
      </w:pPr>
      <w:r>
        <w:rPr>
          <w:rFonts w:hint="eastAsia" w:ascii="宋体" w:hAnsi="宋体" w:cs="宋体"/>
          <w:b/>
          <w:bCs/>
          <w:kern w:val="0"/>
          <w:sz w:val="22"/>
          <w:szCs w:val="21"/>
          <w:u w:val="single"/>
        </w:rPr>
        <w:t>投标人在此声明：除《商务条款响应/偏离表》所列的偏离外，其它所有商务要求均完全响应招标文件合同条款及格式要求。</w:t>
      </w:r>
    </w:p>
    <w:p>
      <w:pPr>
        <w:snapToGrid w:val="0"/>
        <w:spacing w:after="160" w:line="360" w:lineRule="auto"/>
        <w:ind w:right="53" w:firstLine="315" w:firstLineChars="150"/>
        <w:jc w:val="left"/>
        <w:rPr>
          <w:rFonts w:ascii="宋体" w:hAnsi="宋体" w:cs="宋体"/>
          <w:kern w:val="0"/>
          <w:szCs w:val="21"/>
        </w:rPr>
      </w:pPr>
    </w:p>
    <w:p>
      <w:pPr>
        <w:snapToGrid w:val="0"/>
        <w:spacing w:after="160" w:line="360" w:lineRule="auto"/>
        <w:ind w:right="53" w:firstLine="315" w:firstLineChars="150"/>
        <w:jc w:val="left"/>
        <w:rPr>
          <w:rFonts w:ascii="宋体" w:hAnsi="宋体" w:cs="宋体"/>
          <w:kern w:val="0"/>
          <w:szCs w:val="21"/>
        </w:rPr>
      </w:pPr>
      <w:r>
        <w:rPr>
          <w:rFonts w:hint="eastAsia" w:ascii="宋体" w:hAnsi="宋体" w:cs="宋体"/>
          <w:kern w:val="0"/>
          <w:szCs w:val="21"/>
        </w:rPr>
        <w:t>投标人</w:t>
      </w:r>
      <w:r>
        <w:rPr>
          <w:rFonts w:hint="eastAsia" w:ascii="Times New Roman" w:hAnsi="Times New Roman" w:cs="宋体"/>
          <w:kern w:val="0"/>
          <w:szCs w:val="21"/>
        </w:rPr>
        <w:t>法定</w:t>
      </w:r>
      <w:r>
        <w:rPr>
          <w:rFonts w:hint="eastAsia" w:ascii="宋体" w:hAnsi="宋体" w:cs="宋体"/>
          <w:kern w:val="0"/>
          <w:szCs w:val="21"/>
        </w:rPr>
        <w:t>代表人或授权代表（签署）：</w:t>
      </w:r>
    </w:p>
    <w:p>
      <w:pPr>
        <w:snapToGrid w:val="0"/>
        <w:spacing w:after="160" w:line="360" w:lineRule="auto"/>
        <w:ind w:right="53" w:firstLine="315" w:firstLineChars="150"/>
        <w:jc w:val="left"/>
        <w:rPr>
          <w:rFonts w:ascii="宋体" w:hAnsi="宋体" w:cs="宋体"/>
          <w:kern w:val="0"/>
          <w:szCs w:val="21"/>
        </w:rPr>
      </w:pPr>
      <w:r>
        <w:rPr>
          <w:rFonts w:hint="eastAsia" w:ascii="宋体" w:hAnsi="宋体" w:cs="宋体"/>
          <w:kern w:val="0"/>
          <w:szCs w:val="21"/>
        </w:rPr>
        <w:t>投标人盖章（法人公章）：</w:t>
      </w:r>
    </w:p>
    <w:p>
      <w:pPr>
        <w:snapToGrid w:val="0"/>
        <w:spacing w:after="160" w:line="360" w:lineRule="auto"/>
        <w:ind w:right="53" w:firstLine="315" w:firstLineChars="150"/>
        <w:jc w:val="left"/>
        <w:rPr>
          <w:rFonts w:ascii="宋体" w:hAnsi="宋体" w:cs="宋体"/>
          <w:kern w:val="0"/>
          <w:sz w:val="22"/>
        </w:rPr>
      </w:pPr>
      <w:r>
        <w:rPr>
          <w:rFonts w:hint="eastAsia" w:ascii="宋体" w:hAnsi="宋体" w:cs="宋体"/>
          <w:kern w:val="0"/>
          <w:szCs w:val="21"/>
        </w:rPr>
        <w:t>日期：</w:t>
      </w:r>
      <w:r>
        <w:rPr>
          <w:rFonts w:ascii="宋体" w:hAnsi="宋体" w:cs="宋体"/>
          <w:kern w:val="0"/>
          <w:sz w:val="22"/>
        </w:rPr>
        <w:br w:type="page"/>
      </w:r>
    </w:p>
    <w:p>
      <w:pPr>
        <w:topLinePunct/>
        <w:snapToGrid w:val="0"/>
        <w:spacing w:after="160" w:line="360" w:lineRule="auto"/>
        <w:ind w:right="53"/>
        <w:jc w:val="center"/>
        <w:rPr>
          <w:rFonts w:ascii="Times New Roman" w:hAnsi="Times New Roman" w:eastAsia="黑体" w:cs="宋体"/>
          <w:kern w:val="0"/>
          <w:sz w:val="28"/>
          <w:szCs w:val="20"/>
        </w:rPr>
      </w:pPr>
      <w:r>
        <w:rPr>
          <w:rFonts w:hint="eastAsia" w:ascii="Times New Roman" w:hAnsi="Times New Roman" w:eastAsia="黑体" w:cs="宋体"/>
          <w:kern w:val="0"/>
          <w:sz w:val="28"/>
          <w:szCs w:val="20"/>
        </w:rPr>
        <w:t>6-2发包人要求响应/偏离表</w:t>
      </w:r>
    </w:p>
    <w:tbl>
      <w:tblPr>
        <w:tblStyle w:val="41"/>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32"/>
        <w:gridCol w:w="2126"/>
        <w:gridCol w:w="1985"/>
        <w:gridCol w:w="1802"/>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序号</w:t>
            </w:r>
          </w:p>
        </w:tc>
        <w:tc>
          <w:tcPr>
            <w:tcW w:w="2332" w:type="dxa"/>
            <w:vAlign w:val="center"/>
          </w:tcPr>
          <w:p>
            <w:pPr>
              <w:adjustRightInd w:val="0"/>
              <w:snapToGrid w:val="0"/>
              <w:spacing w:after="160" w:line="278" w:lineRule="auto"/>
              <w:ind w:right="53"/>
              <w:jc w:val="center"/>
              <w:rPr>
                <w:rFonts w:ascii="宋体" w:hAnsi="宋体" w:cs="宋体"/>
                <w:kern w:val="0"/>
                <w:szCs w:val="21"/>
              </w:rPr>
            </w:pPr>
            <w:r>
              <w:rPr>
                <w:rFonts w:hint="eastAsia" w:ascii="宋体" w:hAnsi="宋体" w:cs="宋体"/>
                <w:kern w:val="0"/>
                <w:szCs w:val="21"/>
              </w:rPr>
              <w:t>招标文件发包人要求</w:t>
            </w:r>
          </w:p>
          <w:p>
            <w:pPr>
              <w:adjustRightInd w:val="0"/>
              <w:snapToGrid w:val="0"/>
              <w:spacing w:after="160" w:line="278" w:lineRule="auto"/>
              <w:ind w:right="53"/>
              <w:jc w:val="center"/>
              <w:rPr>
                <w:rFonts w:ascii="宋体" w:hAnsi="宋体" w:cs="宋体"/>
                <w:kern w:val="0"/>
                <w:szCs w:val="21"/>
              </w:rPr>
            </w:pPr>
            <w:r>
              <w:rPr>
                <w:rFonts w:hint="eastAsia" w:ascii="宋体" w:hAnsi="宋体" w:cs="宋体"/>
                <w:kern w:val="0"/>
                <w:szCs w:val="21"/>
              </w:rPr>
              <w:t>条目号</w:t>
            </w:r>
          </w:p>
        </w:tc>
        <w:tc>
          <w:tcPr>
            <w:tcW w:w="2126"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招标文件要求规格</w:t>
            </w:r>
          </w:p>
        </w:tc>
        <w:tc>
          <w:tcPr>
            <w:tcW w:w="1985"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投标响应</w:t>
            </w:r>
          </w:p>
        </w:tc>
        <w:tc>
          <w:tcPr>
            <w:tcW w:w="1802"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偏离</w:t>
            </w:r>
          </w:p>
        </w:tc>
        <w:tc>
          <w:tcPr>
            <w:tcW w:w="1447"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1</w:t>
            </w:r>
          </w:p>
        </w:tc>
        <w:tc>
          <w:tcPr>
            <w:tcW w:w="2332" w:type="dxa"/>
            <w:vAlign w:val="center"/>
          </w:tcPr>
          <w:p>
            <w:pPr>
              <w:adjustRightInd w:val="0"/>
              <w:snapToGrid w:val="0"/>
              <w:spacing w:after="160" w:line="278" w:lineRule="auto"/>
              <w:ind w:right="53"/>
              <w:jc w:val="center"/>
              <w:rPr>
                <w:rFonts w:ascii="宋体" w:hAnsi="宋体" w:cs="宋体"/>
                <w:kern w:val="0"/>
                <w:szCs w:val="21"/>
              </w:rPr>
            </w:pPr>
          </w:p>
        </w:tc>
        <w:tc>
          <w:tcPr>
            <w:tcW w:w="2126"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985"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802"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447" w:type="dxa"/>
            <w:vAlign w:val="center"/>
          </w:tcPr>
          <w:p>
            <w:pPr>
              <w:adjustRightInd w:val="0"/>
              <w:snapToGrid w:val="0"/>
              <w:spacing w:after="160" w:line="278" w:lineRule="auto"/>
              <w:ind w:right="53"/>
              <w:jc w:val="center"/>
              <w:rPr>
                <w:rFonts w:ascii="宋体" w:hAnsi="宋体" w:cs="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2</w:t>
            </w:r>
          </w:p>
        </w:tc>
        <w:tc>
          <w:tcPr>
            <w:tcW w:w="2332"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2126"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985"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802"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447" w:type="dxa"/>
            <w:vAlign w:val="center"/>
          </w:tcPr>
          <w:p>
            <w:pPr>
              <w:adjustRightInd w:val="0"/>
              <w:snapToGrid w:val="0"/>
              <w:spacing w:after="160" w:line="278" w:lineRule="auto"/>
              <w:ind w:right="53"/>
              <w:jc w:val="center"/>
              <w:rPr>
                <w:rFonts w:ascii="宋体" w:hAnsi="宋体" w:cs="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3</w:t>
            </w:r>
          </w:p>
        </w:tc>
        <w:tc>
          <w:tcPr>
            <w:tcW w:w="2332"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2126"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985"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802"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447" w:type="dxa"/>
            <w:vAlign w:val="center"/>
          </w:tcPr>
          <w:p>
            <w:pPr>
              <w:adjustRightInd w:val="0"/>
              <w:snapToGrid w:val="0"/>
              <w:spacing w:after="160" w:line="278" w:lineRule="auto"/>
              <w:ind w:right="53"/>
              <w:jc w:val="center"/>
              <w:rPr>
                <w:rFonts w:ascii="宋体" w:hAnsi="宋体" w:cs="宋体"/>
                <w:kern w:val="0"/>
                <w:szCs w:val="21"/>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after="160" w:line="278" w:lineRule="auto"/>
              <w:ind w:right="53"/>
              <w:jc w:val="center"/>
              <w:rPr>
                <w:rFonts w:ascii="宋体" w:hAnsi="宋体" w:cs="宋体"/>
                <w:kern w:val="0"/>
                <w:szCs w:val="21"/>
                <w:lang w:eastAsia="en-US"/>
              </w:rPr>
            </w:pPr>
            <w:r>
              <w:rPr>
                <w:rFonts w:hint="eastAsia" w:ascii="宋体" w:hAnsi="宋体" w:cs="宋体"/>
                <w:kern w:val="0"/>
                <w:szCs w:val="21"/>
                <w:lang w:eastAsia="en-US"/>
              </w:rPr>
              <w:t>…</w:t>
            </w:r>
          </w:p>
        </w:tc>
        <w:tc>
          <w:tcPr>
            <w:tcW w:w="2332"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2126"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985"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802" w:type="dxa"/>
            <w:vAlign w:val="center"/>
          </w:tcPr>
          <w:p>
            <w:pPr>
              <w:adjustRightInd w:val="0"/>
              <w:snapToGrid w:val="0"/>
              <w:spacing w:after="160" w:line="278" w:lineRule="auto"/>
              <w:ind w:right="53"/>
              <w:jc w:val="center"/>
              <w:rPr>
                <w:rFonts w:ascii="宋体" w:hAnsi="宋体" w:cs="宋体"/>
                <w:kern w:val="0"/>
                <w:szCs w:val="21"/>
                <w:lang w:eastAsia="en-US"/>
              </w:rPr>
            </w:pPr>
          </w:p>
        </w:tc>
        <w:tc>
          <w:tcPr>
            <w:tcW w:w="1447" w:type="dxa"/>
            <w:vAlign w:val="center"/>
          </w:tcPr>
          <w:p>
            <w:pPr>
              <w:adjustRightInd w:val="0"/>
              <w:snapToGrid w:val="0"/>
              <w:spacing w:after="160" w:line="278" w:lineRule="auto"/>
              <w:ind w:right="53"/>
              <w:jc w:val="center"/>
              <w:rPr>
                <w:rFonts w:ascii="宋体" w:hAnsi="宋体" w:cs="宋体"/>
                <w:kern w:val="0"/>
                <w:szCs w:val="21"/>
                <w:lang w:eastAsia="en-US"/>
              </w:rPr>
            </w:pPr>
          </w:p>
        </w:tc>
      </w:tr>
    </w:tbl>
    <w:p>
      <w:pPr>
        <w:snapToGrid w:val="0"/>
        <w:spacing w:after="160" w:line="360" w:lineRule="auto"/>
        <w:ind w:right="53" w:firstLine="315" w:firstLineChars="150"/>
        <w:jc w:val="left"/>
        <w:rPr>
          <w:rFonts w:ascii="宋体" w:hAnsi="宋体" w:cs="宋体"/>
          <w:kern w:val="0"/>
          <w:szCs w:val="21"/>
        </w:rPr>
      </w:pPr>
      <w:r>
        <w:rPr>
          <w:rFonts w:hint="eastAsia" w:ascii="宋体" w:hAnsi="宋体" w:cs="宋体"/>
          <w:kern w:val="0"/>
          <w:szCs w:val="21"/>
        </w:rPr>
        <w:t>注：用户需求偏离表须对所有偏离情况进行填写，</w:t>
      </w:r>
      <w:r>
        <w:rPr>
          <w:rFonts w:hint="eastAsia" w:ascii="宋体" w:hAnsi="宋体" w:cs="宋体"/>
          <w:b/>
          <w:bCs/>
          <w:kern w:val="0"/>
          <w:szCs w:val="21"/>
        </w:rPr>
        <w:t>请认真阅读用户需求书</w:t>
      </w:r>
      <w:r>
        <w:rPr>
          <w:rFonts w:hint="eastAsia" w:ascii="宋体" w:hAnsi="宋体" w:cs="宋体"/>
          <w:kern w:val="0"/>
          <w:szCs w:val="21"/>
        </w:rPr>
        <w:t>；如无偏离，则无需填写。</w:t>
      </w:r>
    </w:p>
    <w:p>
      <w:pPr>
        <w:spacing w:after="160" w:line="278" w:lineRule="auto"/>
        <w:ind w:right="53"/>
        <w:jc w:val="left"/>
        <w:rPr>
          <w:rFonts w:ascii="宋体" w:hAnsi="宋体" w:cs="宋体"/>
          <w:kern w:val="0"/>
          <w:sz w:val="22"/>
          <w:szCs w:val="21"/>
        </w:rPr>
      </w:pPr>
    </w:p>
    <w:p>
      <w:pPr>
        <w:snapToGrid w:val="0"/>
        <w:spacing w:after="160" w:line="360" w:lineRule="auto"/>
        <w:ind w:right="53" w:firstLine="316" w:firstLineChars="150"/>
        <w:jc w:val="left"/>
        <w:rPr>
          <w:rFonts w:ascii="宋体" w:hAnsi="宋体" w:cs="宋体"/>
          <w:b/>
          <w:bCs/>
          <w:kern w:val="0"/>
          <w:szCs w:val="21"/>
          <w:u w:val="single"/>
        </w:rPr>
      </w:pPr>
      <w:r>
        <w:rPr>
          <w:rFonts w:hint="eastAsia" w:ascii="宋体" w:hAnsi="宋体" w:cs="宋体"/>
          <w:b/>
          <w:bCs/>
          <w:kern w:val="0"/>
          <w:szCs w:val="21"/>
          <w:u w:val="single"/>
        </w:rPr>
        <w:t>投标人在此声明：除《发包人要求响应/偏离表》所列的偏离外，其它所有技术要求均完全响应招标文件发包人要求。</w:t>
      </w:r>
    </w:p>
    <w:p>
      <w:pPr>
        <w:spacing w:after="160" w:line="278" w:lineRule="auto"/>
        <w:ind w:right="53"/>
        <w:jc w:val="left"/>
        <w:rPr>
          <w:rFonts w:ascii="宋体" w:hAnsi="宋体" w:cs="宋体"/>
          <w:kern w:val="0"/>
          <w:sz w:val="22"/>
          <w:szCs w:val="21"/>
        </w:rPr>
      </w:pPr>
    </w:p>
    <w:p>
      <w:pPr>
        <w:snapToGrid w:val="0"/>
        <w:spacing w:after="160" w:line="360" w:lineRule="auto"/>
        <w:ind w:right="53" w:firstLine="315" w:firstLineChars="150"/>
        <w:jc w:val="left"/>
        <w:rPr>
          <w:rFonts w:ascii="宋体" w:hAnsi="宋体" w:cs="宋体"/>
          <w:kern w:val="0"/>
          <w:szCs w:val="21"/>
        </w:rPr>
      </w:pPr>
      <w:r>
        <w:rPr>
          <w:rFonts w:hint="eastAsia" w:ascii="宋体" w:hAnsi="宋体" w:cs="宋体"/>
          <w:kern w:val="0"/>
          <w:szCs w:val="21"/>
        </w:rPr>
        <w:t>投标人法定代表人或授权代表（签署）：</w:t>
      </w:r>
    </w:p>
    <w:p>
      <w:pPr>
        <w:snapToGrid w:val="0"/>
        <w:spacing w:after="160" w:line="360" w:lineRule="auto"/>
        <w:ind w:right="53" w:firstLine="315" w:firstLineChars="150"/>
        <w:jc w:val="left"/>
        <w:rPr>
          <w:rFonts w:ascii="宋体" w:hAnsi="宋体" w:cs="宋体"/>
          <w:kern w:val="0"/>
          <w:szCs w:val="21"/>
        </w:rPr>
      </w:pPr>
      <w:r>
        <w:rPr>
          <w:rFonts w:hint="eastAsia" w:ascii="宋体" w:hAnsi="宋体" w:cs="宋体"/>
          <w:kern w:val="0"/>
          <w:szCs w:val="21"/>
        </w:rPr>
        <w:t xml:space="preserve">投标人盖章（法人公章）： </w:t>
      </w:r>
    </w:p>
    <w:p>
      <w:pPr>
        <w:tabs>
          <w:tab w:val="left" w:pos="0"/>
        </w:tabs>
      </w:pPr>
      <w:r>
        <w:rPr>
          <w:rFonts w:hint="eastAsia" w:ascii="宋体" w:hAnsi="宋体" w:cs="宋体"/>
          <w:kern w:val="0"/>
          <w:szCs w:val="21"/>
        </w:rPr>
        <w:t>日期：</w:t>
      </w:r>
      <w:r>
        <w:rPr>
          <w:rFonts w:hint="eastAsia"/>
        </w:rPr>
        <w:br w:type="page"/>
      </w:r>
    </w:p>
    <w:p>
      <w:pPr>
        <w:pStyle w:val="9"/>
        <w:spacing w:after="0" w:line="440" w:lineRule="exact"/>
        <w:jc w:val="center"/>
        <w:rPr>
          <w:rFonts w:ascii="Times New Roman" w:hAnsi="Times New Roman"/>
        </w:rPr>
      </w:pPr>
      <w:bookmarkStart w:id="685" w:name="_Toc4012"/>
      <w:r>
        <w:rPr>
          <w:rFonts w:hint="eastAsia" w:ascii="Times New Roman" w:hAnsi="Times New Roman"/>
        </w:rPr>
        <w:t>七</w:t>
      </w:r>
      <w:r>
        <w:rPr>
          <w:rFonts w:ascii="Times New Roman" w:hAnsi="Times New Roman"/>
        </w:rPr>
        <w:t>、</w:t>
      </w:r>
      <w:r>
        <w:rPr>
          <w:rFonts w:hint="eastAsia" w:ascii="Times New Roman" w:hAnsi="Times New Roman"/>
        </w:rPr>
        <w:t>服务</w:t>
      </w:r>
      <w:r>
        <w:rPr>
          <w:rFonts w:ascii="Times New Roman" w:hAnsi="Times New Roman"/>
        </w:rPr>
        <w:t>方案</w:t>
      </w:r>
      <w:bookmarkEnd w:id="685"/>
    </w:p>
    <w:p>
      <w:pPr>
        <w:spacing w:line="440" w:lineRule="exact"/>
        <w:rPr>
          <w:rFonts w:ascii="Times New Roman" w:hAnsi="Times New Roman"/>
        </w:rPr>
      </w:pPr>
    </w:p>
    <w:p>
      <w:pPr>
        <w:adjustRightInd w:val="0"/>
        <w:snapToGrid w:val="0"/>
        <w:spacing w:line="440" w:lineRule="exact"/>
        <w:ind w:firstLine="420" w:firstLineChars="200"/>
        <w:jc w:val="left"/>
        <w:rPr>
          <w:rFonts w:ascii="Times New Roman" w:hAnsi="Times New Roman"/>
          <w:u w:val="single"/>
        </w:rPr>
      </w:pPr>
      <w:r>
        <w:rPr>
          <w:rFonts w:hint="eastAsia" w:ascii="Times New Roman" w:hAnsi="Times New Roman"/>
          <w:szCs w:val="21"/>
          <w:u w:val="single"/>
        </w:rPr>
        <w:t>服务</w:t>
      </w:r>
      <w:r>
        <w:rPr>
          <w:rFonts w:ascii="Times New Roman" w:hAnsi="Times New Roman"/>
          <w:szCs w:val="21"/>
          <w:u w:val="single"/>
        </w:rPr>
        <w:t>方案应包括（但不限于）下列内容，请投标人参照</w:t>
      </w:r>
      <w:r>
        <w:rPr>
          <w:rFonts w:hint="eastAsia" w:ascii="Times New Roman" w:hAnsi="Times New Roman"/>
          <w:szCs w:val="21"/>
          <w:u w:val="single"/>
        </w:rPr>
        <w:t>第三章</w:t>
      </w:r>
      <w:r>
        <w:rPr>
          <w:rFonts w:ascii="Times New Roman" w:hAnsi="Times New Roman"/>
          <w:szCs w:val="21"/>
          <w:u w:val="single"/>
        </w:rPr>
        <w:t>评标办法</w:t>
      </w:r>
      <w:r>
        <w:rPr>
          <w:rFonts w:ascii="Times New Roman" w:hAnsi="Times New Roman"/>
          <w:u w:val="single"/>
        </w:rPr>
        <w:t>评分内容</w:t>
      </w:r>
      <w:r>
        <w:rPr>
          <w:rFonts w:hint="eastAsia" w:ascii="Times New Roman" w:hAnsi="Times New Roman"/>
          <w:u w:val="single"/>
        </w:rPr>
        <w:t>及第五章发包人</w:t>
      </w:r>
      <w:r>
        <w:rPr>
          <w:rFonts w:ascii="Times New Roman" w:hAnsi="Times New Roman"/>
          <w:u w:val="single"/>
        </w:rPr>
        <w:t>自行编制</w:t>
      </w:r>
      <w:r>
        <w:rPr>
          <w:rFonts w:hint="eastAsia" w:ascii="Times New Roman" w:hAnsi="Times New Roman"/>
          <w:u w:val="single"/>
        </w:rPr>
        <w:t>：</w:t>
      </w:r>
    </w:p>
    <w:p>
      <w:pPr>
        <w:pStyle w:val="24"/>
        <w:adjustRightInd w:val="0"/>
        <w:snapToGrid w:val="0"/>
        <w:spacing w:line="440" w:lineRule="exact"/>
        <w:ind w:firstLine="420" w:firstLineChars="200"/>
        <w:jc w:val="left"/>
        <w:rPr>
          <w:rStyle w:val="98"/>
          <w:rFonts w:hAnsi="宋体" w:cs="华文细黑"/>
        </w:rPr>
      </w:pPr>
      <w:r>
        <w:rPr>
          <w:rFonts w:hint="eastAsia" w:ascii="Times New Roman" w:hAnsi="Times New Roman"/>
        </w:rPr>
        <w:t>1</w:t>
      </w:r>
      <w:r>
        <w:rPr>
          <w:rStyle w:val="98"/>
          <w:rFonts w:hAnsi="宋体" w:cs="华文细黑"/>
        </w:rPr>
        <w:t>.</w:t>
      </w:r>
      <w:r>
        <w:rPr>
          <w:rStyle w:val="98"/>
          <w:rFonts w:hint="eastAsia" w:hAnsi="宋体" w:cs="华文细黑"/>
        </w:rPr>
        <w:t>总体方案</w:t>
      </w:r>
    </w:p>
    <w:p>
      <w:pPr>
        <w:pStyle w:val="24"/>
        <w:adjustRightInd w:val="0"/>
        <w:snapToGrid w:val="0"/>
        <w:spacing w:line="440" w:lineRule="exact"/>
        <w:ind w:firstLine="420" w:firstLineChars="200"/>
        <w:jc w:val="left"/>
        <w:rPr>
          <w:rStyle w:val="98"/>
          <w:rFonts w:hAnsi="宋体" w:cs="华文细黑"/>
        </w:rPr>
      </w:pPr>
      <w:r>
        <w:rPr>
          <w:rStyle w:val="98"/>
          <w:rFonts w:hint="eastAsia" w:hAnsi="宋体" w:cs="华文细黑"/>
        </w:rPr>
        <w:t>2</w:t>
      </w:r>
      <w:r>
        <w:rPr>
          <w:rStyle w:val="98"/>
          <w:rFonts w:hAnsi="宋体" w:cs="华文细黑"/>
        </w:rPr>
        <w:t>.</w:t>
      </w:r>
      <w:r>
        <w:rPr>
          <w:rStyle w:val="98"/>
          <w:rFonts w:hint="eastAsia" w:hAnsi="宋体" w:cs="华文细黑"/>
        </w:rPr>
        <w:t>项目质量与服务保障方案</w:t>
      </w:r>
    </w:p>
    <w:p>
      <w:pPr>
        <w:pStyle w:val="24"/>
        <w:adjustRightInd w:val="0"/>
        <w:snapToGrid w:val="0"/>
        <w:spacing w:line="440" w:lineRule="exact"/>
        <w:ind w:firstLine="420" w:firstLineChars="200"/>
        <w:jc w:val="left"/>
        <w:rPr>
          <w:rStyle w:val="98"/>
          <w:rFonts w:hAnsi="宋体" w:cs="华文细黑"/>
        </w:rPr>
      </w:pPr>
      <w:r>
        <w:rPr>
          <w:rStyle w:val="98"/>
          <w:rFonts w:hint="eastAsia" w:hAnsi="宋体" w:cs="华文细黑"/>
        </w:rPr>
        <w:t>3</w:t>
      </w:r>
      <w:r>
        <w:rPr>
          <w:rStyle w:val="98"/>
          <w:rFonts w:hAnsi="宋体" w:cs="华文细黑"/>
        </w:rPr>
        <w:t>.</w:t>
      </w:r>
      <w:r>
        <w:rPr>
          <w:rStyle w:val="98"/>
          <w:rFonts w:hint="eastAsia" w:hAnsi="宋体" w:cs="华文细黑"/>
        </w:rPr>
        <w:t>售后服务方案</w:t>
      </w:r>
    </w:p>
    <w:p>
      <w:pPr>
        <w:pStyle w:val="24"/>
        <w:adjustRightInd w:val="0"/>
        <w:snapToGrid w:val="0"/>
        <w:spacing w:line="440" w:lineRule="exact"/>
        <w:ind w:firstLine="420" w:firstLineChars="200"/>
        <w:jc w:val="left"/>
        <w:rPr>
          <w:rStyle w:val="98"/>
          <w:rFonts w:hAnsi="宋体" w:cs="华文细黑"/>
        </w:rPr>
      </w:pPr>
      <w:r>
        <w:rPr>
          <w:rStyle w:val="98"/>
          <w:rFonts w:hint="eastAsia" w:hAnsi="宋体" w:cs="华文细黑"/>
        </w:rPr>
        <w:t>....</w:t>
      </w:r>
    </w:p>
    <w:p>
      <w:r>
        <w:br w:type="page"/>
      </w:r>
    </w:p>
    <w:p>
      <w:pPr>
        <w:pStyle w:val="9"/>
        <w:spacing w:after="0" w:line="440" w:lineRule="exact"/>
        <w:jc w:val="center"/>
        <w:rPr>
          <w:rFonts w:ascii="Times New Roman" w:hAnsi="Times New Roman"/>
        </w:rPr>
      </w:pPr>
      <w:bookmarkStart w:id="686" w:name="_Toc16050"/>
      <w:r>
        <w:rPr>
          <w:rFonts w:hint="eastAsia" w:ascii="Times New Roman" w:hAnsi="Times New Roman"/>
        </w:rPr>
        <w:t>八</w:t>
      </w:r>
      <w:r>
        <w:rPr>
          <w:rFonts w:ascii="Times New Roman" w:hAnsi="Times New Roman"/>
        </w:rPr>
        <w:t>、其他资料</w:t>
      </w:r>
      <w:bookmarkEnd w:id="686"/>
    </w:p>
    <w:p>
      <w:pPr>
        <w:pStyle w:val="24"/>
      </w:pPr>
    </w:p>
    <w:p>
      <w:pPr>
        <w:spacing w:line="400" w:lineRule="exact"/>
        <w:jc w:val="center"/>
        <w:rPr>
          <w:rFonts w:ascii="Times New Roman" w:hAnsi="Times New Roman"/>
        </w:rPr>
      </w:pPr>
    </w:p>
    <w:sectPr>
      <w:footerReference r:id="rId5" w:type="first"/>
      <w:footerReference r:id="rId3" w:type="default"/>
      <w:footerReference r:id="rId4" w:type="even"/>
      <w:type w:val="continuous"/>
      <w:pgSz w:w="11906" w:h="16838"/>
      <w:pgMar w:top="1440" w:right="1800" w:bottom="1440" w:left="1800"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4687942"/>
    </w:sdtPr>
    <w:sdtContent>
      <w:p>
        <w:pPr>
          <w:pStyle w:val="29"/>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4"/>
      </w:rPr>
    </w:pPr>
    <w:r>
      <w:fldChar w:fldCharType="begin"/>
    </w:r>
    <w:r>
      <w:rPr>
        <w:rStyle w:val="44"/>
      </w:rPr>
      <w:instrText xml:space="preserve">PAGE  </w:instrText>
    </w:r>
    <w:r>
      <w:fldChar w:fldCharType="separate"/>
    </w:r>
    <w:r>
      <w:rPr>
        <w:rStyle w:val="44"/>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1722F"/>
    <w:multiLevelType w:val="multilevel"/>
    <w:tmpl w:val="D001722F"/>
    <w:lvl w:ilvl="0" w:tentative="0">
      <w:start w:val="1"/>
      <w:numFmt w:val="chineseCounting"/>
      <w:suff w:val="nothing"/>
      <w:lvlText w:val="%1、"/>
      <w:lvlJc w:val="left"/>
      <w:pPr>
        <w:tabs>
          <w:tab w:val="left" w:pos="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BBE1E8"/>
    <w:multiLevelType w:val="singleLevel"/>
    <w:tmpl w:val="00BBE1E8"/>
    <w:lvl w:ilvl="0" w:tentative="0">
      <w:start w:val="1"/>
      <w:numFmt w:val="decimal"/>
      <w:lvlText w:val="%1."/>
      <w:lvlJc w:val="left"/>
      <w:pPr>
        <w:tabs>
          <w:tab w:val="left" w:pos="312"/>
        </w:tabs>
      </w:pPr>
    </w:lvl>
  </w:abstractNum>
  <w:abstractNum w:abstractNumId="2">
    <w:nsid w:val="06595DF1"/>
    <w:multiLevelType w:val="singleLevel"/>
    <w:tmpl w:val="06595DF1"/>
    <w:lvl w:ilvl="0" w:tentative="0">
      <w:start w:val="1"/>
      <w:numFmt w:val="decimal"/>
      <w:suff w:val="nothing"/>
      <w:lvlText w:val="（%1）"/>
      <w:lvlJc w:val="left"/>
    </w:lvl>
  </w:abstractNum>
  <w:abstractNum w:abstractNumId="3">
    <w:nsid w:val="192B4CFF"/>
    <w:multiLevelType w:val="multilevel"/>
    <w:tmpl w:val="192B4CFF"/>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1E1E2390"/>
    <w:multiLevelType w:val="multilevel"/>
    <w:tmpl w:val="1E1E239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709"/>
        </w:tabs>
        <w:ind w:left="709" w:hanging="709"/>
      </w:pPr>
      <w:rPr>
        <w:rFonts w:hint="eastAsia" w:ascii="Times New Roman" w:hAnsi="Times New Roman"/>
        <w:b/>
        <w:sz w:val="28"/>
        <w:szCs w:val="28"/>
      </w:rPr>
    </w:lvl>
    <w:lvl w:ilvl="2" w:tentative="0">
      <w:start w:val="1"/>
      <w:numFmt w:val="decimal"/>
      <w:lvlText w:val="%1.%2.%3"/>
      <w:lvlJc w:val="left"/>
      <w:pPr>
        <w:tabs>
          <w:tab w:val="left" w:pos="709"/>
        </w:tabs>
        <w:ind w:left="709" w:hanging="709"/>
      </w:pPr>
      <w:rPr>
        <w:rFonts w:hint="eastAsia" w:ascii="Times New Roman" w:hAnsi="Times New Roman"/>
        <w:szCs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pStyle w:val="109"/>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lowerRoman"/>
      <w:lvlText w:val="%9."/>
      <w:lvlJc w:val="right"/>
      <w:pPr>
        <w:tabs>
          <w:tab w:val="left" w:pos="360"/>
        </w:tabs>
      </w:pPr>
      <w:rPr>
        <w:rFonts w:hint="default" w:ascii="Times New Roman" w:hAnsi="Times New Roman"/>
        <w:b w:val="0"/>
        <w:i w:val="0"/>
        <w:sz w:val="24"/>
      </w:rPr>
    </w:lvl>
  </w:abstractNum>
  <w:abstractNum w:abstractNumId="5">
    <w:nsid w:val="2D23245C"/>
    <w:multiLevelType w:val="singleLevel"/>
    <w:tmpl w:val="2D23245C"/>
    <w:lvl w:ilvl="0" w:tentative="0">
      <w:start w:val="1"/>
      <w:numFmt w:val="decimal"/>
      <w:suff w:val="nothing"/>
      <w:lvlText w:val="%1."/>
      <w:lvlJc w:val="left"/>
      <w:pPr>
        <w:tabs>
          <w:tab w:val="left" w:pos="312"/>
        </w:tabs>
      </w:pPr>
      <w:rPr>
        <w:rFonts w:hint="default"/>
      </w:rPr>
    </w:lvl>
  </w:abstractNum>
  <w:abstractNum w:abstractNumId="6">
    <w:nsid w:val="61FF184B"/>
    <w:multiLevelType w:val="singleLevel"/>
    <w:tmpl w:val="61FF184B"/>
    <w:lvl w:ilvl="0" w:tentative="0">
      <w:start w:val="1"/>
      <w:numFmt w:val="bullet"/>
      <w:lvlText w:val=""/>
      <w:lvlJc w:val="left"/>
      <w:pPr>
        <w:ind w:left="420" w:hanging="420"/>
      </w:pPr>
      <w:rPr>
        <w:rFonts w:hint="default" w:ascii="Wingdings" w:hAnsi="Wingdings"/>
      </w:rPr>
    </w:lvl>
  </w:abstractNum>
  <w:abstractNum w:abstractNumId="7">
    <w:nsid w:val="6DE8CBC6"/>
    <w:multiLevelType w:val="singleLevel"/>
    <w:tmpl w:val="6DE8CBC6"/>
    <w:lvl w:ilvl="0" w:tentative="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ZTNkYzE4MjA5N2U4ZGE5MDdiNWMzODRlZjAyZGEifQ=="/>
  </w:docVars>
  <w:rsids>
    <w:rsidRoot w:val="00172A27"/>
    <w:rsid w:val="00002A60"/>
    <w:rsid w:val="00004603"/>
    <w:rsid w:val="00004FB4"/>
    <w:rsid w:val="00005EA5"/>
    <w:rsid w:val="00007319"/>
    <w:rsid w:val="000106AE"/>
    <w:rsid w:val="00012703"/>
    <w:rsid w:val="0001485E"/>
    <w:rsid w:val="00014B5E"/>
    <w:rsid w:val="00017A77"/>
    <w:rsid w:val="00020140"/>
    <w:rsid w:val="00021BFE"/>
    <w:rsid w:val="000250D6"/>
    <w:rsid w:val="00025980"/>
    <w:rsid w:val="00025A32"/>
    <w:rsid w:val="00025ACC"/>
    <w:rsid w:val="00026171"/>
    <w:rsid w:val="000316F2"/>
    <w:rsid w:val="00032762"/>
    <w:rsid w:val="000351AE"/>
    <w:rsid w:val="00036642"/>
    <w:rsid w:val="00036874"/>
    <w:rsid w:val="00043778"/>
    <w:rsid w:val="000440B8"/>
    <w:rsid w:val="00051294"/>
    <w:rsid w:val="00051349"/>
    <w:rsid w:val="0005229A"/>
    <w:rsid w:val="0005477B"/>
    <w:rsid w:val="00055BAD"/>
    <w:rsid w:val="00056749"/>
    <w:rsid w:val="00062AC6"/>
    <w:rsid w:val="0006351B"/>
    <w:rsid w:val="00065A9E"/>
    <w:rsid w:val="000663AC"/>
    <w:rsid w:val="000668F1"/>
    <w:rsid w:val="00067035"/>
    <w:rsid w:val="00067C48"/>
    <w:rsid w:val="00071445"/>
    <w:rsid w:val="00072C93"/>
    <w:rsid w:val="000752F3"/>
    <w:rsid w:val="00076E3F"/>
    <w:rsid w:val="0008132B"/>
    <w:rsid w:val="00081360"/>
    <w:rsid w:val="0008253E"/>
    <w:rsid w:val="00084830"/>
    <w:rsid w:val="00086A9A"/>
    <w:rsid w:val="00087558"/>
    <w:rsid w:val="00090380"/>
    <w:rsid w:val="00091B0C"/>
    <w:rsid w:val="00091E04"/>
    <w:rsid w:val="0009240C"/>
    <w:rsid w:val="000938A1"/>
    <w:rsid w:val="00093C13"/>
    <w:rsid w:val="000943B0"/>
    <w:rsid w:val="00094C66"/>
    <w:rsid w:val="000A0FDD"/>
    <w:rsid w:val="000A1AB2"/>
    <w:rsid w:val="000A287B"/>
    <w:rsid w:val="000A4AA6"/>
    <w:rsid w:val="000A5C81"/>
    <w:rsid w:val="000A76B3"/>
    <w:rsid w:val="000B210F"/>
    <w:rsid w:val="000B50D8"/>
    <w:rsid w:val="000B65E2"/>
    <w:rsid w:val="000B676B"/>
    <w:rsid w:val="000C0018"/>
    <w:rsid w:val="000C06A4"/>
    <w:rsid w:val="000C1A9B"/>
    <w:rsid w:val="000C2AB5"/>
    <w:rsid w:val="000C4323"/>
    <w:rsid w:val="000C45BF"/>
    <w:rsid w:val="000C4710"/>
    <w:rsid w:val="000C5727"/>
    <w:rsid w:val="000D4336"/>
    <w:rsid w:val="000D49B4"/>
    <w:rsid w:val="000E08CB"/>
    <w:rsid w:val="000E5513"/>
    <w:rsid w:val="000E5673"/>
    <w:rsid w:val="000E582A"/>
    <w:rsid w:val="000E7256"/>
    <w:rsid w:val="000F2186"/>
    <w:rsid w:val="000F2A12"/>
    <w:rsid w:val="000F2ECC"/>
    <w:rsid w:val="000F3757"/>
    <w:rsid w:val="000F7A0C"/>
    <w:rsid w:val="001011FC"/>
    <w:rsid w:val="001024EB"/>
    <w:rsid w:val="00102618"/>
    <w:rsid w:val="00102F0B"/>
    <w:rsid w:val="00105423"/>
    <w:rsid w:val="001119B6"/>
    <w:rsid w:val="00111BC8"/>
    <w:rsid w:val="00113709"/>
    <w:rsid w:val="0011434A"/>
    <w:rsid w:val="00115124"/>
    <w:rsid w:val="00116CCB"/>
    <w:rsid w:val="00116F60"/>
    <w:rsid w:val="00117A4F"/>
    <w:rsid w:val="00117F0F"/>
    <w:rsid w:val="00120A52"/>
    <w:rsid w:val="00120B6A"/>
    <w:rsid w:val="00124337"/>
    <w:rsid w:val="0012552C"/>
    <w:rsid w:val="001264AB"/>
    <w:rsid w:val="00132BB4"/>
    <w:rsid w:val="00133462"/>
    <w:rsid w:val="0013488C"/>
    <w:rsid w:val="001373A8"/>
    <w:rsid w:val="001373E1"/>
    <w:rsid w:val="0014098E"/>
    <w:rsid w:val="00141621"/>
    <w:rsid w:val="0014488E"/>
    <w:rsid w:val="00144E9B"/>
    <w:rsid w:val="00152216"/>
    <w:rsid w:val="001530C6"/>
    <w:rsid w:val="00160B81"/>
    <w:rsid w:val="00163567"/>
    <w:rsid w:val="00163D84"/>
    <w:rsid w:val="00170389"/>
    <w:rsid w:val="001705D1"/>
    <w:rsid w:val="00172A27"/>
    <w:rsid w:val="00173254"/>
    <w:rsid w:val="001735B4"/>
    <w:rsid w:val="001748A3"/>
    <w:rsid w:val="00175CB7"/>
    <w:rsid w:val="00182B11"/>
    <w:rsid w:val="00182CFD"/>
    <w:rsid w:val="00183AEA"/>
    <w:rsid w:val="00183B4A"/>
    <w:rsid w:val="00186361"/>
    <w:rsid w:val="00187146"/>
    <w:rsid w:val="00187B8A"/>
    <w:rsid w:val="00193C1D"/>
    <w:rsid w:val="001A093D"/>
    <w:rsid w:val="001A0C52"/>
    <w:rsid w:val="001A0CCF"/>
    <w:rsid w:val="001A2E05"/>
    <w:rsid w:val="001A397D"/>
    <w:rsid w:val="001A4306"/>
    <w:rsid w:val="001A4491"/>
    <w:rsid w:val="001A4684"/>
    <w:rsid w:val="001A6683"/>
    <w:rsid w:val="001B1289"/>
    <w:rsid w:val="001B15F1"/>
    <w:rsid w:val="001B2E6B"/>
    <w:rsid w:val="001B5478"/>
    <w:rsid w:val="001B7FEF"/>
    <w:rsid w:val="001C133B"/>
    <w:rsid w:val="001C24FC"/>
    <w:rsid w:val="001C30C7"/>
    <w:rsid w:val="001C5516"/>
    <w:rsid w:val="001C6CA4"/>
    <w:rsid w:val="001C73B7"/>
    <w:rsid w:val="001D033C"/>
    <w:rsid w:val="001D1D4F"/>
    <w:rsid w:val="001D30B6"/>
    <w:rsid w:val="001D370F"/>
    <w:rsid w:val="001D3BE0"/>
    <w:rsid w:val="001D47D0"/>
    <w:rsid w:val="001E1205"/>
    <w:rsid w:val="001E1433"/>
    <w:rsid w:val="001E35A2"/>
    <w:rsid w:val="001F1B9C"/>
    <w:rsid w:val="001F2208"/>
    <w:rsid w:val="001F285E"/>
    <w:rsid w:val="001F2D26"/>
    <w:rsid w:val="001F4134"/>
    <w:rsid w:val="001F45EE"/>
    <w:rsid w:val="001F4850"/>
    <w:rsid w:val="00204444"/>
    <w:rsid w:val="00204A5C"/>
    <w:rsid w:val="002063D8"/>
    <w:rsid w:val="00207A0B"/>
    <w:rsid w:val="00212A53"/>
    <w:rsid w:val="0021322F"/>
    <w:rsid w:val="00213B90"/>
    <w:rsid w:val="00214661"/>
    <w:rsid w:val="00215412"/>
    <w:rsid w:val="0021562F"/>
    <w:rsid w:val="00215AF0"/>
    <w:rsid w:val="00216AE1"/>
    <w:rsid w:val="002229E2"/>
    <w:rsid w:val="00223DE4"/>
    <w:rsid w:val="0022434B"/>
    <w:rsid w:val="00226A0E"/>
    <w:rsid w:val="00233ADF"/>
    <w:rsid w:val="0023423F"/>
    <w:rsid w:val="002362D4"/>
    <w:rsid w:val="00237B0E"/>
    <w:rsid w:val="002408F3"/>
    <w:rsid w:val="00242D62"/>
    <w:rsid w:val="002430C2"/>
    <w:rsid w:val="00244E70"/>
    <w:rsid w:val="00246140"/>
    <w:rsid w:val="00250CB7"/>
    <w:rsid w:val="0025135E"/>
    <w:rsid w:val="00251A49"/>
    <w:rsid w:val="002521B3"/>
    <w:rsid w:val="00253B41"/>
    <w:rsid w:val="0025460A"/>
    <w:rsid w:val="00255D0D"/>
    <w:rsid w:val="00260C77"/>
    <w:rsid w:val="00261352"/>
    <w:rsid w:val="00263F0B"/>
    <w:rsid w:val="0026441A"/>
    <w:rsid w:val="00264EB1"/>
    <w:rsid w:val="00265A88"/>
    <w:rsid w:val="00276C71"/>
    <w:rsid w:val="00281526"/>
    <w:rsid w:val="00281EEE"/>
    <w:rsid w:val="00285406"/>
    <w:rsid w:val="002875E7"/>
    <w:rsid w:val="002900F1"/>
    <w:rsid w:val="002954D0"/>
    <w:rsid w:val="00295D39"/>
    <w:rsid w:val="002A0C76"/>
    <w:rsid w:val="002A552C"/>
    <w:rsid w:val="002A65ED"/>
    <w:rsid w:val="002A74F3"/>
    <w:rsid w:val="002B2B5B"/>
    <w:rsid w:val="002B3A80"/>
    <w:rsid w:val="002C0C29"/>
    <w:rsid w:val="002C0E1B"/>
    <w:rsid w:val="002C1A91"/>
    <w:rsid w:val="002C31DD"/>
    <w:rsid w:val="002C3CD8"/>
    <w:rsid w:val="002C7B9B"/>
    <w:rsid w:val="002D11BA"/>
    <w:rsid w:val="002D2B90"/>
    <w:rsid w:val="002D3BB1"/>
    <w:rsid w:val="002D3DB4"/>
    <w:rsid w:val="002D6F32"/>
    <w:rsid w:val="002D7B78"/>
    <w:rsid w:val="002E0096"/>
    <w:rsid w:val="002E17E3"/>
    <w:rsid w:val="002E1C97"/>
    <w:rsid w:val="002E1DAC"/>
    <w:rsid w:val="002E6D05"/>
    <w:rsid w:val="002F077E"/>
    <w:rsid w:val="002F1295"/>
    <w:rsid w:val="002F13BD"/>
    <w:rsid w:val="002F2FED"/>
    <w:rsid w:val="002F72A0"/>
    <w:rsid w:val="002F79DB"/>
    <w:rsid w:val="00311324"/>
    <w:rsid w:val="00312201"/>
    <w:rsid w:val="003122C4"/>
    <w:rsid w:val="00314498"/>
    <w:rsid w:val="0032031D"/>
    <w:rsid w:val="003214BA"/>
    <w:rsid w:val="00321647"/>
    <w:rsid w:val="00321989"/>
    <w:rsid w:val="003236E8"/>
    <w:rsid w:val="003243EC"/>
    <w:rsid w:val="003247CD"/>
    <w:rsid w:val="00324A14"/>
    <w:rsid w:val="003279BD"/>
    <w:rsid w:val="003362AD"/>
    <w:rsid w:val="00337AF2"/>
    <w:rsid w:val="00340FD2"/>
    <w:rsid w:val="00342688"/>
    <w:rsid w:val="0034440E"/>
    <w:rsid w:val="00344FE2"/>
    <w:rsid w:val="00347899"/>
    <w:rsid w:val="0035096E"/>
    <w:rsid w:val="003518D6"/>
    <w:rsid w:val="00354B7A"/>
    <w:rsid w:val="00356211"/>
    <w:rsid w:val="00363966"/>
    <w:rsid w:val="00363AA3"/>
    <w:rsid w:val="00363B6F"/>
    <w:rsid w:val="00364943"/>
    <w:rsid w:val="003701CE"/>
    <w:rsid w:val="00371C1B"/>
    <w:rsid w:val="003741B0"/>
    <w:rsid w:val="0037520A"/>
    <w:rsid w:val="003752C4"/>
    <w:rsid w:val="00375481"/>
    <w:rsid w:val="003766FB"/>
    <w:rsid w:val="0038030C"/>
    <w:rsid w:val="00381674"/>
    <w:rsid w:val="0038240C"/>
    <w:rsid w:val="0038359A"/>
    <w:rsid w:val="0038499D"/>
    <w:rsid w:val="00384D1F"/>
    <w:rsid w:val="00385F21"/>
    <w:rsid w:val="00386AA0"/>
    <w:rsid w:val="00387996"/>
    <w:rsid w:val="00391F03"/>
    <w:rsid w:val="0039397E"/>
    <w:rsid w:val="0039407B"/>
    <w:rsid w:val="00396C3D"/>
    <w:rsid w:val="003A2368"/>
    <w:rsid w:val="003A593E"/>
    <w:rsid w:val="003A5D57"/>
    <w:rsid w:val="003A6775"/>
    <w:rsid w:val="003B02F9"/>
    <w:rsid w:val="003B1B15"/>
    <w:rsid w:val="003B1EF7"/>
    <w:rsid w:val="003B2287"/>
    <w:rsid w:val="003B388A"/>
    <w:rsid w:val="003B5FA3"/>
    <w:rsid w:val="003C083C"/>
    <w:rsid w:val="003C0D7D"/>
    <w:rsid w:val="003C22CD"/>
    <w:rsid w:val="003C3B81"/>
    <w:rsid w:val="003C4858"/>
    <w:rsid w:val="003C5BB3"/>
    <w:rsid w:val="003C70EF"/>
    <w:rsid w:val="003C7F92"/>
    <w:rsid w:val="003D1170"/>
    <w:rsid w:val="003D1B8E"/>
    <w:rsid w:val="003D2D72"/>
    <w:rsid w:val="003D3416"/>
    <w:rsid w:val="003D36EE"/>
    <w:rsid w:val="003D402C"/>
    <w:rsid w:val="003D6E0A"/>
    <w:rsid w:val="003E01F3"/>
    <w:rsid w:val="003E247F"/>
    <w:rsid w:val="003E2C4E"/>
    <w:rsid w:val="003E2EB0"/>
    <w:rsid w:val="003E4CFA"/>
    <w:rsid w:val="003E56F5"/>
    <w:rsid w:val="003F3518"/>
    <w:rsid w:val="003F504F"/>
    <w:rsid w:val="003F5B69"/>
    <w:rsid w:val="00402085"/>
    <w:rsid w:val="00405040"/>
    <w:rsid w:val="00406A26"/>
    <w:rsid w:val="004105EF"/>
    <w:rsid w:val="004113C2"/>
    <w:rsid w:val="0041194C"/>
    <w:rsid w:val="00415841"/>
    <w:rsid w:val="00415A1A"/>
    <w:rsid w:val="0042326A"/>
    <w:rsid w:val="00423F96"/>
    <w:rsid w:val="00425243"/>
    <w:rsid w:val="00427C4D"/>
    <w:rsid w:val="00431F4F"/>
    <w:rsid w:val="00432518"/>
    <w:rsid w:val="0043351E"/>
    <w:rsid w:val="00433676"/>
    <w:rsid w:val="00436504"/>
    <w:rsid w:val="00436FEF"/>
    <w:rsid w:val="004375F1"/>
    <w:rsid w:val="004405C7"/>
    <w:rsid w:val="00441D39"/>
    <w:rsid w:val="00442AF8"/>
    <w:rsid w:val="00442B41"/>
    <w:rsid w:val="0044514A"/>
    <w:rsid w:val="00445C88"/>
    <w:rsid w:val="00447E59"/>
    <w:rsid w:val="0045084F"/>
    <w:rsid w:val="00453667"/>
    <w:rsid w:val="0045378D"/>
    <w:rsid w:val="00456389"/>
    <w:rsid w:val="00457DC2"/>
    <w:rsid w:val="00463001"/>
    <w:rsid w:val="004651E8"/>
    <w:rsid w:val="00466339"/>
    <w:rsid w:val="004733D3"/>
    <w:rsid w:val="00474378"/>
    <w:rsid w:val="00476673"/>
    <w:rsid w:val="004766F6"/>
    <w:rsid w:val="00476828"/>
    <w:rsid w:val="00482829"/>
    <w:rsid w:val="00487315"/>
    <w:rsid w:val="00490474"/>
    <w:rsid w:val="00490A6C"/>
    <w:rsid w:val="00490E43"/>
    <w:rsid w:val="00490F92"/>
    <w:rsid w:val="00494530"/>
    <w:rsid w:val="00494624"/>
    <w:rsid w:val="00495001"/>
    <w:rsid w:val="004961B6"/>
    <w:rsid w:val="004A112E"/>
    <w:rsid w:val="004A2EAA"/>
    <w:rsid w:val="004A76F2"/>
    <w:rsid w:val="004B51E3"/>
    <w:rsid w:val="004B6ED7"/>
    <w:rsid w:val="004C55EF"/>
    <w:rsid w:val="004C715C"/>
    <w:rsid w:val="004D023C"/>
    <w:rsid w:val="004D1209"/>
    <w:rsid w:val="004D1ADB"/>
    <w:rsid w:val="004D3DEA"/>
    <w:rsid w:val="004D422A"/>
    <w:rsid w:val="004D4247"/>
    <w:rsid w:val="004D636F"/>
    <w:rsid w:val="004D7237"/>
    <w:rsid w:val="004D7691"/>
    <w:rsid w:val="004D794D"/>
    <w:rsid w:val="004D7FCB"/>
    <w:rsid w:val="004E0235"/>
    <w:rsid w:val="004E0C05"/>
    <w:rsid w:val="004E1B6A"/>
    <w:rsid w:val="004E2C6B"/>
    <w:rsid w:val="004E2DBE"/>
    <w:rsid w:val="004E3473"/>
    <w:rsid w:val="004E38EA"/>
    <w:rsid w:val="004E46C6"/>
    <w:rsid w:val="004E5FCD"/>
    <w:rsid w:val="004F0052"/>
    <w:rsid w:val="004F1425"/>
    <w:rsid w:val="004F1B35"/>
    <w:rsid w:val="004F2481"/>
    <w:rsid w:val="004F2BD3"/>
    <w:rsid w:val="004F3309"/>
    <w:rsid w:val="004F49C7"/>
    <w:rsid w:val="005034E3"/>
    <w:rsid w:val="00503D63"/>
    <w:rsid w:val="00505C3B"/>
    <w:rsid w:val="00506A2D"/>
    <w:rsid w:val="0050739A"/>
    <w:rsid w:val="005100DC"/>
    <w:rsid w:val="0051021A"/>
    <w:rsid w:val="00511660"/>
    <w:rsid w:val="0051272A"/>
    <w:rsid w:val="00512A0D"/>
    <w:rsid w:val="00513A13"/>
    <w:rsid w:val="00517CCE"/>
    <w:rsid w:val="00520214"/>
    <w:rsid w:val="005220ED"/>
    <w:rsid w:val="005229A0"/>
    <w:rsid w:val="00522D50"/>
    <w:rsid w:val="00523F81"/>
    <w:rsid w:val="00527D92"/>
    <w:rsid w:val="00531A1D"/>
    <w:rsid w:val="00531BAF"/>
    <w:rsid w:val="00533F95"/>
    <w:rsid w:val="00534796"/>
    <w:rsid w:val="00537781"/>
    <w:rsid w:val="005409DB"/>
    <w:rsid w:val="005410AB"/>
    <w:rsid w:val="00542C62"/>
    <w:rsid w:val="00542E7D"/>
    <w:rsid w:val="0054326D"/>
    <w:rsid w:val="00543F5F"/>
    <w:rsid w:val="00545698"/>
    <w:rsid w:val="00546149"/>
    <w:rsid w:val="00550B88"/>
    <w:rsid w:val="005510C3"/>
    <w:rsid w:val="00555089"/>
    <w:rsid w:val="005565F1"/>
    <w:rsid w:val="00557DD9"/>
    <w:rsid w:val="00562259"/>
    <w:rsid w:val="005627A0"/>
    <w:rsid w:val="005655BD"/>
    <w:rsid w:val="00572ADB"/>
    <w:rsid w:val="00573B46"/>
    <w:rsid w:val="00573C8F"/>
    <w:rsid w:val="00576C5E"/>
    <w:rsid w:val="00577C17"/>
    <w:rsid w:val="00580957"/>
    <w:rsid w:val="005810CA"/>
    <w:rsid w:val="00581767"/>
    <w:rsid w:val="005824FB"/>
    <w:rsid w:val="005827A7"/>
    <w:rsid w:val="0058516B"/>
    <w:rsid w:val="00585B39"/>
    <w:rsid w:val="00586041"/>
    <w:rsid w:val="00586955"/>
    <w:rsid w:val="0059030C"/>
    <w:rsid w:val="00592372"/>
    <w:rsid w:val="00592B2C"/>
    <w:rsid w:val="005940A3"/>
    <w:rsid w:val="005955BA"/>
    <w:rsid w:val="005A0B59"/>
    <w:rsid w:val="005A245A"/>
    <w:rsid w:val="005A2C4A"/>
    <w:rsid w:val="005A2C7B"/>
    <w:rsid w:val="005A328C"/>
    <w:rsid w:val="005A4965"/>
    <w:rsid w:val="005A4B80"/>
    <w:rsid w:val="005A5F20"/>
    <w:rsid w:val="005A697C"/>
    <w:rsid w:val="005A78C0"/>
    <w:rsid w:val="005A79DD"/>
    <w:rsid w:val="005B0F9A"/>
    <w:rsid w:val="005B1A42"/>
    <w:rsid w:val="005B2156"/>
    <w:rsid w:val="005B46BD"/>
    <w:rsid w:val="005B4DB1"/>
    <w:rsid w:val="005B6022"/>
    <w:rsid w:val="005B603D"/>
    <w:rsid w:val="005B6D33"/>
    <w:rsid w:val="005C162E"/>
    <w:rsid w:val="005C1B19"/>
    <w:rsid w:val="005C417A"/>
    <w:rsid w:val="005C4750"/>
    <w:rsid w:val="005C4B9B"/>
    <w:rsid w:val="005C7507"/>
    <w:rsid w:val="005D22FC"/>
    <w:rsid w:val="005D3A17"/>
    <w:rsid w:val="005D3D41"/>
    <w:rsid w:val="005D736F"/>
    <w:rsid w:val="005D74A8"/>
    <w:rsid w:val="005D76B5"/>
    <w:rsid w:val="005E4F70"/>
    <w:rsid w:val="005E7CE8"/>
    <w:rsid w:val="005F162E"/>
    <w:rsid w:val="005F16C3"/>
    <w:rsid w:val="005F328B"/>
    <w:rsid w:val="005F74F3"/>
    <w:rsid w:val="0060161F"/>
    <w:rsid w:val="00601D35"/>
    <w:rsid w:val="006038CA"/>
    <w:rsid w:val="00605A28"/>
    <w:rsid w:val="0060645A"/>
    <w:rsid w:val="00613AA4"/>
    <w:rsid w:val="00613F65"/>
    <w:rsid w:val="00614E98"/>
    <w:rsid w:val="00615C5C"/>
    <w:rsid w:val="00617880"/>
    <w:rsid w:val="00621D6C"/>
    <w:rsid w:val="0062261D"/>
    <w:rsid w:val="0062295C"/>
    <w:rsid w:val="00623AD2"/>
    <w:rsid w:val="00623F86"/>
    <w:rsid w:val="0062437A"/>
    <w:rsid w:val="006314A9"/>
    <w:rsid w:val="00632467"/>
    <w:rsid w:val="00632B51"/>
    <w:rsid w:val="00633021"/>
    <w:rsid w:val="00633AB3"/>
    <w:rsid w:val="00634001"/>
    <w:rsid w:val="00636962"/>
    <w:rsid w:val="00636B86"/>
    <w:rsid w:val="0063711E"/>
    <w:rsid w:val="00641647"/>
    <w:rsid w:val="00641FC5"/>
    <w:rsid w:val="006434C2"/>
    <w:rsid w:val="00643F2C"/>
    <w:rsid w:val="00644C71"/>
    <w:rsid w:val="006462FA"/>
    <w:rsid w:val="00646AAD"/>
    <w:rsid w:val="0065308A"/>
    <w:rsid w:val="00653BCA"/>
    <w:rsid w:val="00655370"/>
    <w:rsid w:val="00656366"/>
    <w:rsid w:val="00660385"/>
    <w:rsid w:val="00660EBB"/>
    <w:rsid w:val="00663BF4"/>
    <w:rsid w:val="00663CC5"/>
    <w:rsid w:val="00670660"/>
    <w:rsid w:val="006771B8"/>
    <w:rsid w:val="00680AC7"/>
    <w:rsid w:val="00683E7E"/>
    <w:rsid w:val="00684D69"/>
    <w:rsid w:val="00685D8F"/>
    <w:rsid w:val="006867B4"/>
    <w:rsid w:val="00686AF3"/>
    <w:rsid w:val="00687F8D"/>
    <w:rsid w:val="006928F3"/>
    <w:rsid w:val="006952F5"/>
    <w:rsid w:val="00696FBE"/>
    <w:rsid w:val="00697AFA"/>
    <w:rsid w:val="006A1B2F"/>
    <w:rsid w:val="006A350C"/>
    <w:rsid w:val="006A4E17"/>
    <w:rsid w:val="006A5596"/>
    <w:rsid w:val="006A657F"/>
    <w:rsid w:val="006B1B66"/>
    <w:rsid w:val="006B3EA8"/>
    <w:rsid w:val="006B4620"/>
    <w:rsid w:val="006B573E"/>
    <w:rsid w:val="006B625C"/>
    <w:rsid w:val="006B6E3B"/>
    <w:rsid w:val="006C0941"/>
    <w:rsid w:val="006C1B42"/>
    <w:rsid w:val="006C56C9"/>
    <w:rsid w:val="006C5FF6"/>
    <w:rsid w:val="006C71DF"/>
    <w:rsid w:val="006C76E2"/>
    <w:rsid w:val="006D03A3"/>
    <w:rsid w:val="006D144F"/>
    <w:rsid w:val="006D19E3"/>
    <w:rsid w:val="006D2431"/>
    <w:rsid w:val="006D3F86"/>
    <w:rsid w:val="006D4232"/>
    <w:rsid w:val="006D567B"/>
    <w:rsid w:val="006D6C42"/>
    <w:rsid w:val="006D72C7"/>
    <w:rsid w:val="006D72CF"/>
    <w:rsid w:val="006D7C98"/>
    <w:rsid w:val="006E011E"/>
    <w:rsid w:val="006E01B4"/>
    <w:rsid w:val="006E04C8"/>
    <w:rsid w:val="006E0B76"/>
    <w:rsid w:val="006E1CF0"/>
    <w:rsid w:val="006E1EB0"/>
    <w:rsid w:val="006E296D"/>
    <w:rsid w:val="006E2EB3"/>
    <w:rsid w:val="006E3EAB"/>
    <w:rsid w:val="006E521B"/>
    <w:rsid w:val="006E798E"/>
    <w:rsid w:val="006F0AAD"/>
    <w:rsid w:val="006F30B4"/>
    <w:rsid w:val="006F3A43"/>
    <w:rsid w:val="006F3F8C"/>
    <w:rsid w:val="006F46C3"/>
    <w:rsid w:val="006F5383"/>
    <w:rsid w:val="006F6927"/>
    <w:rsid w:val="006F6E12"/>
    <w:rsid w:val="006F713A"/>
    <w:rsid w:val="007009AA"/>
    <w:rsid w:val="00701A84"/>
    <w:rsid w:val="00701C71"/>
    <w:rsid w:val="007026E3"/>
    <w:rsid w:val="0070349D"/>
    <w:rsid w:val="007036C3"/>
    <w:rsid w:val="00705859"/>
    <w:rsid w:val="00705FEB"/>
    <w:rsid w:val="00706041"/>
    <w:rsid w:val="00710945"/>
    <w:rsid w:val="00710A44"/>
    <w:rsid w:val="00710CAF"/>
    <w:rsid w:val="00711A99"/>
    <w:rsid w:val="007123AF"/>
    <w:rsid w:val="00712A96"/>
    <w:rsid w:val="007169EC"/>
    <w:rsid w:val="00717B12"/>
    <w:rsid w:val="00721056"/>
    <w:rsid w:val="00722501"/>
    <w:rsid w:val="00725C94"/>
    <w:rsid w:val="007268FF"/>
    <w:rsid w:val="00726A6C"/>
    <w:rsid w:val="00726B23"/>
    <w:rsid w:val="00726DB7"/>
    <w:rsid w:val="00727E29"/>
    <w:rsid w:val="00733083"/>
    <w:rsid w:val="00736661"/>
    <w:rsid w:val="00736C62"/>
    <w:rsid w:val="00737A12"/>
    <w:rsid w:val="0074078A"/>
    <w:rsid w:val="00741842"/>
    <w:rsid w:val="00741DE4"/>
    <w:rsid w:val="00741FC2"/>
    <w:rsid w:val="00742B21"/>
    <w:rsid w:val="00744517"/>
    <w:rsid w:val="00747254"/>
    <w:rsid w:val="00750137"/>
    <w:rsid w:val="0075063F"/>
    <w:rsid w:val="0075115C"/>
    <w:rsid w:val="00752173"/>
    <w:rsid w:val="007525B7"/>
    <w:rsid w:val="00752BB4"/>
    <w:rsid w:val="00753AC5"/>
    <w:rsid w:val="00755157"/>
    <w:rsid w:val="00755ACB"/>
    <w:rsid w:val="00761633"/>
    <w:rsid w:val="007636B7"/>
    <w:rsid w:val="00766147"/>
    <w:rsid w:val="00766DD4"/>
    <w:rsid w:val="0076743A"/>
    <w:rsid w:val="00770518"/>
    <w:rsid w:val="007708F3"/>
    <w:rsid w:val="00770BA2"/>
    <w:rsid w:val="007724D2"/>
    <w:rsid w:val="00772CF4"/>
    <w:rsid w:val="00772D55"/>
    <w:rsid w:val="00772E30"/>
    <w:rsid w:val="00775654"/>
    <w:rsid w:val="007769FC"/>
    <w:rsid w:val="00780470"/>
    <w:rsid w:val="00790A94"/>
    <w:rsid w:val="007911B2"/>
    <w:rsid w:val="007939A9"/>
    <w:rsid w:val="007944D6"/>
    <w:rsid w:val="00797ACE"/>
    <w:rsid w:val="007A08F7"/>
    <w:rsid w:val="007A0983"/>
    <w:rsid w:val="007A1E5B"/>
    <w:rsid w:val="007A36C9"/>
    <w:rsid w:val="007A4802"/>
    <w:rsid w:val="007A5188"/>
    <w:rsid w:val="007A6512"/>
    <w:rsid w:val="007A67FD"/>
    <w:rsid w:val="007B361A"/>
    <w:rsid w:val="007B3D71"/>
    <w:rsid w:val="007B5213"/>
    <w:rsid w:val="007B5482"/>
    <w:rsid w:val="007B5AE0"/>
    <w:rsid w:val="007B6C37"/>
    <w:rsid w:val="007B7DDF"/>
    <w:rsid w:val="007C047C"/>
    <w:rsid w:val="007C292F"/>
    <w:rsid w:val="007C3698"/>
    <w:rsid w:val="007C681F"/>
    <w:rsid w:val="007C749A"/>
    <w:rsid w:val="007D07A2"/>
    <w:rsid w:val="007D0B0E"/>
    <w:rsid w:val="007D16DC"/>
    <w:rsid w:val="007D2672"/>
    <w:rsid w:val="007D4C26"/>
    <w:rsid w:val="007D5B5E"/>
    <w:rsid w:val="007D5CBB"/>
    <w:rsid w:val="007D6572"/>
    <w:rsid w:val="007D7D9E"/>
    <w:rsid w:val="007E0563"/>
    <w:rsid w:val="007E6590"/>
    <w:rsid w:val="007E78FD"/>
    <w:rsid w:val="007E7CC4"/>
    <w:rsid w:val="007F2013"/>
    <w:rsid w:val="007F33A5"/>
    <w:rsid w:val="007F34D6"/>
    <w:rsid w:val="007F5833"/>
    <w:rsid w:val="007F6A96"/>
    <w:rsid w:val="007F7EE3"/>
    <w:rsid w:val="008016DA"/>
    <w:rsid w:val="00802BFC"/>
    <w:rsid w:val="00803D1B"/>
    <w:rsid w:val="00804854"/>
    <w:rsid w:val="00805D01"/>
    <w:rsid w:val="00806D98"/>
    <w:rsid w:val="00810A86"/>
    <w:rsid w:val="00810B9E"/>
    <w:rsid w:val="008119E7"/>
    <w:rsid w:val="00814ACE"/>
    <w:rsid w:val="008157C7"/>
    <w:rsid w:val="00816E0B"/>
    <w:rsid w:val="00817ED4"/>
    <w:rsid w:val="00820B26"/>
    <w:rsid w:val="00821EB6"/>
    <w:rsid w:val="00822B05"/>
    <w:rsid w:val="00823971"/>
    <w:rsid w:val="00826534"/>
    <w:rsid w:val="00826C28"/>
    <w:rsid w:val="00827BE9"/>
    <w:rsid w:val="008322AD"/>
    <w:rsid w:val="008331F8"/>
    <w:rsid w:val="00833E5B"/>
    <w:rsid w:val="00834763"/>
    <w:rsid w:val="00842D0A"/>
    <w:rsid w:val="0084602F"/>
    <w:rsid w:val="00847755"/>
    <w:rsid w:val="00847907"/>
    <w:rsid w:val="0085149D"/>
    <w:rsid w:val="00851FB3"/>
    <w:rsid w:val="0085267C"/>
    <w:rsid w:val="0085527A"/>
    <w:rsid w:val="008567AE"/>
    <w:rsid w:val="008602E0"/>
    <w:rsid w:val="00860649"/>
    <w:rsid w:val="0086198B"/>
    <w:rsid w:val="008625DD"/>
    <w:rsid w:val="008631FE"/>
    <w:rsid w:val="00865A18"/>
    <w:rsid w:val="00867C03"/>
    <w:rsid w:val="00870194"/>
    <w:rsid w:val="008702EF"/>
    <w:rsid w:val="008736FF"/>
    <w:rsid w:val="00874DAC"/>
    <w:rsid w:val="00876D34"/>
    <w:rsid w:val="00877B50"/>
    <w:rsid w:val="00880C4E"/>
    <w:rsid w:val="008825E8"/>
    <w:rsid w:val="00884568"/>
    <w:rsid w:val="00886D39"/>
    <w:rsid w:val="00887FFB"/>
    <w:rsid w:val="008926B0"/>
    <w:rsid w:val="008936E5"/>
    <w:rsid w:val="0089400B"/>
    <w:rsid w:val="00894322"/>
    <w:rsid w:val="008946EA"/>
    <w:rsid w:val="00895617"/>
    <w:rsid w:val="008965AF"/>
    <w:rsid w:val="008A0C4A"/>
    <w:rsid w:val="008A1D5F"/>
    <w:rsid w:val="008A3781"/>
    <w:rsid w:val="008A4337"/>
    <w:rsid w:val="008A4F8A"/>
    <w:rsid w:val="008A557E"/>
    <w:rsid w:val="008A6265"/>
    <w:rsid w:val="008B3906"/>
    <w:rsid w:val="008B4958"/>
    <w:rsid w:val="008B51D6"/>
    <w:rsid w:val="008C2276"/>
    <w:rsid w:val="008C3B4C"/>
    <w:rsid w:val="008C4D93"/>
    <w:rsid w:val="008C7C0B"/>
    <w:rsid w:val="008D0EA5"/>
    <w:rsid w:val="008D1571"/>
    <w:rsid w:val="008D1879"/>
    <w:rsid w:val="008D1F7C"/>
    <w:rsid w:val="008D2B4F"/>
    <w:rsid w:val="008D3603"/>
    <w:rsid w:val="008E0053"/>
    <w:rsid w:val="008E0C18"/>
    <w:rsid w:val="008E212F"/>
    <w:rsid w:val="008E3F3F"/>
    <w:rsid w:val="008E4CFA"/>
    <w:rsid w:val="008E53F8"/>
    <w:rsid w:val="008F2DB6"/>
    <w:rsid w:val="008F3275"/>
    <w:rsid w:val="008F6AF6"/>
    <w:rsid w:val="008F78BF"/>
    <w:rsid w:val="0090152F"/>
    <w:rsid w:val="0090369D"/>
    <w:rsid w:val="009044B8"/>
    <w:rsid w:val="0090579A"/>
    <w:rsid w:val="00905AE6"/>
    <w:rsid w:val="009102B1"/>
    <w:rsid w:val="009117AF"/>
    <w:rsid w:val="00913486"/>
    <w:rsid w:val="00913DA9"/>
    <w:rsid w:val="00915BD0"/>
    <w:rsid w:val="009165B6"/>
    <w:rsid w:val="0091764F"/>
    <w:rsid w:val="00920216"/>
    <w:rsid w:val="00922D1D"/>
    <w:rsid w:val="009233CB"/>
    <w:rsid w:val="00924387"/>
    <w:rsid w:val="0092577B"/>
    <w:rsid w:val="009264DB"/>
    <w:rsid w:val="00926831"/>
    <w:rsid w:val="00926EEB"/>
    <w:rsid w:val="00934C5B"/>
    <w:rsid w:val="00937163"/>
    <w:rsid w:val="00942FF5"/>
    <w:rsid w:val="00943526"/>
    <w:rsid w:val="00943B39"/>
    <w:rsid w:val="00943F58"/>
    <w:rsid w:val="0094443B"/>
    <w:rsid w:val="0094469F"/>
    <w:rsid w:val="0094633F"/>
    <w:rsid w:val="0094784E"/>
    <w:rsid w:val="0094793B"/>
    <w:rsid w:val="00951E65"/>
    <w:rsid w:val="00953AE0"/>
    <w:rsid w:val="00953D09"/>
    <w:rsid w:val="00956336"/>
    <w:rsid w:val="0096197F"/>
    <w:rsid w:val="00964882"/>
    <w:rsid w:val="00966B18"/>
    <w:rsid w:val="009678EF"/>
    <w:rsid w:val="0097157C"/>
    <w:rsid w:val="00972737"/>
    <w:rsid w:val="00972D10"/>
    <w:rsid w:val="00975DA5"/>
    <w:rsid w:val="00976838"/>
    <w:rsid w:val="00976894"/>
    <w:rsid w:val="0098095B"/>
    <w:rsid w:val="00981293"/>
    <w:rsid w:val="009816BB"/>
    <w:rsid w:val="00984168"/>
    <w:rsid w:val="0098447C"/>
    <w:rsid w:val="0098473F"/>
    <w:rsid w:val="0098548A"/>
    <w:rsid w:val="009857A5"/>
    <w:rsid w:val="00986B3E"/>
    <w:rsid w:val="00987946"/>
    <w:rsid w:val="009914DB"/>
    <w:rsid w:val="00993DD3"/>
    <w:rsid w:val="00996088"/>
    <w:rsid w:val="0099765D"/>
    <w:rsid w:val="009A21F7"/>
    <w:rsid w:val="009A6828"/>
    <w:rsid w:val="009B115E"/>
    <w:rsid w:val="009B1747"/>
    <w:rsid w:val="009B54E6"/>
    <w:rsid w:val="009B5D9A"/>
    <w:rsid w:val="009C0EB0"/>
    <w:rsid w:val="009C42F0"/>
    <w:rsid w:val="009C5D2B"/>
    <w:rsid w:val="009D0A6C"/>
    <w:rsid w:val="009D5016"/>
    <w:rsid w:val="009D5541"/>
    <w:rsid w:val="009D5E2A"/>
    <w:rsid w:val="009E280D"/>
    <w:rsid w:val="009E42EB"/>
    <w:rsid w:val="009E4A27"/>
    <w:rsid w:val="009E5BB6"/>
    <w:rsid w:val="009E77CE"/>
    <w:rsid w:val="009F188D"/>
    <w:rsid w:val="009F1AC6"/>
    <w:rsid w:val="009F2027"/>
    <w:rsid w:val="009F3D52"/>
    <w:rsid w:val="009F457F"/>
    <w:rsid w:val="009F46DE"/>
    <w:rsid w:val="009F54BB"/>
    <w:rsid w:val="009F7053"/>
    <w:rsid w:val="00A00218"/>
    <w:rsid w:val="00A01041"/>
    <w:rsid w:val="00A013E6"/>
    <w:rsid w:val="00A029CB"/>
    <w:rsid w:val="00A04A23"/>
    <w:rsid w:val="00A059CF"/>
    <w:rsid w:val="00A1079F"/>
    <w:rsid w:val="00A11A4D"/>
    <w:rsid w:val="00A11B75"/>
    <w:rsid w:val="00A1395E"/>
    <w:rsid w:val="00A14161"/>
    <w:rsid w:val="00A1421E"/>
    <w:rsid w:val="00A161A9"/>
    <w:rsid w:val="00A20C87"/>
    <w:rsid w:val="00A214E6"/>
    <w:rsid w:val="00A21A7A"/>
    <w:rsid w:val="00A21E6F"/>
    <w:rsid w:val="00A2348C"/>
    <w:rsid w:val="00A236AA"/>
    <w:rsid w:val="00A239C4"/>
    <w:rsid w:val="00A24AE5"/>
    <w:rsid w:val="00A256CB"/>
    <w:rsid w:val="00A26148"/>
    <w:rsid w:val="00A27544"/>
    <w:rsid w:val="00A27AD2"/>
    <w:rsid w:val="00A30478"/>
    <w:rsid w:val="00A31FBE"/>
    <w:rsid w:val="00A34DD2"/>
    <w:rsid w:val="00A35BD9"/>
    <w:rsid w:val="00A40975"/>
    <w:rsid w:val="00A443E0"/>
    <w:rsid w:val="00A4635B"/>
    <w:rsid w:val="00A51D94"/>
    <w:rsid w:val="00A53381"/>
    <w:rsid w:val="00A549E2"/>
    <w:rsid w:val="00A57743"/>
    <w:rsid w:val="00A60D27"/>
    <w:rsid w:val="00A61259"/>
    <w:rsid w:val="00A6125B"/>
    <w:rsid w:val="00A63845"/>
    <w:rsid w:val="00A64CFB"/>
    <w:rsid w:val="00A660F9"/>
    <w:rsid w:val="00A7108D"/>
    <w:rsid w:val="00A71821"/>
    <w:rsid w:val="00A73C94"/>
    <w:rsid w:val="00A74B5E"/>
    <w:rsid w:val="00A75A0E"/>
    <w:rsid w:val="00A75AAB"/>
    <w:rsid w:val="00A77A8C"/>
    <w:rsid w:val="00A77C2A"/>
    <w:rsid w:val="00A8150A"/>
    <w:rsid w:val="00A8366F"/>
    <w:rsid w:val="00A86BC1"/>
    <w:rsid w:val="00A909F4"/>
    <w:rsid w:val="00A90FFC"/>
    <w:rsid w:val="00A927C2"/>
    <w:rsid w:val="00A93CEE"/>
    <w:rsid w:val="00A94DA7"/>
    <w:rsid w:val="00A95DBF"/>
    <w:rsid w:val="00A960E1"/>
    <w:rsid w:val="00A97ECB"/>
    <w:rsid w:val="00AA1FA3"/>
    <w:rsid w:val="00AA77E6"/>
    <w:rsid w:val="00AA78EE"/>
    <w:rsid w:val="00AB22FD"/>
    <w:rsid w:val="00AB249C"/>
    <w:rsid w:val="00AB3141"/>
    <w:rsid w:val="00AB5EF7"/>
    <w:rsid w:val="00AB609D"/>
    <w:rsid w:val="00AB66B8"/>
    <w:rsid w:val="00AB6EDE"/>
    <w:rsid w:val="00AC12CA"/>
    <w:rsid w:val="00AC2268"/>
    <w:rsid w:val="00AC3633"/>
    <w:rsid w:val="00AC6253"/>
    <w:rsid w:val="00AD75D8"/>
    <w:rsid w:val="00AD7CAC"/>
    <w:rsid w:val="00AD7DE4"/>
    <w:rsid w:val="00AE3BE1"/>
    <w:rsid w:val="00AE3D01"/>
    <w:rsid w:val="00AE4FC4"/>
    <w:rsid w:val="00AE5096"/>
    <w:rsid w:val="00AE5260"/>
    <w:rsid w:val="00AE5CF7"/>
    <w:rsid w:val="00AE67B6"/>
    <w:rsid w:val="00AF08A4"/>
    <w:rsid w:val="00AF0D29"/>
    <w:rsid w:val="00AF256E"/>
    <w:rsid w:val="00AF3442"/>
    <w:rsid w:val="00AF3E41"/>
    <w:rsid w:val="00AF49A0"/>
    <w:rsid w:val="00AF4F51"/>
    <w:rsid w:val="00AF5D13"/>
    <w:rsid w:val="00AF7CFA"/>
    <w:rsid w:val="00B0056F"/>
    <w:rsid w:val="00B0423C"/>
    <w:rsid w:val="00B05C02"/>
    <w:rsid w:val="00B05EB7"/>
    <w:rsid w:val="00B0641E"/>
    <w:rsid w:val="00B0711E"/>
    <w:rsid w:val="00B07A0E"/>
    <w:rsid w:val="00B07C93"/>
    <w:rsid w:val="00B11FE4"/>
    <w:rsid w:val="00B17226"/>
    <w:rsid w:val="00B1739F"/>
    <w:rsid w:val="00B20435"/>
    <w:rsid w:val="00B2193F"/>
    <w:rsid w:val="00B22D70"/>
    <w:rsid w:val="00B31B0C"/>
    <w:rsid w:val="00B32568"/>
    <w:rsid w:val="00B34169"/>
    <w:rsid w:val="00B352AE"/>
    <w:rsid w:val="00B40AC5"/>
    <w:rsid w:val="00B40DB4"/>
    <w:rsid w:val="00B42EE3"/>
    <w:rsid w:val="00B43529"/>
    <w:rsid w:val="00B45828"/>
    <w:rsid w:val="00B46EAC"/>
    <w:rsid w:val="00B47C51"/>
    <w:rsid w:val="00B51807"/>
    <w:rsid w:val="00B51D11"/>
    <w:rsid w:val="00B52304"/>
    <w:rsid w:val="00B524B8"/>
    <w:rsid w:val="00B568D1"/>
    <w:rsid w:val="00B56D08"/>
    <w:rsid w:val="00B56F9E"/>
    <w:rsid w:val="00B6040F"/>
    <w:rsid w:val="00B60576"/>
    <w:rsid w:val="00B60D18"/>
    <w:rsid w:val="00B70AB4"/>
    <w:rsid w:val="00B82CF7"/>
    <w:rsid w:val="00B82E6C"/>
    <w:rsid w:val="00B83E5B"/>
    <w:rsid w:val="00B840FF"/>
    <w:rsid w:val="00B84A8B"/>
    <w:rsid w:val="00B850F5"/>
    <w:rsid w:val="00B87737"/>
    <w:rsid w:val="00B8792A"/>
    <w:rsid w:val="00B87E1C"/>
    <w:rsid w:val="00B87E24"/>
    <w:rsid w:val="00B923D8"/>
    <w:rsid w:val="00B924CB"/>
    <w:rsid w:val="00B9340E"/>
    <w:rsid w:val="00B94B31"/>
    <w:rsid w:val="00BA141B"/>
    <w:rsid w:val="00BA1742"/>
    <w:rsid w:val="00BA4A15"/>
    <w:rsid w:val="00BA6A1E"/>
    <w:rsid w:val="00BA779B"/>
    <w:rsid w:val="00BB14E3"/>
    <w:rsid w:val="00BB2DBD"/>
    <w:rsid w:val="00BB3C2E"/>
    <w:rsid w:val="00BB50D4"/>
    <w:rsid w:val="00BB526A"/>
    <w:rsid w:val="00BB6955"/>
    <w:rsid w:val="00BC1578"/>
    <w:rsid w:val="00BC26C1"/>
    <w:rsid w:val="00BC31D7"/>
    <w:rsid w:val="00BC7BDB"/>
    <w:rsid w:val="00BD0888"/>
    <w:rsid w:val="00BD16CC"/>
    <w:rsid w:val="00BD2003"/>
    <w:rsid w:val="00BD2382"/>
    <w:rsid w:val="00BD38A7"/>
    <w:rsid w:val="00BD3CE8"/>
    <w:rsid w:val="00BD4CB1"/>
    <w:rsid w:val="00BD5685"/>
    <w:rsid w:val="00BD58EC"/>
    <w:rsid w:val="00BD6AE4"/>
    <w:rsid w:val="00BD6C5E"/>
    <w:rsid w:val="00BD7122"/>
    <w:rsid w:val="00BE1F7A"/>
    <w:rsid w:val="00BE3696"/>
    <w:rsid w:val="00BE52C6"/>
    <w:rsid w:val="00BE70BE"/>
    <w:rsid w:val="00BF0408"/>
    <w:rsid w:val="00BF1EA6"/>
    <w:rsid w:val="00BF1F32"/>
    <w:rsid w:val="00BF4EBD"/>
    <w:rsid w:val="00BF7CA8"/>
    <w:rsid w:val="00BF7D85"/>
    <w:rsid w:val="00C000E6"/>
    <w:rsid w:val="00C006B3"/>
    <w:rsid w:val="00C01E68"/>
    <w:rsid w:val="00C0356B"/>
    <w:rsid w:val="00C10A53"/>
    <w:rsid w:val="00C11B1A"/>
    <w:rsid w:val="00C136A3"/>
    <w:rsid w:val="00C13F58"/>
    <w:rsid w:val="00C14DA7"/>
    <w:rsid w:val="00C1558A"/>
    <w:rsid w:val="00C16E65"/>
    <w:rsid w:val="00C17F93"/>
    <w:rsid w:val="00C23DC9"/>
    <w:rsid w:val="00C2467E"/>
    <w:rsid w:val="00C26E7E"/>
    <w:rsid w:val="00C302C9"/>
    <w:rsid w:val="00C31A9A"/>
    <w:rsid w:val="00C33549"/>
    <w:rsid w:val="00C375E6"/>
    <w:rsid w:val="00C409F2"/>
    <w:rsid w:val="00C40EFF"/>
    <w:rsid w:val="00C41015"/>
    <w:rsid w:val="00C41765"/>
    <w:rsid w:val="00C426BD"/>
    <w:rsid w:val="00C44BAF"/>
    <w:rsid w:val="00C44FCC"/>
    <w:rsid w:val="00C473A5"/>
    <w:rsid w:val="00C47D54"/>
    <w:rsid w:val="00C50F27"/>
    <w:rsid w:val="00C54E7E"/>
    <w:rsid w:val="00C561A1"/>
    <w:rsid w:val="00C57185"/>
    <w:rsid w:val="00C577D3"/>
    <w:rsid w:val="00C60374"/>
    <w:rsid w:val="00C630B1"/>
    <w:rsid w:val="00C63D62"/>
    <w:rsid w:val="00C65F10"/>
    <w:rsid w:val="00C71195"/>
    <w:rsid w:val="00C73277"/>
    <w:rsid w:val="00C74CE6"/>
    <w:rsid w:val="00C750F1"/>
    <w:rsid w:val="00C75D0D"/>
    <w:rsid w:val="00C77D07"/>
    <w:rsid w:val="00C8014F"/>
    <w:rsid w:val="00C80FC0"/>
    <w:rsid w:val="00C81080"/>
    <w:rsid w:val="00C81B27"/>
    <w:rsid w:val="00C8459E"/>
    <w:rsid w:val="00C85489"/>
    <w:rsid w:val="00C9312C"/>
    <w:rsid w:val="00C97B27"/>
    <w:rsid w:val="00CA039A"/>
    <w:rsid w:val="00CA0BC9"/>
    <w:rsid w:val="00CA478C"/>
    <w:rsid w:val="00CA54D2"/>
    <w:rsid w:val="00CB096B"/>
    <w:rsid w:val="00CB2000"/>
    <w:rsid w:val="00CB2025"/>
    <w:rsid w:val="00CB48A6"/>
    <w:rsid w:val="00CB621C"/>
    <w:rsid w:val="00CB6493"/>
    <w:rsid w:val="00CB684E"/>
    <w:rsid w:val="00CB72B3"/>
    <w:rsid w:val="00CC02F2"/>
    <w:rsid w:val="00CC0C9D"/>
    <w:rsid w:val="00CC1CE1"/>
    <w:rsid w:val="00CC45A3"/>
    <w:rsid w:val="00CC5152"/>
    <w:rsid w:val="00CC6957"/>
    <w:rsid w:val="00CC69FA"/>
    <w:rsid w:val="00CC6B34"/>
    <w:rsid w:val="00CC7DFD"/>
    <w:rsid w:val="00CD09B4"/>
    <w:rsid w:val="00CD0BF7"/>
    <w:rsid w:val="00CD2271"/>
    <w:rsid w:val="00CD54AC"/>
    <w:rsid w:val="00CD6EE8"/>
    <w:rsid w:val="00CD737F"/>
    <w:rsid w:val="00CD7773"/>
    <w:rsid w:val="00CD79D7"/>
    <w:rsid w:val="00CE1A1E"/>
    <w:rsid w:val="00CE1DF8"/>
    <w:rsid w:val="00CE39AB"/>
    <w:rsid w:val="00CE5108"/>
    <w:rsid w:val="00CE691B"/>
    <w:rsid w:val="00CE78B9"/>
    <w:rsid w:val="00CE7982"/>
    <w:rsid w:val="00CF48A1"/>
    <w:rsid w:val="00CF5CD9"/>
    <w:rsid w:val="00CF67F1"/>
    <w:rsid w:val="00D01E73"/>
    <w:rsid w:val="00D02CAA"/>
    <w:rsid w:val="00D02FA4"/>
    <w:rsid w:val="00D0314D"/>
    <w:rsid w:val="00D041A2"/>
    <w:rsid w:val="00D05F0E"/>
    <w:rsid w:val="00D06F42"/>
    <w:rsid w:val="00D13DA8"/>
    <w:rsid w:val="00D153E0"/>
    <w:rsid w:val="00D15A5A"/>
    <w:rsid w:val="00D17D84"/>
    <w:rsid w:val="00D20184"/>
    <w:rsid w:val="00D2193C"/>
    <w:rsid w:val="00D23B9D"/>
    <w:rsid w:val="00D23C78"/>
    <w:rsid w:val="00D240E7"/>
    <w:rsid w:val="00D24FFE"/>
    <w:rsid w:val="00D2657F"/>
    <w:rsid w:val="00D2665C"/>
    <w:rsid w:val="00D2695C"/>
    <w:rsid w:val="00D27CFA"/>
    <w:rsid w:val="00D31889"/>
    <w:rsid w:val="00D31A22"/>
    <w:rsid w:val="00D32B70"/>
    <w:rsid w:val="00D32CD6"/>
    <w:rsid w:val="00D3453D"/>
    <w:rsid w:val="00D35251"/>
    <w:rsid w:val="00D353AF"/>
    <w:rsid w:val="00D355AF"/>
    <w:rsid w:val="00D36BE1"/>
    <w:rsid w:val="00D416AF"/>
    <w:rsid w:val="00D4185E"/>
    <w:rsid w:val="00D424F4"/>
    <w:rsid w:val="00D4786A"/>
    <w:rsid w:val="00D5039B"/>
    <w:rsid w:val="00D57F85"/>
    <w:rsid w:val="00D61880"/>
    <w:rsid w:val="00D61E00"/>
    <w:rsid w:val="00D62773"/>
    <w:rsid w:val="00D63833"/>
    <w:rsid w:val="00D63B31"/>
    <w:rsid w:val="00D66BFD"/>
    <w:rsid w:val="00D66F5C"/>
    <w:rsid w:val="00D70B9C"/>
    <w:rsid w:val="00D71AF2"/>
    <w:rsid w:val="00D71FE5"/>
    <w:rsid w:val="00D7228E"/>
    <w:rsid w:val="00D73671"/>
    <w:rsid w:val="00D74914"/>
    <w:rsid w:val="00D75048"/>
    <w:rsid w:val="00D7651E"/>
    <w:rsid w:val="00D765FC"/>
    <w:rsid w:val="00D769EB"/>
    <w:rsid w:val="00D80CDC"/>
    <w:rsid w:val="00D8264B"/>
    <w:rsid w:val="00D8422D"/>
    <w:rsid w:val="00D86075"/>
    <w:rsid w:val="00D879E6"/>
    <w:rsid w:val="00D9028D"/>
    <w:rsid w:val="00D90E2B"/>
    <w:rsid w:val="00D90EF7"/>
    <w:rsid w:val="00D91F21"/>
    <w:rsid w:val="00D92B75"/>
    <w:rsid w:val="00D930A2"/>
    <w:rsid w:val="00D935CD"/>
    <w:rsid w:val="00D94273"/>
    <w:rsid w:val="00D944A0"/>
    <w:rsid w:val="00D946E9"/>
    <w:rsid w:val="00D95F36"/>
    <w:rsid w:val="00D96420"/>
    <w:rsid w:val="00DA0864"/>
    <w:rsid w:val="00DA1945"/>
    <w:rsid w:val="00DA212E"/>
    <w:rsid w:val="00DA47F3"/>
    <w:rsid w:val="00DA7EB6"/>
    <w:rsid w:val="00DB2502"/>
    <w:rsid w:val="00DB45CC"/>
    <w:rsid w:val="00DB6133"/>
    <w:rsid w:val="00DB6738"/>
    <w:rsid w:val="00DB7657"/>
    <w:rsid w:val="00DB7E41"/>
    <w:rsid w:val="00DC079A"/>
    <w:rsid w:val="00DC1BF6"/>
    <w:rsid w:val="00DC231A"/>
    <w:rsid w:val="00DC3A4D"/>
    <w:rsid w:val="00DC4022"/>
    <w:rsid w:val="00DC4FA6"/>
    <w:rsid w:val="00DC500F"/>
    <w:rsid w:val="00DC76AE"/>
    <w:rsid w:val="00DD168C"/>
    <w:rsid w:val="00DD18DE"/>
    <w:rsid w:val="00DD230C"/>
    <w:rsid w:val="00DD2358"/>
    <w:rsid w:val="00DD4D0C"/>
    <w:rsid w:val="00DD5562"/>
    <w:rsid w:val="00DD5F4A"/>
    <w:rsid w:val="00DE0C34"/>
    <w:rsid w:val="00DE2DF3"/>
    <w:rsid w:val="00DE37C4"/>
    <w:rsid w:val="00DE3834"/>
    <w:rsid w:val="00DE3B31"/>
    <w:rsid w:val="00DE7014"/>
    <w:rsid w:val="00DF1DB2"/>
    <w:rsid w:val="00DF2BA2"/>
    <w:rsid w:val="00DF5226"/>
    <w:rsid w:val="00DF74B3"/>
    <w:rsid w:val="00E00B48"/>
    <w:rsid w:val="00E027C9"/>
    <w:rsid w:val="00E02929"/>
    <w:rsid w:val="00E030EE"/>
    <w:rsid w:val="00E0485D"/>
    <w:rsid w:val="00E05423"/>
    <w:rsid w:val="00E056CA"/>
    <w:rsid w:val="00E05A3D"/>
    <w:rsid w:val="00E06A1C"/>
    <w:rsid w:val="00E0723B"/>
    <w:rsid w:val="00E108C3"/>
    <w:rsid w:val="00E11F03"/>
    <w:rsid w:val="00E120B9"/>
    <w:rsid w:val="00E12C25"/>
    <w:rsid w:val="00E13758"/>
    <w:rsid w:val="00E145E4"/>
    <w:rsid w:val="00E148F3"/>
    <w:rsid w:val="00E151DA"/>
    <w:rsid w:val="00E15382"/>
    <w:rsid w:val="00E156A8"/>
    <w:rsid w:val="00E20944"/>
    <w:rsid w:val="00E20DC0"/>
    <w:rsid w:val="00E22006"/>
    <w:rsid w:val="00E238A2"/>
    <w:rsid w:val="00E23DCD"/>
    <w:rsid w:val="00E241E7"/>
    <w:rsid w:val="00E267C8"/>
    <w:rsid w:val="00E31C51"/>
    <w:rsid w:val="00E3243B"/>
    <w:rsid w:val="00E335D8"/>
    <w:rsid w:val="00E33707"/>
    <w:rsid w:val="00E33A55"/>
    <w:rsid w:val="00E34005"/>
    <w:rsid w:val="00E342F2"/>
    <w:rsid w:val="00E34DA9"/>
    <w:rsid w:val="00E413AB"/>
    <w:rsid w:val="00E4311C"/>
    <w:rsid w:val="00E43274"/>
    <w:rsid w:val="00E4665E"/>
    <w:rsid w:val="00E50A5F"/>
    <w:rsid w:val="00E53353"/>
    <w:rsid w:val="00E53F38"/>
    <w:rsid w:val="00E546E1"/>
    <w:rsid w:val="00E57045"/>
    <w:rsid w:val="00E64E71"/>
    <w:rsid w:val="00E70312"/>
    <w:rsid w:val="00E726F2"/>
    <w:rsid w:val="00E73E35"/>
    <w:rsid w:val="00E740D3"/>
    <w:rsid w:val="00E807BA"/>
    <w:rsid w:val="00E80F7E"/>
    <w:rsid w:val="00E8164C"/>
    <w:rsid w:val="00E82B5F"/>
    <w:rsid w:val="00E830B7"/>
    <w:rsid w:val="00E85895"/>
    <w:rsid w:val="00E85CB3"/>
    <w:rsid w:val="00E879C9"/>
    <w:rsid w:val="00E90D94"/>
    <w:rsid w:val="00E91742"/>
    <w:rsid w:val="00E93074"/>
    <w:rsid w:val="00E95194"/>
    <w:rsid w:val="00E96F65"/>
    <w:rsid w:val="00EA019B"/>
    <w:rsid w:val="00EA2268"/>
    <w:rsid w:val="00EA26FB"/>
    <w:rsid w:val="00EA5BBB"/>
    <w:rsid w:val="00EA783E"/>
    <w:rsid w:val="00EB10A7"/>
    <w:rsid w:val="00EB2328"/>
    <w:rsid w:val="00EB48A2"/>
    <w:rsid w:val="00EB494C"/>
    <w:rsid w:val="00EB5052"/>
    <w:rsid w:val="00EB6A31"/>
    <w:rsid w:val="00EB6DE7"/>
    <w:rsid w:val="00EB71F5"/>
    <w:rsid w:val="00EC6890"/>
    <w:rsid w:val="00EC72A4"/>
    <w:rsid w:val="00EC75DF"/>
    <w:rsid w:val="00ED0BF7"/>
    <w:rsid w:val="00ED292C"/>
    <w:rsid w:val="00ED2CF2"/>
    <w:rsid w:val="00ED45D4"/>
    <w:rsid w:val="00ED6491"/>
    <w:rsid w:val="00ED694A"/>
    <w:rsid w:val="00ED76D9"/>
    <w:rsid w:val="00EE4722"/>
    <w:rsid w:val="00EF0317"/>
    <w:rsid w:val="00EF67F3"/>
    <w:rsid w:val="00F060A4"/>
    <w:rsid w:val="00F06124"/>
    <w:rsid w:val="00F069D4"/>
    <w:rsid w:val="00F07523"/>
    <w:rsid w:val="00F10055"/>
    <w:rsid w:val="00F1326E"/>
    <w:rsid w:val="00F155B4"/>
    <w:rsid w:val="00F15698"/>
    <w:rsid w:val="00F15D39"/>
    <w:rsid w:val="00F16422"/>
    <w:rsid w:val="00F166AF"/>
    <w:rsid w:val="00F16B10"/>
    <w:rsid w:val="00F16E76"/>
    <w:rsid w:val="00F2027E"/>
    <w:rsid w:val="00F22898"/>
    <w:rsid w:val="00F231AB"/>
    <w:rsid w:val="00F24BB1"/>
    <w:rsid w:val="00F26054"/>
    <w:rsid w:val="00F27C44"/>
    <w:rsid w:val="00F304EE"/>
    <w:rsid w:val="00F311ED"/>
    <w:rsid w:val="00F31887"/>
    <w:rsid w:val="00F35671"/>
    <w:rsid w:val="00F400C4"/>
    <w:rsid w:val="00F41E90"/>
    <w:rsid w:val="00F435B7"/>
    <w:rsid w:val="00F44902"/>
    <w:rsid w:val="00F44EC0"/>
    <w:rsid w:val="00F467E6"/>
    <w:rsid w:val="00F4710F"/>
    <w:rsid w:val="00F507C9"/>
    <w:rsid w:val="00F52422"/>
    <w:rsid w:val="00F53A81"/>
    <w:rsid w:val="00F57D8D"/>
    <w:rsid w:val="00F60AAC"/>
    <w:rsid w:val="00F60E88"/>
    <w:rsid w:val="00F6335C"/>
    <w:rsid w:val="00F649FE"/>
    <w:rsid w:val="00F666BA"/>
    <w:rsid w:val="00F667DA"/>
    <w:rsid w:val="00F67288"/>
    <w:rsid w:val="00F7182B"/>
    <w:rsid w:val="00F7231A"/>
    <w:rsid w:val="00F72B71"/>
    <w:rsid w:val="00F73B29"/>
    <w:rsid w:val="00F757F6"/>
    <w:rsid w:val="00F7632F"/>
    <w:rsid w:val="00F76374"/>
    <w:rsid w:val="00F76D9A"/>
    <w:rsid w:val="00F8168D"/>
    <w:rsid w:val="00F81B2D"/>
    <w:rsid w:val="00F823B7"/>
    <w:rsid w:val="00F82B69"/>
    <w:rsid w:val="00F86321"/>
    <w:rsid w:val="00F91143"/>
    <w:rsid w:val="00F91188"/>
    <w:rsid w:val="00F911D2"/>
    <w:rsid w:val="00F9546C"/>
    <w:rsid w:val="00F95D18"/>
    <w:rsid w:val="00F96CF9"/>
    <w:rsid w:val="00F974A1"/>
    <w:rsid w:val="00F97B72"/>
    <w:rsid w:val="00FA10A8"/>
    <w:rsid w:val="00FA1427"/>
    <w:rsid w:val="00FA1505"/>
    <w:rsid w:val="00FA2EDD"/>
    <w:rsid w:val="00FA45BA"/>
    <w:rsid w:val="00FA5296"/>
    <w:rsid w:val="00FA52FF"/>
    <w:rsid w:val="00FA76A8"/>
    <w:rsid w:val="00FB1F93"/>
    <w:rsid w:val="00FB48DF"/>
    <w:rsid w:val="00FB5972"/>
    <w:rsid w:val="00FB632F"/>
    <w:rsid w:val="00FC1628"/>
    <w:rsid w:val="00FC3BAF"/>
    <w:rsid w:val="00FC5824"/>
    <w:rsid w:val="00FC5AFE"/>
    <w:rsid w:val="00FC5D22"/>
    <w:rsid w:val="00FC5D53"/>
    <w:rsid w:val="00FC7769"/>
    <w:rsid w:val="00FD01BA"/>
    <w:rsid w:val="00FD0CA5"/>
    <w:rsid w:val="00FD1075"/>
    <w:rsid w:val="00FD1E2E"/>
    <w:rsid w:val="00FD4012"/>
    <w:rsid w:val="00FD540E"/>
    <w:rsid w:val="00FE20F3"/>
    <w:rsid w:val="00FE4D45"/>
    <w:rsid w:val="00FE5412"/>
    <w:rsid w:val="00FE6874"/>
    <w:rsid w:val="00FE7562"/>
    <w:rsid w:val="00FF0084"/>
    <w:rsid w:val="00FF02F3"/>
    <w:rsid w:val="00FF0E8C"/>
    <w:rsid w:val="00FF3640"/>
    <w:rsid w:val="00FF45C2"/>
    <w:rsid w:val="00FF4F25"/>
    <w:rsid w:val="00FF5A7C"/>
    <w:rsid w:val="00FF6B57"/>
    <w:rsid w:val="010A445D"/>
    <w:rsid w:val="0136581A"/>
    <w:rsid w:val="01CA4C4B"/>
    <w:rsid w:val="01F5792F"/>
    <w:rsid w:val="01F63C5D"/>
    <w:rsid w:val="044D5CE0"/>
    <w:rsid w:val="04BF6AD5"/>
    <w:rsid w:val="04E55D5C"/>
    <w:rsid w:val="052B41C2"/>
    <w:rsid w:val="071823DC"/>
    <w:rsid w:val="0B7553BE"/>
    <w:rsid w:val="0C46040F"/>
    <w:rsid w:val="0E0E4BCF"/>
    <w:rsid w:val="10185ECA"/>
    <w:rsid w:val="117E2073"/>
    <w:rsid w:val="12AB5FC3"/>
    <w:rsid w:val="145A38E7"/>
    <w:rsid w:val="14822DEF"/>
    <w:rsid w:val="186D262B"/>
    <w:rsid w:val="18DA50B1"/>
    <w:rsid w:val="19A1377F"/>
    <w:rsid w:val="1BEB6D71"/>
    <w:rsid w:val="1CFE13A0"/>
    <w:rsid w:val="1DDF16D2"/>
    <w:rsid w:val="204158F6"/>
    <w:rsid w:val="20914A29"/>
    <w:rsid w:val="21A30A00"/>
    <w:rsid w:val="227F523C"/>
    <w:rsid w:val="22F867E6"/>
    <w:rsid w:val="24825E20"/>
    <w:rsid w:val="27F644A8"/>
    <w:rsid w:val="2CD8034B"/>
    <w:rsid w:val="2D14687E"/>
    <w:rsid w:val="2E0E5947"/>
    <w:rsid w:val="2E112405"/>
    <w:rsid w:val="30290CE7"/>
    <w:rsid w:val="303809F3"/>
    <w:rsid w:val="30D67CE1"/>
    <w:rsid w:val="31472444"/>
    <w:rsid w:val="31C476F7"/>
    <w:rsid w:val="31F8213C"/>
    <w:rsid w:val="336012F2"/>
    <w:rsid w:val="35673502"/>
    <w:rsid w:val="372C51E0"/>
    <w:rsid w:val="386E5020"/>
    <w:rsid w:val="39DB1FB3"/>
    <w:rsid w:val="3A6F3961"/>
    <w:rsid w:val="3B472F1F"/>
    <w:rsid w:val="3C1B3646"/>
    <w:rsid w:val="3CF2480E"/>
    <w:rsid w:val="3DCF32E4"/>
    <w:rsid w:val="3EAE745E"/>
    <w:rsid w:val="417B4719"/>
    <w:rsid w:val="428F3C64"/>
    <w:rsid w:val="437110FE"/>
    <w:rsid w:val="44817973"/>
    <w:rsid w:val="46C72C0B"/>
    <w:rsid w:val="48BA38DF"/>
    <w:rsid w:val="49B72AE0"/>
    <w:rsid w:val="4AD42F72"/>
    <w:rsid w:val="4CCF14D4"/>
    <w:rsid w:val="4D606ABE"/>
    <w:rsid w:val="4E22579A"/>
    <w:rsid w:val="4E293C0B"/>
    <w:rsid w:val="4E9269F9"/>
    <w:rsid w:val="4F076A1D"/>
    <w:rsid w:val="4FFA3DDE"/>
    <w:rsid w:val="50A82FFF"/>
    <w:rsid w:val="517A0479"/>
    <w:rsid w:val="52634E02"/>
    <w:rsid w:val="530F50C5"/>
    <w:rsid w:val="54CB15E4"/>
    <w:rsid w:val="54D45DB6"/>
    <w:rsid w:val="56216A9B"/>
    <w:rsid w:val="5996279C"/>
    <w:rsid w:val="5C002636"/>
    <w:rsid w:val="5CC80E8A"/>
    <w:rsid w:val="5D5C1A0C"/>
    <w:rsid w:val="5D5F5093"/>
    <w:rsid w:val="5D72174A"/>
    <w:rsid w:val="5E750663"/>
    <w:rsid w:val="5FD21144"/>
    <w:rsid w:val="60A71AE5"/>
    <w:rsid w:val="611F36F4"/>
    <w:rsid w:val="617C063F"/>
    <w:rsid w:val="627450D1"/>
    <w:rsid w:val="631C34A7"/>
    <w:rsid w:val="63C0676A"/>
    <w:rsid w:val="654977FC"/>
    <w:rsid w:val="65852664"/>
    <w:rsid w:val="67721FFD"/>
    <w:rsid w:val="68402CA4"/>
    <w:rsid w:val="69717C20"/>
    <w:rsid w:val="6A687275"/>
    <w:rsid w:val="6B4109E5"/>
    <w:rsid w:val="6C35454C"/>
    <w:rsid w:val="6CDD69B4"/>
    <w:rsid w:val="6D260B9D"/>
    <w:rsid w:val="6ECB7DD2"/>
    <w:rsid w:val="708D6663"/>
    <w:rsid w:val="71704E5B"/>
    <w:rsid w:val="72BD769C"/>
    <w:rsid w:val="72EC1F6A"/>
    <w:rsid w:val="733C5A27"/>
    <w:rsid w:val="74257C11"/>
    <w:rsid w:val="779740D1"/>
    <w:rsid w:val="780D6CDC"/>
    <w:rsid w:val="79260D17"/>
    <w:rsid w:val="79274CB1"/>
    <w:rsid w:val="7B435CCF"/>
    <w:rsid w:val="7B723A8B"/>
    <w:rsid w:val="7E195A74"/>
    <w:rsid w:val="7E272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8">
    <w:name w:val="heading 1"/>
    <w:basedOn w:val="1"/>
    <w:next w:val="1"/>
    <w:link w:val="50"/>
    <w:qFormat/>
    <w:uiPriority w:val="0"/>
    <w:pPr>
      <w:keepNext/>
      <w:keepLines/>
      <w:spacing w:before="340" w:after="330" w:line="576" w:lineRule="auto"/>
      <w:outlineLvl w:val="0"/>
    </w:pPr>
    <w:rPr>
      <w:rFonts w:ascii="Times New Roman" w:hAnsi="Times New Roman"/>
      <w:b/>
      <w:kern w:val="44"/>
      <w:sz w:val="44"/>
      <w:szCs w:val="20"/>
    </w:rPr>
  </w:style>
  <w:style w:type="paragraph" w:styleId="9">
    <w:name w:val="heading 2"/>
    <w:basedOn w:val="1"/>
    <w:next w:val="1"/>
    <w:link w:val="51"/>
    <w:qFormat/>
    <w:uiPriority w:val="0"/>
    <w:pPr>
      <w:keepNext/>
      <w:keepLines/>
      <w:spacing w:before="260" w:after="260" w:line="412" w:lineRule="auto"/>
      <w:outlineLvl w:val="1"/>
    </w:pPr>
    <w:rPr>
      <w:rFonts w:ascii="Arial" w:hAnsi="Arial" w:eastAsia="黑体"/>
      <w:b/>
      <w:sz w:val="32"/>
      <w:szCs w:val="20"/>
    </w:rPr>
  </w:style>
  <w:style w:type="paragraph" w:styleId="10">
    <w:name w:val="heading 3"/>
    <w:basedOn w:val="1"/>
    <w:next w:val="2"/>
    <w:link w:val="52"/>
    <w:qFormat/>
    <w:uiPriority w:val="0"/>
    <w:pPr>
      <w:keepNext/>
      <w:keepLines/>
      <w:spacing w:before="260" w:after="260" w:line="412" w:lineRule="auto"/>
      <w:ind w:firstLine="49" w:firstLineChars="49"/>
      <w:outlineLvl w:val="2"/>
    </w:pPr>
    <w:rPr>
      <w:rFonts w:ascii="黑体" w:eastAsia="黑体"/>
      <w:sz w:val="28"/>
      <w:szCs w:val="20"/>
    </w:rPr>
  </w:style>
  <w:style w:type="paragraph" w:styleId="11">
    <w:name w:val="heading 4"/>
    <w:basedOn w:val="1"/>
    <w:next w:val="1"/>
    <w:link w:val="53"/>
    <w:qFormat/>
    <w:uiPriority w:val="0"/>
    <w:pPr>
      <w:keepNext/>
      <w:keepLines/>
      <w:spacing w:before="280" w:after="290" w:line="374" w:lineRule="auto"/>
      <w:outlineLvl w:val="3"/>
    </w:pPr>
    <w:rPr>
      <w:rFonts w:ascii="Arial" w:hAnsi="Arial" w:eastAsia="黑体"/>
      <w:b/>
      <w:bCs/>
      <w:sz w:val="28"/>
      <w:szCs w:val="28"/>
    </w:rPr>
  </w:style>
  <w:style w:type="paragraph" w:styleId="12">
    <w:name w:val="heading 5"/>
    <w:basedOn w:val="1"/>
    <w:next w:val="1"/>
    <w:link w:val="74"/>
    <w:semiHidden/>
    <w:unhideWhenUsed/>
    <w:qFormat/>
    <w:uiPriority w:val="9"/>
    <w:pPr>
      <w:keepNext/>
      <w:keepLines/>
      <w:spacing w:before="280" w:after="290" w:line="376" w:lineRule="auto"/>
      <w:outlineLvl w:val="4"/>
    </w:pPr>
    <w:rPr>
      <w:rFonts w:ascii="Times New Roman" w:hAnsi="Times New Roman"/>
      <w:b/>
      <w:bCs/>
      <w:sz w:val="28"/>
      <w:szCs w:val="28"/>
    </w:rPr>
  </w:style>
  <w:style w:type="paragraph" w:styleId="13">
    <w:name w:val="heading 6"/>
    <w:basedOn w:val="1"/>
    <w:next w:val="1"/>
    <w:link w:val="54"/>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4">
    <w:name w:val="heading 7"/>
    <w:basedOn w:val="1"/>
    <w:next w:val="1"/>
    <w:link w:val="55"/>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5">
    <w:name w:val="heading 8"/>
    <w:basedOn w:val="1"/>
    <w:next w:val="1"/>
    <w:link w:val="56"/>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6">
    <w:name w:val="heading 9"/>
    <w:basedOn w:val="1"/>
    <w:next w:val="1"/>
    <w:link w:val="57"/>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First Indent 2"/>
    <w:basedOn w:val="4"/>
    <w:next w:val="5"/>
    <w:link w:val="96"/>
    <w:semiHidden/>
    <w:unhideWhenUsed/>
    <w:qFormat/>
    <w:uiPriority w:val="0"/>
    <w:pPr>
      <w:ind w:firstLine="420" w:firstLineChars="200"/>
    </w:pPr>
    <w:rPr>
      <w:rFonts w:ascii="Calibri" w:hAnsi="Calibri"/>
      <w:szCs w:val="22"/>
    </w:rPr>
  </w:style>
  <w:style w:type="paragraph" w:styleId="4">
    <w:name w:val="Body Text Indent"/>
    <w:basedOn w:val="1"/>
    <w:next w:val="2"/>
    <w:link w:val="82"/>
    <w:qFormat/>
    <w:uiPriority w:val="0"/>
    <w:pPr>
      <w:spacing w:after="120"/>
      <w:ind w:left="420" w:leftChars="200"/>
    </w:pPr>
    <w:rPr>
      <w:rFonts w:ascii="Times New Roman" w:hAnsi="Times New Roman"/>
      <w:szCs w:val="20"/>
    </w:rPr>
  </w:style>
  <w:style w:type="paragraph" w:styleId="5">
    <w:name w:val="Body Text First Indent"/>
    <w:basedOn w:val="6"/>
    <w:next w:val="2"/>
    <w:link w:val="75"/>
    <w:qFormat/>
    <w:uiPriority w:val="0"/>
    <w:pPr>
      <w:spacing w:line="312" w:lineRule="auto"/>
      <w:ind w:firstLine="420"/>
    </w:pPr>
    <w:rPr>
      <w:szCs w:val="24"/>
    </w:rPr>
  </w:style>
  <w:style w:type="paragraph" w:styleId="6">
    <w:name w:val="Body Text"/>
    <w:basedOn w:val="1"/>
    <w:next w:val="7"/>
    <w:link w:val="80"/>
    <w:unhideWhenUsed/>
    <w:qFormat/>
    <w:uiPriority w:val="0"/>
    <w:pPr>
      <w:spacing w:after="120"/>
    </w:pPr>
    <w:rPr>
      <w:rFonts w:ascii="Times New Roman" w:hAnsi="Times New Roman"/>
      <w:szCs w:val="20"/>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
    <w:name w:val="toc 7"/>
    <w:basedOn w:val="1"/>
    <w:next w:val="1"/>
    <w:qFormat/>
    <w:uiPriority w:val="39"/>
    <w:pPr>
      <w:ind w:left="1200" w:leftChars="1200"/>
    </w:pPr>
  </w:style>
  <w:style w:type="paragraph" w:styleId="18">
    <w:name w:val="Document Map"/>
    <w:basedOn w:val="1"/>
    <w:link w:val="63"/>
    <w:qFormat/>
    <w:uiPriority w:val="0"/>
    <w:rPr>
      <w:rFonts w:ascii="宋体" w:cs="宋体"/>
      <w:sz w:val="18"/>
      <w:szCs w:val="18"/>
    </w:rPr>
  </w:style>
  <w:style w:type="paragraph" w:styleId="19">
    <w:name w:val="annotation text"/>
    <w:basedOn w:val="1"/>
    <w:link w:val="61"/>
    <w:qFormat/>
    <w:uiPriority w:val="0"/>
    <w:pPr>
      <w:jc w:val="left"/>
    </w:pPr>
    <w:rPr>
      <w:rFonts w:ascii="Times New Roman" w:hAnsi="Times New Roman"/>
      <w:szCs w:val="20"/>
    </w:rPr>
  </w:style>
  <w:style w:type="paragraph" w:styleId="20">
    <w:name w:val="Body Text 3"/>
    <w:basedOn w:val="1"/>
    <w:link w:val="65"/>
    <w:qFormat/>
    <w:uiPriority w:val="0"/>
    <w:rPr>
      <w:rFonts w:ascii="宋体"/>
      <w:sz w:val="24"/>
      <w:szCs w:val="20"/>
    </w:rPr>
  </w:style>
  <w:style w:type="paragraph" w:styleId="21">
    <w:name w:val="Block Text"/>
    <w:basedOn w:val="1"/>
    <w:unhideWhenUsed/>
    <w:qFormat/>
    <w:uiPriority w:val="0"/>
    <w:pPr>
      <w:widowControl/>
      <w:ind w:left="1418" w:right="-716"/>
      <w:jc w:val="left"/>
    </w:pPr>
    <w:rPr>
      <w:rFonts w:eastAsia="仿宋_GB2312"/>
      <w:kern w:val="0"/>
      <w:sz w:val="30"/>
    </w:rPr>
  </w:style>
  <w:style w:type="paragraph" w:styleId="22">
    <w:name w:val="toc 5"/>
    <w:basedOn w:val="1"/>
    <w:next w:val="1"/>
    <w:qFormat/>
    <w:uiPriority w:val="39"/>
    <w:pPr>
      <w:ind w:left="800" w:leftChars="800"/>
    </w:pPr>
  </w:style>
  <w:style w:type="paragraph" w:styleId="23">
    <w:name w:val="toc 3"/>
    <w:basedOn w:val="1"/>
    <w:next w:val="1"/>
    <w:qFormat/>
    <w:uiPriority w:val="39"/>
    <w:pPr>
      <w:ind w:left="400" w:leftChars="400"/>
    </w:pPr>
  </w:style>
  <w:style w:type="paragraph" w:styleId="24">
    <w:name w:val="Plain Text"/>
    <w:basedOn w:val="1"/>
    <w:link w:val="108"/>
    <w:qFormat/>
    <w:uiPriority w:val="0"/>
    <w:rPr>
      <w:rFonts w:ascii="宋体"/>
    </w:rPr>
  </w:style>
  <w:style w:type="paragraph" w:styleId="25">
    <w:name w:val="toc 8"/>
    <w:basedOn w:val="1"/>
    <w:next w:val="1"/>
    <w:qFormat/>
    <w:uiPriority w:val="39"/>
    <w:pPr>
      <w:ind w:left="1400" w:leftChars="1400"/>
    </w:pPr>
  </w:style>
  <w:style w:type="paragraph" w:styleId="26">
    <w:name w:val="Date"/>
    <w:basedOn w:val="1"/>
    <w:next w:val="1"/>
    <w:link w:val="69"/>
    <w:qFormat/>
    <w:uiPriority w:val="0"/>
    <w:pPr>
      <w:ind w:left="2500" w:leftChars="2500"/>
    </w:pPr>
    <w:rPr>
      <w:rFonts w:ascii="Times New Roman" w:hAnsi="Times New Roman"/>
      <w:szCs w:val="20"/>
    </w:rPr>
  </w:style>
  <w:style w:type="paragraph" w:styleId="27">
    <w:name w:val="Body Text Indent 2"/>
    <w:basedOn w:val="1"/>
    <w:qFormat/>
    <w:uiPriority w:val="0"/>
    <w:pPr>
      <w:spacing w:line="400" w:lineRule="exact"/>
      <w:ind w:left="900"/>
    </w:pPr>
    <w:rPr>
      <w:sz w:val="28"/>
    </w:rPr>
  </w:style>
  <w:style w:type="paragraph" w:styleId="28">
    <w:name w:val="Balloon Text"/>
    <w:basedOn w:val="1"/>
    <w:link w:val="68"/>
    <w:qFormat/>
    <w:uiPriority w:val="0"/>
    <w:rPr>
      <w:rFonts w:ascii="Times New Roman" w:hAnsi="Times New Roman"/>
      <w:sz w:val="18"/>
      <w:szCs w:val="20"/>
    </w:rPr>
  </w:style>
  <w:style w:type="paragraph" w:styleId="29">
    <w:name w:val="footer"/>
    <w:basedOn w:val="1"/>
    <w:link w:val="64"/>
    <w:qFormat/>
    <w:uiPriority w:val="0"/>
    <w:pPr>
      <w:tabs>
        <w:tab w:val="center" w:pos="4153"/>
        <w:tab w:val="right" w:pos="8306"/>
      </w:tabs>
      <w:snapToGrid w:val="0"/>
      <w:jc w:val="left"/>
    </w:pPr>
    <w:rPr>
      <w:sz w:val="18"/>
    </w:rPr>
  </w:style>
  <w:style w:type="paragraph" w:styleId="30">
    <w:name w:val="header"/>
    <w:basedOn w:val="1"/>
    <w:link w:val="67"/>
    <w:qFormat/>
    <w:uiPriority w:val="0"/>
    <w:pPr>
      <w:tabs>
        <w:tab w:val="center" w:pos="4153"/>
        <w:tab w:val="right" w:pos="8306"/>
      </w:tabs>
      <w:snapToGrid w:val="0"/>
    </w:pPr>
    <w:rPr>
      <w:rFonts w:ascii="Times New Roman" w:hAnsi="Times New Roman"/>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toc 6"/>
    <w:basedOn w:val="1"/>
    <w:next w:val="1"/>
    <w:qFormat/>
    <w:uiPriority w:val="39"/>
    <w:pPr>
      <w:ind w:left="1000" w:leftChars="1000"/>
    </w:pPr>
  </w:style>
  <w:style w:type="paragraph" w:styleId="34">
    <w:name w:val="Body Text Indent 3"/>
    <w:basedOn w:val="1"/>
    <w:link w:val="66"/>
    <w:qFormat/>
    <w:uiPriority w:val="0"/>
    <w:pPr>
      <w:spacing w:after="120"/>
      <w:ind w:left="200" w:leftChars="200"/>
    </w:pPr>
    <w:rPr>
      <w:sz w:val="16"/>
      <w:szCs w:val="16"/>
    </w:rPr>
  </w:style>
  <w:style w:type="paragraph" w:styleId="35">
    <w:name w:val="toc 2"/>
    <w:basedOn w:val="1"/>
    <w:next w:val="1"/>
    <w:qFormat/>
    <w:uiPriority w:val="39"/>
    <w:pPr>
      <w:ind w:left="200" w:leftChars="200"/>
    </w:pPr>
  </w:style>
  <w:style w:type="paragraph" w:styleId="36">
    <w:name w:val="toc 9"/>
    <w:basedOn w:val="1"/>
    <w:next w:val="1"/>
    <w:qFormat/>
    <w:uiPriority w:val="39"/>
    <w:pPr>
      <w:ind w:left="1600" w:leftChars="1600"/>
    </w:pPr>
  </w:style>
  <w:style w:type="paragraph" w:styleId="37">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8">
    <w:name w:val="index 1"/>
    <w:basedOn w:val="1"/>
    <w:next w:val="1"/>
    <w:qFormat/>
    <w:uiPriority w:val="0"/>
    <w:pPr>
      <w:spacing w:line="220" w:lineRule="exact"/>
      <w:jc w:val="center"/>
    </w:pPr>
    <w:rPr>
      <w:rFonts w:ascii="仿宋_GB2312" w:hAnsi="Times New Roman" w:eastAsia="仿宋_GB2312"/>
      <w:szCs w:val="21"/>
    </w:rPr>
  </w:style>
  <w:style w:type="paragraph" w:styleId="39">
    <w:name w:val="Title"/>
    <w:basedOn w:val="1"/>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9"/>
    <w:next w:val="19"/>
    <w:link w:val="62"/>
    <w:qFormat/>
    <w:uiPriority w:val="0"/>
  </w:style>
  <w:style w:type="character" w:styleId="43">
    <w:name w:val="Strong"/>
    <w:qFormat/>
    <w:uiPriority w:val="0"/>
    <w:rPr>
      <w:b/>
      <w:bCs/>
    </w:rPr>
  </w:style>
  <w:style w:type="character" w:styleId="44">
    <w:name w:val="page number"/>
    <w:basedOn w:val="42"/>
    <w:qFormat/>
    <w:uiPriority w:val="0"/>
  </w:style>
  <w:style w:type="character" w:styleId="45">
    <w:name w:val="Emphasis"/>
    <w:basedOn w:val="42"/>
    <w:qFormat/>
    <w:uiPriority w:val="0"/>
    <w:rPr>
      <w:i/>
    </w:rPr>
  </w:style>
  <w:style w:type="character" w:styleId="46">
    <w:name w:val="Hyperlink"/>
    <w:qFormat/>
    <w:uiPriority w:val="99"/>
    <w:rPr>
      <w:color w:val="0000FF"/>
      <w:u w:val="single"/>
    </w:rPr>
  </w:style>
  <w:style w:type="character" w:styleId="47">
    <w:name w:val="annotation reference"/>
    <w:qFormat/>
    <w:uiPriority w:val="0"/>
    <w:rPr>
      <w:sz w:val="21"/>
    </w:rPr>
  </w:style>
  <w:style w:type="character" w:styleId="48">
    <w:name w:val="footnote reference"/>
    <w:qFormat/>
    <w:uiPriority w:val="0"/>
    <w:rPr>
      <w:vertAlign w:val="superscript"/>
    </w:rPr>
  </w:style>
  <w:style w:type="paragraph" w:customStyle="1" w:styleId="49">
    <w:name w:val="Body Text 21"/>
    <w:basedOn w:val="1"/>
    <w:qFormat/>
    <w:uiPriority w:val="0"/>
    <w:rPr>
      <w:rFonts w:ascii="宋体" w:hAnsi="宋体"/>
      <w:szCs w:val="24"/>
      <w:u w:val="single"/>
    </w:rPr>
  </w:style>
  <w:style w:type="character" w:customStyle="1" w:styleId="50">
    <w:name w:val="标题 1 字符"/>
    <w:basedOn w:val="42"/>
    <w:link w:val="8"/>
    <w:qFormat/>
    <w:uiPriority w:val="0"/>
    <w:rPr>
      <w:rFonts w:eastAsia="宋体"/>
      <w:b/>
      <w:kern w:val="44"/>
      <w:sz w:val="44"/>
    </w:rPr>
  </w:style>
  <w:style w:type="character" w:customStyle="1" w:styleId="51">
    <w:name w:val="标题 2 字符"/>
    <w:basedOn w:val="42"/>
    <w:link w:val="9"/>
    <w:qFormat/>
    <w:uiPriority w:val="0"/>
    <w:rPr>
      <w:rFonts w:ascii="Arial" w:hAnsi="Arial" w:eastAsia="黑体"/>
      <w:b/>
      <w:kern w:val="2"/>
      <w:sz w:val="32"/>
    </w:rPr>
  </w:style>
  <w:style w:type="character" w:customStyle="1" w:styleId="52">
    <w:name w:val="标题 3 字符"/>
    <w:basedOn w:val="42"/>
    <w:link w:val="10"/>
    <w:qFormat/>
    <w:uiPriority w:val="0"/>
    <w:rPr>
      <w:rFonts w:ascii="黑体" w:hAnsi="Calibri" w:eastAsia="黑体"/>
      <w:kern w:val="2"/>
      <w:sz w:val="28"/>
    </w:rPr>
  </w:style>
  <w:style w:type="character" w:customStyle="1" w:styleId="53">
    <w:name w:val="标题 4 字符"/>
    <w:basedOn w:val="42"/>
    <w:link w:val="11"/>
    <w:qFormat/>
    <w:uiPriority w:val="0"/>
    <w:rPr>
      <w:rFonts w:ascii="Arial" w:hAnsi="Arial" w:eastAsia="黑体"/>
      <w:b/>
      <w:bCs/>
      <w:kern w:val="2"/>
      <w:sz w:val="28"/>
      <w:szCs w:val="28"/>
    </w:rPr>
  </w:style>
  <w:style w:type="character" w:customStyle="1" w:styleId="54">
    <w:name w:val="标题 6 字符"/>
    <w:basedOn w:val="42"/>
    <w:link w:val="13"/>
    <w:qFormat/>
    <w:uiPriority w:val="0"/>
    <w:rPr>
      <w:rFonts w:ascii="Arial" w:hAnsi="Arial" w:eastAsia="黑体"/>
      <w:b/>
      <w:bCs/>
      <w:sz w:val="24"/>
    </w:rPr>
  </w:style>
  <w:style w:type="character" w:customStyle="1" w:styleId="55">
    <w:name w:val="标题 7 字符"/>
    <w:basedOn w:val="42"/>
    <w:link w:val="14"/>
    <w:qFormat/>
    <w:uiPriority w:val="0"/>
    <w:rPr>
      <w:rFonts w:eastAsia="宋体"/>
      <w:b/>
      <w:bCs/>
      <w:sz w:val="24"/>
    </w:rPr>
  </w:style>
  <w:style w:type="character" w:customStyle="1" w:styleId="56">
    <w:name w:val="标题 8 字符"/>
    <w:basedOn w:val="42"/>
    <w:link w:val="15"/>
    <w:qFormat/>
    <w:uiPriority w:val="0"/>
    <w:rPr>
      <w:rFonts w:ascii="Arial" w:hAnsi="Arial" w:eastAsia="黑体"/>
      <w:sz w:val="24"/>
    </w:rPr>
  </w:style>
  <w:style w:type="character" w:customStyle="1" w:styleId="57">
    <w:name w:val="标题 9 字符"/>
    <w:basedOn w:val="42"/>
    <w:link w:val="16"/>
    <w:qFormat/>
    <w:uiPriority w:val="0"/>
    <w:rPr>
      <w:rFonts w:ascii="Arial" w:hAnsi="Arial" w:eastAsia="黑体"/>
      <w:sz w:val="21"/>
      <w:szCs w:val="21"/>
    </w:rPr>
  </w:style>
  <w:style w:type="character" w:customStyle="1" w:styleId="58">
    <w:name w:val="style_kwd"/>
    <w:basedOn w:val="42"/>
    <w:qFormat/>
    <w:uiPriority w:val="0"/>
  </w:style>
  <w:style w:type="character" w:customStyle="1" w:styleId="59">
    <w:name w:val="批注文字 Char1"/>
    <w:qFormat/>
    <w:uiPriority w:val="0"/>
    <w:rPr>
      <w:rFonts w:ascii="Times New Roman" w:hAnsi="Times New Roman" w:eastAsia="宋体" w:cs="Times New Roman"/>
      <w:sz w:val="20"/>
      <w:szCs w:val="20"/>
      <w:lang w:bidi="ar-SA"/>
    </w:rPr>
  </w:style>
  <w:style w:type="character" w:customStyle="1" w:styleId="60">
    <w:name w:val="Comment Text Char"/>
    <w:qFormat/>
    <w:uiPriority w:val="0"/>
  </w:style>
  <w:style w:type="character" w:customStyle="1" w:styleId="61">
    <w:name w:val="批注文字 字符"/>
    <w:basedOn w:val="42"/>
    <w:link w:val="19"/>
    <w:qFormat/>
    <w:uiPriority w:val="0"/>
    <w:rPr>
      <w:rFonts w:eastAsia="宋体"/>
      <w:kern w:val="2"/>
      <w:sz w:val="21"/>
    </w:rPr>
  </w:style>
  <w:style w:type="character" w:customStyle="1" w:styleId="62">
    <w:name w:val="批注主题 字符"/>
    <w:link w:val="40"/>
    <w:qFormat/>
    <w:uiPriority w:val="0"/>
    <w:rPr>
      <w:rFonts w:eastAsia="宋体"/>
      <w:kern w:val="2"/>
      <w:sz w:val="21"/>
    </w:rPr>
  </w:style>
  <w:style w:type="character" w:customStyle="1" w:styleId="63">
    <w:name w:val="文档结构图 字符"/>
    <w:link w:val="18"/>
    <w:qFormat/>
    <w:uiPriority w:val="0"/>
    <w:rPr>
      <w:rFonts w:ascii="宋体" w:hAnsi="Calibri" w:eastAsia="宋体" w:cs="宋体"/>
      <w:kern w:val="2"/>
      <w:sz w:val="18"/>
      <w:szCs w:val="18"/>
    </w:rPr>
  </w:style>
  <w:style w:type="character" w:customStyle="1" w:styleId="64">
    <w:name w:val="页脚 字符"/>
    <w:link w:val="29"/>
    <w:qFormat/>
    <w:uiPriority w:val="0"/>
    <w:rPr>
      <w:rFonts w:ascii="Calibri" w:hAnsi="Calibri" w:eastAsia="宋体"/>
      <w:kern w:val="2"/>
      <w:sz w:val="18"/>
      <w:szCs w:val="22"/>
    </w:rPr>
  </w:style>
  <w:style w:type="character" w:customStyle="1" w:styleId="65">
    <w:name w:val="正文文本 3 字符"/>
    <w:basedOn w:val="42"/>
    <w:link w:val="20"/>
    <w:qFormat/>
    <w:uiPriority w:val="0"/>
    <w:rPr>
      <w:rFonts w:ascii="宋体" w:hAnsi="Calibri" w:eastAsia="宋体"/>
      <w:kern w:val="2"/>
      <w:sz w:val="24"/>
    </w:rPr>
  </w:style>
  <w:style w:type="character" w:customStyle="1" w:styleId="66">
    <w:name w:val="正文文本缩进 3 字符"/>
    <w:basedOn w:val="42"/>
    <w:link w:val="34"/>
    <w:qFormat/>
    <w:uiPriority w:val="0"/>
    <w:rPr>
      <w:rFonts w:ascii="Calibri" w:hAnsi="Calibri" w:eastAsia="宋体"/>
      <w:kern w:val="2"/>
      <w:sz w:val="16"/>
      <w:szCs w:val="16"/>
    </w:rPr>
  </w:style>
  <w:style w:type="character" w:customStyle="1" w:styleId="67">
    <w:name w:val="页眉 字符"/>
    <w:link w:val="30"/>
    <w:qFormat/>
    <w:uiPriority w:val="0"/>
    <w:rPr>
      <w:rFonts w:eastAsia="宋体"/>
      <w:kern w:val="2"/>
      <w:sz w:val="18"/>
    </w:rPr>
  </w:style>
  <w:style w:type="character" w:customStyle="1" w:styleId="68">
    <w:name w:val="批注框文本 字符"/>
    <w:link w:val="28"/>
    <w:qFormat/>
    <w:uiPriority w:val="0"/>
    <w:rPr>
      <w:rFonts w:eastAsia="宋体"/>
      <w:kern w:val="2"/>
      <w:sz w:val="18"/>
    </w:rPr>
  </w:style>
  <w:style w:type="character" w:customStyle="1" w:styleId="69">
    <w:name w:val="日期 字符"/>
    <w:link w:val="26"/>
    <w:qFormat/>
    <w:uiPriority w:val="0"/>
    <w:rPr>
      <w:rFonts w:eastAsia="宋体"/>
      <w:kern w:val="2"/>
      <w:sz w:val="21"/>
    </w:rPr>
  </w:style>
  <w:style w:type="paragraph" w:customStyle="1" w:styleId="70">
    <w:name w:val="修订1"/>
    <w:qFormat/>
    <w:uiPriority w:val="0"/>
    <w:rPr>
      <w:rFonts w:ascii="Times New Roman" w:hAnsi="Times New Roman" w:eastAsia="宋体" w:cs="Times New Roman"/>
      <w:kern w:val="2"/>
      <w:sz w:val="21"/>
      <w:lang w:val="en-US" w:eastAsia="zh-CN" w:bidi="ar-SA"/>
    </w:rPr>
  </w:style>
  <w:style w:type="paragraph" w:customStyle="1" w:styleId="71">
    <w:name w:val="_Style 23"/>
    <w:basedOn w:val="1"/>
    <w:qFormat/>
    <w:uiPriority w:val="0"/>
    <w:pPr>
      <w:widowControl/>
      <w:spacing w:after="160" w:line="240" w:lineRule="exact"/>
      <w:jc w:val="left"/>
    </w:pPr>
  </w:style>
  <w:style w:type="paragraph" w:customStyle="1" w:styleId="72">
    <w:name w:val="TOC 标题1"/>
    <w:basedOn w:val="8"/>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73">
    <w:name w:val="font161"/>
    <w:qFormat/>
    <w:uiPriority w:val="0"/>
    <w:rPr>
      <w:b/>
      <w:bCs/>
      <w:sz w:val="32"/>
      <w:szCs w:val="32"/>
    </w:rPr>
  </w:style>
  <w:style w:type="character" w:customStyle="1" w:styleId="74">
    <w:name w:val="标题 5 字符"/>
    <w:basedOn w:val="42"/>
    <w:link w:val="12"/>
    <w:semiHidden/>
    <w:qFormat/>
    <w:uiPriority w:val="9"/>
    <w:rPr>
      <w:rFonts w:eastAsia="宋体"/>
      <w:b/>
      <w:bCs/>
      <w:kern w:val="2"/>
      <w:sz w:val="28"/>
      <w:szCs w:val="28"/>
    </w:rPr>
  </w:style>
  <w:style w:type="character" w:customStyle="1" w:styleId="75">
    <w:name w:val="正文首行缩进 字符"/>
    <w:basedOn w:val="76"/>
    <w:link w:val="5"/>
    <w:qFormat/>
    <w:uiPriority w:val="0"/>
    <w:rPr>
      <w:rFonts w:eastAsia="宋体"/>
      <w:kern w:val="2"/>
      <w:sz w:val="21"/>
      <w:szCs w:val="24"/>
      <w:lang w:val="en-US" w:eastAsia="zh-CN" w:bidi="ar-SA"/>
    </w:rPr>
  </w:style>
  <w:style w:type="character" w:customStyle="1" w:styleId="76">
    <w:name w:val="正文文本 Char"/>
    <w:qFormat/>
    <w:uiPriority w:val="0"/>
    <w:rPr>
      <w:rFonts w:eastAsia="宋体"/>
      <w:kern w:val="2"/>
      <w:sz w:val="21"/>
      <w:szCs w:val="24"/>
      <w:lang w:val="en-US" w:eastAsia="zh-CN" w:bidi="ar-SA"/>
    </w:rPr>
  </w:style>
  <w:style w:type="paragraph" w:customStyle="1" w:styleId="77">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78">
    <w:name w:val="Char"/>
    <w:basedOn w:val="1"/>
    <w:qFormat/>
    <w:uiPriority w:val="0"/>
    <w:pPr>
      <w:widowControl/>
      <w:spacing w:after="160" w:line="240" w:lineRule="exact"/>
      <w:jc w:val="left"/>
    </w:pPr>
    <w:rPr>
      <w:rFonts w:ascii="Verdana" w:hAnsi="Verdana"/>
      <w:kern w:val="0"/>
      <w:sz w:val="20"/>
      <w:szCs w:val="20"/>
      <w:lang w:eastAsia="en-US"/>
    </w:rPr>
  </w:style>
  <w:style w:type="paragraph" w:styleId="79">
    <w:name w:val="List Paragraph"/>
    <w:basedOn w:val="1"/>
    <w:qFormat/>
    <w:uiPriority w:val="0"/>
    <w:pPr>
      <w:ind w:firstLine="420" w:firstLineChars="200"/>
    </w:pPr>
  </w:style>
  <w:style w:type="character" w:customStyle="1" w:styleId="80">
    <w:name w:val="正文文本 字符"/>
    <w:basedOn w:val="42"/>
    <w:link w:val="6"/>
    <w:qFormat/>
    <w:uiPriority w:val="0"/>
    <w:rPr>
      <w:rFonts w:eastAsia="宋体"/>
      <w:kern w:val="2"/>
      <w:sz w:val="21"/>
    </w:rPr>
  </w:style>
  <w:style w:type="character" w:customStyle="1" w:styleId="81">
    <w:name w:val="正文首行缩进 Char1"/>
    <w:basedOn w:val="80"/>
    <w:qFormat/>
    <w:uiPriority w:val="99"/>
    <w:rPr>
      <w:rFonts w:eastAsia="宋体"/>
      <w:kern w:val="2"/>
      <w:sz w:val="21"/>
    </w:rPr>
  </w:style>
  <w:style w:type="character" w:customStyle="1" w:styleId="82">
    <w:name w:val="正文文本缩进 字符"/>
    <w:basedOn w:val="42"/>
    <w:link w:val="4"/>
    <w:qFormat/>
    <w:uiPriority w:val="0"/>
    <w:rPr>
      <w:rFonts w:eastAsia="宋体"/>
      <w:kern w:val="2"/>
      <w:sz w:val="21"/>
    </w:rPr>
  </w:style>
  <w:style w:type="paragraph" w:customStyle="1" w:styleId="83">
    <w:name w:val="我的正文"/>
    <w:basedOn w:val="1"/>
    <w:qFormat/>
    <w:uiPriority w:val="0"/>
    <w:rPr>
      <w:rFonts w:ascii="宋体" w:hAnsi="宋体"/>
      <w:sz w:val="24"/>
      <w:szCs w:val="24"/>
    </w:rPr>
  </w:style>
  <w:style w:type="paragraph" w:customStyle="1" w:styleId="84">
    <w:name w:val="样式 标题 2 + Times New Roman 四号 非加粗 段前: 5 磅 段后: 0 磅 行距: 固定值 20..."/>
    <w:basedOn w:val="9"/>
    <w:qFormat/>
    <w:uiPriority w:val="0"/>
    <w:pPr>
      <w:spacing w:before="100" w:after="0" w:line="400" w:lineRule="exact"/>
    </w:pPr>
    <w:rPr>
      <w:rFonts w:ascii="Times New Roman" w:hAnsi="Times New Roman" w:cs="宋体"/>
      <w:b w:val="0"/>
      <w:sz w:val="28"/>
    </w:rPr>
  </w:style>
  <w:style w:type="paragraph" w:customStyle="1" w:styleId="85">
    <w:name w:val="样式2"/>
    <w:basedOn w:val="10"/>
    <w:qFormat/>
    <w:uiPriority w:val="0"/>
    <w:pPr>
      <w:spacing w:line="415" w:lineRule="auto"/>
      <w:ind w:firstLine="137"/>
    </w:pPr>
    <w:rPr>
      <w:rFonts w:hAnsi="Times New Roman"/>
      <w:bCs/>
      <w:i/>
      <w:szCs w:val="28"/>
    </w:rPr>
  </w:style>
  <w:style w:type="character" w:customStyle="1" w:styleId="86">
    <w:name w:val="标题 字符"/>
    <w:basedOn w:val="42"/>
    <w:link w:val="39"/>
    <w:qFormat/>
    <w:uiPriority w:val="0"/>
    <w:rPr>
      <w:rFonts w:ascii="Arial" w:hAnsi="Arial" w:eastAsia="宋体"/>
      <w:b/>
      <w:sz w:val="32"/>
    </w:rPr>
  </w:style>
  <w:style w:type="paragraph" w:customStyle="1" w:styleId="87">
    <w:name w:val="Char1"/>
    <w:basedOn w:val="1"/>
    <w:qFormat/>
    <w:uiPriority w:val="0"/>
    <w:pPr>
      <w:tabs>
        <w:tab w:val="left" w:pos="360"/>
      </w:tabs>
    </w:pPr>
    <w:rPr>
      <w:rFonts w:ascii="Times New Roman" w:hAnsi="Times New Roman"/>
      <w:sz w:val="24"/>
      <w:szCs w:val="20"/>
    </w:rPr>
  </w:style>
  <w:style w:type="paragraph" w:customStyle="1" w:styleId="88">
    <w:name w:val="修订11"/>
    <w:qFormat/>
    <w:uiPriority w:val="0"/>
    <w:rPr>
      <w:rFonts w:ascii="Times New Roman" w:hAnsi="Times New Roman" w:eastAsia="宋体" w:cs="Times New Roman"/>
      <w:kern w:val="2"/>
      <w:sz w:val="21"/>
      <w:szCs w:val="24"/>
      <w:lang w:val="en-US" w:eastAsia="zh-CN" w:bidi="ar-SA"/>
    </w:rPr>
  </w:style>
  <w:style w:type="paragraph" w:customStyle="1" w:styleId="89">
    <w:name w:val="样式1"/>
    <w:basedOn w:val="1"/>
    <w:next w:val="11"/>
    <w:qFormat/>
    <w:uiPriority w:val="0"/>
    <w:pPr>
      <w:spacing w:line="360" w:lineRule="auto"/>
      <w:ind w:firstLine="420" w:firstLineChars="200"/>
    </w:pPr>
    <w:rPr>
      <w:rFonts w:ascii="宋体" w:hAnsi="宋体"/>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1">
    <w:name w:val="样式 标题 1 + 黑体 三号 非加粗 居中 段前: 6 磅 段后: 6 磅 行距: 固定值 20 磅"/>
    <w:basedOn w:val="8"/>
    <w:qFormat/>
    <w:uiPriority w:val="0"/>
    <w:pPr>
      <w:spacing w:before="120" w:after="120" w:line="400" w:lineRule="exact"/>
      <w:jc w:val="center"/>
    </w:pPr>
    <w:rPr>
      <w:rFonts w:ascii="黑体" w:hAnsi="黑体" w:eastAsia="黑体" w:cs="宋体"/>
      <w:b w:val="0"/>
      <w:sz w:val="32"/>
    </w:rPr>
  </w:style>
  <w:style w:type="paragraph" w:customStyle="1" w:styleId="92">
    <w:name w:val="样式 标题 3 + (中文) 黑体 小四 非加粗 段前: 7.8 磅 段后: 0 磅 行距: 固定值 20 磅"/>
    <w:basedOn w:val="10"/>
    <w:qFormat/>
    <w:uiPriority w:val="0"/>
    <w:pPr>
      <w:spacing w:before="0" w:after="0" w:line="400" w:lineRule="exact"/>
      <w:ind w:firstLine="137"/>
    </w:pPr>
    <w:rPr>
      <w:rFonts w:hAnsi="Times New Roman" w:cs="宋体"/>
      <w:sz w:val="24"/>
    </w:rPr>
  </w:style>
  <w:style w:type="paragraph" w:customStyle="1" w:styleId="93">
    <w:name w:val="1"/>
    <w:basedOn w:val="1"/>
    <w:qFormat/>
    <w:uiPriority w:val="0"/>
    <w:rPr>
      <w:rFonts w:ascii="Times New Roman" w:hAnsi="Times New Roman"/>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修订2"/>
    <w:qFormat/>
    <w:uiPriority w:val="0"/>
    <w:rPr>
      <w:rFonts w:ascii="Times New Roman" w:hAnsi="Times New Roman" w:eastAsia="宋体" w:cs="Times New Roman"/>
      <w:kern w:val="2"/>
      <w:sz w:val="21"/>
      <w:szCs w:val="24"/>
      <w:lang w:val="en-US" w:eastAsia="zh-CN" w:bidi="ar-SA"/>
    </w:rPr>
  </w:style>
  <w:style w:type="character" w:customStyle="1" w:styleId="96">
    <w:name w:val="正文首行缩进 2 字符"/>
    <w:basedOn w:val="82"/>
    <w:link w:val="3"/>
    <w:semiHidden/>
    <w:qFormat/>
    <w:uiPriority w:val="0"/>
    <w:rPr>
      <w:rFonts w:ascii="Calibri" w:hAnsi="Calibri" w:eastAsia="宋体"/>
      <w:kern w:val="2"/>
      <w:sz w:val="21"/>
      <w:szCs w:val="22"/>
    </w:rPr>
  </w:style>
  <w:style w:type="character" w:customStyle="1" w:styleId="97">
    <w:name w:val="未处理的提及1"/>
    <w:basedOn w:val="42"/>
    <w:semiHidden/>
    <w:unhideWhenUsed/>
    <w:qFormat/>
    <w:uiPriority w:val="99"/>
    <w:rPr>
      <w:color w:val="605E5C"/>
      <w:shd w:val="clear" w:color="auto" w:fill="E1DFDD"/>
    </w:rPr>
  </w:style>
  <w:style w:type="character" w:customStyle="1" w:styleId="98">
    <w:name w:val="NormalCharacter"/>
    <w:semiHidden/>
    <w:qFormat/>
    <w:uiPriority w:val="0"/>
  </w:style>
  <w:style w:type="paragraph" w:customStyle="1" w:styleId="99">
    <w:name w:val="修订3"/>
    <w:hidden/>
    <w:unhideWhenUsed/>
    <w:qFormat/>
    <w:uiPriority w:val="99"/>
    <w:rPr>
      <w:rFonts w:ascii="Calibri" w:hAnsi="Calibri" w:eastAsia="宋体" w:cs="Times New Roman"/>
      <w:kern w:val="2"/>
      <w:sz w:val="21"/>
      <w:szCs w:val="22"/>
      <w:lang w:val="en-US" w:eastAsia="zh-CN" w:bidi="ar-SA"/>
    </w:rPr>
  </w:style>
  <w:style w:type="character" w:customStyle="1" w:styleId="100">
    <w:name w:val="font01"/>
    <w:basedOn w:val="42"/>
    <w:qFormat/>
    <w:uiPriority w:val="0"/>
    <w:rPr>
      <w:rFonts w:hint="eastAsia" w:ascii="宋体" w:hAnsi="宋体" w:eastAsia="宋体" w:cs="宋体"/>
      <w:color w:val="000000"/>
      <w:sz w:val="22"/>
      <w:szCs w:val="22"/>
      <w:u w:val="none"/>
    </w:rPr>
  </w:style>
  <w:style w:type="character" w:customStyle="1" w:styleId="101">
    <w:name w:val="font61"/>
    <w:basedOn w:val="42"/>
    <w:qFormat/>
    <w:uiPriority w:val="0"/>
    <w:rPr>
      <w:rFonts w:hint="eastAsia" w:ascii="宋体" w:hAnsi="宋体" w:eastAsia="宋体" w:cs="宋体"/>
      <w:color w:val="000000"/>
      <w:sz w:val="22"/>
      <w:szCs w:val="22"/>
      <w:u w:val="none"/>
      <w:vertAlign w:val="superscript"/>
    </w:rPr>
  </w:style>
  <w:style w:type="character" w:customStyle="1" w:styleId="102">
    <w:name w:val="font21"/>
    <w:basedOn w:val="42"/>
    <w:qFormat/>
    <w:uiPriority w:val="0"/>
    <w:rPr>
      <w:rFonts w:hint="eastAsia" w:ascii="宋体" w:hAnsi="宋体" w:eastAsia="宋体" w:cs="宋体"/>
      <w:b/>
      <w:bCs/>
      <w:color w:val="000000"/>
      <w:sz w:val="24"/>
      <w:szCs w:val="24"/>
      <w:u w:val="none"/>
    </w:rPr>
  </w:style>
  <w:style w:type="paragraph" w:customStyle="1" w:styleId="103">
    <w:name w:val="修订4"/>
    <w:hidden/>
    <w:unhideWhenUsed/>
    <w:qFormat/>
    <w:uiPriority w:val="99"/>
    <w:rPr>
      <w:rFonts w:ascii="Calibri" w:hAnsi="Calibri" w:eastAsia="宋体" w:cs="Times New Roman"/>
      <w:kern w:val="2"/>
      <w:sz w:val="21"/>
      <w:szCs w:val="22"/>
      <w:lang w:val="en-US" w:eastAsia="zh-CN" w:bidi="ar-SA"/>
    </w:rPr>
  </w:style>
  <w:style w:type="character" w:customStyle="1" w:styleId="104">
    <w:name w:val="未处理的提及2"/>
    <w:basedOn w:val="42"/>
    <w:semiHidden/>
    <w:unhideWhenUsed/>
    <w:qFormat/>
    <w:uiPriority w:val="99"/>
    <w:rPr>
      <w:color w:val="605E5C"/>
      <w:shd w:val="clear" w:color="auto" w:fill="E1DFDD"/>
    </w:rPr>
  </w:style>
  <w:style w:type="paragraph" w:customStyle="1" w:styleId="105">
    <w:name w:val="修订5"/>
    <w:hidden/>
    <w:unhideWhenUsed/>
    <w:qFormat/>
    <w:uiPriority w:val="99"/>
    <w:rPr>
      <w:rFonts w:ascii="Calibri" w:hAnsi="Calibri" w:eastAsia="宋体" w:cs="Times New Roman"/>
      <w:kern w:val="2"/>
      <w:sz w:val="21"/>
      <w:szCs w:val="22"/>
      <w:lang w:val="en-US" w:eastAsia="zh-CN" w:bidi="ar-SA"/>
    </w:rPr>
  </w:style>
  <w:style w:type="paragraph" w:customStyle="1" w:styleId="106">
    <w:name w:val="表格文字中"/>
    <w:basedOn w:val="1"/>
    <w:qFormat/>
    <w:uiPriority w:val="0"/>
    <w:pPr>
      <w:adjustRightInd w:val="0"/>
      <w:snapToGrid w:val="0"/>
      <w:ind w:left="22" w:leftChars="8"/>
      <w:jc w:val="center"/>
    </w:pPr>
    <w:rPr>
      <w:rFonts w:ascii="Times New Roman" w:hAnsi="Times New Roman"/>
      <w:kern w:val="0"/>
      <w:szCs w:val="24"/>
    </w:rPr>
  </w:style>
  <w:style w:type="paragraph" w:customStyle="1" w:styleId="107">
    <w:name w:val="修订6"/>
    <w:hidden/>
    <w:unhideWhenUsed/>
    <w:qFormat/>
    <w:uiPriority w:val="99"/>
    <w:rPr>
      <w:rFonts w:ascii="Calibri" w:hAnsi="Calibri" w:eastAsia="宋体" w:cs="Times New Roman"/>
      <w:kern w:val="2"/>
      <w:sz w:val="21"/>
      <w:szCs w:val="22"/>
      <w:lang w:val="en-US" w:eastAsia="zh-CN" w:bidi="ar-SA"/>
    </w:rPr>
  </w:style>
  <w:style w:type="character" w:customStyle="1" w:styleId="108">
    <w:name w:val="纯文本 字符"/>
    <w:basedOn w:val="42"/>
    <w:link w:val="24"/>
    <w:qFormat/>
    <w:uiPriority w:val="99"/>
    <w:rPr>
      <w:rFonts w:ascii="宋体" w:hAnsi="Calibri"/>
      <w:kern w:val="2"/>
      <w:sz w:val="21"/>
      <w:szCs w:val="22"/>
    </w:rPr>
  </w:style>
  <w:style w:type="paragraph" w:customStyle="1" w:styleId="109">
    <w:name w:val="((列表1级"/>
    <w:qFormat/>
    <w:uiPriority w:val="0"/>
    <w:pPr>
      <w:widowControl w:val="0"/>
      <w:numPr>
        <w:ilvl w:val="6"/>
        <w:numId w:val="1"/>
      </w:numPr>
      <w:jc w:val="both"/>
      <w:outlineLvl w:val="6"/>
    </w:pPr>
    <w:rPr>
      <w:rFonts w:ascii="Times New Roman" w:hAnsi="Times New Roman" w:eastAsia="宋体" w:cs="Times New Roman"/>
      <w:sz w:val="28"/>
      <w:lang w:val="en-US" w:eastAsia="zh-CN" w:bidi="ar-SA"/>
    </w:rPr>
  </w:style>
  <w:style w:type="paragraph" w:customStyle="1" w:styleId="11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721D0-9608-435B-BBAA-94001D80D9DF}">
  <ds:schemaRefs/>
</ds:datastoreItem>
</file>

<file path=docProps/app.xml><?xml version="1.0" encoding="utf-8"?>
<Properties xmlns="http://schemas.openxmlformats.org/officeDocument/2006/extended-properties" xmlns:vt="http://schemas.openxmlformats.org/officeDocument/2006/docPropsVTypes">
  <Template>Normal</Template>
  <Pages>1</Pages>
  <Words>8742</Words>
  <Characters>49834</Characters>
  <Lines>415</Lines>
  <Paragraphs>116</Paragraphs>
  <TotalTime>16</TotalTime>
  <ScaleCrop>false</ScaleCrop>
  <LinksUpToDate>false</LinksUpToDate>
  <CharactersWithSpaces>58460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2025-08-12T07:01:00Z</dcterms:created>
  <cp:lastPrinted>2025-08-19T07:33:31Z</cp:lastPrinted>
  <dcterms:modified xsi:type="dcterms:W3CDTF">2025-08-19T08:08:27Z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KSOTemplateDocerSaveRecord">
    <vt:lpwstr>eyJoZGlkIjoiZjVhNGJiMWVmZTg4ZjFhYWZhYWFiMzBkODkwYWRkZmUiLCJ1c2VySWQiOiIyODcyMTI2MDQifQ==</vt:lpwstr>
  </property>
  <property fmtid="{D5CDD505-2E9C-101B-9397-08002B2CF9AE}" pid="4" name="ICV">
    <vt:lpwstr>B15984F593BB4895ACC43956603697C1</vt:lpwstr>
  </property>
</Properties>
</file>