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7F05B">
      <w:pPr>
        <w:shd w:val="clear"/>
        <w:jc w:val="both"/>
        <w:rPr>
          <w:rFonts w:hint="eastAsia" w:ascii="宋体" w:hAnsi="宋体" w:eastAsia="宋体" w:cs="宋体"/>
          <w:b/>
          <w:bCs/>
          <w:color w:val="auto"/>
          <w:sz w:val="44"/>
          <w:szCs w:val="44"/>
          <w:highlight w:val="none"/>
          <w:u w:val="none"/>
          <w:lang w:eastAsia="zh-CN"/>
        </w:rPr>
      </w:pPr>
      <w:bookmarkStart w:id="662" w:name="_GoBack"/>
    </w:p>
    <w:p w14:paraId="4DF76A70">
      <w:pPr>
        <w:shd w:val="clear"/>
        <w:jc w:val="center"/>
        <w:rPr>
          <w:rFonts w:hint="eastAsia" w:ascii="宋体" w:hAnsi="宋体" w:eastAsia="宋体" w:cs="宋体"/>
          <w:color w:val="auto"/>
          <w:sz w:val="44"/>
          <w:szCs w:val="44"/>
          <w:highlight w:val="none"/>
        </w:rPr>
      </w:pPr>
      <w:r>
        <w:rPr>
          <w:rFonts w:hint="eastAsia" w:ascii="宋体" w:hAnsi="宋体" w:cs="宋体"/>
          <w:b/>
          <w:bCs/>
          <w:color w:val="auto"/>
          <w:sz w:val="44"/>
          <w:szCs w:val="44"/>
          <w:highlight w:val="none"/>
          <w:u w:val="none"/>
          <w:lang w:eastAsia="zh-CN"/>
        </w:rPr>
        <w:t>联星村村道提升工程</w:t>
      </w:r>
      <w:r>
        <w:rPr>
          <w:rFonts w:hint="eastAsia" w:ascii="宋体" w:hAnsi="宋体" w:eastAsia="宋体" w:cs="宋体"/>
          <w:b/>
          <w:bCs/>
          <w:color w:val="auto"/>
          <w:sz w:val="44"/>
          <w:szCs w:val="44"/>
          <w:highlight w:val="none"/>
          <w:u w:val="none"/>
          <w:lang w:eastAsia="zh-CN"/>
        </w:rPr>
        <w:t>设计施工总承包</w:t>
      </w:r>
    </w:p>
    <w:p w14:paraId="7290AA41">
      <w:pPr>
        <w:shd w:val="clear"/>
        <w:spacing w:line="360" w:lineRule="auto"/>
        <w:jc w:val="center"/>
        <w:rPr>
          <w:rFonts w:hint="eastAsia" w:ascii="宋体" w:hAnsi="宋体" w:eastAsia="宋体" w:cs="宋体"/>
          <w:color w:val="auto"/>
          <w:sz w:val="28"/>
          <w:szCs w:val="28"/>
          <w:highlight w:val="none"/>
        </w:rPr>
      </w:pPr>
    </w:p>
    <w:p w14:paraId="6138FE1F">
      <w:pPr>
        <w:shd w:val="clear"/>
        <w:rPr>
          <w:rFonts w:hint="eastAsia" w:ascii="宋体" w:hAnsi="宋体" w:eastAsia="宋体" w:cs="宋体"/>
          <w:color w:val="auto"/>
          <w:sz w:val="28"/>
          <w:szCs w:val="28"/>
          <w:highlight w:val="none"/>
        </w:rPr>
      </w:pPr>
    </w:p>
    <w:p w14:paraId="7509C849">
      <w:pPr>
        <w:pStyle w:val="39"/>
        <w:shd w:val="clear"/>
        <w:ind w:firstLine="560"/>
        <w:rPr>
          <w:rFonts w:hint="eastAsia" w:ascii="宋体" w:hAnsi="宋体" w:eastAsia="宋体" w:cs="宋体"/>
          <w:color w:val="auto"/>
          <w:sz w:val="28"/>
          <w:szCs w:val="28"/>
          <w:highlight w:val="none"/>
        </w:rPr>
      </w:pPr>
    </w:p>
    <w:p w14:paraId="400023A1">
      <w:pPr>
        <w:pStyle w:val="39"/>
        <w:shd w:val="clear"/>
        <w:ind w:firstLine="560"/>
        <w:rPr>
          <w:rFonts w:hint="eastAsia" w:ascii="宋体" w:hAnsi="宋体" w:eastAsia="宋体" w:cs="宋体"/>
          <w:color w:val="auto"/>
          <w:sz w:val="28"/>
          <w:szCs w:val="28"/>
          <w:highlight w:val="none"/>
        </w:rPr>
      </w:pPr>
    </w:p>
    <w:p w14:paraId="7F5724E4">
      <w:pPr>
        <w:shd w:val="clear"/>
        <w:rPr>
          <w:rFonts w:hint="eastAsia" w:ascii="宋体" w:hAnsi="宋体" w:eastAsia="宋体" w:cs="宋体"/>
          <w:color w:val="auto"/>
          <w:sz w:val="28"/>
          <w:szCs w:val="28"/>
          <w:highlight w:val="none"/>
        </w:rPr>
      </w:pPr>
    </w:p>
    <w:p w14:paraId="0687A040">
      <w:pPr>
        <w:shd w:val="clear"/>
        <w:jc w:val="center"/>
        <w:rPr>
          <w:rFonts w:hint="eastAsia" w:ascii="宋体" w:hAnsi="宋体" w:eastAsia="宋体" w:cs="宋体"/>
          <w:b/>
          <w:bCs/>
          <w:color w:val="auto"/>
          <w:sz w:val="88"/>
          <w:szCs w:val="88"/>
          <w:highlight w:val="none"/>
        </w:rPr>
      </w:pPr>
    </w:p>
    <w:p w14:paraId="174A52C2">
      <w:pPr>
        <w:shd w:val="clea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88"/>
          <w:szCs w:val="88"/>
          <w:highlight w:val="none"/>
        </w:rPr>
        <w:t>招标文件</w:t>
      </w:r>
    </w:p>
    <w:p w14:paraId="28E17916">
      <w:pPr>
        <w:shd w:val="clear"/>
        <w:spacing w:line="400" w:lineRule="exact"/>
        <w:rPr>
          <w:rFonts w:hint="eastAsia" w:ascii="宋体" w:hAnsi="宋体" w:eastAsia="宋体" w:cs="宋体"/>
          <w:color w:val="auto"/>
          <w:highlight w:val="none"/>
        </w:rPr>
      </w:pPr>
    </w:p>
    <w:p w14:paraId="67004118">
      <w:pPr>
        <w:shd w:val="clear"/>
        <w:spacing w:line="400" w:lineRule="exact"/>
        <w:rPr>
          <w:rFonts w:hint="eastAsia" w:ascii="宋体" w:hAnsi="宋体" w:eastAsia="宋体" w:cs="宋体"/>
          <w:color w:val="auto"/>
          <w:highlight w:val="none"/>
        </w:rPr>
      </w:pPr>
    </w:p>
    <w:p w14:paraId="08F03B41">
      <w:pPr>
        <w:shd w:val="clear"/>
        <w:spacing w:line="400" w:lineRule="exact"/>
        <w:rPr>
          <w:rFonts w:hint="eastAsia" w:ascii="宋体" w:hAnsi="宋体" w:eastAsia="宋体" w:cs="宋体"/>
          <w:color w:val="auto"/>
          <w:highlight w:val="none"/>
        </w:rPr>
      </w:pPr>
    </w:p>
    <w:p w14:paraId="6AB57861">
      <w:pPr>
        <w:pStyle w:val="39"/>
        <w:shd w:val="clear"/>
        <w:rPr>
          <w:rFonts w:hint="eastAsia" w:ascii="宋体" w:hAnsi="宋体" w:eastAsia="宋体" w:cs="宋体"/>
          <w:color w:val="auto"/>
          <w:highlight w:val="none"/>
        </w:rPr>
      </w:pPr>
    </w:p>
    <w:p w14:paraId="5D507645">
      <w:pPr>
        <w:shd w:val="clear"/>
        <w:spacing w:line="400" w:lineRule="exact"/>
        <w:rPr>
          <w:rFonts w:hint="eastAsia" w:ascii="宋体" w:hAnsi="宋体" w:eastAsia="宋体" w:cs="宋体"/>
          <w:color w:val="auto"/>
          <w:highlight w:val="none"/>
        </w:rPr>
      </w:pPr>
    </w:p>
    <w:p w14:paraId="7B44ADF1">
      <w:pPr>
        <w:shd w:val="clear"/>
        <w:spacing w:line="400" w:lineRule="exact"/>
        <w:rPr>
          <w:rFonts w:hint="eastAsia" w:ascii="宋体" w:hAnsi="宋体" w:eastAsia="宋体" w:cs="宋体"/>
          <w:color w:val="auto"/>
          <w:highlight w:val="none"/>
        </w:rPr>
      </w:pPr>
    </w:p>
    <w:p w14:paraId="4193F090">
      <w:pPr>
        <w:shd w:val="clear"/>
        <w:spacing w:line="400" w:lineRule="exact"/>
        <w:rPr>
          <w:rFonts w:hint="eastAsia" w:ascii="宋体" w:hAnsi="宋体" w:eastAsia="宋体" w:cs="宋体"/>
          <w:color w:val="auto"/>
          <w:highlight w:val="none"/>
        </w:rPr>
      </w:pPr>
    </w:p>
    <w:p w14:paraId="6FA7F678">
      <w:pPr>
        <w:shd w:val="clear"/>
        <w:spacing w:line="360" w:lineRule="auto"/>
        <w:jc w:val="both"/>
        <w:rPr>
          <w:rFonts w:hint="eastAsia" w:ascii="宋体" w:hAnsi="宋体" w:eastAsia="宋体" w:cs="宋体"/>
          <w:color w:val="auto"/>
          <w:sz w:val="28"/>
          <w:szCs w:val="28"/>
          <w:highlight w:val="none"/>
        </w:rPr>
      </w:pPr>
    </w:p>
    <w:p w14:paraId="7D4A632D">
      <w:pPr>
        <w:shd w:val="clear"/>
        <w:spacing w:line="360" w:lineRule="auto"/>
        <w:ind w:firstLine="840" w:firstLineChars="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u w:val="single"/>
          <w:lang w:eastAsia="zh-CN"/>
        </w:rPr>
        <w:t>广州市花都区狮岭镇人民政府</w:t>
      </w:r>
      <w:r>
        <w:rPr>
          <w:rFonts w:hint="eastAsia" w:ascii="宋体" w:hAnsi="宋体" w:eastAsia="宋体" w:cs="宋体"/>
          <w:color w:val="auto"/>
          <w:sz w:val="28"/>
          <w:szCs w:val="28"/>
          <w:highlight w:val="none"/>
        </w:rPr>
        <w:t>（盖章）</w:t>
      </w:r>
    </w:p>
    <w:p w14:paraId="58A6A22E">
      <w:pPr>
        <w:shd w:val="clear"/>
        <w:spacing w:line="360" w:lineRule="auto"/>
        <w:ind w:firstLine="840" w:firstLineChars="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r>
        <w:rPr>
          <w:rFonts w:hint="eastAsia" w:ascii="宋体" w:hAnsi="宋体" w:cs="宋体"/>
          <w:color w:val="auto"/>
          <w:sz w:val="28"/>
          <w:szCs w:val="28"/>
          <w:highlight w:val="none"/>
          <w:u w:val="single"/>
          <w:lang w:eastAsia="zh-CN"/>
        </w:rPr>
        <w:t>广东粤信项目管理有限公司</w:t>
      </w:r>
      <w:r>
        <w:rPr>
          <w:rFonts w:hint="eastAsia" w:ascii="宋体" w:hAnsi="宋体" w:eastAsia="宋体" w:cs="宋体"/>
          <w:color w:val="auto"/>
          <w:sz w:val="28"/>
          <w:szCs w:val="28"/>
          <w:highlight w:val="none"/>
        </w:rPr>
        <w:t>（盖章）</w:t>
      </w:r>
    </w:p>
    <w:p w14:paraId="3AF91CB2">
      <w:pPr>
        <w:shd w:val="clear"/>
        <w:spacing w:line="360" w:lineRule="auto"/>
        <w:ind w:firstLine="840" w:firstLineChars="300"/>
        <w:jc w:val="both"/>
        <w:rPr>
          <w:rFonts w:hint="eastAsia" w:ascii="宋体" w:hAnsi="宋体" w:eastAsia="宋体" w:cs="宋体"/>
          <w:color w:val="auto"/>
          <w:sz w:val="24"/>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cs="宋体"/>
          <w:color w:val="auto"/>
          <w:sz w:val="28"/>
          <w:szCs w:val="28"/>
          <w:highlight w:val="none"/>
          <w:u w:val="single"/>
          <w:lang w:eastAsia="zh-CN"/>
        </w:rPr>
        <w:t>2025年8月</w:t>
      </w:r>
    </w:p>
    <w:p w14:paraId="7C4B4CDC">
      <w:pPr>
        <w:shd w:val="clear"/>
        <w:spacing w:line="400" w:lineRule="exact"/>
        <w:jc w:val="center"/>
        <w:rPr>
          <w:rFonts w:hint="eastAsia" w:ascii="宋体" w:hAnsi="宋体" w:eastAsia="宋体" w:cs="宋体"/>
          <w:color w:val="auto"/>
          <w:highlight w:val="none"/>
        </w:rPr>
        <w:sectPr>
          <w:pgSz w:w="11906" w:h="16838"/>
          <w:pgMar w:top="1304" w:right="1304" w:bottom="1304" w:left="1304" w:header="851" w:footer="572" w:gutter="0"/>
          <w:pgNumType w:start="1"/>
          <w:cols w:space="720" w:num="1"/>
          <w:titlePg/>
          <w:docGrid w:type="lines" w:linePitch="312" w:charSpace="0"/>
        </w:sectPr>
      </w:pPr>
      <w:bookmarkStart w:id="0" w:name="_Toc300834926"/>
      <w:bookmarkStart w:id="1" w:name="_Toc144974478"/>
      <w:bookmarkStart w:id="2" w:name="_Toc152042286"/>
      <w:bookmarkStart w:id="3" w:name="_Toc247527532"/>
    </w:p>
    <w:p w14:paraId="3D6AD129">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     录</w:t>
      </w:r>
      <w:bookmarkEnd w:id="0"/>
      <w:bookmarkEnd w:id="1"/>
      <w:bookmarkEnd w:id="2"/>
      <w:bookmarkEnd w:id="3"/>
    </w:p>
    <w:p w14:paraId="0C596E42">
      <w:pPr>
        <w:pStyle w:val="28"/>
        <w:tabs>
          <w:tab w:val="right" w:leader="dot" w:pos="9298"/>
        </w:tabs>
      </w:pPr>
      <w:bookmarkStart w:id="4" w:name="_Toc144974479"/>
      <w:bookmarkStart w:id="5" w:name="_Toc247513932"/>
      <w:bookmarkStart w:id="6" w:name="_Toc152045511"/>
      <w:bookmarkStart w:id="7" w:name="_Toc247527533"/>
      <w:bookmarkStart w:id="8" w:name="_Toc152042287"/>
      <w:r>
        <w:rPr>
          <w:rFonts w:hint="eastAsia" w:ascii="宋体" w:hAnsi="宋体" w:eastAsia="宋体" w:cs="宋体"/>
          <w:caps w:val="0"/>
          <w:color w:val="auto"/>
          <w:highlight w:val="none"/>
        </w:rPr>
        <w:fldChar w:fldCharType="begin"/>
      </w:r>
      <w:r>
        <w:rPr>
          <w:rFonts w:hint="eastAsia" w:ascii="宋体" w:hAnsi="宋体" w:eastAsia="宋体" w:cs="宋体"/>
          <w:caps w:val="0"/>
          <w:color w:val="auto"/>
          <w:highlight w:val="none"/>
        </w:rPr>
        <w:instrText xml:space="preserve"> TOC \o "1-3" \h \z \u </w:instrText>
      </w:r>
      <w:r>
        <w:rPr>
          <w:rFonts w:hint="eastAsia" w:ascii="宋体" w:hAnsi="宋体" w:eastAsia="宋体" w:cs="宋体"/>
          <w:caps w:val="0"/>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_Toc27089 </w:instrText>
      </w:r>
      <w:r>
        <w:rPr>
          <w:rFonts w:hint="eastAsia" w:ascii="宋体" w:hAnsi="宋体" w:eastAsia="宋体" w:cs="宋体"/>
          <w:highlight w:val="none"/>
        </w:rPr>
        <w:fldChar w:fldCharType="separate"/>
      </w:r>
      <w:r>
        <w:rPr>
          <w:rFonts w:hint="eastAsia" w:ascii="宋体" w:hAnsi="宋体" w:eastAsia="宋体" w:cs="宋体"/>
          <w:highlight w:val="none"/>
        </w:rPr>
        <w:t>第一章  招标公告</w:t>
      </w:r>
      <w:r>
        <w:tab/>
      </w:r>
      <w:r>
        <w:fldChar w:fldCharType="begin"/>
      </w:r>
      <w:r>
        <w:instrText xml:space="preserve"> PAGEREF _Toc27089 \h </w:instrText>
      </w:r>
      <w:r>
        <w:fldChar w:fldCharType="separate"/>
      </w:r>
      <w:r>
        <w:t>1</w:t>
      </w:r>
      <w:r>
        <w:fldChar w:fldCharType="end"/>
      </w:r>
      <w:r>
        <w:rPr>
          <w:rFonts w:hint="eastAsia" w:ascii="宋体" w:hAnsi="宋体" w:eastAsia="宋体" w:cs="宋体"/>
          <w:color w:val="auto"/>
          <w:highlight w:val="none"/>
        </w:rPr>
        <w:fldChar w:fldCharType="end"/>
      </w:r>
    </w:p>
    <w:p w14:paraId="260E19F3">
      <w:pPr>
        <w:pStyle w:val="28"/>
        <w:tabs>
          <w:tab w:val="right" w:leader="dot" w:pos="9298"/>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_Toc27674 </w:instrText>
      </w:r>
      <w:r>
        <w:rPr>
          <w:rFonts w:hint="eastAsia" w:ascii="宋体" w:hAnsi="宋体" w:eastAsia="宋体" w:cs="宋体"/>
          <w:highlight w:val="none"/>
        </w:rPr>
        <w:fldChar w:fldCharType="separate"/>
      </w:r>
      <w:r>
        <w:rPr>
          <w:rFonts w:hint="eastAsia" w:ascii="宋体" w:hAnsi="宋体" w:cs="宋体"/>
          <w:bCs/>
          <w:kern w:val="44"/>
          <w:szCs w:val="44"/>
          <w:highlight w:val="none"/>
        </w:rPr>
        <w:t>第二章  投标人须知</w:t>
      </w:r>
      <w:r>
        <w:tab/>
      </w:r>
      <w:r>
        <w:fldChar w:fldCharType="begin"/>
      </w:r>
      <w:r>
        <w:instrText xml:space="preserve"> PAGEREF _Toc27674 \h </w:instrText>
      </w:r>
      <w:r>
        <w:fldChar w:fldCharType="separate"/>
      </w:r>
      <w:r>
        <w:t>12</w:t>
      </w:r>
      <w:r>
        <w:fldChar w:fldCharType="end"/>
      </w:r>
      <w:r>
        <w:rPr>
          <w:rFonts w:hint="eastAsia" w:ascii="宋体" w:hAnsi="宋体" w:eastAsia="宋体" w:cs="宋体"/>
          <w:color w:val="auto"/>
          <w:highlight w:val="none"/>
        </w:rPr>
        <w:fldChar w:fldCharType="end"/>
      </w:r>
    </w:p>
    <w:p w14:paraId="3B3BC82C">
      <w:pPr>
        <w:pStyle w:val="28"/>
        <w:tabs>
          <w:tab w:val="right" w:leader="dot" w:pos="9298"/>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_Toc4530 </w:instrText>
      </w:r>
      <w:r>
        <w:rPr>
          <w:rFonts w:hint="eastAsia" w:ascii="宋体" w:hAnsi="宋体" w:eastAsia="宋体" w:cs="宋体"/>
          <w:highlight w:val="none"/>
        </w:rPr>
        <w:fldChar w:fldCharType="separate"/>
      </w:r>
      <w:r>
        <w:rPr>
          <w:rFonts w:hint="eastAsia" w:ascii="宋体" w:hAnsi="宋体" w:eastAsia="宋体" w:cs="宋体"/>
          <w:highlight w:val="none"/>
        </w:rPr>
        <w:t>第三章  评标办法（综合评估法）</w:t>
      </w:r>
      <w:r>
        <w:tab/>
      </w:r>
      <w:r>
        <w:fldChar w:fldCharType="begin"/>
      </w:r>
      <w:r>
        <w:instrText xml:space="preserve"> PAGEREF _Toc4530 \h </w:instrText>
      </w:r>
      <w:r>
        <w:fldChar w:fldCharType="separate"/>
      </w:r>
      <w:r>
        <w:t>38</w:t>
      </w:r>
      <w:r>
        <w:fldChar w:fldCharType="end"/>
      </w:r>
      <w:r>
        <w:rPr>
          <w:rFonts w:hint="eastAsia" w:ascii="宋体" w:hAnsi="宋体" w:eastAsia="宋体" w:cs="宋体"/>
          <w:color w:val="auto"/>
          <w:highlight w:val="none"/>
        </w:rPr>
        <w:fldChar w:fldCharType="end"/>
      </w:r>
    </w:p>
    <w:p w14:paraId="769DA977">
      <w:pPr>
        <w:pStyle w:val="28"/>
        <w:tabs>
          <w:tab w:val="right" w:leader="dot" w:pos="9298"/>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_Toc9368 </w:instrText>
      </w:r>
      <w:r>
        <w:rPr>
          <w:rFonts w:hint="eastAsia" w:ascii="宋体" w:hAnsi="宋体" w:eastAsia="宋体" w:cs="宋体"/>
          <w:highlight w:val="none"/>
        </w:rPr>
        <w:fldChar w:fldCharType="separate"/>
      </w:r>
      <w:r>
        <w:rPr>
          <w:rFonts w:hint="eastAsia" w:ascii="宋体" w:hAnsi="宋体" w:eastAsia="宋体" w:cs="宋体"/>
          <w:highlight w:val="none"/>
        </w:rPr>
        <w:t>第四章  合同条款及格式</w:t>
      </w:r>
      <w:r>
        <w:tab/>
      </w:r>
      <w:r>
        <w:fldChar w:fldCharType="begin"/>
      </w:r>
      <w:r>
        <w:instrText xml:space="preserve"> PAGEREF _Toc9368 \h </w:instrText>
      </w:r>
      <w:r>
        <w:fldChar w:fldCharType="separate"/>
      </w:r>
      <w:r>
        <w:t>53</w:t>
      </w:r>
      <w:r>
        <w:fldChar w:fldCharType="end"/>
      </w:r>
      <w:r>
        <w:rPr>
          <w:rFonts w:hint="eastAsia" w:ascii="宋体" w:hAnsi="宋体" w:eastAsia="宋体" w:cs="宋体"/>
          <w:color w:val="auto"/>
          <w:highlight w:val="none"/>
        </w:rPr>
        <w:fldChar w:fldCharType="end"/>
      </w:r>
    </w:p>
    <w:p w14:paraId="433F88EF">
      <w:pPr>
        <w:pStyle w:val="28"/>
        <w:tabs>
          <w:tab w:val="right" w:leader="dot" w:pos="9298"/>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_Toc15709 </w:instrText>
      </w:r>
      <w:r>
        <w:rPr>
          <w:rFonts w:hint="eastAsia" w:ascii="宋体" w:hAnsi="宋体" w:eastAsia="宋体" w:cs="宋体"/>
          <w:highlight w:val="none"/>
        </w:rPr>
        <w:fldChar w:fldCharType="separate"/>
      </w:r>
      <w:r>
        <w:rPr>
          <w:rFonts w:hint="eastAsia" w:ascii="宋体" w:hAnsi="宋体" w:eastAsia="宋体" w:cs="宋体"/>
          <w:highlight w:val="none"/>
        </w:rPr>
        <w:t>第五章  招标人要求</w:t>
      </w:r>
      <w:r>
        <w:tab/>
      </w:r>
      <w:r>
        <w:fldChar w:fldCharType="begin"/>
      </w:r>
      <w:r>
        <w:instrText xml:space="preserve"> PAGEREF _Toc15709 \h </w:instrText>
      </w:r>
      <w:r>
        <w:fldChar w:fldCharType="separate"/>
      </w:r>
      <w:r>
        <w:t>54</w:t>
      </w:r>
      <w:r>
        <w:fldChar w:fldCharType="end"/>
      </w:r>
      <w:r>
        <w:rPr>
          <w:rFonts w:hint="eastAsia" w:ascii="宋体" w:hAnsi="宋体" w:eastAsia="宋体" w:cs="宋体"/>
          <w:color w:val="auto"/>
          <w:highlight w:val="none"/>
        </w:rPr>
        <w:fldChar w:fldCharType="end"/>
      </w:r>
    </w:p>
    <w:p w14:paraId="1940EBB4">
      <w:pPr>
        <w:pStyle w:val="28"/>
        <w:tabs>
          <w:tab w:val="right" w:leader="dot" w:pos="9298"/>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_Toc15657 </w:instrText>
      </w:r>
      <w:r>
        <w:rPr>
          <w:rFonts w:hint="eastAsia" w:ascii="宋体" w:hAnsi="宋体" w:eastAsia="宋体" w:cs="宋体"/>
          <w:highlight w:val="none"/>
        </w:rPr>
        <w:fldChar w:fldCharType="separate"/>
      </w:r>
      <w:r>
        <w:rPr>
          <w:rFonts w:hint="eastAsia" w:ascii="宋体" w:hAnsi="宋体" w:eastAsia="宋体" w:cs="宋体"/>
          <w:highlight w:val="none"/>
        </w:rPr>
        <w:t>第六章  招标人提供的资料</w:t>
      </w:r>
      <w:r>
        <w:tab/>
      </w:r>
      <w:r>
        <w:fldChar w:fldCharType="begin"/>
      </w:r>
      <w:r>
        <w:instrText xml:space="preserve"> PAGEREF _Toc15657 \h </w:instrText>
      </w:r>
      <w:r>
        <w:fldChar w:fldCharType="separate"/>
      </w:r>
      <w:r>
        <w:t>56</w:t>
      </w:r>
      <w:r>
        <w:fldChar w:fldCharType="end"/>
      </w:r>
      <w:r>
        <w:rPr>
          <w:rFonts w:hint="eastAsia" w:ascii="宋体" w:hAnsi="宋体" w:eastAsia="宋体" w:cs="宋体"/>
          <w:color w:val="auto"/>
          <w:highlight w:val="none"/>
        </w:rPr>
        <w:fldChar w:fldCharType="end"/>
      </w:r>
    </w:p>
    <w:p w14:paraId="622AEBA1">
      <w:pPr>
        <w:pStyle w:val="28"/>
        <w:tabs>
          <w:tab w:val="right" w:leader="dot" w:pos="9298"/>
        </w:tabs>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_Toc21973 </w:instrText>
      </w:r>
      <w:r>
        <w:rPr>
          <w:rFonts w:hint="eastAsia" w:ascii="宋体" w:hAnsi="宋体" w:eastAsia="宋体" w:cs="宋体"/>
          <w:highlight w:val="none"/>
        </w:rPr>
        <w:fldChar w:fldCharType="separate"/>
      </w:r>
      <w:r>
        <w:rPr>
          <w:rFonts w:hint="eastAsia" w:ascii="宋体" w:hAnsi="宋体" w:eastAsia="宋体" w:cs="宋体"/>
          <w:highlight w:val="none"/>
        </w:rPr>
        <w:t>第七章  投标文件格式</w:t>
      </w:r>
      <w:r>
        <w:tab/>
      </w:r>
      <w:r>
        <w:fldChar w:fldCharType="begin"/>
      </w:r>
      <w:r>
        <w:instrText xml:space="preserve"> PAGEREF _Toc21973 \h </w:instrText>
      </w:r>
      <w:r>
        <w:fldChar w:fldCharType="separate"/>
      </w:r>
      <w:r>
        <w:t>57</w:t>
      </w:r>
      <w:r>
        <w:fldChar w:fldCharType="end"/>
      </w:r>
      <w:r>
        <w:rPr>
          <w:rFonts w:hint="eastAsia" w:ascii="宋体" w:hAnsi="宋体" w:eastAsia="宋体" w:cs="宋体"/>
          <w:color w:val="auto"/>
          <w:highlight w:val="none"/>
        </w:rPr>
        <w:fldChar w:fldCharType="end"/>
      </w:r>
    </w:p>
    <w:p w14:paraId="6820BAED">
      <w:pPr>
        <w:pStyle w:val="28"/>
        <w:tabs>
          <w:tab w:val="right" w:leader="dot" w:pos="9298"/>
        </w:tabs>
        <w:rPr>
          <w:rFonts w:hint="eastAsia" w:ascii="宋体" w:hAnsi="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_Toc14942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en-US" w:eastAsia="zh-CN"/>
        </w:rPr>
        <w:t xml:space="preserve">第八章  </w:t>
      </w:r>
      <w:r>
        <w:rPr>
          <w:rFonts w:hint="eastAsia" w:ascii="宋体" w:hAnsi="宋体" w:eastAsia="宋体" w:cs="宋体"/>
          <w:color w:val="auto"/>
          <w:highlight w:val="none"/>
        </w:rPr>
        <w:t>否决性条款汇总</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_Toc14942 \h </w:instrText>
      </w:r>
      <w:r>
        <w:rPr>
          <w:rFonts w:hint="eastAsia" w:ascii="宋体" w:hAnsi="宋体" w:cs="宋体"/>
          <w:color w:val="auto"/>
          <w:highlight w:val="none"/>
        </w:rPr>
        <w:fldChar w:fldCharType="separate"/>
      </w:r>
      <w:r>
        <w:rPr>
          <w:rFonts w:hint="eastAsia" w:ascii="宋体" w:hAnsi="宋体" w:cs="宋体"/>
          <w:color w:val="auto"/>
          <w:highlight w:val="none"/>
        </w:rPr>
        <w:t>77</w:t>
      </w:r>
      <w:r>
        <w:rPr>
          <w:rFonts w:hint="eastAsia" w:ascii="宋体" w:hAnsi="宋体" w:cs="宋体"/>
          <w:color w:val="auto"/>
          <w:highlight w:val="none"/>
        </w:rPr>
        <w:fldChar w:fldCharType="end"/>
      </w:r>
      <w:r>
        <w:rPr>
          <w:rFonts w:hint="eastAsia" w:ascii="宋体" w:hAnsi="宋体" w:eastAsia="宋体" w:cs="宋体"/>
          <w:color w:val="auto"/>
          <w:highlight w:val="none"/>
        </w:rPr>
        <w:fldChar w:fldCharType="end"/>
      </w:r>
    </w:p>
    <w:p w14:paraId="528D8DF0">
      <w:pPr>
        <w:shd w:val="clear"/>
        <w:rPr>
          <w:rFonts w:hint="eastAsia" w:ascii="宋体" w:hAnsi="宋体" w:eastAsia="宋体" w:cs="宋体"/>
          <w:color w:val="auto"/>
          <w:highlight w:val="none"/>
        </w:rPr>
        <w:sectPr>
          <w:footerReference r:id="rId3" w:type="default"/>
          <w:pgSz w:w="11906" w:h="16838"/>
          <w:pgMar w:top="1304" w:right="1304" w:bottom="1304" w:left="1304" w:header="851" w:footer="992" w:gutter="0"/>
          <w:pgNumType w:start="1"/>
          <w:cols w:space="720" w:num="1"/>
          <w:docGrid w:type="lines" w:linePitch="312" w:charSpace="0"/>
        </w:sectPr>
      </w:pPr>
      <w:r>
        <w:rPr>
          <w:rFonts w:hint="eastAsia" w:ascii="宋体" w:hAnsi="宋体" w:eastAsia="宋体" w:cs="宋体"/>
          <w:color w:val="auto"/>
          <w:highlight w:val="none"/>
        </w:rPr>
        <w:fldChar w:fldCharType="end"/>
      </w:r>
    </w:p>
    <w:bookmarkEnd w:id="4"/>
    <w:bookmarkEnd w:id="5"/>
    <w:bookmarkEnd w:id="6"/>
    <w:bookmarkEnd w:id="7"/>
    <w:bookmarkEnd w:id="8"/>
    <w:p w14:paraId="2A1695BB">
      <w:pPr>
        <w:pStyle w:val="2"/>
        <w:shd w:val="clear"/>
        <w:jc w:val="center"/>
        <w:rPr>
          <w:rFonts w:hint="eastAsia" w:ascii="宋体" w:hAnsi="宋体" w:eastAsia="宋体" w:cs="宋体"/>
          <w:color w:val="auto"/>
          <w:highlight w:val="none"/>
        </w:rPr>
      </w:pPr>
      <w:bookmarkStart w:id="9" w:name="_Toc503806366"/>
      <w:bookmarkStart w:id="10" w:name="_Toc27089"/>
      <w:bookmarkStart w:id="11" w:name="_Toc11304"/>
      <w:bookmarkStart w:id="12" w:name="_Toc11190"/>
      <w:bookmarkStart w:id="13" w:name="_Toc247527551"/>
      <w:bookmarkStart w:id="14" w:name="_Toc152045527"/>
      <w:bookmarkStart w:id="15" w:name="_Toc247513950"/>
      <w:bookmarkStart w:id="16" w:name="_Toc152042303"/>
      <w:bookmarkStart w:id="17" w:name="_Toc144974495"/>
      <w:r>
        <w:rPr>
          <w:rFonts w:hint="eastAsia" w:ascii="宋体" w:hAnsi="宋体" w:eastAsia="宋体" w:cs="宋体"/>
          <w:color w:val="auto"/>
          <w:highlight w:val="none"/>
        </w:rPr>
        <w:t xml:space="preserve">第一章  </w:t>
      </w:r>
      <w:bookmarkEnd w:id="9"/>
      <w:r>
        <w:rPr>
          <w:rFonts w:hint="eastAsia" w:ascii="宋体" w:hAnsi="宋体" w:eastAsia="宋体" w:cs="宋体"/>
          <w:color w:val="auto"/>
          <w:highlight w:val="none"/>
        </w:rPr>
        <w:t>招标公告</w:t>
      </w:r>
      <w:bookmarkEnd w:id="10"/>
    </w:p>
    <w:bookmarkEnd w:id="11"/>
    <w:bookmarkEnd w:id="12"/>
    <w:p w14:paraId="04AB068A">
      <w:pPr>
        <w:pStyle w:val="3"/>
        <w:spacing w:before="156" w:beforeLines="50" w:after="156" w:afterLines="50" w:line="360" w:lineRule="auto"/>
        <w:rPr>
          <w:rFonts w:hint="eastAsia" w:ascii="宋体" w:hAnsi="宋体" w:eastAsia="宋体" w:cs="宋体"/>
          <w:color w:val="auto"/>
          <w:sz w:val="21"/>
          <w:szCs w:val="21"/>
          <w:highlight w:val="none"/>
        </w:rPr>
      </w:pPr>
      <w:bookmarkStart w:id="18" w:name="_Toc25590"/>
      <w:r>
        <w:rPr>
          <w:rFonts w:hint="eastAsia" w:ascii="宋体" w:hAnsi="宋体" w:eastAsia="宋体" w:cs="宋体"/>
          <w:color w:val="auto"/>
          <w:sz w:val="21"/>
          <w:szCs w:val="21"/>
          <w:highlight w:val="none"/>
        </w:rPr>
        <w:t>1. 招标条件</w:t>
      </w:r>
      <w:bookmarkEnd w:id="18"/>
    </w:p>
    <w:p w14:paraId="3C30DC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本招标项目</w:t>
      </w:r>
      <w:r>
        <w:rPr>
          <w:rFonts w:hint="eastAsia" w:ascii="宋体" w:hAnsi="宋体" w:eastAsia="宋体" w:cs="宋体"/>
          <w:color w:val="auto"/>
          <w:szCs w:val="21"/>
          <w:highlight w:val="none"/>
          <w:u w:val="single"/>
          <w:lang w:eastAsia="zh-CN"/>
        </w:rPr>
        <w:t>联星村村道提升工程</w:t>
      </w:r>
      <w:r>
        <w:rPr>
          <w:rFonts w:hint="eastAsia" w:ascii="宋体" w:hAnsi="宋体" w:eastAsia="宋体" w:cs="宋体"/>
          <w:color w:val="auto"/>
          <w:szCs w:val="21"/>
          <w:highlight w:val="none"/>
          <w:u w:val="single"/>
        </w:rPr>
        <w:t>（投资项目统一代码：</w:t>
      </w:r>
      <w:r>
        <w:rPr>
          <w:rFonts w:hint="eastAsia" w:ascii="宋体" w:hAnsi="宋体" w:cs="宋体"/>
          <w:color w:val="auto"/>
          <w:szCs w:val="21"/>
          <w:highlight w:val="none"/>
          <w:u w:val="single"/>
          <w:lang w:eastAsia="zh-CN"/>
        </w:rPr>
        <w:t>2507-440114-17-01-648233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，项目业主为</w:t>
      </w:r>
      <w:r>
        <w:rPr>
          <w:rFonts w:hint="eastAsia" w:ascii="宋体" w:hAnsi="宋体" w:cs="宋体"/>
          <w:color w:val="auto"/>
          <w:szCs w:val="21"/>
          <w:highlight w:val="none"/>
          <w:u w:val="single"/>
          <w:lang w:eastAsia="zh-CN"/>
        </w:rPr>
        <w:t>广州市花都区狮岭镇人民政府</w:t>
      </w:r>
      <w:r>
        <w:rPr>
          <w:rFonts w:hint="eastAsia" w:ascii="宋体" w:hAnsi="宋体" w:eastAsia="宋体" w:cs="宋体"/>
          <w:color w:val="auto"/>
          <w:szCs w:val="21"/>
          <w:highlight w:val="none"/>
        </w:rPr>
        <w:t>，建设资金来自</w:t>
      </w:r>
      <w:r>
        <w:rPr>
          <w:rFonts w:hint="eastAsia" w:ascii="宋体" w:hAnsi="宋体" w:cs="宋体"/>
          <w:color w:val="auto"/>
          <w:szCs w:val="21"/>
          <w:highlight w:val="none"/>
          <w:u w:val="single"/>
          <w:lang w:val="en-US" w:eastAsia="zh-CN"/>
        </w:rPr>
        <w:t>中央</w:t>
      </w:r>
      <w:r>
        <w:rPr>
          <w:rFonts w:hint="eastAsia" w:ascii="宋体" w:hAnsi="宋体" w:eastAsia="宋体" w:cs="宋体"/>
          <w:color w:val="auto"/>
          <w:szCs w:val="21"/>
          <w:highlight w:val="none"/>
          <w:u w:val="single"/>
        </w:rPr>
        <w:t>财政资金</w:t>
      </w:r>
      <w:r>
        <w:rPr>
          <w:rFonts w:hint="eastAsia" w:ascii="宋体" w:hAnsi="宋体" w:eastAsia="宋体" w:cs="宋体"/>
          <w:color w:val="auto"/>
          <w:szCs w:val="21"/>
          <w:highlight w:val="none"/>
        </w:rPr>
        <w:t>，项目出资比例为</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，招标人为</w:t>
      </w:r>
      <w:r>
        <w:rPr>
          <w:rFonts w:hint="eastAsia" w:ascii="宋体" w:hAnsi="宋体" w:cs="宋体"/>
          <w:color w:val="auto"/>
          <w:szCs w:val="21"/>
          <w:highlight w:val="none"/>
          <w:u w:val="single"/>
          <w:lang w:eastAsia="zh-CN"/>
        </w:rPr>
        <w:t>广州市花都区狮岭镇人民政府</w:t>
      </w:r>
      <w:r>
        <w:rPr>
          <w:rFonts w:hint="eastAsia" w:ascii="宋体" w:hAnsi="宋体" w:eastAsia="宋体" w:cs="宋体"/>
          <w:color w:val="auto"/>
          <w:szCs w:val="21"/>
          <w:highlight w:val="none"/>
        </w:rPr>
        <w:t>。项目已具备招标条件，现对该项目的</w:t>
      </w:r>
      <w:r>
        <w:rPr>
          <w:rFonts w:hint="eastAsia" w:ascii="宋体" w:hAnsi="宋体" w:eastAsia="宋体" w:cs="宋体"/>
          <w:color w:val="auto"/>
          <w:szCs w:val="21"/>
          <w:highlight w:val="none"/>
          <w:u w:val="single"/>
        </w:rPr>
        <w:t>设计施工总承包</w:t>
      </w:r>
      <w:r>
        <w:rPr>
          <w:rFonts w:hint="eastAsia" w:ascii="宋体" w:hAnsi="宋体" w:eastAsia="宋体" w:cs="宋体"/>
          <w:color w:val="auto"/>
          <w:szCs w:val="21"/>
          <w:highlight w:val="none"/>
        </w:rPr>
        <w:t>进行公开招标。</w:t>
      </w:r>
    </w:p>
    <w:p w14:paraId="29EFA506">
      <w:pPr>
        <w:pStyle w:val="3"/>
        <w:spacing w:before="156" w:beforeLines="50" w:after="156" w:afterLines="50" w:line="360" w:lineRule="auto"/>
        <w:rPr>
          <w:rFonts w:hint="eastAsia" w:ascii="宋体" w:hAnsi="宋体" w:eastAsia="宋体" w:cs="宋体"/>
          <w:color w:val="auto"/>
          <w:sz w:val="21"/>
          <w:szCs w:val="21"/>
          <w:highlight w:val="none"/>
        </w:rPr>
      </w:pPr>
      <w:bookmarkStart w:id="19" w:name="_Toc31308"/>
      <w:bookmarkStart w:id="20" w:name="_Toc247527536"/>
      <w:bookmarkStart w:id="21" w:name="_Toc144974481"/>
      <w:bookmarkStart w:id="22" w:name="_Toc247513935"/>
      <w:bookmarkStart w:id="23" w:name="_Toc152045513"/>
      <w:bookmarkStart w:id="24" w:name="_Toc152042289"/>
      <w:bookmarkStart w:id="25" w:name="_Toc3054"/>
      <w:r>
        <w:rPr>
          <w:rFonts w:hint="eastAsia" w:ascii="宋体" w:hAnsi="宋体" w:eastAsia="宋体" w:cs="宋体"/>
          <w:color w:val="auto"/>
          <w:sz w:val="21"/>
          <w:szCs w:val="21"/>
          <w:highlight w:val="none"/>
        </w:rPr>
        <w:t>2. 项目概况与招标范围</w:t>
      </w:r>
      <w:bookmarkEnd w:id="19"/>
      <w:bookmarkEnd w:id="20"/>
      <w:bookmarkEnd w:id="21"/>
      <w:bookmarkEnd w:id="22"/>
      <w:bookmarkEnd w:id="23"/>
      <w:bookmarkEnd w:id="24"/>
      <w:bookmarkEnd w:id="25"/>
    </w:p>
    <w:p w14:paraId="4B24D7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2.1工程名称：</w:t>
      </w:r>
      <w:r>
        <w:rPr>
          <w:rFonts w:hint="eastAsia" w:ascii="宋体" w:hAnsi="宋体" w:cs="宋体"/>
          <w:color w:val="auto"/>
          <w:szCs w:val="21"/>
          <w:highlight w:val="none"/>
          <w:u w:val="single"/>
          <w:lang w:eastAsia="zh-CN"/>
        </w:rPr>
        <w:t>联星村村道提升工程</w:t>
      </w:r>
      <w:r>
        <w:rPr>
          <w:rFonts w:hint="eastAsia" w:ascii="宋体" w:hAnsi="宋体" w:eastAsia="宋体" w:cs="宋体"/>
          <w:color w:val="auto"/>
          <w:szCs w:val="21"/>
          <w:highlight w:val="none"/>
          <w:u w:val="single"/>
          <w:lang w:eastAsia="zh-CN"/>
        </w:rPr>
        <w:t>设计施工总承包</w:t>
      </w:r>
    </w:p>
    <w:p w14:paraId="3122240D">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2.2工程建设地点：</w:t>
      </w:r>
      <w:r>
        <w:rPr>
          <w:rFonts w:hint="eastAsia" w:ascii="宋体" w:hAnsi="宋体" w:eastAsia="宋体" w:cs="宋体"/>
          <w:color w:val="auto"/>
          <w:szCs w:val="21"/>
          <w:highlight w:val="none"/>
          <w:u w:val="single"/>
        </w:rPr>
        <w:t>广州市花都区</w:t>
      </w:r>
    </w:p>
    <w:p w14:paraId="2968D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2.3本项目划分为</w:t>
      </w:r>
      <w:r>
        <w:rPr>
          <w:rFonts w:hint="eastAsia" w:ascii="宋体" w:hAnsi="宋体" w:eastAsia="宋体" w:cs="宋体"/>
          <w:b/>
          <w:bCs/>
          <w:color w:val="auto"/>
          <w:szCs w:val="21"/>
          <w:highlight w:val="none"/>
          <w:u w:val="single"/>
        </w:rPr>
        <w:t>1</w:t>
      </w:r>
      <w:r>
        <w:rPr>
          <w:rFonts w:hint="eastAsia" w:ascii="宋体" w:hAnsi="宋体" w:eastAsia="宋体" w:cs="宋体"/>
          <w:color w:val="auto"/>
          <w:szCs w:val="21"/>
          <w:highlight w:val="none"/>
        </w:rPr>
        <w:t>个标段。</w:t>
      </w:r>
    </w:p>
    <w:p w14:paraId="6774AAA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2.4工程建设规模：</w:t>
      </w:r>
      <w:r>
        <w:rPr>
          <w:rFonts w:hint="eastAsia" w:ascii="宋体" w:hAnsi="宋体" w:eastAsia="宋体" w:cs="宋体"/>
          <w:color w:val="auto"/>
          <w:szCs w:val="21"/>
          <w:highlight w:val="none"/>
          <w:u w:val="single"/>
          <w:lang w:val="en-US" w:eastAsia="zh-CN"/>
        </w:rPr>
        <w:t>本项目主要内容及规模如下：</w:t>
      </w:r>
      <w:r>
        <w:rPr>
          <w:rFonts w:hint="eastAsia" w:ascii="宋体" w:hAnsi="宋体" w:cs="宋体"/>
          <w:color w:val="auto"/>
          <w:szCs w:val="21"/>
          <w:highlight w:val="none"/>
          <w:u w:val="single"/>
          <w:lang w:val="en-US" w:eastAsia="zh-CN"/>
        </w:rPr>
        <w:t>（1）</w:t>
      </w:r>
      <w:r>
        <w:rPr>
          <w:rFonts w:hint="default" w:ascii="宋体" w:hAnsi="宋体" w:eastAsia="宋体" w:cs="宋体"/>
          <w:color w:val="auto"/>
          <w:szCs w:val="21"/>
          <w:highlight w:val="none"/>
          <w:u w:val="single"/>
          <w:lang w:val="en-US" w:eastAsia="zh-CN"/>
        </w:rPr>
        <w:t>联星村麦氏祠堂片域景观营造提升，包含村落环水域界面及东西向村落入口道路侧沿线景观。建设规模约12000㎡</w:t>
      </w:r>
      <w:r>
        <w:rPr>
          <w:rFonts w:hint="eastAsia" w:ascii="宋体" w:hAnsi="宋体" w:cs="宋体"/>
          <w:color w:val="auto"/>
          <w:szCs w:val="21"/>
          <w:highlight w:val="none"/>
          <w:u w:val="single"/>
          <w:lang w:val="en-US" w:eastAsia="zh-CN"/>
        </w:rPr>
        <w:t>；（2）</w:t>
      </w:r>
      <w:r>
        <w:rPr>
          <w:rFonts w:hint="default" w:ascii="宋体" w:hAnsi="宋体" w:eastAsia="宋体" w:cs="宋体"/>
          <w:color w:val="auto"/>
          <w:szCs w:val="21"/>
          <w:highlight w:val="none"/>
          <w:u w:val="single"/>
          <w:lang w:val="en-US" w:eastAsia="zh-CN"/>
        </w:rPr>
        <w:t>联星村麦氏祠堂片域村落后山道路新建，建设规模约9000㎡，合计约2公里。</w:t>
      </w:r>
      <w:r>
        <w:rPr>
          <w:rFonts w:hint="eastAsia" w:ascii="宋体" w:hAnsi="宋体" w:cs="宋体"/>
          <w:color w:val="auto"/>
          <w:szCs w:val="21"/>
          <w:highlight w:val="none"/>
          <w:u w:val="single"/>
          <w:lang w:val="en-US" w:eastAsia="zh-CN"/>
        </w:rPr>
        <w:t>（3）</w:t>
      </w:r>
      <w:r>
        <w:rPr>
          <w:rFonts w:hint="default" w:ascii="宋体" w:hAnsi="宋体" w:eastAsia="宋体" w:cs="宋体"/>
          <w:color w:val="auto"/>
          <w:szCs w:val="21"/>
          <w:highlight w:val="none"/>
          <w:u w:val="single"/>
          <w:lang w:val="en-US" w:eastAsia="zh-CN"/>
        </w:rPr>
        <w:t>联星村麦氏祠堂片域三线下地及市政综合管网提升改造。包含村域及入口道路范围内现有雨污水管网(最大管径 100cm钢筋砼圆管涌)的改造新建提升及下地工程。</w:t>
      </w:r>
      <w:r>
        <w:rPr>
          <w:rFonts w:hint="eastAsia" w:ascii="宋体" w:hAnsi="宋体" w:eastAsia="宋体" w:cs="宋体"/>
          <w:color w:val="auto"/>
          <w:szCs w:val="21"/>
          <w:highlight w:val="none"/>
          <w:u w:val="single"/>
          <w:lang w:val="en-US" w:eastAsia="zh-CN"/>
        </w:rPr>
        <w:t>项目总投资约899.850401万元。</w:t>
      </w:r>
    </w:p>
    <w:p w14:paraId="709EDE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2.5最高投标限价：本项目最高投标限价总价为</w:t>
      </w:r>
      <w:r>
        <w:rPr>
          <w:rFonts w:hint="eastAsia" w:ascii="宋体" w:hAnsi="宋体" w:eastAsia="宋体" w:cs="宋体"/>
          <w:color w:val="auto"/>
          <w:szCs w:val="21"/>
          <w:highlight w:val="none"/>
          <w:u w:val="single"/>
          <w:lang w:val="en-US" w:eastAsia="zh-CN"/>
        </w:rPr>
        <w:t>837.708858</w:t>
      </w:r>
      <w:r>
        <w:rPr>
          <w:rFonts w:hint="eastAsia" w:ascii="宋体" w:hAnsi="宋体" w:eastAsia="宋体" w:cs="宋体"/>
          <w:color w:val="auto"/>
          <w:szCs w:val="21"/>
          <w:highlight w:val="none"/>
        </w:rPr>
        <w:t>万元；其中：建安工程费最高投标限价为</w:t>
      </w:r>
      <w:r>
        <w:rPr>
          <w:rFonts w:hint="eastAsia" w:ascii="宋体" w:hAnsi="宋体" w:eastAsia="宋体" w:cs="宋体"/>
          <w:color w:val="auto"/>
          <w:szCs w:val="21"/>
          <w:highlight w:val="none"/>
          <w:u w:val="single"/>
          <w:lang w:val="en-US" w:eastAsia="zh-CN"/>
        </w:rPr>
        <w:t>805</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lang w:val="en-US" w:eastAsia="zh-CN"/>
        </w:rPr>
        <w:t>859102</w:t>
      </w:r>
      <w:r>
        <w:rPr>
          <w:rFonts w:hint="eastAsia" w:ascii="宋体" w:hAnsi="宋体" w:eastAsia="宋体" w:cs="宋体"/>
          <w:color w:val="auto"/>
          <w:szCs w:val="21"/>
          <w:highlight w:val="none"/>
        </w:rPr>
        <w:t>万元，设计费最高投标限价为</w:t>
      </w:r>
      <w:r>
        <w:rPr>
          <w:rFonts w:hint="eastAsia" w:ascii="宋体" w:hAnsi="宋体" w:cs="宋体"/>
          <w:color w:val="auto"/>
          <w:szCs w:val="21"/>
          <w:highlight w:val="none"/>
          <w:u w:val="single"/>
          <w:lang w:val="en-US" w:eastAsia="zh-CN"/>
        </w:rPr>
        <w:t>31.849756</w:t>
      </w:r>
      <w:r>
        <w:rPr>
          <w:rFonts w:hint="eastAsia" w:ascii="宋体" w:hAnsi="宋体" w:eastAsia="宋体" w:cs="宋体"/>
          <w:color w:val="auto"/>
          <w:szCs w:val="21"/>
          <w:highlight w:val="none"/>
        </w:rPr>
        <w:t>万元。</w:t>
      </w:r>
    </w:p>
    <w:p w14:paraId="758AFE9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注：投标人未按要求报价或投标报价（含投标总报价、建安工程费报价、设计费报价）超过上述相应最高投标限价的为无效标。</w:t>
      </w:r>
    </w:p>
    <w:p w14:paraId="50ACF7B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2.6计划工期：总工期暂定</w:t>
      </w:r>
      <w:r>
        <w:rPr>
          <w:rFonts w:hint="eastAsia" w:ascii="宋体" w:hAnsi="宋体" w:cs="宋体"/>
          <w:color w:val="auto"/>
          <w:szCs w:val="21"/>
          <w:highlight w:val="none"/>
          <w:u w:val="single"/>
          <w:lang w:val="en-US" w:eastAsia="zh-CN"/>
        </w:rPr>
        <w:t xml:space="preserve"> 240 </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其中，设计工期为</w:t>
      </w:r>
      <w:r>
        <w:rPr>
          <w:rFonts w:hint="eastAsia" w:ascii="宋体" w:hAnsi="宋体" w:cs="宋体"/>
          <w:color w:val="auto"/>
          <w:szCs w:val="21"/>
          <w:highlight w:val="none"/>
          <w:u w:val="single"/>
          <w:lang w:val="en-US" w:eastAsia="zh-CN"/>
        </w:rPr>
        <w:t xml:space="preserve"> 60 </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施工工期为</w:t>
      </w:r>
      <w:r>
        <w:rPr>
          <w:rFonts w:hint="eastAsia" w:ascii="宋体" w:hAnsi="宋体" w:cs="宋体"/>
          <w:color w:val="auto"/>
          <w:szCs w:val="21"/>
          <w:highlight w:val="none"/>
          <w:u w:val="single"/>
          <w:lang w:val="en-US" w:eastAsia="zh-CN"/>
        </w:rPr>
        <w:t xml:space="preserve"> 180 </w:t>
      </w:r>
      <w:r>
        <w:rPr>
          <w:rFonts w:hint="eastAsia" w:ascii="宋体" w:hAnsi="宋体" w:eastAsia="宋体" w:cs="宋体"/>
          <w:color w:val="auto"/>
          <w:szCs w:val="21"/>
          <w:highlight w:val="none"/>
          <w:lang w:val="en-US" w:eastAsia="zh-CN"/>
        </w:rPr>
        <w:t>日历天</w:t>
      </w:r>
      <w:r>
        <w:rPr>
          <w:rFonts w:hint="eastAsia" w:ascii="宋体" w:hAnsi="宋体" w:eastAsia="宋体" w:cs="宋体"/>
          <w:color w:val="auto"/>
          <w:szCs w:val="21"/>
          <w:highlight w:val="none"/>
        </w:rPr>
        <w:t>。</w:t>
      </w:r>
    </w:p>
    <w:p w14:paraId="789D486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2.7招标范围，包括以下内容：</w:t>
      </w:r>
      <w:r>
        <w:rPr>
          <w:rFonts w:hint="eastAsia" w:ascii="宋体" w:hAnsi="宋体" w:eastAsia="宋体" w:cs="宋体"/>
          <w:color w:val="auto"/>
          <w:szCs w:val="21"/>
          <w:highlight w:val="none"/>
          <w:u w:val="single"/>
        </w:rPr>
        <w:t>完成本项目</w:t>
      </w:r>
      <w:r>
        <w:rPr>
          <w:rFonts w:hint="eastAsia" w:ascii="宋体" w:hAnsi="宋体" w:cs="宋体"/>
          <w:color w:val="auto"/>
          <w:szCs w:val="21"/>
          <w:highlight w:val="none"/>
          <w:u w:val="single"/>
          <w:lang w:val="en-US" w:eastAsia="zh-CN"/>
        </w:rPr>
        <w:t>施工图</w:t>
      </w:r>
      <w:r>
        <w:rPr>
          <w:rFonts w:hint="eastAsia" w:ascii="宋体" w:hAnsi="宋体" w:eastAsia="宋体" w:cs="宋体"/>
          <w:color w:val="auto"/>
          <w:szCs w:val="21"/>
          <w:highlight w:val="none"/>
          <w:u w:val="single"/>
        </w:rPr>
        <w:t>设计、施工、工程总承包管理、工程竣工验收、工程保修，配合招标人办理报建、报批、相关部门</w:t>
      </w:r>
      <w:r>
        <w:rPr>
          <w:rFonts w:hint="eastAsia" w:ascii="宋体" w:hAnsi="宋体" w:cs="宋体"/>
          <w:color w:val="auto"/>
          <w:szCs w:val="21"/>
          <w:highlight w:val="none"/>
          <w:u w:val="single"/>
          <w:lang w:val="en-US" w:eastAsia="zh-CN"/>
        </w:rPr>
        <w:t>预算</w:t>
      </w:r>
      <w:r>
        <w:rPr>
          <w:rFonts w:hint="eastAsia" w:ascii="宋体" w:hAnsi="宋体" w:eastAsia="宋体" w:cs="宋体"/>
          <w:color w:val="auto"/>
          <w:szCs w:val="21"/>
          <w:highlight w:val="none"/>
          <w:u w:val="single"/>
        </w:rPr>
        <w:t>、结（决）算审核、配合招标人的审计和审计的调查、项目建设阶段全过程的综合协调等工作（具体以合同约定为准）。</w:t>
      </w:r>
    </w:p>
    <w:p w14:paraId="001D0631">
      <w:pPr>
        <w:pStyle w:val="16"/>
        <w:tabs>
          <w:tab w:val="left" w:pos="3566"/>
        </w:tabs>
        <w:kinsoku w:val="0"/>
        <w:overflowPunct w:val="0"/>
        <w:spacing w:line="360" w:lineRule="auto"/>
        <w:ind w:left="0" w:right="11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2.8招标内容：</w:t>
      </w:r>
    </w:p>
    <w:p w14:paraId="2FD1029E">
      <w:pPr>
        <w:pStyle w:val="16"/>
        <w:tabs>
          <w:tab w:val="left" w:pos="3566"/>
        </w:tabs>
        <w:kinsoku w:val="0"/>
        <w:overflowPunct w:val="0"/>
        <w:spacing w:line="360" w:lineRule="auto"/>
        <w:ind w:left="0" w:right="11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2.8.1</w:t>
      </w:r>
      <w:r>
        <w:rPr>
          <w:rFonts w:hint="eastAsia" w:ascii="宋体" w:hAnsi="宋体" w:eastAsia="宋体" w:cs="宋体"/>
          <w:color w:val="auto"/>
          <w:szCs w:val="21"/>
          <w:highlight w:val="none"/>
          <w:u w:val="single"/>
        </w:rPr>
        <w:t>工程设计：</w:t>
      </w:r>
      <w:r>
        <w:rPr>
          <w:rFonts w:hint="eastAsia" w:ascii="宋体" w:hAnsi="宋体" w:eastAsia="宋体" w:cs="宋体"/>
          <w:color w:val="auto"/>
          <w:szCs w:val="21"/>
          <w:highlight w:val="none"/>
          <w:u w:val="single"/>
          <w:lang w:eastAsia="zh-CN"/>
        </w:rPr>
        <w:t>以</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lang w:eastAsia="zh-CN"/>
        </w:rPr>
        <w:t>人提供的设计任务书、</w:t>
      </w:r>
      <w:r>
        <w:rPr>
          <w:rFonts w:hint="eastAsia" w:ascii="宋体" w:hAnsi="宋体" w:eastAsia="宋体" w:cs="宋体"/>
          <w:color w:val="auto"/>
          <w:szCs w:val="21"/>
          <w:highlight w:val="none"/>
          <w:u w:val="single"/>
          <w:lang w:val="en-US" w:eastAsia="zh-CN"/>
        </w:rPr>
        <w:t>初步设计等资料</w:t>
      </w:r>
      <w:r>
        <w:rPr>
          <w:rFonts w:hint="eastAsia" w:ascii="宋体" w:hAnsi="宋体" w:eastAsia="宋体" w:cs="宋体"/>
          <w:color w:val="auto"/>
          <w:szCs w:val="21"/>
          <w:highlight w:val="none"/>
          <w:u w:val="single"/>
          <w:lang w:eastAsia="zh-CN"/>
        </w:rPr>
        <w:t>为依据，按照限额设计的要求完成本工程所有设计工作，</w:t>
      </w:r>
      <w:r>
        <w:rPr>
          <w:rFonts w:hint="eastAsia" w:ascii="宋体" w:hAnsi="宋体" w:eastAsia="宋体" w:cs="宋体"/>
          <w:color w:val="auto"/>
          <w:szCs w:val="21"/>
          <w:highlight w:val="none"/>
          <w:u w:val="single"/>
        </w:rPr>
        <w:t>施工图设计、现场服务、施工过程中的方案优化及设计变更（含变更造价分析）、施工、验收过程的配合及相关配套工作等。（具体以合同约定为准）</w:t>
      </w:r>
    </w:p>
    <w:p w14:paraId="1728B70A">
      <w:pPr>
        <w:pStyle w:val="16"/>
        <w:tabs>
          <w:tab w:val="left" w:pos="3566"/>
        </w:tabs>
        <w:kinsoku w:val="0"/>
        <w:overflowPunct w:val="0"/>
        <w:spacing w:line="360" w:lineRule="auto"/>
        <w:ind w:left="0" w:right="11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u w:val="single"/>
        </w:rPr>
        <w:t>工程施工：完成本项目所有施工内容，其中包括：按照招标文件及合同约定的范围和招标人批复的施工图和预算清单进行施工总承包，包工、包料、包设备、包工期、包质量、包造价控制、包安全、包文明施工、包项目各参建方的协调管理；包验收移交、包保修、包竣工资料归档整理等。（具体以合同约定为准）</w:t>
      </w:r>
    </w:p>
    <w:p w14:paraId="0A772EBA">
      <w:pPr>
        <w:tabs>
          <w:tab w:val="left" w:pos="210"/>
          <w:tab w:val="left" w:pos="3566"/>
        </w:tabs>
        <w:kinsoku w:val="0"/>
        <w:overflowPunct w:val="0"/>
        <w:spacing w:line="360" w:lineRule="auto"/>
        <w:ind w:right="110"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注：最终以招标文件（含招标答疑、澄清文件）、经审定的设计图纸、经审定的施工图概</w:t>
      </w:r>
      <w:r>
        <w:rPr>
          <w:rFonts w:hint="eastAsia" w:ascii="宋体" w:hAnsi="宋体" w:cs="宋体"/>
          <w:color w:val="auto"/>
          <w:szCs w:val="21"/>
          <w:highlight w:val="none"/>
          <w:u w:val="single"/>
          <w:lang w:val="en-US" w:eastAsia="zh-CN"/>
        </w:rPr>
        <w:t>算</w:t>
      </w:r>
      <w:r>
        <w:rPr>
          <w:rFonts w:hint="eastAsia" w:ascii="宋体" w:hAnsi="宋体" w:eastAsia="宋体" w:cs="宋体"/>
          <w:color w:val="auto"/>
          <w:szCs w:val="21"/>
          <w:highlight w:val="none"/>
          <w:u w:val="single"/>
        </w:rPr>
        <w:t>内容及设计施工总承包合同为准且包括发包人发出的与本工程有关的一切文件。</w:t>
      </w:r>
    </w:p>
    <w:p w14:paraId="081488A4">
      <w:pPr>
        <w:tabs>
          <w:tab w:val="left" w:pos="210"/>
          <w:tab w:val="left" w:pos="3566"/>
          <w:tab w:val="center" w:pos="4819"/>
        </w:tabs>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2.9前期服务机构：</w:t>
      </w:r>
      <w:r>
        <w:rPr>
          <w:rFonts w:hint="eastAsia" w:ascii="宋体" w:hAnsi="宋体" w:eastAsia="宋体" w:cs="宋体"/>
          <w:color w:val="auto"/>
          <w:szCs w:val="21"/>
          <w:highlight w:val="none"/>
          <w:u w:val="single"/>
          <w:lang w:val="en-US" w:eastAsia="zh-CN"/>
        </w:rPr>
        <w:t>重庆市聚晟建筑设计有限责任公司</w:t>
      </w:r>
    </w:p>
    <w:p w14:paraId="62D69E8F">
      <w:pPr>
        <w:tabs>
          <w:tab w:val="left" w:pos="210"/>
          <w:tab w:val="left" w:pos="3566"/>
        </w:tabs>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注：本项目</w:t>
      </w:r>
      <w:r>
        <w:rPr>
          <w:rFonts w:hint="eastAsia" w:ascii="宋体" w:hAnsi="宋体" w:eastAsia="宋体" w:cs="宋体"/>
          <w:b/>
          <w:bCs/>
          <w:color w:val="auto"/>
          <w:szCs w:val="21"/>
          <w:highlight w:val="none"/>
          <w:u w:val="single"/>
          <w:lang w:val="en-US" w:eastAsia="zh-CN"/>
        </w:rPr>
        <w:t>不</w:t>
      </w:r>
      <w:r>
        <w:rPr>
          <w:rFonts w:hint="eastAsia" w:ascii="宋体" w:hAnsi="宋体" w:eastAsia="宋体" w:cs="宋体"/>
          <w:b/>
          <w:bCs/>
          <w:color w:val="auto"/>
          <w:szCs w:val="21"/>
          <w:highlight w:val="none"/>
          <w:u w:val="single"/>
        </w:rPr>
        <w:t>允许前期服务机构参加本次投标。</w:t>
      </w:r>
    </w:p>
    <w:p w14:paraId="4F115507">
      <w:pPr>
        <w:pStyle w:val="12"/>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2.10投标经济补偿：</w:t>
      </w:r>
      <w:r>
        <w:rPr>
          <w:rFonts w:hint="eastAsia" w:ascii="宋体" w:hAnsi="宋体" w:eastAsia="宋体" w:cs="宋体"/>
          <w:color w:val="auto"/>
          <w:szCs w:val="21"/>
          <w:highlight w:val="none"/>
          <w:u w:val="single"/>
        </w:rPr>
        <w:t>本项目不设置投标经济补偿，投标费用自理。</w:t>
      </w:r>
    </w:p>
    <w:p w14:paraId="6180B1B2">
      <w:pPr>
        <w:pStyle w:val="3"/>
        <w:numPr>
          <w:ilvl w:val="0"/>
          <w:numId w:val="1"/>
        </w:numPr>
        <w:spacing w:line="360" w:lineRule="auto"/>
        <w:rPr>
          <w:rFonts w:hint="eastAsia" w:ascii="宋体" w:hAnsi="宋体" w:eastAsia="宋体" w:cs="宋体"/>
          <w:color w:val="auto"/>
          <w:sz w:val="21"/>
          <w:szCs w:val="21"/>
          <w:highlight w:val="none"/>
        </w:rPr>
      </w:pPr>
      <w:bookmarkStart w:id="26" w:name="_Toc26020"/>
      <w:bookmarkStart w:id="27" w:name="_Toc247513936"/>
      <w:bookmarkStart w:id="28" w:name="_Toc144974482"/>
      <w:bookmarkStart w:id="29" w:name="_Toc28785"/>
      <w:bookmarkStart w:id="30" w:name="_Toc152045514"/>
      <w:bookmarkStart w:id="31" w:name="_Toc247527537"/>
      <w:bookmarkStart w:id="32" w:name="_Toc152042290"/>
      <w:r>
        <w:rPr>
          <w:rFonts w:hint="eastAsia" w:ascii="宋体" w:hAnsi="宋体" w:eastAsia="宋体" w:cs="宋体"/>
          <w:color w:val="auto"/>
          <w:sz w:val="21"/>
          <w:szCs w:val="21"/>
          <w:highlight w:val="none"/>
        </w:rPr>
        <w:t>投标人资格要求</w:t>
      </w:r>
      <w:bookmarkEnd w:id="26"/>
      <w:bookmarkEnd w:id="27"/>
      <w:bookmarkEnd w:id="28"/>
      <w:bookmarkEnd w:id="29"/>
      <w:bookmarkEnd w:id="30"/>
      <w:bookmarkEnd w:id="31"/>
      <w:bookmarkEnd w:id="32"/>
    </w:p>
    <w:p w14:paraId="7A0ED83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3.1投标人参加投标的意思表达清楚，投标人代表被授权有效。</w:t>
      </w:r>
      <w:r>
        <w:rPr>
          <w:rFonts w:hint="eastAsia" w:ascii="宋体" w:hAnsi="宋体" w:eastAsia="宋体" w:cs="宋体"/>
          <w:color w:val="auto"/>
          <w:szCs w:val="21"/>
          <w:highlight w:val="none"/>
          <w:u w:val="single"/>
        </w:rPr>
        <w:t>（联合体投标的，由联合体主办方单位代表联合体授权）</w:t>
      </w:r>
    </w:p>
    <w:p w14:paraId="38A49F7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3.2国内投标人具有独立法人资格，投标人</w:t>
      </w:r>
      <w:r>
        <w:rPr>
          <w:rFonts w:hint="eastAsia" w:ascii="宋体" w:hAnsi="宋体" w:eastAsia="宋体" w:cs="宋体"/>
          <w:color w:val="auto"/>
          <w:szCs w:val="21"/>
          <w:highlight w:val="none"/>
          <w:u w:val="single"/>
        </w:rPr>
        <w:t>（联合体投标的，联合体各方均提供）</w:t>
      </w:r>
      <w:r>
        <w:rPr>
          <w:rFonts w:hint="eastAsia" w:ascii="宋体" w:hAnsi="宋体" w:eastAsia="宋体" w:cs="宋体"/>
          <w:color w:val="auto"/>
          <w:szCs w:val="21"/>
          <w:highlight w:val="none"/>
        </w:rPr>
        <w:t>持有工商行政管理部门（或市场监督管理部门）核发的法人营业执照或各级政府事业单位登记管理机关颁发的事业单位法人证书，按国家法律经营。</w:t>
      </w:r>
    </w:p>
    <w:p w14:paraId="14697E4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3.3投标人</w:t>
      </w:r>
      <w:r>
        <w:rPr>
          <w:rFonts w:hint="eastAsia" w:ascii="宋体" w:hAnsi="宋体" w:eastAsia="宋体" w:cs="宋体"/>
          <w:color w:val="auto"/>
          <w:szCs w:val="21"/>
          <w:highlight w:val="none"/>
          <w:u w:val="single"/>
        </w:rPr>
        <w:t>（若联合体投标，由施工方提供）</w:t>
      </w:r>
      <w:r>
        <w:rPr>
          <w:rFonts w:hint="eastAsia" w:ascii="宋体" w:hAnsi="宋体" w:eastAsia="宋体" w:cs="宋体"/>
          <w:color w:val="auto"/>
          <w:szCs w:val="21"/>
          <w:highlight w:val="none"/>
        </w:rPr>
        <w:t>持有建设行政主管部门颁发的有效期内的安全生产许可证。</w:t>
      </w:r>
    </w:p>
    <w:p w14:paraId="19898B2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3.4投标人同时具有承接本项目所须的建设行政主管部门颁发的以下企业资质证书：</w:t>
      </w:r>
    </w:p>
    <w:p w14:paraId="2E18E03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工程设计资质：</w:t>
      </w:r>
      <w:r>
        <w:rPr>
          <w:rFonts w:hint="eastAsia" w:ascii="宋体" w:hAnsi="宋体" w:cs="宋体"/>
          <w:color w:val="auto"/>
          <w:szCs w:val="21"/>
          <w:highlight w:val="none"/>
        </w:rPr>
        <w:t>投标人（若为联合体投标，由承担设计任务方提供）须具备建设行政主管部门颁发的</w:t>
      </w:r>
      <w:r>
        <w:rPr>
          <w:rFonts w:hint="eastAsia" w:ascii="宋体" w:hAnsi="宋体" w:eastAsia="宋体" w:cs="宋体"/>
          <w:color w:val="auto"/>
          <w:szCs w:val="21"/>
          <w:highlight w:val="none"/>
          <w:u w:val="single"/>
        </w:rPr>
        <w:t>①工程设计综合甲级资质，或</w:t>
      </w:r>
      <w:r>
        <w:rPr>
          <w:rFonts w:hint="eastAsia" w:ascii="宋体" w:hAnsi="宋体" w:cs="宋体"/>
          <w:color w:val="auto"/>
          <w:szCs w:val="21"/>
          <w:highlight w:val="none"/>
          <w:u w:val="single"/>
          <w:lang w:val="en-US" w:eastAsia="zh-CN"/>
        </w:rPr>
        <w:t>具备</w:t>
      </w:r>
      <w:r>
        <w:rPr>
          <w:rFonts w:hint="eastAsia" w:ascii="宋体" w:hAnsi="宋体" w:eastAsia="宋体" w:cs="宋体"/>
          <w:color w:val="auto"/>
          <w:szCs w:val="21"/>
          <w:highlight w:val="none"/>
          <w:u w:val="single"/>
        </w:rPr>
        <w:t>②市政行业工程设计丙级</w:t>
      </w:r>
      <w:r>
        <w:rPr>
          <w:rFonts w:hint="eastAsia" w:ascii="宋体" w:hAnsi="宋体" w:eastAsia="宋体" w:cs="宋体"/>
          <w:color w:val="auto"/>
          <w:szCs w:val="21"/>
          <w:highlight w:val="none"/>
          <w:u w:val="single"/>
          <w:lang w:val="en-US" w:eastAsia="zh-CN"/>
        </w:rPr>
        <w:t>或以上</w:t>
      </w:r>
      <w:r>
        <w:rPr>
          <w:rFonts w:hint="eastAsia" w:ascii="宋体" w:hAnsi="宋体" w:eastAsia="宋体" w:cs="宋体"/>
          <w:color w:val="auto"/>
          <w:szCs w:val="21"/>
          <w:highlight w:val="none"/>
          <w:u w:val="single"/>
        </w:rPr>
        <w:t>资质，</w:t>
      </w:r>
      <w:r>
        <w:rPr>
          <w:rFonts w:hint="eastAsia" w:ascii="宋体" w:hAnsi="宋体" w:cs="宋体"/>
          <w:color w:val="auto"/>
          <w:szCs w:val="21"/>
          <w:highlight w:val="none"/>
          <w:u w:val="single"/>
        </w:rPr>
        <w:t>或</w:t>
      </w:r>
      <w:r>
        <w:rPr>
          <w:rFonts w:hint="eastAsia" w:ascii="宋体" w:hAnsi="宋体" w:cs="宋体"/>
          <w:color w:val="auto"/>
          <w:szCs w:val="21"/>
          <w:highlight w:val="none"/>
          <w:u w:val="single"/>
          <w:lang w:val="en-US" w:eastAsia="zh-CN"/>
        </w:rPr>
        <w:t>具备</w:t>
      </w:r>
      <w:r>
        <w:rPr>
          <w:rFonts w:hint="eastAsia" w:ascii="宋体" w:hAnsi="宋体" w:eastAsia="宋体" w:cs="宋体"/>
          <w:color w:val="auto"/>
          <w:szCs w:val="21"/>
          <w:highlight w:val="none"/>
          <w:u w:val="single"/>
        </w:rPr>
        <w:t>③</w:t>
      </w:r>
      <w:r>
        <w:rPr>
          <w:rFonts w:hint="eastAsia" w:ascii="宋体" w:hAnsi="宋体" w:cs="宋体"/>
          <w:color w:val="auto"/>
          <w:szCs w:val="21"/>
          <w:highlight w:val="none"/>
          <w:u w:val="single"/>
        </w:rPr>
        <w:t>市政行业</w:t>
      </w:r>
      <w:r>
        <w:rPr>
          <w:rFonts w:hint="eastAsia" w:ascii="宋体" w:hAnsi="宋体" w:cs="宋体"/>
          <w:color w:val="auto"/>
          <w:szCs w:val="21"/>
          <w:highlight w:val="none"/>
          <w:u w:val="single"/>
          <w:lang w:val="en-US" w:eastAsia="zh-CN"/>
        </w:rPr>
        <w:t>工程设计</w:t>
      </w:r>
      <w:r>
        <w:rPr>
          <w:rFonts w:hint="eastAsia" w:ascii="宋体" w:hAnsi="宋体" w:cs="宋体"/>
          <w:color w:val="auto"/>
          <w:szCs w:val="21"/>
          <w:highlight w:val="none"/>
          <w:u w:val="single"/>
        </w:rPr>
        <w:t>（燃气工程、轨道交通工程除外）丙级或以上资质；</w:t>
      </w:r>
      <w:r>
        <w:rPr>
          <w:rFonts w:hint="eastAsia" w:ascii="宋体" w:hAnsi="宋体" w:eastAsia="宋体" w:cs="宋体"/>
          <w:color w:val="auto"/>
          <w:szCs w:val="21"/>
          <w:highlight w:val="none"/>
          <w:u w:val="single"/>
        </w:rPr>
        <w:t>或具备市政行业（道路工程和排水工程）专业设计丙级或以上资质；香港企业独立参加投标的，须在广东省住房和城乡建设主管部门备案且备案的业务范围应符合本招标项目对工程资质的要求。</w:t>
      </w:r>
    </w:p>
    <w:p w14:paraId="5A743F4B">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①国内申请人具体资质要求按照《建设工程勘察设计资质管理规定》（建设部令第160号）、《建设工程勘察设计资质管理规定实施意见》（建市〔2007〕202号）和《工程设计资质标准》（建市〔2007〕86号）填写，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执行。</w:t>
      </w:r>
    </w:p>
    <w:p w14:paraId="06075594">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"http://zfcxjst.gd.gov.cn/xxgk/wjtz/content/post_3137220.html%EF%BC%89%E7%A1%AE%E5%AE%9A%E3%80%82"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u w:val="single"/>
        </w:rPr>
        <w:t>http://zfcxjst.gd.gov.cn/xxgk/wjtz/content/post_3137220.html）确定。</w:t>
      </w:r>
      <w:r>
        <w:rPr>
          <w:rFonts w:hint="eastAsia" w:ascii="宋体" w:hAnsi="宋体" w:eastAsia="宋体" w:cs="宋体"/>
          <w:color w:val="auto"/>
          <w:szCs w:val="21"/>
          <w:highlight w:val="none"/>
          <w:u w:val="single"/>
        </w:rPr>
        <w:fldChar w:fldCharType="end"/>
      </w:r>
    </w:p>
    <w:p w14:paraId="4549DF5B">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③外国或澳门、台湾的设计企业必须选择一家符合上述条件的企业进行合作设计。香港企业如不单独参加投标，也必须选择一家符合上述条件的企业进行合作设计。</w:t>
      </w:r>
    </w:p>
    <w:p w14:paraId="7D748853">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施工类资质：</w:t>
      </w:r>
      <w:r>
        <w:rPr>
          <w:rFonts w:hint="eastAsia" w:ascii="宋体" w:hAnsi="宋体" w:eastAsia="宋体" w:cs="宋体"/>
          <w:color w:val="auto"/>
          <w:szCs w:val="21"/>
          <w:highlight w:val="none"/>
          <w:u w:val="single"/>
        </w:rPr>
        <w:t>市政公用工程施工总承包</w:t>
      </w:r>
      <w:r>
        <w:rPr>
          <w:rFonts w:hint="eastAsia" w:ascii="宋体" w:hAnsi="宋体" w:cs="宋体"/>
          <w:color w:val="auto"/>
          <w:szCs w:val="21"/>
          <w:highlight w:val="none"/>
          <w:u w:val="single"/>
          <w:lang w:val="en-US" w:eastAsia="zh-CN"/>
        </w:rPr>
        <w:t>叁</w:t>
      </w:r>
      <w:r>
        <w:rPr>
          <w:rFonts w:hint="eastAsia" w:ascii="宋体" w:hAnsi="宋体" w:eastAsia="宋体" w:cs="宋体"/>
          <w:color w:val="auto"/>
          <w:szCs w:val="21"/>
          <w:highlight w:val="none"/>
          <w:u w:val="single"/>
        </w:rPr>
        <w:t>级或以上资质。</w:t>
      </w:r>
    </w:p>
    <w:p w14:paraId="49E4774C">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根据上述文件的要求，投标人需办理企业资质有效期延续的，应当按照相关规定及时办理。</w:t>
      </w:r>
    </w:p>
    <w:p w14:paraId="2C81DAE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3.5主要负责人资格要求：</w:t>
      </w:r>
    </w:p>
    <w:p w14:paraId="69E7E87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w:t>
      </w:r>
      <w:r>
        <w:rPr>
          <w:rFonts w:hint="eastAsia" w:ascii="宋体" w:hAnsi="宋体" w:cs="宋体"/>
          <w:b/>
          <w:bCs/>
          <w:color w:val="000000" w:themeColor="text1"/>
          <w:sz w:val="24"/>
          <w:u w:val="single"/>
          <w14:textFill>
            <w14:solidFill>
              <w14:schemeClr w14:val="tx1"/>
            </w14:solidFill>
          </w14:textFill>
        </w:rPr>
        <w:t>项目负责人</w:t>
      </w:r>
      <w:r>
        <w:rPr>
          <w:rFonts w:hint="eastAsia" w:ascii="宋体" w:hAnsi="宋体" w:cs="宋体"/>
          <w:color w:val="000000" w:themeColor="text1"/>
          <w:sz w:val="24"/>
          <w:u w:val="single"/>
          <w14:textFill>
            <w14:solidFill>
              <w14:schemeClr w14:val="tx1"/>
            </w14:solidFill>
          </w14:textFill>
        </w:rPr>
        <w:t>（可兼任施工负责人，下同）（若联合体投标，由主办方提供）：具备工程建设类注册执业资格，包括注册建筑师或者勘察设计注册工程师或者注册</w:t>
      </w:r>
      <w:r>
        <w:rPr>
          <w:rFonts w:hint="eastAsia" w:ascii="宋体" w:hAnsi="宋体" w:cs="宋体"/>
          <w:color w:val="000000" w:themeColor="text1"/>
          <w:sz w:val="24"/>
          <w:highlight w:val="none"/>
          <w:u w:val="single"/>
          <w14:textFill>
            <w14:solidFill>
              <w14:schemeClr w14:val="tx1"/>
            </w14:solidFill>
          </w14:textFill>
        </w:rPr>
        <w:t>建造师或者注册监理工程师等，或在广东省住房和城乡建设主管部门备案且备案的业务范围符合本招标项目要求的香港专业人士；未实施注册执业资格的，应取得</w:t>
      </w:r>
      <w:r>
        <w:rPr>
          <w:rFonts w:hint="eastAsia" w:ascii="宋体" w:hAnsi="宋体" w:cs="宋体"/>
          <w:color w:val="000000"/>
          <w:sz w:val="24"/>
          <w:u w:val="single"/>
        </w:rPr>
        <w:t>高级专业技术职称</w:t>
      </w:r>
      <w:r>
        <w:rPr>
          <w:rFonts w:hint="eastAsia" w:ascii="宋体" w:hAnsi="宋体" w:cs="宋体"/>
          <w:color w:val="000000" w:themeColor="text1"/>
          <w:sz w:val="24"/>
          <w:highlight w:val="none"/>
          <w:u w:val="single"/>
          <w14:textFill>
            <w14:solidFill>
              <w14:schemeClr w14:val="tx1"/>
            </w14:solidFill>
          </w14:textFill>
        </w:rPr>
        <w:t>。投标人拟委派的项目负责人不具备</w:t>
      </w:r>
      <w:r>
        <w:rPr>
          <w:rFonts w:hint="eastAsia" w:ascii="宋体" w:hAnsi="宋体" w:cs="宋体"/>
          <w:color w:val="000000"/>
          <w:sz w:val="24"/>
          <w:u w:val="single"/>
        </w:rPr>
        <w:t>市政公用工程专业二级注册建造师</w:t>
      </w:r>
      <w:r>
        <w:rPr>
          <w:rFonts w:hint="eastAsia" w:ascii="宋体" w:hAnsi="宋体" w:cs="宋体"/>
          <w:sz w:val="24"/>
          <w:highlight w:val="none"/>
          <w:u w:val="single"/>
        </w:rPr>
        <w:t>执业资格</w:t>
      </w:r>
      <w:r>
        <w:rPr>
          <w:rFonts w:hint="eastAsia" w:ascii="宋体" w:hAnsi="宋体" w:cs="宋体"/>
          <w:color w:val="000000" w:themeColor="text1"/>
          <w:sz w:val="24"/>
          <w:highlight w:val="none"/>
          <w:u w:val="single"/>
          <w14:textFill>
            <w14:solidFill>
              <w14:schemeClr w14:val="tx1"/>
            </w14:solidFill>
          </w14:textFill>
        </w:rPr>
        <w:t>的，应委派具备相应资格的注册建造师担任施工负责人，施工负责人应持有在有效期内的安全生产考核合格证（B类）或建筑施工企业项目负责人安全生产考核合格证书，施工负责人应提供有效的建造师执业资格证书，且必须为企业在岗人员，注册执业单位须与投标人登记时一致。</w:t>
      </w:r>
      <w:r>
        <w:rPr>
          <w:rFonts w:hint="eastAsia" w:ascii="宋体" w:hAnsi="宋体" w:eastAsia="宋体" w:cs="宋体"/>
          <w:b/>
          <w:bCs/>
          <w:color w:val="auto"/>
          <w:szCs w:val="21"/>
          <w:highlight w:val="none"/>
        </w:rPr>
        <w:t>项目负责人</w:t>
      </w:r>
      <w:r>
        <w:rPr>
          <w:rFonts w:hint="eastAsia" w:ascii="宋体" w:hAnsi="宋体" w:eastAsia="宋体" w:cs="宋体"/>
          <w:color w:val="auto"/>
          <w:szCs w:val="21"/>
          <w:highlight w:val="none"/>
          <w:u w:val="single"/>
        </w:rPr>
        <w:t>（可兼任施工负责人；若联合体投标，由主办方提供）</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具备</w:t>
      </w:r>
      <w:r>
        <w:rPr>
          <w:rFonts w:hint="eastAsia" w:ascii="宋体" w:hAnsi="宋体" w:eastAsia="宋体" w:cs="宋体"/>
          <w:b/>
          <w:bCs/>
          <w:color w:val="auto"/>
          <w:szCs w:val="21"/>
          <w:highlight w:val="none"/>
          <w:u w:val="single"/>
        </w:rPr>
        <w:t>市政公用工程</w:t>
      </w:r>
      <w:r>
        <w:rPr>
          <w:rFonts w:hint="eastAsia" w:ascii="宋体" w:hAnsi="宋体" w:eastAsia="宋体" w:cs="宋体"/>
          <w:b/>
          <w:bCs/>
          <w:color w:val="auto"/>
          <w:szCs w:val="21"/>
          <w:highlight w:val="none"/>
          <w:u w:val="single"/>
          <w:lang w:val="en-US" w:eastAsia="zh-CN"/>
        </w:rPr>
        <w:t>相关</w:t>
      </w:r>
      <w:r>
        <w:rPr>
          <w:rFonts w:hint="eastAsia" w:ascii="宋体" w:hAnsi="宋体" w:eastAsia="宋体" w:cs="宋体"/>
          <w:b/>
          <w:bCs/>
          <w:color w:val="auto"/>
          <w:szCs w:val="21"/>
          <w:highlight w:val="none"/>
          <w:u w:val="single"/>
        </w:rPr>
        <w:t>专业</w:t>
      </w:r>
      <w:r>
        <w:rPr>
          <w:rFonts w:hint="eastAsia" w:ascii="宋体" w:hAnsi="宋体" w:eastAsia="宋体" w:cs="宋体"/>
          <w:b/>
          <w:bCs/>
          <w:color w:val="auto"/>
          <w:szCs w:val="21"/>
          <w:highlight w:val="none"/>
          <w:u w:val="single"/>
          <w:lang w:val="en-US" w:eastAsia="zh-CN"/>
        </w:rPr>
        <w:t>二</w:t>
      </w:r>
      <w:r>
        <w:rPr>
          <w:rFonts w:hint="eastAsia" w:ascii="宋体" w:hAnsi="宋体" w:eastAsia="宋体" w:cs="宋体"/>
          <w:b/>
          <w:bCs/>
          <w:color w:val="auto"/>
          <w:szCs w:val="21"/>
          <w:highlight w:val="none"/>
          <w:u w:val="single"/>
        </w:rPr>
        <w:t>级</w:t>
      </w:r>
      <w:r>
        <w:rPr>
          <w:rFonts w:hint="eastAsia" w:ascii="宋体" w:hAnsi="宋体" w:eastAsia="宋体" w:cs="宋体"/>
          <w:b/>
          <w:bCs/>
          <w:color w:val="auto"/>
          <w:szCs w:val="21"/>
          <w:highlight w:val="none"/>
          <w:u w:val="single"/>
          <w:lang w:val="en-US" w:eastAsia="zh-CN"/>
        </w:rPr>
        <w:t>或以上</w:t>
      </w:r>
      <w:r>
        <w:rPr>
          <w:rFonts w:hint="eastAsia" w:ascii="宋体" w:hAnsi="宋体" w:eastAsia="宋体" w:cs="宋体"/>
          <w:b/>
          <w:bCs/>
          <w:color w:val="auto"/>
          <w:szCs w:val="21"/>
          <w:highlight w:val="none"/>
          <w:u w:val="single"/>
        </w:rPr>
        <w:t>注册建造师</w:t>
      </w:r>
      <w:r>
        <w:rPr>
          <w:rFonts w:hint="eastAsia" w:ascii="宋体" w:hAnsi="宋体" w:eastAsia="宋体" w:cs="宋体"/>
          <w:color w:val="auto"/>
          <w:szCs w:val="21"/>
          <w:highlight w:val="none"/>
          <w:u w:val="single"/>
        </w:rPr>
        <w:t>执业资格，</w:t>
      </w:r>
      <w:r>
        <w:rPr>
          <w:rFonts w:hint="eastAsia" w:ascii="宋体" w:hAnsi="宋体" w:eastAsia="宋体" w:cs="宋体"/>
          <w:color w:val="auto"/>
          <w:szCs w:val="21"/>
          <w:highlight w:val="none"/>
        </w:rPr>
        <w:t>且在投标人单位（若</w:t>
      </w:r>
      <w:r>
        <w:rPr>
          <w:rFonts w:hint="eastAsia" w:ascii="宋体" w:hAnsi="宋体" w:eastAsia="宋体" w:cs="宋体"/>
          <w:color w:val="auto"/>
          <w:szCs w:val="21"/>
          <w:highlight w:val="none"/>
          <w:lang w:val="en-US" w:eastAsia="zh-CN"/>
        </w:rPr>
        <w:t>联合体投标，指承担施工任务的单位</w:t>
      </w:r>
      <w:r>
        <w:rPr>
          <w:rFonts w:hint="eastAsia" w:ascii="宋体" w:hAnsi="宋体" w:eastAsia="宋体" w:cs="宋体"/>
          <w:color w:val="auto"/>
          <w:szCs w:val="21"/>
          <w:highlight w:val="none"/>
        </w:rPr>
        <w:t>）注册。且持有</w:t>
      </w:r>
      <w:r>
        <w:rPr>
          <w:rFonts w:hint="eastAsia" w:ascii="宋体" w:hAnsi="宋体" w:eastAsia="宋体" w:cs="宋体"/>
          <w:b/>
          <w:bCs/>
          <w:color w:val="auto"/>
          <w:szCs w:val="21"/>
          <w:highlight w:val="none"/>
          <w:u w:val="single"/>
        </w:rPr>
        <w:t>安全生产考核合格证（B类）或建筑施工企业项目负责人安全生产考核合格证书</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【投标人在投标登记时，由广州交易集团有限公司(广州公共资源交易中心)对项目负责人进行锁定】</w:t>
      </w:r>
    </w:p>
    <w:p w14:paraId="08280E35">
      <w:pPr>
        <w:spacing w:line="360" w:lineRule="auto"/>
        <w:ind w:firstLine="424" w:firstLineChars="202"/>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u w:val="single"/>
        </w:rPr>
        <w:t>注：①</w:t>
      </w:r>
      <w:r>
        <w:rPr>
          <w:rFonts w:hint="eastAsia" w:ascii="宋体" w:hAnsi="宋体" w:eastAsia="宋体" w:cs="宋体"/>
          <w:color w:val="auto"/>
          <w:kern w:val="0"/>
          <w:szCs w:val="21"/>
          <w:highlight w:val="none"/>
          <w:u w:val="singl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FDEC49E">
      <w:pPr>
        <w:spacing w:line="360" w:lineRule="auto"/>
        <w:ind w:firstLine="424" w:firstLineChars="202"/>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②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7D82C0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②</w:t>
      </w:r>
      <w:r>
        <w:rPr>
          <w:rFonts w:hint="eastAsia" w:ascii="宋体" w:hAnsi="宋体" w:eastAsia="宋体" w:cs="宋体"/>
          <w:color w:val="auto"/>
          <w:szCs w:val="21"/>
          <w:highlight w:val="none"/>
          <w:u w:val="single"/>
        </w:rPr>
        <w:t>施工负责人在任职期间不得担任专职安全员，专职安全员在任职期间也不得担任施工负责人，施工负责人和专职安全员不为同一人。</w:t>
      </w:r>
    </w:p>
    <w:p w14:paraId="08F714A0">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3.5.2</w:t>
      </w:r>
      <w:r>
        <w:rPr>
          <w:rFonts w:hint="eastAsia" w:ascii="宋体" w:hAnsi="宋体" w:eastAsia="宋体" w:cs="宋体"/>
          <w:b/>
          <w:bCs/>
          <w:color w:val="auto"/>
          <w:szCs w:val="21"/>
          <w:highlight w:val="none"/>
        </w:rPr>
        <w:t>设计负责人</w:t>
      </w:r>
      <w:r>
        <w:rPr>
          <w:rFonts w:hint="eastAsia" w:ascii="宋体" w:hAnsi="宋体" w:eastAsia="宋体" w:cs="宋体"/>
          <w:color w:val="auto"/>
          <w:szCs w:val="21"/>
          <w:highlight w:val="none"/>
          <w:u w:val="single"/>
        </w:rPr>
        <w:t>（若联合体投标，由设计方提供）</w:t>
      </w:r>
      <w:r>
        <w:rPr>
          <w:rFonts w:hint="eastAsia" w:ascii="宋体" w:hAnsi="宋体" w:eastAsia="宋体" w:cs="宋体"/>
          <w:color w:val="auto"/>
          <w:szCs w:val="21"/>
          <w:highlight w:val="none"/>
          <w:lang w:val="en-US" w:eastAsia="zh-CN"/>
        </w:rPr>
        <w:t>要求</w:t>
      </w:r>
      <w:r>
        <w:rPr>
          <w:rFonts w:hint="eastAsia" w:ascii="宋体" w:hAnsi="宋体" w:eastAsia="宋体" w:cs="宋体"/>
          <w:color w:val="auto"/>
          <w:szCs w:val="21"/>
          <w:highlight w:val="none"/>
        </w:rPr>
        <w:t>：</w:t>
      </w:r>
      <w:bookmarkStart w:id="33" w:name="_Hlk179311184"/>
      <w:r>
        <w:rPr>
          <w:rFonts w:hint="eastAsia" w:ascii="宋体" w:hAnsi="宋体" w:eastAsia="宋体" w:cs="宋体"/>
          <w:color w:val="auto"/>
          <w:szCs w:val="21"/>
          <w:highlight w:val="none"/>
          <w:u w:val="single"/>
        </w:rPr>
        <w:t>具有</w:t>
      </w:r>
      <w:bookmarkEnd w:id="33"/>
      <w:r>
        <w:rPr>
          <w:rFonts w:hint="eastAsia" w:ascii="宋体" w:hAnsi="宋体" w:eastAsia="宋体" w:cs="宋体"/>
          <w:color w:val="auto"/>
          <w:szCs w:val="21"/>
          <w:highlight w:val="none"/>
          <w:u w:val="single"/>
        </w:rPr>
        <w:t>市政公用工程相关专业高级或以上技术职称，或在广东省住房和城乡建设主管部门备案且备案的业务范围</w:t>
      </w:r>
      <w:bookmarkStart w:id="34" w:name="OLE_LINK20"/>
      <w:r>
        <w:rPr>
          <w:rFonts w:hint="eastAsia" w:ascii="宋体" w:hAnsi="宋体" w:eastAsia="宋体" w:cs="宋体"/>
          <w:color w:val="auto"/>
          <w:szCs w:val="21"/>
          <w:highlight w:val="none"/>
          <w:u w:val="single"/>
        </w:rPr>
        <w:t>符合本招标项目对设计负责人要求</w:t>
      </w:r>
      <w:bookmarkEnd w:id="34"/>
      <w:r>
        <w:rPr>
          <w:rFonts w:hint="eastAsia" w:ascii="宋体" w:hAnsi="宋体" w:eastAsia="宋体" w:cs="宋体"/>
          <w:color w:val="auto"/>
          <w:szCs w:val="21"/>
          <w:highlight w:val="none"/>
          <w:u w:val="single"/>
        </w:rPr>
        <w:t>的香港专业人士。设计负责人与施工负责人</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专职安全员不能为同一人。</w:t>
      </w:r>
    </w:p>
    <w:p w14:paraId="230CF539">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14:paraId="326BDC4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r>
        <w:rPr>
          <w:rFonts w:hint="eastAsia" w:ascii="宋体" w:hAnsi="宋体" w:eastAsia="宋体" w:cs="宋体"/>
          <w:b/>
          <w:bCs/>
          <w:color w:val="auto"/>
          <w:szCs w:val="21"/>
          <w:highlight w:val="none"/>
        </w:rPr>
        <w:t>专职安全员</w:t>
      </w:r>
      <w:r>
        <w:rPr>
          <w:rFonts w:hint="eastAsia" w:ascii="宋体" w:hAnsi="宋体" w:eastAsia="宋体" w:cs="宋体"/>
          <w:color w:val="auto"/>
          <w:szCs w:val="21"/>
          <w:highlight w:val="none"/>
          <w:u w:val="single"/>
        </w:rPr>
        <w:t>（若联合体投标，由</w:t>
      </w:r>
      <w:r>
        <w:rPr>
          <w:rFonts w:hint="eastAsia" w:ascii="宋体" w:hAnsi="宋体" w:eastAsia="宋体" w:cs="宋体"/>
          <w:color w:val="auto"/>
          <w:szCs w:val="21"/>
          <w:highlight w:val="none"/>
          <w:u w:val="single"/>
          <w:lang w:val="en-US" w:eastAsia="zh-CN"/>
        </w:rPr>
        <w:t>主办</w:t>
      </w:r>
      <w:r>
        <w:rPr>
          <w:rFonts w:hint="eastAsia" w:ascii="宋体" w:hAnsi="宋体" w:eastAsia="宋体" w:cs="宋体"/>
          <w:color w:val="auto"/>
          <w:szCs w:val="21"/>
          <w:highlight w:val="none"/>
          <w:u w:val="single"/>
        </w:rPr>
        <w:t>方提供）</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u w:val="single"/>
        </w:rPr>
        <w:t>具有在有效期内的安全生产考核合格证书（C类）或建筑施工企业专职安全生产管理人员安全生产考核合格证书（C3类）。</w:t>
      </w:r>
    </w:p>
    <w:p w14:paraId="71B6ABBC">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4E457A75">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3.5.4</w:t>
      </w:r>
      <w:r>
        <w:rPr>
          <w:rFonts w:hint="eastAsia" w:ascii="宋体" w:hAnsi="宋体" w:eastAsia="宋体" w:cs="宋体"/>
          <w:b/>
          <w:bCs/>
          <w:color w:val="auto"/>
          <w:szCs w:val="21"/>
          <w:highlight w:val="none"/>
        </w:rPr>
        <w:t>施工技术负责人</w:t>
      </w:r>
      <w:r>
        <w:rPr>
          <w:rFonts w:hint="eastAsia" w:ascii="宋体" w:hAnsi="宋体" w:eastAsia="宋体" w:cs="宋体"/>
          <w:color w:val="auto"/>
          <w:szCs w:val="21"/>
          <w:highlight w:val="none"/>
          <w:u w:val="single"/>
        </w:rPr>
        <w:t>（若联合体投标，由</w:t>
      </w:r>
      <w:r>
        <w:rPr>
          <w:rFonts w:hint="eastAsia" w:ascii="宋体" w:hAnsi="宋体" w:eastAsia="宋体" w:cs="宋体"/>
          <w:color w:val="auto"/>
          <w:szCs w:val="21"/>
          <w:highlight w:val="none"/>
          <w:u w:val="single"/>
          <w:lang w:val="en-US" w:eastAsia="zh-CN"/>
        </w:rPr>
        <w:t>主办</w:t>
      </w:r>
      <w:r>
        <w:rPr>
          <w:rFonts w:hint="eastAsia" w:ascii="宋体" w:hAnsi="宋体" w:eastAsia="宋体" w:cs="宋体"/>
          <w:color w:val="auto"/>
          <w:szCs w:val="21"/>
          <w:highlight w:val="none"/>
          <w:u w:val="single"/>
        </w:rPr>
        <w:t>方提供）</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u w:val="single"/>
        </w:rPr>
        <w:t>市政工程相关专业</w:t>
      </w:r>
      <w:r>
        <w:rPr>
          <w:rFonts w:hint="eastAsia" w:ascii="宋体" w:hAnsi="宋体" w:cs="宋体"/>
          <w:color w:val="auto"/>
          <w:szCs w:val="21"/>
          <w:highlight w:val="none"/>
          <w:u w:val="single"/>
          <w:lang w:val="en-US" w:eastAsia="zh-CN"/>
        </w:rPr>
        <w:t>中级</w:t>
      </w:r>
      <w:r>
        <w:rPr>
          <w:rFonts w:hint="eastAsia" w:ascii="宋体" w:hAnsi="宋体" w:eastAsia="宋体" w:cs="宋体"/>
          <w:color w:val="auto"/>
          <w:szCs w:val="21"/>
          <w:highlight w:val="none"/>
          <w:u w:val="single"/>
        </w:rPr>
        <w:t>或以上</w:t>
      </w:r>
      <w:r>
        <w:rPr>
          <w:rFonts w:hint="eastAsia" w:ascii="宋体" w:hAnsi="宋体" w:cs="宋体"/>
          <w:color w:val="auto"/>
          <w:szCs w:val="21"/>
          <w:highlight w:val="none"/>
          <w:u w:val="single"/>
          <w:lang w:val="en-US" w:eastAsia="zh-CN"/>
        </w:rPr>
        <w:t>工程师</w:t>
      </w:r>
      <w:r>
        <w:rPr>
          <w:rFonts w:hint="eastAsia" w:ascii="宋体" w:hAnsi="宋体" w:eastAsia="宋体" w:cs="宋体"/>
          <w:color w:val="auto"/>
          <w:szCs w:val="21"/>
          <w:highlight w:val="none"/>
          <w:u w:val="single"/>
        </w:rPr>
        <w:t>技术职称。</w:t>
      </w:r>
    </w:p>
    <w:p w14:paraId="74DDEBF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3.6投标人已按照附件一的内容签署盖章的《投标人声明》。</w:t>
      </w:r>
    </w:p>
    <w:p w14:paraId="1935FE2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3.7关于联合体投标：</w:t>
      </w:r>
    </w:p>
    <w:p w14:paraId="03DFC4B7">
      <w:pPr>
        <w:shd w:val="clear" w:color="auto" w:fill="FFFFFF"/>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3.7.1允许联合体投标，若投标人不同时具备3.4所要求的资质可以组成联合体，应以</w:t>
      </w:r>
      <w:r>
        <w:rPr>
          <w:rFonts w:hint="eastAsia" w:ascii="宋体" w:hAnsi="宋体" w:eastAsia="宋体" w:cs="宋体"/>
          <w:color w:val="auto"/>
          <w:szCs w:val="21"/>
          <w:highlight w:val="none"/>
          <w:u w:val="single"/>
        </w:rPr>
        <w:t>承担施工任务的一家</w:t>
      </w:r>
      <w:r>
        <w:rPr>
          <w:rFonts w:hint="eastAsia" w:ascii="宋体" w:hAnsi="宋体" w:eastAsia="宋体" w:cs="宋体"/>
          <w:color w:val="auto"/>
          <w:szCs w:val="21"/>
          <w:highlight w:val="none"/>
        </w:rPr>
        <w:t>为主办方，并签定联合体共同投标协议书。联合体共同投标协议书应明确约定各方拟承担的工作和责任。</w:t>
      </w:r>
    </w:p>
    <w:p w14:paraId="67FEE91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3.7.2投标人拟任本工程项目负责人（可兼任施工负责人）、施工负责人、设计负责人、施工技术负责人、专职安全员必须是联合体中对应分工成员的正式员工。</w:t>
      </w:r>
    </w:p>
    <w:p w14:paraId="2481B48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3.7.3联合体的资格条件按联合体任务分工进行评审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其中施工资质、安全生产许可证、项目负责人、施工负责人、专职安全员、施工技术负责人以承接施工任务的一方为准；工程设计资质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设计负责人以承接设计任务的一方为准。</w:t>
      </w:r>
    </w:p>
    <w:p w14:paraId="4E9290A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3.7.4联合体各方不得再以自己名义单独或加入其他联合体参加本项目的投标。</w:t>
      </w:r>
    </w:p>
    <w:p w14:paraId="1F4CAB17">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3.8投标登记前，投标人</w:t>
      </w:r>
      <w:r>
        <w:rPr>
          <w:rFonts w:hint="eastAsia" w:ascii="宋体" w:hAnsi="宋体" w:eastAsia="宋体" w:cs="宋体"/>
          <w:color w:val="auto"/>
          <w:szCs w:val="21"/>
          <w:highlight w:val="none"/>
          <w:u w:val="single"/>
        </w:rPr>
        <w:t>（含联合体各方）</w:t>
      </w:r>
      <w:r>
        <w:rPr>
          <w:rFonts w:hint="eastAsia" w:ascii="宋体" w:hAnsi="宋体" w:eastAsia="宋体" w:cs="宋体"/>
          <w:color w:val="auto"/>
          <w:szCs w:val="21"/>
          <w:highlight w:val="none"/>
        </w:rPr>
        <w:t>须在广州交易集团有限公司（广州公共资源交易中心）办理企业信息登记，拟担任本工程项目负责人、施工负责人、设计负责人、专职安全员须是投标人本企业信息登记中的在册人员</w:t>
      </w:r>
      <w:r>
        <w:rPr>
          <w:rFonts w:hint="eastAsia" w:ascii="宋体" w:hAnsi="宋体" w:eastAsia="宋体" w:cs="宋体"/>
          <w:color w:val="auto"/>
          <w:szCs w:val="21"/>
          <w:highlight w:val="none"/>
          <w:u w:val="single"/>
        </w:rPr>
        <w:t>（联合体投标的，企业信息登记和人员在册情况为联合体共同投标协议书分工对应企业库内的登记信息）</w:t>
      </w:r>
      <w:r>
        <w:rPr>
          <w:rFonts w:hint="eastAsia" w:ascii="宋体" w:hAnsi="宋体" w:eastAsia="宋体" w:cs="宋体"/>
          <w:color w:val="auto"/>
          <w:szCs w:val="21"/>
          <w:highlight w:val="none"/>
        </w:rPr>
        <w:t>。</w:t>
      </w:r>
    </w:p>
    <w:p w14:paraId="6302EB30">
      <w:pPr>
        <w:widowControl/>
        <w:shd w:val="clear" w:color="auto" w:fill="FFFFFF"/>
        <w:tabs>
          <w:tab w:val="center" w:pos="4415"/>
        </w:tabs>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3.9投标人</w:t>
      </w:r>
      <w:r>
        <w:rPr>
          <w:rFonts w:hint="eastAsia" w:ascii="宋体" w:hAnsi="宋体" w:eastAsia="宋体" w:cs="宋体"/>
          <w:color w:val="auto"/>
          <w:szCs w:val="21"/>
          <w:highlight w:val="none"/>
          <w:u w:val="single"/>
        </w:rPr>
        <w:t>（含联合体各方）</w:t>
      </w:r>
      <w:r>
        <w:rPr>
          <w:rFonts w:hint="eastAsia" w:ascii="宋体" w:hAnsi="宋体" w:eastAsia="宋体" w:cs="宋体"/>
          <w:color w:val="auto"/>
          <w:szCs w:val="21"/>
          <w:highlight w:val="none"/>
        </w:rPr>
        <w:t>不是本项目的代建单位、项目管理单位、监理单位、造价咨询单位、招标代理单位。投标人</w:t>
      </w:r>
      <w:r>
        <w:rPr>
          <w:rFonts w:hint="eastAsia" w:ascii="宋体" w:hAnsi="宋体" w:eastAsia="宋体" w:cs="宋体"/>
          <w:color w:val="auto"/>
          <w:szCs w:val="21"/>
          <w:highlight w:val="none"/>
          <w:u w:val="single"/>
        </w:rPr>
        <w:t>（含联合体各方）</w:t>
      </w:r>
      <w:r>
        <w:rPr>
          <w:rFonts w:hint="eastAsia" w:ascii="宋体" w:hAnsi="宋体" w:eastAsia="宋体" w:cs="宋体"/>
          <w:color w:val="auto"/>
          <w:szCs w:val="21"/>
          <w:highlight w:val="none"/>
        </w:rPr>
        <w:t>须承诺应当具有相应的项目管理体系和项目管理能力、财务和风险承担能力。（按投标人提供的《投标人声明》</w:t>
      </w:r>
      <w:r>
        <w:rPr>
          <w:rFonts w:hint="eastAsia" w:ascii="宋体" w:hAnsi="宋体" w:eastAsia="宋体" w:cs="宋体"/>
          <w:color w:val="auto"/>
          <w:szCs w:val="21"/>
          <w:highlight w:val="none"/>
          <w:lang w:val="en-US" w:eastAsia="zh-CN"/>
        </w:rPr>
        <w:t>第三条和第十一条</w:t>
      </w:r>
      <w:r>
        <w:rPr>
          <w:rFonts w:hint="eastAsia" w:ascii="宋体" w:hAnsi="宋体" w:eastAsia="宋体" w:cs="宋体"/>
          <w:color w:val="auto"/>
          <w:szCs w:val="21"/>
          <w:highlight w:val="none"/>
        </w:rPr>
        <w:t>内容进行评审）</w:t>
      </w:r>
    </w:p>
    <w:p w14:paraId="3EA014CC">
      <w:pPr>
        <w:widowControl/>
        <w:shd w:val="clear" w:color="auto" w:fill="FFFFFF"/>
        <w:tabs>
          <w:tab w:val="center" w:pos="4415"/>
        </w:tabs>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3.10</w:t>
      </w: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（含联合体各方）</w:t>
      </w:r>
      <w:r>
        <w:rPr>
          <w:rFonts w:hint="eastAsia" w:ascii="宋体" w:hAnsi="宋体" w:eastAsia="宋体" w:cs="宋体"/>
          <w:color w:val="auto"/>
          <w:kern w:val="0"/>
          <w:szCs w:val="21"/>
          <w:highlight w:val="none"/>
        </w:rPr>
        <w:t>未出现以下情形：</w:t>
      </w:r>
      <w:r>
        <w:rPr>
          <w:rFonts w:hint="eastAsia" w:ascii="宋体" w:hAnsi="宋体" w:eastAsia="宋体" w:cs="宋体"/>
          <w:color w:val="auto"/>
          <w:kern w:val="0"/>
          <w:szCs w:val="21"/>
          <w:highlight w:val="none"/>
          <w:u w:val="single"/>
        </w:rPr>
        <w:t>与其它投标人的单位负责人为同一人或者存在控股、管理关系的（按投标人提供的《投标人声明》</w:t>
      </w:r>
      <w:r>
        <w:rPr>
          <w:rFonts w:hint="eastAsia" w:ascii="宋体" w:hAnsi="宋体" w:eastAsia="宋体" w:cs="宋体"/>
          <w:color w:val="auto"/>
          <w:kern w:val="0"/>
          <w:szCs w:val="21"/>
          <w:highlight w:val="none"/>
          <w:u w:val="single"/>
          <w:lang w:val="en-US" w:eastAsia="zh-CN"/>
        </w:rPr>
        <w:t>第八条</w:t>
      </w:r>
      <w:r>
        <w:rPr>
          <w:rFonts w:hint="eastAsia" w:ascii="宋体" w:hAnsi="宋体" w:eastAsia="宋体" w:cs="宋体"/>
          <w:color w:val="auto"/>
          <w:kern w:val="0"/>
          <w:szCs w:val="21"/>
          <w:highlight w:val="none"/>
          <w:u w:val="single"/>
        </w:rPr>
        <w:t>内容进行评审）。</w:t>
      </w:r>
      <w:r>
        <w:rPr>
          <w:rFonts w:hint="eastAsia" w:ascii="宋体" w:hAnsi="宋体" w:eastAsia="宋体" w:cs="宋体"/>
          <w:color w:val="auto"/>
          <w:szCs w:val="21"/>
          <w:highlight w:val="none"/>
          <w:u w:val="single"/>
        </w:rPr>
        <w:t>如不同投标申请人出现单位负责人为同一人或者存在控股、管理关系的情形，则均为无效投标。</w:t>
      </w:r>
    </w:p>
    <w:p w14:paraId="2B2D71B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3.11投标人</w:t>
      </w:r>
      <w:r>
        <w:rPr>
          <w:rFonts w:hint="eastAsia" w:ascii="宋体" w:hAnsi="宋体" w:eastAsia="宋体" w:cs="宋体"/>
          <w:color w:val="auto"/>
          <w:kern w:val="0"/>
          <w:szCs w:val="21"/>
          <w:highlight w:val="none"/>
          <w:u w:val="single"/>
        </w:rPr>
        <w:t>（含联合体各方）</w:t>
      </w:r>
      <w:r>
        <w:rPr>
          <w:rFonts w:hint="eastAsia" w:ascii="宋体" w:hAnsi="宋体" w:eastAsia="宋体" w:cs="宋体"/>
          <w:color w:val="auto"/>
          <w:szCs w:val="21"/>
          <w:highlight w:val="none"/>
        </w:rPr>
        <w:t>未被列入拖欠农民工工资失信联合惩戒对象名单和失信被执行人。</w:t>
      </w:r>
      <w:r>
        <w:rPr>
          <w:rFonts w:hint="eastAsia" w:ascii="宋体" w:hAnsi="宋体" w:eastAsia="宋体" w:cs="宋体"/>
          <w:color w:val="auto"/>
          <w:szCs w:val="21"/>
          <w:highlight w:val="none"/>
          <w:u w:val="single"/>
        </w:rPr>
        <w:t>（投标人无须提供资料，按交易系统比对的结果进行评审）</w:t>
      </w:r>
    </w:p>
    <w:p w14:paraId="6101D4AB">
      <w:pPr>
        <w:spacing w:line="360" w:lineRule="auto"/>
        <w:ind w:firstLine="426" w:firstLineChars="202"/>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注：未在招标公告“3.投标人资格要求”单列的资审合格条件，不作为资审不合格的依据。</w:t>
      </w:r>
    </w:p>
    <w:p w14:paraId="662F6999">
      <w:pPr>
        <w:pStyle w:val="3"/>
        <w:spacing w:line="360" w:lineRule="auto"/>
        <w:rPr>
          <w:rFonts w:hint="eastAsia" w:ascii="宋体" w:hAnsi="宋体" w:eastAsia="宋体" w:cs="宋体"/>
          <w:color w:val="auto"/>
          <w:sz w:val="21"/>
          <w:szCs w:val="21"/>
          <w:highlight w:val="none"/>
        </w:rPr>
      </w:pPr>
      <w:bookmarkStart w:id="35" w:name="_Toc152045515"/>
      <w:bookmarkStart w:id="36" w:name="_Toc247513937"/>
      <w:bookmarkStart w:id="37" w:name="_Toc247527538"/>
      <w:bookmarkStart w:id="38" w:name="_Toc22868"/>
      <w:bookmarkStart w:id="39" w:name="_Toc8831"/>
      <w:bookmarkStart w:id="40" w:name="_Toc152042291"/>
      <w:bookmarkStart w:id="41" w:name="_Toc144974483"/>
      <w:r>
        <w:rPr>
          <w:rFonts w:hint="eastAsia" w:ascii="宋体" w:hAnsi="宋体" w:eastAsia="宋体" w:cs="宋体"/>
          <w:color w:val="auto"/>
          <w:sz w:val="21"/>
          <w:szCs w:val="21"/>
          <w:highlight w:val="none"/>
        </w:rPr>
        <w:t>4. 招标文件的获取</w:t>
      </w:r>
      <w:bookmarkEnd w:id="35"/>
      <w:bookmarkEnd w:id="36"/>
      <w:bookmarkEnd w:id="37"/>
      <w:bookmarkEnd w:id="38"/>
      <w:bookmarkEnd w:id="39"/>
      <w:bookmarkEnd w:id="40"/>
      <w:bookmarkEnd w:id="41"/>
    </w:p>
    <w:p w14:paraId="1FC514A3">
      <w:pPr>
        <w:spacing w:line="360" w:lineRule="auto"/>
        <w:ind w:firstLine="426"/>
        <w:rPr>
          <w:rFonts w:hint="eastAsia" w:ascii="宋体" w:hAnsi="宋体" w:eastAsia="宋体" w:cs="宋体"/>
          <w:color w:val="auto"/>
          <w:szCs w:val="21"/>
          <w:highlight w:val="none"/>
        </w:rPr>
      </w:pPr>
      <w:bookmarkStart w:id="42" w:name="_Toc144974484"/>
      <w:bookmarkStart w:id="43" w:name="_Toc247527539"/>
      <w:bookmarkStart w:id="44" w:name="_Toc247513938"/>
      <w:bookmarkStart w:id="45" w:name="_Toc152045516"/>
      <w:bookmarkStart w:id="46" w:name="_Toc152042292"/>
      <w:bookmarkStart w:id="47" w:name="_Toc25682"/>
      <w:r>
        <w:rPr>
          <w:rFonts w:hint="eastAsia" w:ascii="宋体" w:hAnsi="宋体" w:eastAsia="宋体" w:cs="宋体"/>
          <w:color w:val="auto"/>
          <w:szCs w:val="21"/>
          <w:highlight w:val="none"/>
        </w:rPr>
        <w:t xml:space="preserve">4.1凡有意参加投标者，请于 </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rPr>
        <w:t xml:space="preserve">  月  日   时  分至</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rPr>
        <w:t xml:space="preserve">  月  日  时  分</w:t>
      </w:r>
      <w:r>
        <w:rPr>
          <w:rFonts w:hint="eastAsia" w:ascii="宋体" w:hAnsi="宋体" w:eastAsia="宋体" w:cs="宋体"/>
          <w:color w:val="auto"/>
          <w:szCs w:val="21"/>
          <w:highlight w:val="none"/>
        </w:rPr>
        <w:t>（北京时间，下同），登录：广州交易集团有限公司（广州公共资源交易中心）网站（网址：http://www.gzggzy.cn/）下载电子招标文件。</w:t>
      </w:r>
    </w:p>
    <w:p w14:paraId="5937C414">
      <w:pPr>
        <w:spacing w:line="360" w:lineRule="auto"/>
        <w:ind w:firstLine="42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注：本项目招标文件随招标公告一并在广州交易集团有限公司（广州公共资源交易中心）网站发布。招标文件一经在广州公共资源交易中心发布，视为送达给投标人。</w:t>
      </w:r>
    </w:p>
    <w:p w14:paraId="07F67F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4.2本项目采用</w:t>
      </w:r>
      <w:r>
        <w:rPr>
          <w:rFonts w:hint="eastAsia" w:ascii="宋体" w:hAnsi="宋体" w:eastAsia="宋体" w:cs="宋体"/>
          <w:color w:val="auto"/>
          <w:szCs w:val="21"/>
          <w:highlight w:val="none"/>
          <w:u w:val="single"/>
        </w:rPr>
        <w:t>资格后审</w:t>
      </w:r>
      <w:r>
        <w:rPr>
          <w:rFonts w:hint="eastAsia" w:ascii="宋体" w:hAnsi="宋体" w:eastAsia="宋体" w:cs="宋体"/>
          <w:color w:val="auto"/>
          <w:szCs w:val="21"/>
          <w:highlight w:val="none"/>
        </w:rPr>
        <w:t>方式。</w:t>
      </w:r>
    </w:p>
    <w:p w14:paraId="22BABB54">
      <w:pPr>
        <w:tabs>
          <w:tab w:val="left" w:pos="7513"/>
        </w:tabs>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注：电子招投标操作流程详见广州交易集团有限公司（广州公共资源交易中心）网站发布的最新版操作指引。</w:t>
      </w:r>
    </w:p>
    <w:p w14:paraId="54AD99C9">
      <w:pPr>
        <w:pStyle w:val="3"/>
        <w:spacing w:line="360" w:lineRule="auto"/>
        <w:rPr>
          <w:rFonts w:hint="eastAsia" w:ascii="宋体" w:hAnsi="宋体" w:eastAsia="宋体" w:cs="宋体"/>
          <w:color w:val="auto"/>
          <w:sz w:val="21"/>
          <w:szCs w:val="21"/>
          <w:highlight w:val="none"/>
        </w:rPr>
      </w:pPr>
      <w:bookmarkStart w:id="48" w:name="_Toc4470"/>
      <w:r>
        <w:rPr>
          <w:rFonts w:hint="eastAsia" w:ascii="宋体" w:hAnsi="宋体" w:eastAsia="宋体" w:cs="宋体"/>
          <w:color w:val="auto"/>
          <w:sz w:val="21"/>
          <w:szCs w:val="21"/>
          <w:highlight w:val="none"/>
        </w:rPr>
        <w:t>5. 投标文件的递交</w:t>
      </w:r>
      <w:bookmarkEnd w:id="42"/>
      <w:bookmarkEnd w:id="43"/>
      <w:bookmarkEnd w:id="44"/>
      <w:bookmarkEnd w:id="45"/>
      <w:bookmarkEnd w:id="46"/>
      <w:bookmarkEnd w:id="47"/>
      <w:bookmarkEnd w:id="48"/>
    </w:p>
    <w:p w14:paraId="3A60047F">
      <w:pPr>
        <w:spacing w:line="360" w:lineRule="auto"/>
        <w:ind w:firstLine="426"/>
        <w:rPr>
          <w:rFonts w:hint="eastAsia" w:ascii="宋体" w:hAnsi="宋体" w:eastAsia="宋体" w:cs="宋体"/>
          <w:color w:val="auto"/>
          <w:szCs w:val="21"/>
          <w:highlight w:val="none"/>
          <w:u w:val="single"/>
        </w:rPr>
      </w:pPr>
      <w:bookmarkStart w:id="49" w:name="_Toc247527540"/>
      <w:bookmarkStart w:id="50" w:name="_Toc247513939"/>
      <w:bookmarkStart w:id="51" w:name="_Toc157499355"/>
      <w:bookmarkStart w:id="52" w:name="_Toc6035"/>
      <w:r>
        <w:rPr>
          <w:rFonts w:hint="eastAsia" w:ascii="宋体" w:hAnsi="宋体" w:eastAsia="宋体" w:cs="宋体"/>
          <w:color w:val="auto"/>
          <w:kern w:val="0"/>
          <w:szCs w:val="21"/>
          <w:highlight w:val="none"/>
          <w:shd w:val="clear" w:color="auto" w:fill="FFFFFF"/>
          <w:lang w:bidi="ar"/>
        </w:rPr>
        <w:t>5.1</w:t>
      </w:r>
      <w:r>
        <w:rPr>
          <w:rFonts w:hint="eastAsia" w:ascii="宋体" w:hAnsi="宋体" w:eastAsia="宋体" w:cs="宋体"/>
          <w:color w:val="auto"/>
          <w:szCs w:val="21"/>
          <w:highlight w:val="none"/>
        </w:rPr>
        <w:t>发布招标公告开始日期（含本日）为：</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rPr>
        <w:t xml:space="preserve">  月  日  时  分</w:t>
      </w:r>
      <w:r>
        <w:rPr>
          <w:rFonts w:hint="eastAsia" w:ascii="宋体" w:hAnsi="宋体" w:eastAsia="宋体" w:cs="宋体"/>
          <w:color w:val="auto"/>
          <w:szCs w:val="21"/>
          <w:highlight w:val="none"/>
        </w:rPr>
        <w:t>。</w:t>
      </w:r>
    </w:p>
    <w:p w14:paraId="3FF57040">
      <w:pPr>
        <w:spacing w:line="360" w:lineRule="auto"/>
        <w:ind w:firstLine="42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发布招标公告截止日期（含本日）为：</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szCs w:val="21"/>
          <w:highlight w:val="none"/>
          <w:u w:val="single"/>
        </w:rPr>
        <w:t xml:space="preserve">  月  日  时  分</w:t>
      </w:r>
      <w:r>
        <w:rPr>
          <w:rFonts w:hint="eastAsia" w:ascii="宋体" w:hAnsi="宋体" w:eastAsia="宋体" w:cs="宋体"/>
          <w:color w:val="auto"/>
          <w:szCs w:val="21"/>
          <w:highlight w:val="none"/>
        </w:rPr>
        <w:t>。</w:t>
      </w:r>
    </w:p>
    <w:p w14:paraId="09158011">
      <w:pPr>
        <w:spacing w:line="360" w:lineRule="auto"/>
        <w:ind w:firstLine="426"/>
        <w:rPr>
          <w:rFonts w:hint="eastAsia" w:ascii="宋体" w:hAnsi="宋体" w:eastAsia="宋体" w:cs="宋体"/>
          <w:color w:val="auto"/>
          <w:kern w:val="0"/>
          <w:szCs w:val="21"/>
          <w:highlight w:val="none"/>
          <w:u w:val="single"/>
          <w:shd w:val="clear" w:color="auto" w:fill="FFFFFF"/>
          <w:lang w:bidi="ar"/>
        </w:rPr>
      </w:pPr>
      <w:r>
        <w:rPr>
          <w:rFonts w:hint="eastAsia" w:ascii="宋体" w:hAnsi="宋体" w:eastAsia="宋体" w:cs="宋体"/>
          <w:color w:val="auto"/>
          <w:kern w:val="0"/>
          <w:szCs w:val="21"/>
          <w:highlight w:val="none"/>
          <w:u w:val="single"/>
          <w:shd w:val="clear" w:color="auto" w:fill="FFFFFF"/>
          <w:lang w:bidi="ar"/>
        </w:rPr>
        <w:t>注：发布招标公告的时间为招标公告发出之日起至递交投标文件截止时间止。招标公告发布之日起计算编制投标文件时间，编制投标文件的时间不得少于20天。如招标人需发布补充公告的，以最后发布的补充公告的时间起计算编制投标文件时间，并需在招标答疑中明确说明。</w:t>
      </w:r>
    </w:p>
    <w:p w14:paraId="11ED72F9">
      <w:pPr>
        <w:spacing w:line="360" w:lineRule="auto"/>
        <w:ind w:firstLine="365" w:firstLineChars="174"/>
        <w:rPr>
          <w:rFonts w:hint="eastAsia" w:ascii="宋体" w:hAnsi="宋体" w:eastAsia="宋体" w:cs="宋体"/>
          <w:color w:val="auto"/>
          <w:szCs w:val="21"/>
          <w:highlight w:val="none"/>
          <w:u w:val="single"/>
          <w:shd w:val="clear" w:color="auto" w:fill="FFFFFF"/>
        </w:rPr>
      </w:pPr>
      <w:r>
        <w:rPr>
          <w:rFonts w:hint="eastAsia" w:ascii="宋体" w:hAnsi="宋体" w:eastAsia="宋体" w:cs="宋体"/>
          <w:color w:val="auto"/>
          <w:kern w:val="0"/>
          <w:szCs w:val="21"/>
          <w:highlight w:val="none"/>
          <w:shd w:val="clear" w:color="auto" w:fill="FFFFFF"/>
          <w:lang w:bidi="ar"/>
        </w:rPr>
        <w:t>5.2</w:t>
      </w:r>
      <w:r>
        <w:rPr>
          <w:rFonts w:hint="eastAsia" w:ascii="宋体" w:hAnsi="宋体" w:eastAsia="宋体" w:cs="宋体"/>
          <w:color w:val="auto"/>
          <w:spacing w:val="4"/>
          <w:kern w:val="0"/>
          <w:szCs w:val="21"/>
          <w:highlight w:val="none"/>
          <w:shd w:val="clear" w:color="auto" w:fill="FFFFFF"/>
          <w:lang w:bidi="ar"/>
        </w:rPr>
        <w:t>投标人通过</w:t>
      </w:r>
      <w:r>
        <w:rPr>
          <w:rFonts w:hint="eastAsia" w:ascii="宋体" w:hAnsi="宋体" w:eastAsia="宋体" w:cs="宋体"/>
          <w:color w:val="auto"/>
          <w:szCs w:val="21"/>
          <w:highlight w:val="none"/>
        </w:rPr>
        <w:t>广州交易集团有限公司（广州公共资源交易中心）</w:t>
      </w:r>
      <w:r>
        <w:rPr>
          <w:rFonts w:hint="eastAsia" w:ascii="宋体" w:hAnsi="宋体" w:eastAsia="宋体" w:cs="宋体"/>
          <w:color w:val="auto"/>
          <w:spacing w:val="4"/>
          <w:kern w:val="0"/>
          <w:szCs w:val="21"/>
          <w:highlight w:val="none"/>
          <w:shd w:val="clear" w:color="auto" w:fill="FFFFFF"/>
          <w:lang w:bidi="ar"/>
        </w:rPr>
        <w:t>交易平台递交电子投标文件。投标人应在递交电子投标文件截止时间前，登陆</w:t>
      </w:r>
      <w:r>
        <w:rPr>
          <w:rFonts w:hint="eastAsia" w:ascii="宋体" w:hAnsi="宋体" w:eastAsia="宋体" w:cs="宋体"/>
          <w:color w:val="auto"/>
          <w:szCs w:val="21"/>
          <w:highlight w:val="none"/>
        </w:rPr>
        <w:t>广州交易集团有限公司（广州公共资源交易中心）</w:t>
      </w:r>
      <w:r>
        <w:rPr>
          <w:rFonts w:hint="eastAsia" w:ascii="宋体" w:hAnsi="宋体" w:eastAsia="宋体" w:cs="宋体"/>
          <w:color w:val="auto"/>
          <w:spacing w:val="4"/>
          <w:kern w:val="0"/>
          <w:szCs w:val="21"/>
          <w:highlight w:val="none"/>
          <w:shd w:val="clear" w:color="auto" w:fill="FFFFFF"/>
          <w:lang w:bidi="ar"/>
        </w:rPr>
        <w:t>交易平台网站办理网上投标登记手续。按照交易平台关于全流程电子化项目的相关指南进行操作。详见</w:t>
      </w:r>
      <w:r>
        <w:rPr>
          <w:rFonts w:hint="eastAsia" w:ascii="宋体" w:hAnsi="宋体" w:eastAsia="宋体" w:cs="宋体"/>
          <w:color w:val="auto"/>
          <w:spacing w:val="4"/>
          <w:kern w:val="0"/>
          <w:szCs w:val="21"/>
          <w:highlight w:val="none"/>
          <w:u w:val="single"/>
          <w:shd w:val="clear" w:color="auto" w:fill="FFFFFF"/>
          <w:lang w:bidi="ar"/>
        </w:rPr>
        <w:t>广州交易集团有限公司（广州公共资源交易中心）网站（网址：http://www.gzggzy.cn/）。</w:t>
      </w:r>
    </w:p>
    <w:p w14:paraId="09F01BDD">
      <w:pPr>
        <w:spacing w:line="360" w:lineRule="auto"/>
        <w:ind w:firstLine="367" w:firstLineChars="175"/>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5.3递交电子投标文件备用光盘或u盘时间：</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月</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日</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时</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分至</w:t>
      </w:r>
      <w:r>
        <w:rPr>
          <w:rFonts w:hint="eastAsia" w:ascii="宋体" w:hAnsi="宋体" w:eastAsia="宋体" w:cs="宋体"/>
          <w:color w:val="auto"/>
          <w:szCs w:val="21"/>
          <w:highlight w:val="none"/>
          <w:u w:val="single"/>
          <w:lang w:eastAsia="zh-CN"/>
        </w:rPr>
        <w:t>2025年</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月</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日</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时</w:t>
      </w:r>
      <w:r>
        <w:rPr>
          <w:rFonts w:hint="eastAsia" w:ascii="宋体" w:hAnsi="宋体" w:eastAsia="宋体" w:cs="宋体"/>
          <w:color w:val="auto"/>
          <w:kern w:val="0"/>
          <w:szCs w:val="21"/>
          <w:highlight w:val="none"/>
          <w:u w:val="single"/>
          <w:shd w:val="clear" w:color="auto" w:fill="FFFFFF"/>
          <w:lang w:bidi="ar"/>
        </w:rPr>
        <w:t xml:space="preserve">  </w:t>
      </w:r>
      <w:r>
        <w:rPr>
          <w:rFonts w:hint="eastAsia" w:ascii="宋体" w:hAnsi="宋体" w:eastAsia="宋体" w:cs="宋体"/>
          <w:color w:val="auto"/>
          <w:kern w:val="0"/>
          <w:szCs w:val="21"/>
          <w:highlight w:val="none"/>
          <w:shd w:val="clear" w:color="auto" w:fill="FFFFFF"/>
          <w:lang w:bidi="ar"/>
        </w:rPr>
        <w:t>分，递交地点：</w:t>
      </w:r>
      <w:r>
        <w:rPr>
          <w:rFonts w:hint="eastAsia" w:ascii="宋体" w:hAnsi="宋体" w:eastAsia="宋体" w:cs="宋体"/>
          <w:color w:val="auto"/>
          <w:kern w:val="0"/>
          <w:szCs w:val="21"/>
          <w:highlight w:val="none"/>
          <w:u w:val="single"/>
          <w:shd w:val="clear" w:color="auto" w:fill="FFFFFF"/>
          <w:lang w:bidi="ar"/>
        </w:rPr>
        <w:t>广州公共资源交易中心花都交易部（广州市花都区玫瑰路10号滨晖大厦）</w:t>
      </w:r>
      <w:r>
        <w:rPr>
          <w:rFonts w:hint="eastAsia" w:ascii="宋体" w:hAnsi="宋体" w:eastAsia="宋体" w:cs="宋体"/>
          <w:color w:val="auto"/>
          <w:kern w:val="0"/>
          <w:szCs w:val="21"/>
          <w:highlight w:val="none"/>
          <w:shd w:val="clear" w:color="auto" w:fill="FFFFFF"/>
          <w:lang w:bidi="ar"/>
        </w:rPr>
        <w:t>。电子光盘或u盘需按规定封装。投标人在将数据刻录到光盘或u盘之后，投标前自行检查文件是否可以读取。投标人也可不递交。</w:t>
      </w:r>
    </w:p>
    <w:p w14:paraId="33578A7D">
      <w:pPr>
        <w:spacing w:line="360" w:lineRule="auto"/>
        <w:ind w:firstLine="470" w:firstLineChars="224"/>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5.4开标时间：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eastAsia="宋体" w:cs="宋体"/>
          <w:color w:val="auto"/>
          <w:kern w:val="0"/>
          <w:szCs w:val="21"/>
          <w:highlight w:val="none"/>
          <w:shd w:val="clear" w:color="auto" w:fill="FFFFFF"/>
          <w:lang w:bidi="ar"/>
        </w:rPr>
        <w:t>，地点：</w:t>
      </w:r>
      <w:r>
        <w:rPr>
          <w:rFonts w:hint="eastAsia" w:ascii="宋体" w:hAnsi="宋体" w:eastAsia="宋体" w:cs="宋体"/>
          <w:color w:val="auto"/>
          <w:kern w:val="0"/>
          <w:szCs w:val="21"/>
          <w:highlight w:val="none"/>
          <w:u w:val="single"/>
          <w:shd w:val="clear" w:color="auto" w:fill="FFFFFF"/>
          <w:lang w:bidi="ar"/>
        </w:rPr>
        <w:t>广州公共资源交易中心花都交易部（广州市花都区玫瑰路10号滨晖大厦）</w:t>
      </w:r>
      <w:r>
        <w:rPr>
          <w:rFonts w:hint="eastAsia" w:ascii="宋体" w:hAnsi="宋体" w:eastAsia="宋体" w:cs="宋体"/>
          <w:color w:val="auto"/>
          <w:kern w:val="0"/>
          <w:szCs w:val="21"/>
          <w:highlight w:val="none"/>
          <w:shd w:val="clear" w:color="auto" w:fill="FFFFFF"/>
          <w:lang w:bidi="ar"/>
        </w:rPr>
        <w:t>。</w:t>
      </w:r>
    </w:p>
    <w:p w14:paraId="03F0D8EC">
      <w:pPr>
        <w:spacing w:line="360" w:lineRule="auto"/>
        <w:ind w:firstLine="470" w:firstLineChars="224"/>
        <w:rPr>
          <w:rFonts w:hint="eastAsia"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shd w:val="clear" w:color="auto" w:fill="FFFFFF"/>
          <w:lang w:bidi="ar"/>
        </w:rPr>
        <w:t>5.5 递交投标文件截止时间及开标时间是否有变化，请密切留意广州交易集团有限公司（广州公共资源交易中心）网站的相关信息。</w:t>
      </w:r>
      <w:r>
        <w:rPr>
          <w:rFonts w:hint="eastAsia" w:ascii="宋体" w:hAnsi="宋体" w:eastAsia="宋体" w:cs="宋体"/>
          <w:color w:val="auto"/>
          <w:kern w:val="0"/>
          <w:szCs w:val="21"/>
          <w:highlight w:val="none"/>
          <w:u w:val="single"/>
          <w:shd w:val="clear" w:color="auto" w:fill="FFFFFF"/>
          <w:lang w:bidi="ar"/>
        </w:rPr>
        <w:t>本项目具体的招投标活动日程安排及场地安排以</w:t>
      </w:r>
      <w:r>
        <w:rPr>
          <w:rFonts w:hint="eastAsia" w:ascii="宋体" w:hAnsi="宋体" w:eastAsia="宋体" w:cs="宋体"/>
          <w:color w:val="auto"/>
          <w:spacing w:val="4"/>
          <w:kern w:val="0"/>
          <w:szCs w:val="21"/>
          <w:highlight w:val="none"/>
          <w:u w:val="single"/>
          <w:shd w:val="clear" w:color="auto" w:fill="FFFFFF"/>
          <w:lang w:bidi="ar"/>
        </w:rPr>
        <w:t>广州交易集团有限公司（广州公共资源交易中心）</w:t>
      </w:r>
      <w:r>
        <w:rPr>
          <w:rFonts w:hint="eastAsia" w:ascii="宋体" w:hAnsi="宋体" w:eastAsia="宋体" w:cs="宋体"/>
          <w:color w:val="auto"/>
          <w:kern w:val="0"/>
          <w:szCs w:val="21"/>
          <w:highlight w:val="none"/>
          <w:u w:val="single"/>
          <w:shd w:val="clear" w:color="auto" w:fill="FFFFFF"/>
          <w:lang w:bidi="ar"/>
        </w:rPr>
        <w:t>网站中“建设工程”→“项目查询（日程安排、答疑纪要）”公布的为准。</w:t>
      </w:r>
    </w:p>
    <w:p w14:paraId="1C4EFB51">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shd w:val="clear" w:color="auto" w:fill="FFFFFF"/>
          <w:lang w:bidi="ar"/>
        </w:rPr>
        <w:t>5.6逾期送达的投标文件，电子招标投标交易平台将予以拒收。</w:t>
      </w:r>
      <w:bookmarkStart w:id="53" w:name="_Toc515033015"/>
      <w:bookmarkEnd w:id="53"/>
    </w:p>
    <w:p w14:paraId="24A4BAD8">
      <w:pPr>
        <w:pStyle w:val="3"/>
        <w:spacing w:line="360" w:lineRule="auto"/>
        <w:rPr>
          <w:rFonts w:hint="eastAsia" w:ascii="宋体" w:hAnsi="宋体" w:eastAsia="宋体" w:cs="宋体"/>
          <w:color w:val="auto"/>
          <w:sz w:val="21"/>
          <w:szCs w:val="21"/>
          <w:highlight w:val="none"/>
        </w:rPr>
      </w:pPr>
      <w:bookmarkStart w:id="54" w:name="_Toc11628"/>
      <w:r>
        <w:rPr>
          <w:rFonts w:hint="eastAsia" w:ascii="宋体" w:hAnsi="宋体" w:eastAsia="宋体" w:cs="宋体"/>
          <w:color w:val="auto"/>
          <w:sz w:val="21"/>
          <w:szCs w:val="21"/>
          <w:highlight w:val="none"/>
        </w:rPr>
        <w:t>6. 发布公告的媒介</w:t>
      </w:r>
      <w:bookmarkEnd w:id="49"/>
      <w:bookmarkEnd w:id="50"/>
      <w:bookmarkEnd w:id="51"/>
      <w:bookmarkEnd w:id="52"/>
      <w:bookmarkEnd w:id="54"/>
    </w:p>
    <w:p w14:paraId="7C8052F8">
      <w:pPr>
        <w:widowControl/>
        <w:shd w:val="clear" w:color="auto" w:fill="FFFFFF"/>
        <w:wordWrap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本次招标公告同时在</w:t>
      </w:r>
      <w:r>
        <w:rPr>
          <w:rFonts w:hint="eastAsia" w:ascii="宋体" w:hAnsi="宋体" w:eastAsia="宋体" w:cs="宋体"/>
          <w:color w:val="auto"/>
          <w:szCs w:val="21"/>
          <w:highlight w:val="none"/>
          <w:u w:val="single"/>
        </w:rPr>
        <w:t>广州交易集团有限公司（广州公共资源交易中心）网站（网址：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"http://www.gzggzy.cn/" </w:instrText>
      </w:r>
      <w:r>
        <w:rPr>
          <w:rFonts w:hint="eastAsia" w:ascii="宋体" w:hAnsi="宋体" w:eastAsia="宋体" w:cs="宋体"/>
          <w:color w:val="auto"/>
          <w:highlight w:val="none"/>
        </w:rPr>
        <w:fldChar w:fldCharType="separate"/>
      </w:r>
      <w:r>
        <w:rPr>
          <w:rStyle w:val="45"/>
          <w:rFonts w:hint="eastAsia" w:ascii="宋体" w:hAnsi="宋体" w:eastAsia="宋体" w:cs="宋体"/>
          <w:color w:val="auto"/>
          <w:spacing w:val="4"/>
          <w:kern w:val="0"/>
          <w:szCs w:val="21"/>
          <w:highlight w:val="none"/>
          <w:shd w:val="clear" w:color="auto" w:fill="FFFFFF"/>
          <w:lang w:bidi="ar"/>
        </w:rPr>
        <w:t>http://www.gzggzy.cn/</w:t>
      </w:r>
      <w:r>
        <w:rPr>
          <w:rStyle w:val="45"/>
          <w:rFonts w:hint="eastAsia" w:ascii="宋体" w:hAnsi="宋体" w:eastAsia="宋体" w:cs="宋体"/>
          <w:color w:val="auto"/>
          <w:spacing w:val="4"/>
          <w:kern w:val="0"/>
          <w:szCs w:val="21"/>
          <w:highlight w:val="none"/>
          <w:shd w:val="clear" w:color="auto" w:fill="FFFFFF"/>
          <w:lang w:bidi="ar"/>
        </w:rPr>
        <w:fldChar w:fldCharType="end"/>
      </w:r>
      <w:r>
        <w:rPr>
          <w:rFonts w:hint="eastAsia" w:ascii="宋体" w:hAnsi="宋体" w:eastAsia="宋体" w:cs="宋体"/>
          <w:color w:val="auto"/>
          <w:spacing w:val="4"/>
          <w:kern w:val="0"/>
          <w:szCs w:val="21"/>
          <w:highlight w:val="none"/>
          <w:u w:val="single"/>
          <w:shd w:val="clear" w:color="auto" w:fill="FFFFFF"/>
          <w:lang w:bidi="ar"/>
        </w:rPr>
        <w:t>）</w:t>
      </w:r>
      <w:r>
        <w:rPr>
          <w:rFonts w:hint="eastAsia" w:ascii="宋体" w:hAnsi="宋体" w:eastAsia="宋体" w:cs="宋体"/>
          <w:color w:val="auto"/>
          <w:szCs w:val="21"/>
          <w:highlight w:val="none"/>
          <w:u w:val="single"/>
        </w:rPr>
        <w:t>、广东省招标投标监管网站（网址：https://zbtb.gd.gov.cn/）和中国招标投标公共服务平台（网址：http://www.cebpubservice.com/）等法定媒体上发布，本公告的修改、补充在广州交易集团有限公司（广州公共资源交易中心）网站、广东省招标投标监管网站发布。</w:t>
      </w:r>
    </w:p>
    <w:p w14:paraId="75A7ECBC">
      <w:pPr>
        <w:pStyle w:val="3"/>
        <w:spacing w:line="360" w:lineRule="auto"/>
        <w:rPr>
          <w:rFonts w:hint="eastAsia" w:ascii="宋体" w:hAnsi="宋体" w:eastAsia="宋体" w:cs="宋体"/>
          <w:color w:val="auto"/>
          <w:sz w:val="21"/>
          <w:szCs w:val="21"/>
          <w:highlight w:val="none"/>
        </w:rPr>
      </w:pPr>
      <w:bookmarkStart w:id="55" w:name="_Toc21165"/>
      <w:r>
        <w:rPr>
          <w:rFonts w:hint="eastAsia" w:ascii="宋体" w:hAnsi="宋体" w:eastAsia="宋体" w:cs="宋体"/>
          <w:color w:val="auto"/>
          <w:sz w:val="21"/>
          <w:szCs w:val="21"/>
          <w:highlight w:val="none"/>
        </w:rPr>
        <w:t>7. 联系方式</w:t>
      </w:r>
      <w:bookmarkEnd w:id="55"/>
    </w:p>
    <w:p w14:paraId="0F9FEF30">
      <w:pPr>
        <w:pStyle w:val="99"/>
        <w:widowControl/>
        <w:ind w:firstLine="424" w:firstLineChars="202"/>
        <w:rPr>
          <w:rFonts w:hint="eastAsia" w:ascii="宋体" w:hAnsi="宋体" w:eastAsia="宋体" w:cs="宋体"/>
          <w:color w:val="auto"/>
          <w:kern w:val="2"/>
          <w:sz w:val="21"/>
          <w:szCs w:val="21"/>
          <w:highlight w:val="none"/>
          <w:u w:val="single"/>
          <w:lang w:eastAsia="zh-CN"/>
        </w:rPr>
      </w:pPr>
      <w:r>
        <w:rPr>
          <w:rFonts w:hint="eastAsia" w:ascii="宋体" w:hAnsi="宋体" w:eastAsia="宋体" w:cs="宋体"/>
          <w:color w:val="auto"/>
          <w:kern w:val="2"/>
          <w:sz w:val="21"/>
          <w:szCs w:val="21"/>
          <w:highlight w:val="none"/>
        </w:rPr>
        <w:t>招 标 人：</w:t>
      </w:r>
      <w:r>
        <w:rPr>
          <w:rFonts w:hint="eastAsia" w:ascii="宋体" w:hAnsi="宋体" w:eastAsia="宋体" w:cs="宋体"/>
          <w:color w:val="auto"/>
          <w:kern w:val="2"/>
          <w:sz w:val="21"/>
          <w:szCs w:val="21"/>
          <w:highlight w:val="none"/>
          <w:u w:val="single"/>
          <w:lang w:eastAsia="zh-CN"/>
        </w:rPr>
        <w:t>广州市花都区狮岭镇人民政府</w:t>
      </w:r>
    </w:p>
    <w:p w14:paraId="0FB45D65">
      <w:pPr>
        <w:pStyle w:val="99"/>
        <w:widowControl/>
        <w:ind w:firstLine="424" w:firstLineChars="202"/>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lang w:eastAsia="zh-CN"/>
        </w:rPr>
        <w:t>广州市花都区狮岭镇东升中路83号</w:t>
      </w:r>
    </w:p>
    <w:p w14:paraId="420F8910">
      <w:pPr>
        <w:pStyle w:val="99"/>
        <w:widowControl/>
        <w:ind w:firstLine="424" w:firstLineChars="202"/>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联 系 人：</w:t>
      </w:r>
      <w:r>
        <w:rPr>
          <w:rFonts w:hint="eastAsia" w:ascii="宋体" w:hAnsi="宋体" w:eastAsia="宋体" w:cs="宋体"/>
          <w:color w:val="auto"/>
          <w:kern w:val="2"/>
          <w:sz w:val="21"/>
          <w:szCs w:val="21"/>
          <w:highlight w:val="none"/>
          <w:u w:val="single"/>
          <w:lang w:val="en-US" w:eastAsia="zh-CN"/>
        </w:rPr>
        <w:t>邱工</w:t>
      </w:r>
      <w:r>
        <w:rPr>
          <w:rFonts w:hint="eastAsia" w:ascii="宋体" w:hAnsi="宋体" w:eastAsia="宋体" w:cs="宋体"/>
          <w:color w:val="auto"/>
          <w:kern w:val="2"/>
          <w:sz w:val="21"/>
          <w:szCs w:val="21"/>
          <w:highlight w:val="none"/>
        </w:rPr>
        <w:t xml:space="preserve">   电话：</w:t>
      </w:r>
      <w:r>
        <w:rPr>
          <w:rFonts w:hint="eastAsia" w:ascii="宋体" w:hAnsi="宋体" w:eastAsia="宋体" w:cs="宋体"/>
          <w:color w:val="auto"/>
          <w:kern w:val="2"/>
          <w:sz w:val="21"/>
          <w:szCs w:val="21"/>
          <w:highlight w:val="none"/>
          <w:u w:val="single"/>
          <w:lang w:val="en-US" w:eastAsia="zh-CN"/>
        </w:rPr>
        <w:t>020-86845403</w:t>
      </w:r>
    </w:p>
    <w:p w14:paraId="2FCA5815">
      <w:pPr>
        <w:pStyle w:val="99"/>
        <w:widowControl/>
        <w:ind w:firstLine="424" w:firstLineChars="202"/>
        <w:rPr>
          <w:rFonts w:hint="eastAsia" w:ascii="宋体" w:hAnsi="宋体" w:eastAsia="宋体" w:cs="宋体"/>
          <w:color w:val="auto"/>
          <w:sz w:val="21"/>
          <w:szCs w:val="21"/>
          <w:highlight w:val="none"/>
        </w:rPr>
      </w:pPr>
    </w:p>
    <w:p w14:paraId="447BB343">
      <w:pPr>
        <w:pStyle w:val="99"/>
        <w:widowControl/>
        <w:ind w:firstLine="424" w:firstLineChars="2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招标代理机构：</w:t>
      </w:r>
      <w:r>
        <w:rPr>
          <w:rFonts w:hint="eastAsia" w:ascii="宋体" w:hAnsi="宋体" w:eastAsia="宋体" w:cs="宋体"/>
          <w:color w:val="auto"/>
          <w:kern w:val="2"/>
          <w:sz w:val="21"/>
          <w:szCs w:val="21"/>
          <w:highlight w:val="none"/>
          <w:u w:val="single"/>
          <w:lang w:eastAsia="zh-CN"/>
        </w:rPr>
        <w:t>广东</w:t>
      </w:r>
      <w:r>
        <w:rPr>
          <w:rFonts w:hint="eastAsia" w:ascii="宋体" w:hAnsi="宋体" w:eastAsia="宋体" w:cs="宋体"/>
          <w:color w:val="auto"/>
          <w:kern w:val="2"/>
          <w:sz w:val="21"/>
          <w:szCs w:val="21"/>
          <w:highlight w:val="none"/>
          <w:u w:val="single"/>
          <w:lang w:val="en-US" w:eastAsia="zh-CN"/>
        </w:rPr>
        <w:t>粤信项目管理</w:t>
      </w:r>
      <w:r>
        <w:rPr>
          <w:rFonts w:hint="eastAsia" w:ascii="宋体" w:hAnsi="宋体" w:eastAsia="宋体" w:cs="宋体"/>
          <w:color w:val="auto"/>
          <w:kern w:val="2"/>
          <w:sz w:val="21"/>
          <w:szCs w:val="21"/>
          <w:highlight w:val="none"/>
          <w:u w:val="single"/>
          <w:lang w:eastAsia="zh-CN"/>
        </w:rPr>
        <w:t>有限公司</w:t>
      </w:r>
    </w:p>
    <w:p w14:paraId="49D85D15">
      <w:pPr>
        <w:pStyle w:val="99"/>
        <w:widowControl/>
        <w:ind w:firstLine="424" w:firstLineChars="202"/>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lang w:val="en-US" w:eastAsia="zh-CN"/>
        </w:rPr>
        <w:t>广东省广州市天河区广州市天河区天寿路31号1301室（部位：内自编05房）（仅限</w:t>
      </w:r>
    </w:p>
    <w:p w14:paraId="1A2E33EC">
      <w:pPr>
        <w:pStyle w:val="99"/>
        <w:widowControl/>
        <w:ind w:firstLine="1472" w:firstLineChars="701"/>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u w:val="single"/>
          <w:lang w:val="en-US" w:eastAsia="zh-CN"/>
        </w:rPr>
        <w:t>办公）</w:t>
      </w:r>
    </w:p>
    <w:p w14:paraId="1C974026">
      <w:pPr>
        <w:pStyle w:val="99"/>
        <w:widowControl/>
        <w:ind w:firstLine="424" w:firstLineChars="202"/>
        <w:rPr>
          <w:rFonts w:hint="default"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联 系 人：</w:t>
      </w:r>
      <w:r>
        <w:rPr>
          <w:rFonts w:hint="eastAsia" w:ascii="宋体" w:hAnsi="宋体" w:eastAsia="宋体" w:cs="宋体"/>
          <w:color w:val="auto"/>
          <w:kern w:val="2"/>
          <w:sz w:val="21"/>
          <w:szCs w:val="21"/>
          <w:highlight w:val="none"/>
          <w:u w:val="single"/>
          <w:lang w:val="en-US" w:eastAsia="zh-CN"/>
        </w:rPr>
        <w:t>张</w:t>
      </w:r>
      <w:r>
        <w:rPr>
          <w:rFonts w:hint="eastAsia" w:ascii="宋体" w:hAnsi="宋体" w:eastAsia="宋体" w:cs="宋体"/>
          <w:color w:val="auto"/>
          <w:kern w:val="2"/>
          <w:sz w:val="21"/>
          <w:szCs w:val="21"/>
          <w:highlight w:val="none"/>
          <w:u w:val="single"/>
        </w:rPr>
        <w:t>工</w:t>
      </w:r>
      <w:r>
        <w:rPr>
          <w:rFonts w:hint="eastAsia" w:ascii="宋体" w:hAnsi="宋体" w:eastAsia="宋体" w:cs="宋体"/>
          <w:color w:val="auto"/>
          <w:kern w:val="2"/>
          <w:sz w:val="21"/>
          <w:szCs w:val="21"/>
          <w:highlight w:val="none"/>
        </w:rPr>
        <w:t xml:space="preserve">   电话：</w:t>
      </w:r>
      <w:r>
        <w:rPr>
          <w:rFonts w:hint="eastAsia" w:ascii="宋体" w:hAnsi="宋体" w:eastAsia="宋体" w:cs="宋体"/>
          <w:color w:val="auto"/>
          <w:kern w:val="2"/>
          <w:sz w:val="21"/>
          <w:szCs w:val="21"/>
          <w:highlight w:val="none"/>
          <w:u w:val="single"/>
          <w:lang w:val="en-US" w:eastAsia="zh-CN"/>
        </w:rPr>
        <w:t>020-37209484-809、13824439930</w:t>
      </w:r>
    </w:p>
    <w:p w14:paraId="1D0C9F60">
      <w:pPr>
        <w:pStyle w:val="99"/>
        <w:widowControl/>
        <w:ind w:firstLine="424" w:firstLineChars="202"/>
        <w:rPr>
          <w:rFonts w:hint="eastAsia" w:ascii="宋体" w:hAnsi="宋体" w:eastAsia="宋体" w:cs="宋体"/>
          <w:color w:val="auto"/>
          <w:kern w:val="2"/>
          <w:sz w:val="21"/>
          <w:szCs w:val="21"/>
          <w:highlight w:val="none"/>
        </w:rPr>
      </w:pPr>
    </w:p>
    <w:p w14:paraId="10CB4E98">
      <w:pPr>
        <w:pStyle w:val="99"/>
        <w:widowControl/>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招标监督机构：</w:t>
      </w:r>
      <w:r>
        <w:rPr>
          <w:rFonts w:hint="eastAsia" w:ascii="宋体" w:hAnsi="宋体" w:eastAsia="宋体" w:cs="宋体"/>
          <w:color w:val="auto"/>
          <w:kern w:val="2"/>
          <w:sz w:val="21"/>
          <w:szCs w:val="21"/>
          <w:highlight w:val="none"/>
          <w:u w:val="single"/>
        </w:rPr>
        <w:t>广州市花都区建设工程招标和造价管理中心</w:t>
      </w:r>
    </w:p>
    <w:p w14:paraId="69C1C703">
      <w:pPr>
        <w:topLinePunct/>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监管电话：</w:t>
      </w:r>
      <w:r>
        <w:rPr>
          <w:rFonts w:hint="eastAsia" w:ascii="宋体" w:hAnsi="宋体" w:eastAsia="宋体" w:cs="宋体"/>
          <w:color w:val="auto"/>
          <w:szCs w:val="21"/>
          <w:highlight w:val="none"/>
          <w:u w:val="single"/>
        </w:rPr>
        <w:t>020-36897092</w:t>
      </w:r>
    </w:p>
    <w:p w14:paraId="2B6B8403">
      <w:pPr>
        <w:topLinePunct/>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广州市花都区公益路39号</w:t>
      </w:r>
    </w:p>
    <w:p w14:paraId="5D1E716D">
      <w:pPr>
        <w:pStyle w:val="99"/>
        <w:widowControl/>
        <w:ind w:firstLine="424" w:firstLineChars="202"/>
        <w:rPr>
          <w:rFonts w:hint="eastAsia" w:ascii="宋体" w:hAnsi="宋体" w:eastAsia="宋体" w:cs="宋体"/>
          <w:color w:val="auto"/>
          <w:kern w:val="2"/>
          <w:sz w:val="21"/>
          <w:szCs w:val="21"/>
          <w:highlight w:val="none"/>
        </w:rPr>
      </w:pPr>
    </w:p>
    <w:p w14:paraId="4925F5DB">
      <w:pPr>
        <w:pStyle w:val="99"/>
        <w:widowControl/>
        <w:ind w:firstLine="424" w:firstLineChars="202"/>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异议受理部门：</w:t>
      </w:r>
      <w:r>
        <w:rPr>
          <w:rFonts w:hint="eastAsia" w:ascii="宋体" w:hAnsi="宋体" w:eastAsia="宋体" w:cs="宋体"/>
          <w:color w:val="auto"/>
          <w:kern w:val="2"/>
          <w:sz w:val="21"/>
          <w:szCs w:val="21"/>
          <w:highlight w:val="none"/>
          <w:u w:val="single"/>
          <w:lang w:eastAsia="zh-CN"/>
        </w:rPr>
        <w:t>广州市花都区狮岭镇人民政府</w:t>
      </w:r>
    </w:p>
    <w:p w14:paraId="417EE7D3">
      <w:pPr>
        <w:pStyle w:val="99"/>
        <w:widowControl/>
        <w:ind w:firstLine="424" w:firstLineChars="202"/>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lang w:eastAsia="zh-CN"/>
        </w:rPr>
        <w:t>广州市花都区狮岭镇东升中路83号</w:t>
      </w:r>
    </w:p>
    <w:p w14:paraId="2BF878CA">
      <w:pPr>
        <w:pStyle w:val="99"/>
        <w:widowControl/>
        <w:ind w:firstLine="424" w:firstLineChars="202"/>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联 系 人：</w:t>
      </w:r>
      <w:r>
        <w:rPr>
          <w:rFonts w:hint="eastAsia" w:ascii="宋体" w:hAnsi="宋体" w:eastAsia="宋体" w:cs="宋体"/>
          <w:color w:val="auto"/>
          <w:kern w:val="2"/>
          <w:sz w:val="21"/>
          <w:szCs w:val="21"/>
          <w:highlight w:val="none"/>
          <w:u w:val="single"/>
          <w:lang w:val="en-US" w:eastAsia="zh-CN"/>
        </w:rPr>
        <w:t>邱工</w:t>
      </w:r>
      <w:r>
        <w:rPr>
          <w:rFonts w:hint="eastAsia" w:ascii="宋体" w:hAnsi="宋体" w:eastAsia="宋体" w:cs="宋体"/>
          <w:color w:val="auto"/>
          <w:kern w:val="2"/>
          <w:sz w:val="21"/>
          <w:szCs w:val="21"/>
          <w:highlight w:val="none"/>
        </w:rPr>
        <w:t xml:space="preserve">   电话：</w:t>
      </w:r>
      <w:r>
        <w:rPr>
          <w:rFonts w:hint="eastAsia" w:ascii="宋体" w:hAnsi="宋体" w:eastAsia="宋体" w:cs="宋体"/>
          <w:color w:val="auto"/>
          <w:kern w:val="2"/>
          <w:sz w:val="21"/>
          <w:szCs w:val="21"/>
          <w:highlight w:val="none"/>
          <w:u w:val="single"/>
          <w:lang w:val="en-US" w:eastAsia="zh-CN"/>
        </w:rPr>
        <w:t>020-86845403</w:t>
      </w:r>
    </w:p>
    <w:p w14:paraId="54467734">
      <w:pPr>
        <w:pStyle w:val="99"/>
        <w:widowControl/>
        <w:ind w:firstLine="424" w:firstLineChars="202"/>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注：潜在投标人或利害关系人对本招标公告及招标文件有异议的，应当在投标截止时间10日前向招标人书面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AF4BC01">
      <w:pPr>
        <w:pStyle w:val="3"/>
        <w:spacing w:line="360" w:lineRule="auto"/>
        <w:rPr>
          <w:rFonts w:hint="eastAsia" w:ascii="宋体" w:hAnsi="宋体" w:eastAsia="宋体" w:cs="宋体"/>
          <w:color w:val="auto"/>
          <w:sz w:val="21"/>
          <w:szCs w:val="21"/>
          <w:highlight w:val="none"/>
        </w:rPr>
      </w:pPr>
      <w:bookmarkStart w:id="56" w:name="_Toc7278"/>
      <w:bookmarkStart w:id="57" w:name="_Toc20885"/>
      <w:r>
        <w:rPr>
          <w:rFonts w:hint="eastAsia" w:ascii="宋体" w:hAnsi="宋体" w:eastAsia="宋体" w:cs="宋体"/>
          <w:color w:val="auto"/>
          <w:sz w:val="21"/>
          <w:szCs w:val="21"/>
          <w:highlight w:val="none"/>
        </w:rPr>
        <w:t>8. 其他</w:t>
      </w:r>
      <w:bookmarkEnd w:id="56"/>
      <w:bookmarkEnd w:id="57"/>
    </w:p>
    <w:p w14:paraId="65ABDA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8.1递交投标文件投标人不足3名，或通过形式评审、资格评审、响应性评审的有效投标人不足3名时为招标失败。招标人分析招标失败原因，修正招标方案，重新组织招标。</w:t>
      </w:r>
    </w:p>
    <w:p w14:paraId="1DDA93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8.2本工程实行限额设计施工，限额投资。本工程结算金额不得超过经有权审核部门审批的相应的概算金额。</w:t>
      </w:r>
    </w:p>
    <w:p w14:paraId="2965D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8.3投标人须保证其提供的投标登记资料及投标资料的真实性，招标人有权在招标的任何阶段进行调查和核实，一旦发现虚假，将上报建设管理部门及相关部门严肃查处。</w:t>
      </w:r>
    </w:p>
    <w:p w14:paraId="3B9106C6">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8.4特别提示：投标人在本项目招标人的工程项目中存在下列行为的，将被拒绝1年内参与我单位后续工程投标。（注：拒绝投标时限由招标人视严重程度确定，最低三个月起，自招标人发出通知之日起计）：</w:t>
      </w:r>
    </w:p>
    <w:p w14:paraId="4B8D279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8.4.1 将中标工程转包或者违法分包的；</w:t>
      </w:r>
    </w:p>
    <w:p w14:paraId="142FDD0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8.4.2 在中标工程中不执行质量、安全生产相关规定的，造成质量或安全事故的；</w:t>
      </w:r>
    </w:p>
    <w:p w14:paraId="6375E374">
      <w:pPr>
        <w:spacing w:line="360" w:lineRule="auto"/>
        <w:ind w:firstLine="420" w:firstLineChars="200"/>
        <w:contextualSpacing/>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rPr>
        <w:t>8.4.3</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出让投标资格的；</w:t>
      </w:r>
    </w:p>
    <w:p w14:paraId="506C3225">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存在围标或串标情形的；</w:t>
      </w:r>
    </w:p>
    <w:p w14:paraId="11F1CED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 xml:space="preserve">5 </w:t>
      </w:r>
      <w:r>
        <w:rPr>
          <w:rFonts w:hint="eastAsia" w:ascii="宋体" w:hAnsi="宋体" w:eastAsia="宋体" w:cs="宋体"/>
          <w:color w:val="auto"/>
          <w:szCs w:val="21"/>
          <w:highlight w:val="none"/>
        </w:rPr>
        <w:t>在投标文件中提供虚假材料的；</w:t>
      </w:r>
    </w:p>
    <w:p w14:paraId="1D36C744">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存在少放、不放业绩、奖项等客观评审资料，减少自身竞争力情形的；</w:t>
      </w:r>
    </w:p>
    <w:p w14:paraId="1DE42DCA">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存在行贿情形的；</w:t>
      </w:r>
    </w:p>
    <w:p w14:paraId="2D2155B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拖欠农民工工资的；</w:t>
      </w:r>
    </w:p>
    <w:p w14:paraId="31D11A9B">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未按照国家、省、市有关建筑施工实名制管理和工人工资支付分账管理的规定执行，被行政监管部门处罚的</w:t>
      </w:r>
      <w:r>
        <w:rPr>
          <w:rFonts w:hint="eastAsia" w:ascii="宋体" w:hAnsi="宋体" w:cs="宋体"/>
          <w:color w:val="auto"/>
          <w:szCs w:val="21"/>
          <w:highlight w:val="none"/>
          <w:lang w:eastAsia="zh-CN"/>
        </w:rPr>
        <w:t>；</w:t>
      </w:r>
    </w:p>
    <w:p w14:paraId="2D246E39">
      <w:pPr>
        <w:spacing w:line="360" w:lineRule="auto"/>
        <w:ind w:firstLine="420" w:firstLineChars="200"/>
        <w:contextualSpacing/>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 本项目投标时拟派的专职安全员在其他项目中有任职且在本项目开工前未完成更换确保专职安全员只在本项目上任职的</w:t>
      </w:r>
      <w:r>
        <w:rPr>
          <w:rFonts w:hint="eastAsia" w:ascii="宋体" w:hAnsi="宋体" w:eastAsia="宋体" w:cs="宋体"/>
          <w:color w:val="auto"/>
          <w:szCs w:val="21"/>
          <w:highlight w:val="none"/>
          <w:lang w:eastAsia="zh-CN"/>
        </w:rPr>
        <w:t>；</w:t>
      </w:r>
    </w:p>
    <w:p w14:paraId="22D0F6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投标人和中标候选人的重大变化告知义务：投标人发生可能影响其资格条件或者招标公正性的重大变化、中标候选人的经营、财务状况发生较大变化或者存在违法行为的（包括但不限于：合并、分立、破产、重大财务变化、项目经理等主要人员变化、被责令关闭、被吊销营业执照、被暂扣安全生产许可证、一定期限内被禁止参加依法必须招标项目的投标等情形），应当及时书面告知招标人。</w:t>
      </w:r>
    </w:p>
    <w:p w14:paraId="6BBD1B03">
      <w:pPr>
        <w:pStyle w:val="12"/>
        <w:rPr>
          <w:rFonts w:hint="eastAsia" w:ascii="宋体" w:hAnsi="宋体" w:eastAsia="宋体" w:cs="宋体"/>
          <w:color w:val="auto"/>
          <w:highlight w:val="none"/>
        </w:rPr>
      </w:pPr>
    </w:p>
    <w:p w14:paraId="222964AB">
      <w:pPr>
        <w:spacing w:line="400" w:lineRule="exact"/>
        <w:rPr>
          <w:rFonts w:hint="eastAsia" w:ascii="宋体" w:hAnsi="宋体" w:eastAsia="宋体" w:cs="宋体"/>
          <w:color w:val="auto"/>
          <w:szCs w:val="21"/>
          <w:highlight w:val="none"/>
        </w:rPr>
        <w:sectPr>
          <w:pgSz w:w="11906" w:h="16838"/>
          <w:pgMar w:top="1304" w:right="1304" w:bottom="1304" w:left="1304" w:header="851" w:footer="794" w:gutter="0"/>
          <w:pgNumType w:start="1"/>
          <w:cols w:space="720" w:num="1"/>
          <w:docGrid w:type="lines" w:linePitch="312" w:charSpace="0"/>
        </w:sectPr>
      </w:pPr>
    </w:p>
    <w:p w14:paraId="5626D848">
      <w:pPr>
        <w:spacing w:line="360" w:lineRule="auto"/>
        <w:ind w:right="565" w:rightChars="26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w:t>
      </w:r>
    </w:p>
    <w:p w14:paraId="4025B366">
      <w:pPr>
        <w:pStyle w:val="99"/>
        <w:ind w:firstLine="0"/>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投标人</w:t>
      </w:r>
      <w:r>
        <w:rPr>
          <w:rFonts w:hint="eastAsia" w:ascii="宋体" w:hAnsi="宋体" w:eastAsia="宋体" w:cs="宋体"/>
          <w:b/>
          <w:bCs/>
          <w:color w:val="auto"/>
          <w:sz w:val="24"/>
          <w:szCs w:val="24"/>
          <w:highlight w:val="none"/>
        </w:rPr>
        <w:t>声明</w:t>
      </w:r>
    </w:p>
    <w:p w14:paraId="4FAA8F32">
      <w:pPr>
        <w:pStyle w:val="99"/>
        <w:ind w:firstLine="0"/>
        <w:rPr>
          <w:rFonts w:hint="eastAsia" w:ascii="宋体" w:hAnsi="宋体" w:eastAsia="宋体" w:cs="宋体"/>
          <w:color w:val="auto"/>
          <w:sz w:val="21"/>
          <w:szCs w:val="21"/>
          <w:highlight w:val="none"/>
          <w:u w:val="single"/>
        </w:rPr>
      </w:pPr>
    </w:p>
    <w:p w14:paraId="4BD547CB">
      <w:pPr>
        <w:pStyle w:val="99"/>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广州市花都区住房和城乡建设局</w:t>
      </w:r>
      <w:r>
        <w:rPr>
          <w:rFonts w:hint="eastAsia" w:ascii="宋体" w:hAnsi="宋体" w:eastAsia="宋体" w:cs="宋体"/>
          <w:color w:val="auto"/>
          <w:sz w:val="21"/>
          <w:szCs w:val="21"/>
          <w:highlight w:val="none"/>
        </w:rPr>
        <w:t>、本招标项目招标人及招标监管机构：</w:t>
      </w:r>
    </w:p>
    <w:p w14:paraId="6CC839EB">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14:paraId="566223AD">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75B72387">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二、本公司保证在本项目投标中不与其他单位围标、串标，不出让投标资格，不向招标人或评标委员会成员行贿。</w:t>
      </w:r>
    </w:p>
    <w:p w14:paraId="71088D6F">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14:paraId="3AD39B11">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（一）为招标人不具有独立法人资格的附属机构（单位）；</w:t>
      </w:r>
    </w:p>
    <w:p w14:paraId="795BB25C">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（二）为本标段监理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或者与本标段监理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存在隶属关系或者其他利害关系；</w:t>
      </w:r>
    </w:p>
    <w:p w14:paraId="2C958DA8">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（三）为本标段的代建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、项目管理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、监理单位、造价咨询单位、招标代理单位</w:t>
      </w:r>
      <w:r>
        <w:rPr>
          <w:rFonts w:hint="eastAsia" w:ascii="宋体" w:hAnsi="宋体" w:eastAsia="宋体" w:cs="宋体"/>
          <w:color w:val="auto"/>
          <w:sz w:val="21"/>
          <w:szCs w:val="21"/>
          <w:highlight w:val="none"/>
        </w:rPr>
        <w:t>；</w:t>
      </w:r>
    </w:p>
    <w:p w14:paraId="5B7BF4E2">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（四）为本标段提供招标代理服务的；</w:t>
      </w:r>
    </w:p>
    <w:p w14:paraId="3D2DC1E7">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（五）与本标段的监理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或招标代理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同为一个法定代表人的；</w:t>
      </w:r>
    </w:p>
    <w:p w14:paraId="5E039D43">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（六）与本标段的监理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或招标代理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互相控股或参股的；</w:t>
      </w:r>
    </w:p>
    <w:p w14:paraId="25F4AB15">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（七）与本标段的监理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或代建</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或招标代理</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相互任职或工作的；</w:t>
      </w:r>
    </w:p>
    <w:p w14:paraId="17745FF0">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（八）与本标段的检测</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有隶属关系或者其他利害关系；</w:t>
      </w:r>
    </w:p>
    <w:p w14:paraId="7507AE57">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（九）与招标人存在利害关系且可能影响招标公正性； </w:t>
      </w:r>
    </w:p>
    <w:p w14:paraId="2803CAF9">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2ABD611">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（十一）被责令停产停业、暂扣或者吊销许可证、暂扣或者吊销执照的（本项事实应当以根据《中华人民共和国行政处罚法》依法作出并已经生效的行政处罚决定为认定依据。）；</w:t>
      </w:r>
    </w:p>
    <w:p w14:paraId="48802EBD">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（十二）进入清算程序，或被宣布破产，或其他丧失履约能力的情形；</w:t>
      </w:r>
    </w:p>
    <w:p w14:paraId="4DB09345">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三）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8591B14">
      <w:pPr>
        <w:pStyle w:val="99"/>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（十四）法律法规规定的其他情形。</w:t>
      </w:r>
    </w:p>
    <w:p w14:paraId="46403C10">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四、我方保证：本项目拟派的项目负责人</w:t>
      </w:r>
      <w:r>
        <w:rPr>
          <w:rFonts w:hint="eastAsia" w:ascii="宋体" w:hAnsi="宋体" w:eastAsia="宋体" w:cs="宋体"/>
          <w:b/>
          <w:bCs/>
          <w:color w:val="auto"/>
          <w:sz w:val="21"/>
          <w:szCs w:val="21"/>
          <w:highlight w:val="none"/>
          <w:lang w:val="en-US" w:eastAsia="zh-CN"/>
        </w:rPr>
        <w:t>在</w:t>
      </w:r>
      <w:r>
        <w:rPr>
          <w:rFonts w:hint="eastAsia" w:ascii="宋体" w:hAnsi="宋体" w:eastAsia="宋体" w:cs="宋体"/>
          <w:b/>
          <w:bCs/>
          <w:color w:val="auto"/>
          <w:kern w:val="0"/>
          <w:sz w:val="21"/>
          <w:szCs w:val="21"/>
        </w:rPr>
        <w:t>投标截止时</w:t>
      </w:r>
      <w:r>
        <w:rPr>
          <w:rFonts w:hint="eastAsia" w:ascii="宋体" w:hAnsi="宋体" w:eastAsia="宋体" w:cs="宋体"/>
          <w:color w:val="auto"/>
          <w:sz w:val="21"/>
          <w:szCs w:val="21"/>
          <w:highlight w:val="none"/>
        </w:rPr>
        <w:t>没有在其他</w:t>
      </w:r>
      <w:r>
        <w:rPr>
          <w:rFonts w:hint="eastAsia" w:ascii="宋体" w:hAnsi="宋体" w:eastAsia="宋体" w:cs="宋体"/>
          <w:color w:val="auto"/>
          <w:sz w:val="21"/>
          <w:szCs w:val="21"/>
          <w:highlight w:val="none"/>
          <w:lang w:val="en-US" w:eastAsia="zh-CN"/>
        </w:rPr>
        <w:t>在建</w:t>
      </w:r>
      <w:r>
        <w:rPr>
          <w:rFonts w:hint="eastAsia" w:ascii="宋体" w:hAnsi="宋体" w:eastAsia="宋体" w:cs="宋体"/>
          <w:color w:val="auto"/>
          <w:sz w:val="21"/>
          <w:szCs w:val="21"/>
          <w:highlight w:val="none"/>
        </w:rPr>
        <w:t>项目担任工程总承包项目负责人、施工负责人，</w:t>
      </w:r>
      <w:r>
        <w:rPr>
          <w:rFonts w:hint="eastAsia" w:ascii="宋体" w:hAnsi="宋体" w:eastAsia="宋体" w:cs="宋体"/>
          <w:b/>
          <w:bCs/>
          <w:color w:val="auto"/>
          <w:kern w:val="0"/>
          <w:sz w:val="21"/>
          <w:szCs w:val="21"/>
        </w:rPr>
        <w:t>本项目拟派专职安全员将只在本项目上任职，如专职安全在其他项目中已有任职的，本公司保证在开工前完成更换，确保专职安全员只在本项目上任职，否则将承担违约责任和法律责任。</w:t>
      </w:r>
    </w:p>
    <w:p w14:paraId="4D04FFDC">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CC85256">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2AE0F02">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E995731">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。（注：本条由投标人如实填写，如有，应列出全部满足招标公告资质要求的相关单位的名称；如无，则填写“无”</w:t>
      </w:r>
      <w:r>
        <w:rPr>
          <w:rFonts w:hint="eastAsia" w:ascii="宋体" w:hAnsi="宋体" w:eastAsia="宋体" w:cs="宋体"/>
          <w:color w:val="auto"/>
          <w:sz w:val="21"/>
          <w:szCs w:val="21"/>
          <w:highlight w:val="none"/>
          <w:u w:val="single"/>
        </w:rPr>
        <w:t>；如联合体投标，联合体各成员需单独列明</w:t>
      </w:r>
      <w:r>
        <w:rPr>
          <w:rFonts w:hint="eastAsia" w:ascii="宋体" w:hAnsi="宋体" w:eastAsia="宋体" w:cs="宋体"/>
          <w:color w:val="auto"/>
          <w:sz w:val="21"/>
          <w:szCs w:val="21"/>
          <w:highlight w:val="none"/>
        </w:rPr>
        <w:t>。）</w:t>
      </w:r>
    </w:p>
    <w:p w14:paraId="25DCA6F0">
      <w:pPr>
        <w:pStyle w:val="99"/>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73E1BDCF">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AB9CECF">
      <w:pPr>
        <w:pStyle w:val="99"/>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十一、本公司承诺，具有相应的项目管理体系和项目管理能力、财务和风险承担能力。</w:t>
      </w:r>
    </w:p>
    <w:p w14:paraId="42C8DBCF">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2E1343C">
      <w:pPr>
        <w:pStyle w:val="99"/>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06D278C">
      <w:pPr>
        <w:pStyle w:val="99"/>
        <w:rPr>
          <w:rFonts w:hint="eastAsia" w:ascii="宋体" w:hAnsi="宋体" w:eastAsia="宋体" w:cs="宋体"/>
          <w:color w:val="auto"/>
          <w:sz w:val="21"/>
          <w:szCs w:val="21"/>
          <w:highlight w:val="none"/>
        </w:rPr>
      </w:pPr>
    </w:p>
    <w:p w14:paraId="2C47C752">
      <w:pPr>
        <w:pStyle w:val="99"/>
        <w:rPr>
          <w:rFonts w:hint="eastAsia" w:ascii="宋体" w:hAnsi="宋体" w:eastAsia="宋体" w:cs="宋体"/>
          <w:color w:val="auto"/>
          <w:sz w:val="21"/>
          <w:szCs w:val="21"/>
          <w:highlight w:val="none"/>
        </w:rPr>
      </w:pPr>
    </w:p>
    <w:p w14:paraId="6B395A37">
      <w:pPr>
        <w:pStyle w:val="105"/>
        <w:ind w:left="55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声明企业：</w:t>
      </w:r>
    </w:p>
    <w:p w14:paraId="5A4F2AA9">
      <w:pPr>
        <w:pStyle w:val="9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法定代表人签字或盖章：</w:t>
      </w:r>
    </w:p>
    <w:p w14:paraId="4E5A6416">
      <w:pPr>
        <w:pStyle w:val="9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项目负责人签字:</w:t>
      </w:r>
    </w:p>
    <w:p w14:paraId="4EE7259B">
      <w:pPr>
        <w:pStyle w:val="9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施工负责人签字：</w:t>
      </w:r>
    </w:p>
    <w:p w14:paraId="1F1C7394">
      <w:pPr>
        <w:pStyle w:val="99"/>
        <w:ind w:left="5529"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施工技术负责人签字：</w:t>
      </w:r>
    </w:p>
    <w:p w14:paraId="4B5CDF80">
      <w:pPr>
        <w:pStyle w:val="99"/>
        <w:ind w:right="104"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A90A908">
      <w:pPr>
        <w:shd w:val="clear" w:color="auto" w:fill="FFFFFF"/>
        <w:spacing w:line="360" w:lineRule="auto"/>
        <w:ind w:right="104" w:firstLine="420" w:firstLineChars="2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（企业公章）</w:t>
      </w:r>
    </w:p>
    <w:p w14:paraId="31D0CFC8">
      <w:pPr>
        <w:pStyle w:val="99"/>
        <w:ind w:right="-52" w:firstLine="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注：联合体投标的，“声明企业”一栏需填写联合体各方的单位全称，并由联合体主办方按要求签字或盖章即可。</w:t>
      </w:r>
    </w:p>
    <w:p w14:paraId="3E2E1305">
      <w:pPr>
        <w:jc w:val="center"/>
        <w:outlineLvl w:val="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58" w:name="_Toc27674"/>
      <w:bookmarkStart w:id="59" w:name="_Toc25555"/>
      <w:bookmarkStart w:id="60" w:name="_Toc21307"/>
      <w:r>
        <w:rPr>
          <w:rFonts w:hint="eastAsia" w:ascii="宋体" w:hAnsi="宋体" w:cs="宋体"/>
          <w:b/>
          <w:bCs/>
          <w:color w:val="auto"/>
          <w:kern w:val="44"/>
          <w:sz w:val="44"/>
          <w:szCs w:val="44"/>
          <w:highlight w:val="none"/>
        </w:rPr>
        <w:t>第二章  投标人须知</w:t>
      </w:r>
      <w:bookmarkEnd w:id="13"/>
      <w:bookmarkEnd w:id="14"/>
      <w:bookmarkEnd w:id="15"/>
      <w:bookmarkEnd w:id="16"/>
      <w:bookmarkEnd w:id="17"/>
      <w:bookmarkEnd w:id="58"/>
      <w:bookmarkEnd w:id="59"/>
      <w:bookmarkEnd w:id="60"/>
    </w:p>
    <w:p w14:paraId="175BE353">
      <w:pPr>
        <w:pStyle w:val="3"/>
        <w:shd w:val="clear"/>
        <w:jc w:val="center"/>
        <w:rPr>
          <w:rFonts w:hint="eastAsia" w:ascii="宋体" w:hAnsi="宋体" w:eastAsia="宋体" w:cs="宋体"/>
          <w:color w:val="auto"/>
          <w:highlight w:val="none"/>
        </w:rPr>
      </w:pPr>
      <w:bookmarkStart w:id="61" w:name="_Toc152045528"/>
      <w:bookmarkStart w:id="62" w:name="_Toc144974496"/>
      <w:bookmarkStart w:id="63" w:name="_Toc13135"/>
      <w:bookmarkStart w:id="64" w:name="_Toc16626"/>
      <w:bookmarkStart w:id="65" w:name="_Toc247527552"/>
      <w:bookmarkStart w:id="66" w:name="_Toc152042304"/>
      <w:bookmarkStart w:id="67" w:name="_Toc247513951"/>
      <w:bookmarkStart w:id="68" w:name="_Toc4753"/>
      <w:r>
        <w:rPr>
          <w:rFonts w:hint="eastAsia" w:ascii="宋体" w:hAnsi="宋体" w:eastAsia="宋体" w:cs="宋体"/>
          <w:color w:val="auto"/>
          <w:highlight w:val="none"/>
        </w:rPr>
        <w:t>投标人须知前附表</w:t>
      </w:r>
      <w:bookmarkEnd w:id="61"/>
      <w:bookmarkEnd w:id="62"/>
      <w:bookmarkEnd w:id="63"/>
      <w:bookmarkEnd w:id="64"/>
      <w:bookmarkEnd w:id="65"/>
      <w:bookmarkEnd w:id="66"/>
      <w:bookmarkEnd w:id="67"/>
      <w:bookmarkEnd w:id="68"/>
    </w:p>
    <w:tbl>
      <w:tblPr>
        <w:tblStyle w:val="40"/>
        <w:tblW w:w="9854" w:type="dxa"/>
        <w:tblInd w:w="0" w:type="dxa"/>
        <w:tblLayout w:type="fixed"/>
        <w:tblCellMar>
          <w:top w:w="0" w:type="dxa"/>
          <w:left w:w="108" w:type="dxa"/>
          <w:bottom w:w="0" w:type="dxa"/>
          <w:right w:w="108" w:type="dxa"/>
        </w:tblCellMar>
      </w:tblPr>
      <w:tblGrid>
        <w:gridCol w:w="1165"/>
        <w:gridCol w:w="2226"/>
        <w:gridCol w:w="828"/>
        <w:gridCol w:w="5635"/>
      </w:tblGrid>
      <w:tr w14:paraId="69423567">
        <w:tc>
          <w:tcPr>
            <w:tcW w:w="1165" w:type="dxa"/>
            <w:tcBorders>
              <w:top w:val="single" w:color="auto" w:sz="4" w:space="0"/>
              <w:left w:val="single" w:color="auto" w:sz="4" w:space="0"/>
              <w:bottom w:val="single" w:color="auto" w:sz="4" w:space="0"/>
              <w:right w:val="single" w:color="auto" w:sz="4" w:space="0"/>
            </w:tcBorders>
            <w:vAlign w:val="center"/>
          </w:tcPr>
          <w:p w14:paraId="71F78679">
            <w:pPr>
              <w:shd w:val="clea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26" w:type="dxa"/>
            <w:tcBorders>
              <w:top w:val="single" w:color="auto" w:sz="4" w:space="0"/>
              <w:left w:val="single" w:color="auto" w:sz="4" w:space="0"/>
              <w:bottom w:val="single" w:color="auto" w:sz="4" w:space="0"/>
              <w:right w:val="single" w:color="auto" w:sz="4" w:space="0"/>
            </w:tcBorders>
            <w:vAlign w:val="center"/>
          </w:tcPr>
          <w:p w14:paraId="5E420773">
            <w:pPr>
              <w:shd w:val="clea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2925F2D">
            <w:pPr>
              <w:shd w:val="clea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1541FD61">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352503C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226" w:type="dxa"/>
            <w:tcBorders>
              <w:top w:val="single" w:color="auto" w:sz="4" w:space="0"/>
              <w:left w:val="single" w:color="auto" w:sz="4" w:space="0"/>
              <w:bottom w:val="single" w:color="auto" w:sz="4" w:space="0"/>
              <w:right w:val="single" w:color="auto" w:sz="4" w:space="0"/>
            </w:tcBorders>
            <w:vAlign w:val="center"/>
          </w:tcPr>
          <w:p w14:paraId="46D27C3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42EBFCA4">
            <w:pPr>
              <w:shd w:val="clear"/>
              <w:spacing w:line="276" w:lineRule="auto"/>
              <w:ind w:left="638" w:hanging="638" w:hangingChars="304"/>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single"/>
                <w:lang w:eastAsia="zh-CN"/>
              </w:rPr>
              <w:t>广州市花都区狮岭镇人民政府</w:t>
            </w:r>
          </w:p>
          <w:p w14:paraId="697D4FF7">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cs="宋体"/>
                <w:color w:val="auto"/>
                <w:kern w:val="2"/>
                <w:sz w:val="21"/>
                <w:szCs w:val="21"/>
                <w:highlight w:val="none"/>
                <w:u w:val="single"/>
                <w:lang w:val="en-US" w:eastAsia="zh-CN"/>
              </w:rPr>
              <w:t>广州市花都区狮岭镇东升中路83号</w:t>
            </w:r>
          </w:p>
          <w:p w14:paraId="0E7506F3">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cs="宋体"/>
                <w:color w:val="auto"/>
                <w:kern w:val="2"/>
                <w:sz w:val="21"/>
                <w:szCs w:val="21"/>
                <w:highlight w:val="none"/>
                <w:u w:val="single"/>
                <w:lang w:val="en-US" w:eastAsia="zh-CN"/>
              </w:rPr>
              <w:t>邱工</w:t>
            </w:r>
          </w:p>
          <w:p w14:paraId="779B284D">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cs="宋体"/>
                <w:color w:val="auto"/>
                <w:kern w:val="2"/>
                <w:sz w:val="21"/>
                <w:szCs w:val="21"/>
                <w:highlight w:val="none"/>
                <w:u w:val="single"/>
                <w:lang w:val="en-US" w:eastAsia="zh-CN"/>
              </w:rPr>
              <w:t>020-86845403</w:t>
            </w:r>
          </w:p>
        </w:tc>
      </w:tr>
      <w:tr w14:paraId="44D253C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9FB0F74">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2226" w:type="dxa"/>
            <w:tcBorders>
              <w:top w:val="single" w:color="auto" w:sz="4" w:space="0"/>
              <w:left w:val="single" w:color="auto" w:sz="4" w:space="0"/>
              <w:bottom w:val="single" w:color="auto" w:sz="4" w:space="0"/>
              <w:right w:val="single" w:color="auto" w:sz="4" w:space="0"/>
            </w:tcBorders>
            <w:vAlign w:val="center"/>
          </w:tcPr>
          <w:p w14:paraId="3E38E85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0694733">
            <w:pPr>
              <w:shd w:val="clear"/>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single"/>
                <w:lang w:eastAsia="zh-CN"/>
              </w:rPr>
              <w:t>广东粤信项目管理有限公司</w:t>
            </w:r>
          </w:p>
          <w:p w14:paraId="67541F7B">
            <w:pPr>
              <w:shd w:val="clear"/>
              <w:spacing w:line="276" w:lineRule="auto"/>
              <w:ind w:left="636" w:hanging="636" w:hangingChars="303"/>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广东省广州市天河区广州市天河区天寿路31号1301室（部位：内自编05房）（仅限办公）</w:t>
            </w:r>
          </w:p>
          <w:p w14:paraId="56CEDAB9">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eastAsia="宋体" w:cs="宋体"/>
                <w:color w:val="auto"/>
                <w:kern w:val="2"/>
                <w:sz w:val="21"/>
                <w:szCs w:val="21"/>
                <w:highlight w:val="none"/>
                <w:u w:val="single"/>
                <w:lang w:val="en-US" w:eastAsia="zh-CN"/>
              </w:rPr>
              <w:t>张</w:t>
            </w:r>
            <w:r>
              <w:rPr>
                <w:rFonts w:hint="eastAsia" w:ascii="宋体" w:hAnsi="宋体" w:eastAsia="宋体" w:cs="宋体"/>
                <w:color w:val="auto"/>
                <w:kern w:val="2"/>
                <w:sz w:val="21"/>
                <w:szCs w:val="21"/>
                <w:highlight w:val="none"/>
                <w:u w:val="single"/>
              </w:rPr>
              <w:t>工</w:t>
            </w:r>
          </w:p>
          <w:p w14:paraId="08BD550C">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kern w:val="2"/>
                <w:sz w:val="21"/>
                <w:szCs w:val="21"/>
                <w:highlight w:val="none"/>
                <w:u w:val="single"/>
                <w:lang w:val="en-US" w:eastAsia="zh-CN"/>
              </w:rPr>
              <w:t>020-37209484-809</w:t>
            </w:r>
          </w:p>
        </w:tc>
      </w:tr>
      <w:tr w14:paraId="6348B508">
        <w:tblPrEx>
          <w:tblCellMar>
            <w:top w:w="0" w:type="dxa"/>
            <w:left w:w="108" w:type="dxa"/>
            <w:bottom w:w="0" w:type="dxa"/>
            <w:right w:w="108" w:type="dxa"/>
          </w:tblCellMar>
        </w:tblPrEx>
        <w:trPr>
          <w:trHeight w:val="444" w:hRule="atLeast"/>
        </w:trPr>
        <w:tc>
          <w:tcPr>
            <w:tcW w:w="1165" w:type="dxa"/>
            <w:tcBorders>
              <w:top w:val="single" w:color="auto" w:sz="4" w:space="0"/>
              <w:left w:val="single" w:color="auto" w:sz="4" w:space="0"/>
              <w:bottom w:val="single" w:color="auto" w:sz="4" w:space="0"/>
              <w:right w:val="single" w:color="auto" w:sz="4" w:space="0"/>
            </w:tcBorders>
            <w:vAlign w:val="center"/>
          </w:tcPr>
          <w:p w14:paraId="3639659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26" w:type="dxa"/>
            <w:tcBorders>
              <w:top w:val="single" w:color="auto" w:sz="4" w:space="0"/>
              <w:left w:val="single" w:color="auto" w:sz="4" w:space="0"/>
              <w:bottom w:val="single" w:color="auto" w:sz="4" w:space="0"/>
              <w:right w:val="single" w:color="auto" w:sz="4" w:space="0"/>
            </w:tcBorders>
            <w:vAlign w:val="center"/>
          </w:tcPr>
          <w:p w14:paraId="766BCE23">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A455CCE">
            <w:pPr>
              <w:shd w:val="clear"/>
              <w:spacing w:line="276" w:lineRule="auto"/>
              <w:rPr>
                <w:rFonts w:hint="eastAsia" w:ascii="宋体" w:hAnsi="宋体" w:eastAsia="宋体" w:cs="宋体"/>
                <w:color w:val="auto"/>
                <w:szCs w:val="21"/>
                <w:highlight w:val="none"/>
              </w:rPr>
            </w:pPr>
            <w:r>
              <w:rPr>
                <w:rFonts w:hint="eastAsia" w:ascii="宋体" w:hAnsi="宋体" w:cs="宋体"/>
                <w:color w:val="auto"/>
                <w:szCs w:val="21"/>
                <w:highlight w:val="none"/>
                <w:u w:val="single"/>
                <w:lang w:eastAsia="zh-CN"/>
              </w:rPr>
              <w:t>联星村村道提升工程</w:t>
            </w:r>
            <w:r>
              <w:rPr>
                <w:rFonts w:hint="eastAsia" w:ascii="宋体" w:hAnsi="宋体" w:eastAsia="宋体" w:cs="宋体"/>
                <w:color w:val="auto"/>
                <w:szCs w:val="21"/>
                <w:highlight w:val="none"/>
                <w:u w:val="single"/>
                <w:lang w:eastAsia="zh-CN"/>
              </w:rPr>
              <w:t>设计施工总承包</w:t>
            </w:r>
          </w:p>
        </w:tc>
      </w:tr>
      <w:tr w14:paraId="38697D9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F55319B">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2226" w:type="dxa"/>
            <w:tcBorders>
              <w:top w:val="single" w:color="auto" w:sz="4" w:space="0"/>
              <w:left w:val="single" w:color="auto" w:sz="4" w:space="0"/>
              <w:bottom w:val="single" w:color="auto" w:sz="4" w:space="0"/>
              <w:right w:val="single" w:color="auto" w:sz="4" w:space="0"/>
            </w:tcBorders>
            <w:vAlign w:val="center"/>
          </w:tcPr>
          <w:p w14:paraId="52D00897">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0DD98E5E">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38EFDAA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3F63602">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2226" w:type="dxa"/>
            <w:tcBorders>
              <w:top w:val="single" w:color="auto" w:sz="4" w:space="0"/>
              <w:left w:val="single" w:color="auto" w:sz="4" w:space="0"/>
              <w:bottom w:val="single" w:color="auto" w:sz="4" w:space="0"/>
              <w:right w:val="single" w:color="auto" w:sz="4" w:space="0"/>
            </w:tcBorders>
            <w:vAlign w:val="center"/>
          </w:tcPr>
          <w:p w14:paraId="0602D5E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BD1944C">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38C2992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B054377">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26" w:type="dxa"/>
            <w:tcBorders>
              <w:top w:val="single" w:color="auto" w:sz="4" w:space="0"/>
              <w:left w:val="single" w:color="auto" w:sz="4" w:space="0"/>
              <w:bottom w:val="single" w:color="auto" w:sz="4" w:space="0"/>
              <w:right w:val="single" w:color="auto" w:sz="4" w:space="0"/>
            </w:tcBorders>
            <w:vAlign w:val="center"/>
          </w:tcPr>
          <w:p w14:paraId="4E87ADC4">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4B67FA98">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已落实</w:t>
            </w:r>
          </w:p>
        </w:tc>
      </w:tr>
      <w:tr w14:paraId="15791D8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BA7745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226" w:type="dxa"/>
            <w:tcBorders>
              <w:top w:val="single" w:color="auto" w:sz="4" w:space="0"/>
              <w:left w:val="single" w:color="auto" w:sz="4" w:space="0"/>
              <w:bottom w:val="single" w:color="auto" w:sz="4" w:space="0"/>
              <w:right w:val="single" w:color="auto" w:sz="4" w:space="0"/>
            </w:tcBorders>
            <w:vAlign w:val="center"/>
          </w:tcPr>
          <w:p w14:paraId="0C80BD94">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3E720C33">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538D912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1347B3A">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2226" w:type="dxa"/>
            <w:tcBorders>
              <w:top w:val="single" w:color="auto" w:sz="4" w:space="0"/>
              <w:left w:val="single" w:color="auto" w:sz="4" w:space="0"/>
              <w:bottom w:val="single" w:color="auto" w:sz="4" w:space="0"/>
              <w:right w:val="single" w:color="auto" w:sz="4" w:space="0"/>
            </w:tcBorders>
            <w:vAlign w:val="center"/>
          </w:tcPr>
          <w:p w14:paraId="7AEC9E70">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计划工期</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0DF0062E">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33C9790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403871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2226" w:type="dxa"/>
            <w:tcBorders>
              <w:top w:val="single" w:color="auto" w:sz="4" w:space="0"/>
              <w:left w:val="single" w:color="auto" w:sz="4" w:space="0"/>
              <w:bottom w:val="single" w:color="auto" w:sz="4" w:space="0"/>
              <w:right w:val="single" w:color="auto" w:sz="4" w:space="0"/>
            </w:tcBorders>
            <w:vAlign w:val="center"/>
          </w:tcPr>
          <w:p w14:paraId="78B16DB7">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647B038D">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设计要求：</w:t>
            </w:r>
            <w:r>
              <w:rPr>
                <w:rFonts w:hint="eastAsia" w:ascii="宋体" w:hAnsi="宋体" w:eastAsia="宋体" w:cs="宋体"/>
                <w:color w:val="auto"/>
                <w:szCs w:val="21"/>
                <w:highlight w:val="none"/>
                <w:u w:val="single"/>
              </w:rPr>
              <w:t>符合《建设工程质量管理条例》及《建设工程勘察设计管理条例》等国家及地方有关工程设计管理法规和规章，达到《市政公用工程设计文件编制深度规定（2013年版）（修订版）》及行业相关规范技术标准等要求。</w:t>
            </w:r>
          </w:p>
          <w:p w14:paraId="12AFB02E">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施工要求：</w:t>
            </w:r>
            <w:r>
              <w:rPr>
                <w:rFonts w:hint="eastAsia" w:ascii="宋体" w:hAnsi="宋体" w:eastAsia="宋体" w:cs="宋体"/>
                <w:color w:val="auto"/>
                <w:szCs w:val="21"/>
                <w:highlight w:val="none"/>
                <w:u w:val="single"/>
              </w:rPr>
              <w:t>符合设计图纸要求和国家、省、市相关法律法规规定要求及行业颁发的工程质量合格标准。</w:t>
            </w:r>
          </w:p>
          <w:p w14:paraId="52FD52B1">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工程质量标准：</w:t>
            </w:r>
            <w:r>
              <w:rPr>
                <w:rFonts w:hint="eastAsia" w:ascii="宋体" w:hAnsi="宋体" w:eastAsia="宋体" w:cs="宋体"/>
                <w:color w:val="auto"/>
                <w:szCs w:val="21"/>
                <w:highlight w:val="none"/>
                <w:u w:val="single"/>
              </w:rPr>
              <w:t>合格。</w:t>
            </w:r>
          </w:p>
        </w:tc>
      </w:tr>
      <w:tr w14:paraId="3BEFCE2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168E1F94">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2226" w:type="dxa"/>
            <w:tcBorders>
              <w:top w:val="single" w:color="auto" w:sz="4" w:space="0"/>
              <w:left w:val="single" w:color="auto" w:sz="4" w:space="0"/>
              <w:bottom w:val="single" w:color="auto" w:sz="4" w:space="0"/>
              <w:right w:val="single" w:color="auto" w:sz="4" w:space="0"/>
            </w:tcBorders>
            <w:vAlign w:val="center"/>
          </w:tcPr>
          <w:p w14:paraId="5F143472">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投标人资质条件、能力和信誉</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0D4B33B9">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14:paraId="57FC410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D832AF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2226" w:type="dxa"/>
            <w:tcBorders>
              <w:top w:val="single" w:color="auto" w:sz="4" w:space="0"/>
              <w:left w:val="single" w:color="auto" w:sz="4" w:space="0"/>
              <w:bottom w:val="single" w:color="auto" w:sz="4" w:space="0"/>
              <w:right w:val="single" w:color="auto" w:sz="4" w:space="0"/>
            </w:tcBorders>
            <w:vAlign w:val="center"/>
          </w:tcPr>
          <w:p w14:paraId="1D1A4CA9">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224D7DFE">
            <w:pPr>
              <w:pStyle w:val="15"/>
              <w:shd w:val="clear"/>
              <w:topLinePunct/>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p w14:paraId="5FC7D317">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详见招标公告</w:t>
            </w:r>
          </w:p>
        </w:tc>
      </w:tr>
      <w:tr w14:paraId="160CCDC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F4252A6">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2226" w:type="dxa"/>
            <w:tcBorders>
              <w:top w:val="single" w:color="auto" w:sz="4" w:space="0"/>
              <w:left w:val="single" w:color="auto" w:sz="4" w:space="0"/>
              <w:bottom w:val="single" w:color="auto" w:sz="4" w:space="0"/>
              <w:right w:val="single" w:color="auto" w:sz="4" w:space="0"/>
            </w:tcBorders>
            <w:vAlign w:val="center"/>
          </w:tcPr>
          <w:p w14:paraId="2E6A586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费用承担和设计成果补偿</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2E0909B1">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674900D7">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□补偿，补偿标准：</w:t>
            </w:r>
            <w:r>
              <w:rPr>
                <w:rFonts w:hint="eastAsia" w:ascii="宋体" w:hAnsi="宋体" w:eastAsia="宋体" w:cs="宋体"/>
                <w:color w:val="auto"/>
                <w:szCs w:val="21"/>
                <w:highlight w:val="none"/>
                <w:u w:val="single"/>
              </w:rPr>
              <w:t>详见招标公告</w:t>
            </w:r>
          </w:p>
        </w:tc>
      </w:tr>
      <w:tr w14:paraId="4DCBC1E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B1E46C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26" w:type="dxa"/>
            <w:tcBorders>
              <w:top w:val="single" w:color="auto" w:sz="4" w:space="0"/>
              <w:left w:val="single" w:color="auto" w:sz="4" w:space="0"/>
              <w:bottom w:val="single" w:color="auto" w:sz="4" w:space="0"/>
              <w:right w:val="single" w:color="auto" w:sz="4" w:space="0"/>
            </w:tcBorders>
            <w:vAlign w:val="center"/>
          </w:tcPr>
          <w:p w14:paraId="500BD6AB">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70BBE5BA">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u w:val="single"/>
              </w:rPr>
              <w:t>自行踏勘</w:t>
            </w:r>
          </w:p>
          <w:p w14:paraId="513ED056">
            <w:pPr>
              <w:pStyle w:val="11"/>
              <w:shd w:val="clear"/>
              <w:spacing w:line="276" w:lineRule="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rPr>
              <w:t>自本公告发布之日起具备现场踏勘条件</w:t>
            </w:r>
          </w:p>
          <w:p w14:paraId="05B16EBE">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现场详细地点：</w:t>
            </w:r>
            <w:r>
              <w:rPr>
                <w:rFonts w:hint="eastAsia" w:ascii="宋体" w:hAnsi="宋体" w:eastAsia="宋体" w:cs="宋体"/>
                <w:color w:val="auto"/>
                <w:szCs w:val="21"/>
                <w:highlight w:val="none"/>
                <w:u w:val="single"/>
              </w:rPr>
              <w:t>广州市花都区</w:t>
            </w:r>
          </w:p>
          <w:p w14:paraId="212207BE">
            <w:pPr>
              <w:shd w:val="clear"/>
              <w:tabs>
                <w:tab w:val="left" w:pos="483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p>
          <w:p w14:paraId="1330802A">
            <w:pPr>
              <w:shd w:val="clear"/>
              <w:spacing w:line="276"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p>
        </w:tc>
      </w:tr>
      <w:tr w14:paraId="3E018E5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5552294">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2226" w:type="dxa"/>
            <w:tcBorders>
              <w:top w:val="single" w:color="auto" w:sz="4" w:space="0"/>
              <w:left w:val="single" w:color="auto" w:sz="4" w:space="0"/>
              <w:bottom w:val="single" w:color="auto" w:sz="4" w:space="0"/>
              <w:right w:val="single" w:color="auto" w:sz="4" w:space="0"/>
            </w:tcBorders>
            <w:vAlign w:val="center"/>
          </w:tcPr>
          <w:p w14:paraId="3708D9D5">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46AB1EC8">
            <w:pPr>
              <w:pStyle w:val="15"/>
              <w:shd w:val="clear"/>
              <w:topLinePunct/>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1CD67321">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p>
          <w:p w14:paraId="29BCFE91">
            <w:pPr>
              <w:shd w:val="clear"/>
              <w:spacing w:line="276"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p>
        </w:tc>
      </w:tr>
      <w:tr w14:paraId="37F5238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BE8431C">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2226" w:type="dxa"/>
            <w:tcBorders>
              <w:top w:val="single" w:color="auto" w:sz="4" w:space="0"/>
              <w:left w:val="single" w:color="auto" w:sz="4" w:space="0"/>
              <w:bottom w:val="single" w:color="auto" w:sz="4" w:space="0"/>
              <w:right w:val="single" w:color="auto" w:sz="4" w:space="0"/>
            </w:tcBorders>
            <w:vAlign w:val="center"/>
          </w:tcPr>
          <w:p w14:paraId="3D0EA18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投标人提出问题的截止时间</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0AC31CF3">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1.方式：</w:t>
            </w:r>
            <w:r>
              <w:rPr>
                <w:rFonts w:hint="eastAsia" w:ascii="宋体" w:hAnsi="宋体" w:eastAsia="宋体" w:cs="宋体"/>
                <w:color w:val="auto"/>
                <w:szCs w:val="21"/>
                <w:highlight w:val="none"/>
                <w:u w:val="single"/>
              </w:rPr>
              <w:t>网上答疑。</w:t>
            </w:r>
          </w:p>
          <w:p w14:paraId="2A43F221">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2.投标人提出问题期限：</w:t>
            </w:r>
            <w:r>
              <w:rPr>
                <w:rFonts w:hint="eastAsia" w:ascii="宋体" w:hAnsi="宋体" w:eastAsia="宋体" w:cs="宋体"/>
                <w:color w:val="auto"/>
                <w:szCs w:val="21"/>
                <w:highlight w:val="none"/>
                <w:u w:val="single"/>
              </w:rPr>
              <w:t>在递交投标文件截止时间18日前提出。</w:t>
            </w:r>
          </w:p>
        </w:tc>
      </w:tr>
      <w:tr w14:paraId="5FF83A06">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1E419AC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2226" w:type="dxa"/>
            <w:tcBorders>
              <w:top w:val="single" w:color="auto" w:sz="4" w:space="0"/>
              <w:left w:val="single" w:color="auto" w:sz="4" w:space="0"/>
              <w:bottom w:val="single" w:color="auto" w:sz="4" w:space="0"/>
              <w:right w:val="single" w:color="auto" w:sz="4" w:space="0"/>
            </w:tcBorders>
            <w:vAlign w:val="center"/>
          </w:tcPr>
          <w:p w14:paraId="78BDD61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招标人书面澄清的时间</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75BE0C4E">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递交投标文件截止日期</w:t>
            </w:r>
            <w:r>
              <w:rPr>
                <w:rFonts w:hint="eastAsia" w:ascii="宋体" w:hAnsi="宋体" w:eastAsia="宋体" w:cs="宋体"/>
                <w:color w:val="auto"/>
                <w:kern w:val="0"/>
                <w:szCs w:val="21"/>
                <w:highlight w:val="none"/>
                <w:u w:val="single"/>
              </w:rPr>
              <w:t>15日前</w:t>
            </w:r>
          </w:p>
        </w:tc>
      </w:tr>
      <w:tr w14:paraId="160525DC">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8212A7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w:t>
            </w:r>
          </w:p>
        </w:tc>
        <w:tc>
          <w:tcPr>
            <w:tcW w:w="2226" w:type="dxa"/>
            <w:tcBorders>
              <w:top w:val="single" w:color="auto" w:sz="4" w:space="0"/>
              <w:left w:val="single" w:color="auto" w:sz="4" w:space="0"/>
              <w:bottom w:val="single" w:color="auto" w:sz="4" w:space="0"/>
              <w:right w:val="single" w:color="auto" w:sz="4" w:space="0"/>
            </w:tcBorders>
            <w:vAlign w:val="center"/>
          </w:tcPr>
          <w:p w14:paraId="3D178EDC">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招标人规定由分包人承担的工作</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6D99A703">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按照合同相关约定执行。</w:t>
            </w:r>
          </w:p>
        </w:tc>
      </w:tr>
      <w:tr w14:paraId="5CDA0B7D">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67FEBF4">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w:t>
            </w:r>
          </w:p>
        </w:tc>
        <w:tc>
          <w:tcPr>
            <w:tcW w:w="2226" w:type="dxa"/>
            <w:tcBorders>
              <w:top w:val="single" w:color="auto" w:sz="4" w:space="0"/>
              <w:left w:val="single" w:color="auto" w:sz="4" w:space="0"/>
              <w:bottom w:val="single" w:color="auto" w:sz="4" w:space="0"/>
              <w:right w:val="single" w:color="auto" w:sz="4" w:space="0"/>
            </w:tcBorders>
            <w:vAlign w:val="center"/>
          </w:tcPr>
          <w:p w14:paraId="30CF0369">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投标人拟分包的工作</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71759378">
            <w:pPr>
              <w:pStyle w:val="15"/>
              <w:shd w:val="clear"/>
              <w:topLinePunct/>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10D63E38">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r>
              <w:rPr>
                <w:rFonts w:hint="eastAsia" w:ascii="宋体" w:hAnsi="宋体" w:eastAsia="宋体" w:cs="宋体"/>
                <w:color w:val="auto"/>
                <w:kern w:val="0"/>
                <w:szCs w:val="21"/>
                <w:highlight w:val="none"/>
              </w:rPr>
              <w:t>允许非主体、非关键性工程进行分包，</w:t>
            </w:r>
            <w:r>
              <w:rPr>
                <w:rFonts w:hint="eastAsia" w:ascii="宋体" w:hAnsi="宋体" w:eastAsia="宋体" w:cs="宋体"/>
                <w:color w:val="auto"/>
                <w:kern w:val="0"/>
                <w:szCs w:val="21"/>
                <w:highlight w:val="none"/>
                <w:lang w:val="en-US" w:eastAsia="zh-CN"/>
              </w:rPr>
              <w:t>具体详见合同约定。</w:t>
            </w:r>
          </w:p>
        </w:tc>
      </w:tr>
      <w:tr w14:paraId="7AFA916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7895CA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2226" w:type="dxa"/>
            <w:tcBorders>
              <w:top w:val="single" w:color="auto" w:sz="4" w:space="0"/>
              <w:left w:val="single" w:color="auto" w:sz="4" w:space="0"/>
              <w:bottom w:val="single" w:color="auto" w:sz="4" w:space="0"/>
              <w:right w:val="single" w:color="auto" w:sz="4" w:space="0"/>
            </w:tcBorders>
            <w:vAlign w:val="center"/>
          </w:tcPr>
          <w:p w14:paraId="29014557">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4B9BB5F">
            <w:pPr>
              <w:pStyle w:val="15"/>
              <w:shd w:val="clear"/>
              <w:topLinePunct/>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7EEEAE6B">
            <w:pPr>
              <w:pStyle w:val="15"/>
              <w:shd w:val="clear"/>
              <w:topLinePunct/>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□允许，允许偏离的内容、偏离范围和幅度</w:t>
            </w:r>
          </w:p>
        </w:tc>
      </w:tr>
      <w:tr w14:paraId="401FA845">
        <w:tblPrEx>
          <w:tblCellMar>
            <w:top w:w="0" w:type="dxa"/>
            <w:left w:w="108" w:type="dxa"/>
            <w:bottom w:w="0" w:type="dxa"/>
            <w:right w:w="108" w:type="dxa"/>
          </w:tblCellMar>
        </w:tblPrEx>
        <w:trPr>
          <w:trHeight w:val="1076" w:hRule="atLeast"/>
        </w:trPr>
        <w:tc>
          <w:tcPr>
            <w:tcW w:w="1165" w:type="dxa"/>
            <w:tcBorders>
              <w:top w:val="single" w:color="auto" w:sz="4" w:space="0"/>
              <w:left w:val="single" w:color="auto" w:sz="4" w:space="0"/>
              <w:bottom w:val="single" w:color="auto" w:sz="4" w:space="0"/>
              <w:right w:val="single" w:color="auto" w:sz="4" w:space="0"/>
            </w:tcBorders>
            <w:vAlign w:val="center"/>
          </w:tcPr>
          <w:p w14:paraId="4EAE4042">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26" w:type="dxa"/>
            <w:tcBorders>
              <w:top w:val="single" w:color="auto" w:sz="4" w:space="0"/>
              <w:left w:val="single" w:color="auto" w:sz="4" w:space="0"/>
              <w:bottom w:val="single" w:color="auto" w:sz="4" w:space="0"/>
              <w:right w:val="single" w:color="auto" w:sz="4" w:space="0"/>
            </w:tcBorders>
            <w:vAlign w:val="center"/>
          </w:tcPr>
          <w:p w14:paraId="67F7EAC2">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2DEF0A1">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招标文件</w:t>
            </w:r>
            <w:r>
              <w:rPr>
                <w:rFonts w:hint="eastAsia" w:ascii="宋体" w:hAnsi="宋体" w:eastAsia="宋体" w:cs="宋体"/>
                <w:color w:val="auto"/>
                <w:szCs w:val="21"/>
                <w:highlight w:val="none"/>
                <w:u w:val="single"/>
              </w:rPr>
              <w:t>答疑纪要、澄清文件等（如有）。</w:t>
            </w:r>
          </w:p>
        </w:tc>
      </w:tr>
      <w:tr w14:paraId="5D600991">
        <w:tblPrEx>
          <w:tblCellMar>
            <w:top w:w="0" w:type="dxa"/>
            <w:left w:w="108" w:type="dxa"/>
            <w:bottom w:w="0" w:type="dxa"/>
            <w:right w:w="108" w:type="dxa"/>
          </w:tblCellMar>
        </w:tblPrEx>
        <w:trPr>
          <w:trHeight w:val="1637" w:hRule="atLeast"/>
        </w:trPr>
        <w:tc>
          <w:tcPr>
            <w:tcW w:w="1165" w:type="dxa"/>
            <w:tcBorders>
              <w:top w:val="single" w:color="auto" w:sz="4" w:space="0"/>
              <w:left w:val="single" w:color="auto" w:sz="4" w:space="0"/>
              <w:bottom w:val="single" w:color="auto" w:sz="4" w:space="0"/>
              <w:right w:val="single" w:color="auto" w:sz="4" w:space="0"/>
            </w:tcBorders>
            <w:vAlign w:val="center"/>
          </w:tcPr>
          <w:p w14:paraId="68BB1E76">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2226" w:type="dxa"/>
            <w:tcBorders>
              <w:top w:val="single" w:color="auto" w:sz="4" w:space="0"/>
              <w:left w:val="single" w:color="auto" w:sz="4" w:space="0"/>
              <w:bottom w:val="single" w:color="auto" w:sz="4" w:space="0"/>
              <w:right w:val="single" w:color="auto" w:sz="4" w:space="0"/>
            </w:tcBorders>
            <w:vAlign w:val="center"/>
          </w:tcPr>
          <w:p w14:paraId="3ABF0166">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投标人要求澄清招标文件的截止时间</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DFA3330">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招标答疑采用网上答疑方式进行。投标人若对招标文件有疑问的，可在递交投标文件截止时间18日前提出。</w:t>
            </w:r>
          </w:p>
          <w:p w14:paraId="0CC05EE6">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投标人疑问通过网上提交。具体操作方法详见广州交易集团有限公司（广州公共资源交易中心）网站发布的最新版操作指引。</w:t>
            </w:r>
          </w:p>
        </w:tc>
      </w:tr>
      <w:tr w14:paraId="7F7C4F9A">
        <w:tblPrEx>
          <w:tblCellMar>
            <w:top w:w="0" w:type="dxa"/>
            <w:left w:w="108" w:type="dxa"/>
            <w:bottom w:w="0" w:type="dxa"/>
            <w:right w:w="108" w:type="dxa"/>
          </w:tblCellMar>
        </w:tblPrEx>
        <w:trPr>
          <w:trHeight w:val="511" w:hRule="atLeast"/>
        </w:trPr>
        <w:tc>
          <w:tcPr>
            <w:tcW w:w="1165" w:type="dxa"/>
            <w:tcBorders>
              <w:top w:val="single" w:color="auto" w:sz="4" w:space="0"/>
              <w:left w:val="single" w:color="auto" w:sz="4" w:space="0"/>
              <w:bottom w:val="single" w:color="auto" w:sz="4" w:space="0"/>
              <w:right w:val="single" w:color="auto" w:sz="4" w:space="0"/>
            </w:tcBorders>
            <w:vAlign w:val="center"/>
          </w:tcPr>
          <w:p w14:paraId="46D189A6">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2226" w:type="dxa"/>
            <w:tcBorders>
              <w:top w:val="single" w:color="auto" w:sz="4" w:space="0"/>
              <w:left w:val="single" w:color="auto" w:sz="4" w:space="0"/>
              <w:bottom w:val="single" w:color="auto" w:sz="4" w:space="0"/>
              <w:right w:val="single" w:color="auto" w:sz="4" w:space="0"/>
            </w:tcBorders>
            <w:vAlign w:val="center"/>
          </w:tcPr>
          <w:p w14:paraId="4D7952E3">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43BA6F15">
            <w:pPr>
              <w:shd w:val="clea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333A78A7">
        <w:tblPrEx>
          <w:tblCellMar>
            <w:top w:w="0" w:type="dxa"/>
            <w:left w:w="108" w:type="dxa"/>
            <w:bottom w:w="0" w:type="dxa"/>
            <w:right w:w="108" w:type="dxa"/>
          </w:tblCellMar>
        </w:tblPrEx>
        <w:trPr>
          <w:trHeight w:val="1303" w:hRule="atLeast"/>
        </w:trPr>
        <w:tc>
          <w:tcPr>
            <w:tcW w:w="1165" w:type="dxa"/>
            <w:tcBorders>
              <w:top w:val="single" w:color="auto" w:sz="4" w:space="0"/>
              <w:left w:val="single" w:color="auto" w:sz="4" w:space="0"/>
              <w:bottom w:val="single" w:color="auto" w:sz="4" w:space="0"/>
              <w:right w:val="single" w:color="auto" w:sz="4" w:space="0"/>
            </w:tcBorders>
            <w:vAlign w:val="center"/>
          </w:tcPr>
          <w:p w14:paraId="23B5E57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2226" w:type="dxa"/>
            <w:tcBorders>
              <w:top w:val="single" w:color="auto" w:sz="4" w:space="0"/>
              <w:left w:val="single" w:color="auto" w:sz="4" w:space="0"/>
              <w:bottom w:val="single" w:color="auto" w:sz="4" w:space="0"/>
              <w:right w:val="single" w:color="auto" w:sz="4" w:space="0"/>
            </w:tcBorders>
            <w:vAlign w:val="center"/>
          </w:tcPr>
          <w:p w14:paraId="627B2DE8">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投标人确认收到招标文件澄清的时间</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63B24C8">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w:t>
            </w:r>
          </w:p>
        </w:tc>
      </w:tr>
      <w:tr w14:paraId="698FB6D8">
        <w:tblPrEx>
          <w:tblCellMar>
            <w:top w:w="0" w:type="dxa"/>
            <w:left w:w="108" w:type="dxa"/>
            <w:bottom w:w="0" w:type="dxa"/>
            <w:right w:w="108" w:type="dxa"/>
          </w:tblCellMar>
        </w:tblPrEx>
        <w:trPr>
          <w:trHeight w:val="1366" w:hRule="atLeast"/>
        </w:trPr>
        <w:tc>
          <w:tcPr>
            <w:tcW w:w="1165" w:type="dxa"/>
            <w:tcBorders>
              <w:top w:val="single" w:color="auto" w:sz="4" w:space="0"/>
              <w:left w:val="single" w:color="auto" w:sz="4" w:space="0"/>
              <w:bottom w:val="single" w:color="auto" w:sz="4" w:space="0"/>
              <w:right w:val="single" w:color="auto" w:sz="4" w:space="0"/>
            </w:tcBorders>
            <w:vAlign w:val="center"/>
          </w:tcPr>
          <w:p w14:paraId="3F009E73">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2226" w:type="dxa"/>
            <w:tcBorders>
              <w:top w:val="single" w:color="auto" w:sz="4" w:space="0"/>
              <w:left w:val="single" w:color="auto" w:sz="4" w:space="0"/>
              <w:bottom w:val="single" w:color="auto" w:sz="4" w:space="0"/>
              <w:right w:val="single" w:color="auto" w:sz="4" w:space="0"/>
            </w:tcBorders>
            <w:vAlign w:val="center"/>
          </w:tcPr>
          <w:p w14:paraId="31FC368A">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投标人确认收到招标文件修改的时间</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2F3339D2">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w:t>
            </w:r>
          </w:p>
        </w:tc>
      </w:tr>
      <w:tr w14:paraId="376F287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E047D38">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2226" w:type="dxa"/>
            <w:tcBorders>
              <w:top w:val="single" w:color="auto" w:sz="4" w:space="0"/>
              <w:left w:val="single" w:color="auto" w:sz="4" w:space="0"/>
              <w:bottom w:val="single" w:color="auto" w:sz="4" w:space="0"/>
              <w:right w:val="single" w:color="auto" w:sz="4" w:space="0"/>
            </w:tcBorders>
            <w:vAlign w:val="center"/>
          </w:tcPr>
          <w:p w14:paraId="2F8650C9">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964F559">
            <w:pPr>
              <w:shd w:val="clear"/>
              <w:tabs>
                <w:tab w:val="left" w:pos="462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详见“3.1 投标文件的组成”和第七章《投标文件格式》要求</w:t>
            </w:r>
          </w:p>
        </w:tc>
      </w:tr>
      <w:tr w14:paraId="649B7DDF">
        <w:tblPrEx>
          <w:tblCellMar>
            <w:top w:w="0" w:type="dxa"/>
            <w:left w:w="108" w:type="dxa"/>
            <w:bottom w:w="0" w:type="dxa"/>
            <w:right w:w="108" w:type="dxa"/>
          </w:tblCellMar>
        </w:tblPrEx>
        <w:trPr>
          <w:trHeight w:val="5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964BC03">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w:t>
            </w:r>
          </w:p>
        </w:tc>
        <w:tc>
          <w:tcPr>
            <w:tcW w:w="2226" w:type="dxa"/>
            <w:tcBorders>
              <w:top w:val="single" w:color="auto" w:sz="4" w:space="0"/>
              <w:left w:val="single" w:color="auto" w:sz="4" w:space="0"/>
              <w:bottom w:val="single" w:color="auto" w:sz="4" w:space="0"/>
              <w:right w:val="single" w:color="auto" w:sz="4" w:space="0"/>
            </w:tcBorders>
            <w:vAlign w:val="center"/>
          </w:tcPr>
          <w:p w14:paraId="29F1E0AC">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最高投标限价或其计算方法</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4D47B7E">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本项目最高投标限价总价为</w:t>
            </w:r>
            <w:r>
              <w:rPr>
                <w:rFonts w:hint="eastAsia" w:ascii="宋体" w:hAnsi="宋体" w:cs="宋体"/>
                <w:color w:val="auto"/>
                <w:szCs w:val="21"/>
                <w:highlight w:val="none"/>
                <w:u w:val="single"/>
                <w:lang w:val="en-US" w:eastAsia="zh-CN"/>
              </w:rPr>
              <w:t>837.708858万元</w:t>
            </w:r>
            <w:r>
              <w:rPr>
                <w:rFonts w:hint="eastAsia" w:ascii="宋体" w:hAnsi="宋体" w:eastAsia="宋体" w:cs="宋体"/>
                <w:color w:val="auto"/>
                <w:szCs w:val="21"/>
                <w:highlight w:val="none"/>
              </w:rPr>
              <w:t>；其中：建安工程费最高投标限价为</w:t>
            </w:r>
            <w:r>
              <w:rPr>
                <w:rFonts w:hint="eastAsia" w:ascii="宋体" w:hAnsi="宋体" w:cs="宋体"/>
                <w:color w:val="auto"/>
                <w:szCs w:val="21"/>
                <w:highlight w:val="none"/>
                <w:u w:val="single"/>
                <w:lang w:val="en-US" w:eastAsia="zh-CN"/>
              </w:rPr>
              <w:t>805.859102</w:t>
            </w:r>
            <w:r>
              <w:rPr>
                <w:rFonts w:hint="eastAsia" w:ascii="宋体" w:hAnsi="宋体" w:eastAsia="宋体" w:cs="宋体"/>
                <w:color w:val="auto"/>
                <w:szCs w:val="21"/>
                <w:highlight w:val="none"/>
              </w:rPr>
              <w:t>万元，设计费最高投标限价为</w:t>
            </w:r>
            <w:r>
              <w:rPr>
                <w:rFonts w:hint="eastAsia" w:ascii="宋体" w:hAnsi="宋体" w:cs="宋体"/>
                <w:color w:val="auto"/>
                <w:szCs w:val="21"/>
                <w:highlight w:val="none"/>
                <w:u w:val="single"/>
                <w:lang w:val="en-US" w:eastAsia="zh-CN"/>
              </w:rPr>
              <w:t>31.849756</w:t>
            </w:r>
            <w:r>
              <w:rPr>
                <w:rFonts w:hint="eastAsia" w:ascii="宋体" w:hAnsi="宋体" w:eastAsia="宋体" w:cs="宋体"/>
                <w:color w:val="auto"/>
                <w:szCs w:val="21"/>
                <w:highlight w:val="none"/>
              </w:rPr>
              <w:t>万元。</w:t>
            </w:r>
          </w:p>
          <w:p w14:paraId="13055967">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注：投标人未按要求报价或投标报价（含投标总报价、建安工程费报价、设计费报价）超过上述相应最高投标限价的为无效标。</w:t>
            </w:r>
          </w:p>
        </w:tc>
      </w:tr>
      <w:tr w14:paraId="5E80272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D43BF2C">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2226" w:type="dxa"/>
            <w:tcBorders>
              <w:top w:val="single" w:color="auto" w:sz="4" w:space="0"/>
              <w:left w:val="single" w:color="auto" w:sz="4" w:space="0"/>
              <w:bottom w:val="single" w:color="auto" w:sz="4" w:space="0"/>
              <w:right w:val="single" w:color="auto" w:sz="4" w:space="0"/>
            </w:tcBorders>
            <w:vAlign w:val="center"/>
          </w:tcPr>
          <w:p w14:paraId="0BEE99B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72B354C1">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）设计费：由投标人根据招标文件要求以及企业自身情况自行报价和填报下浮率，结算方式按照合同约定的相应条款执行。</w:t>
            </w:r>
          </w:p>
          <w:p w14:paraId="31A62C93">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）建安工程费：由投标人根据招标文件要求以及企业自身情况自行报价和填报下浮率，结算方式按照合同约定的相应条款执行。</w:t>
            </w:r>
          </w:p>
        </w:tc>
      </w:tr>
      <w:tr w14:paraId="07A34162">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D998CF1">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2226" w:type="dxa"/>
            <w:tcBorders>
              <w:top w:val="single" w:color="auto" w:sz="4" w:space="0"/>
              <w:left w:val="single" w:color="auto" w:sz="4" w:space="0"/>
              <w:bottom w:val="single" w:color="auto" w:sz="4" w:space="0"/>
              <w:right w:val="single" w:color="auto" w:sz="4" w:space="0"/>
            </w:tcBorders>
            <w:vAlign w:val="center"/>
          </w:tcPr>
          <w:p w14:paraId="37E9599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F3E7429">
            <w:pPr>
              <w:shd w:val="clear"/>
              <w:spacing w:line="276" w:lineRule="auto"/>
              <w:rPr>
                <w:rFonts w:hint="eastAsia" w:ascii="宋体" w:hAnsi="宋体" w:eastAsia="宋体" w:cs="宋体"/>
                <w:color w:val="auto"/>
                <w:szCs w:val="21"/>
                <w:highlight w:val="none"/>
              </w:rPr>
            </w:pPr>
            <w:r>
              <w:rPr>
                <w:rFonts w:hint="eastAsia" w:ascii="宋体" w:hAnsi="宋体" w:cs="宋体"/>
                <w:b/>
                <w:bCs/>
                <w:color w:val="auto"/>
                <w:kern w:val="0"/>
                <w:szCs w:val="21"/>
                <w:highlight w:val="none"/>
                <w:u w:val="single"/>
                <w:lang w:val="en-US" w:eastAsia="zh-CN"/>
              </w:rPr>
              <w:t>12</w:t>
            </w:r>
            <w:r>
              <w:rPr>
                <w:rFonts w:hint="eastAsia" w:ascii="宋体" w:hAnsi="宋体" w:eastAsia="宋体" w:cs="宋体"/>
                <w:b/>
                <w:bCs/>
                <w:color w:val="auto"/>
                <w:kern w:val="0"/>
                <w:szCs w:val="21"/>
                <w:highlight w:val="none"/>
                <w:u w:val="single"/>
              </w:rPr>
              <w:t>0</w:t>
            </w:r>
            <w:r>
              <w:rPr>
                <w:rFonts w:hint="eastAsia" w:ascii="宋体" w:hAnsi="宋体" w:eastAsia="宋体" w:cs="宋体"/>
                <w:color w:val="auto"/>
                <w:kern w:val="0"/>
                <w:szCs w:val="21"/>
                <w:highlight w:val="none"/>
              </w:rPr>
              <w:t>日历天（从投标截止之日计起）</w:t>
            </w:r>
          </w:p>
        </w:tc>
      </w:tr>
      <w:tr w14:paraId="77C2CB7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2C82C15B">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26" w:type="dxa"/>
            <w:tcBorders>
              <w:top w:val="single" w:color="auto" w:sz="4" w:space="0"/>
              <w:left w:val="single" w:color="auto" w:sz="4" w:space="0"/>
              <w:bottom w:val="single" w:color="auto" w:sz="4" w:space="0"/>
              <w:right w:val="single" w:color="auto" w:sz="4" w:space="0"/>
            </w:tcBorders>
            <w:vAlign w:val="center"/>
          </w:tcPr>
          <w:p w14:paraId="726F5596">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42935C8D">
            <w:pPr>
              <w:widowControl/>
              <w:shd w:val="clear"/>
              <w:spacing w:line="276"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本项目不要求递交投标保证金</w:t>
            </w:r>
          </w:p>
        </w:tc>
      </w:tr>
      <w:tr w14:paraId="26A62DF4">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C03388C">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p>
        </w:tc>
        <w:tc>
          <w:tcPr>
            <w:tcW w:w="2226" w:type="dxa"/>
            <w:tcBorders>
              <w:top w:val="single" w:color="auto" w:sz="4" w:space="0"/>
              <w:left w:val="single" w:color="auto" w:sz="4" w:space="0"/>
              <w:bottom w:val="single" w:color="auto" w:sz="4" w:space="0"/>
              <w:right w:val="single" w:color="auto" w:sz="4" w:space="0"/>
            </w:tcBorders>
            <w:vAlign w:val="center"/>
          </w:tcPr>
          <w:p w14:paraId="34F0D95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3E334ACC">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6D6AF48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A8415BA">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p>
        </w:tc>
        <w:tc>
          <w:tcPr>
            <w:tcW w:w="2226" w:type="dxa"/>
            <w:tcBorders>
              <w:top w:val="single" w:color="auto" w:sz="4" w:space="0"/>
              <w:left w:val="single" w:color="auto" w:sz="4" w:space="0"/>
              <w:bottom w:val="single" w:color="auto" w:sz="4" w:space="0"/>
              <w:right w:val="single" w:color="auto" w:sz="4" w:space="0"/>
            </w:tcBorders>
            <w:vAlign w:val="center"/>
          </w:tcPr>
          <w:p w14:paraId="32F475B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近年完成的类似项目</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DDC6F03">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w:t>
            </w:r>
          </w:p>
        </w:tc>
      </w:tr>
      <w:tr w14:paraId="55C097D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1F1C420">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w:t>
            </w:r>
          </w:p>
        </w:tc>
        <w:tc>
          <w:tcPr>
            <w:tcW w:w="2226" w:type="dxa"/>
            <w:tcBorders>
              <w:top w:val="single" w:color="auto" w:sz="4" w:space="0"/>
              <w:left w:val="single" w:color="auto" w:sz="4" w:space="0"/>
              <w:bottom w:val="single" w:color="auto" w:sz="4" w:space="0"/>
              <w:right w:val="single" w:color="auto" w:sz="4" w:space="0"/>
            </w:tcBorders>
            <w:vAlign w:val="center"/>
          </w:tcPr>
          <w:p w14:paraId="05CC39C6">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近年发生的重大诉讼及仲裁情况</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22CE2F8A">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F111DA8">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A670A1C">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2226" w:type="dxa"/>
            <w:tcBorders>
              <w:top w:val="single" w:color="auto" w:sz="4" w:space="0"/>
              <w:left w:val="single" w:color="auto" w:sz="4" w:space="0"/>
              <w:bottom w:val="single" w:color="auto" w:sz="4" w:space="0"/>
              <w:right w:val="single" w:color="auto" w:sz="4" w:space="0"/>
            </w:tcBorders>
            <w:vAlign w:val="center"/>
          </w:tcPr>
          <w:p w14:paraId="06E5F182">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820AAE9">
            <w:pPr>
              <w:pStyle w:val="15"/>
              <w:shd w:val="clear"/>
              <w:topLinePunct/>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45D64DFA">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7E0D2AD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F05AC24">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2226" w:type="dxa"/>
            <w:tcBorders>
              <w:top w:val="single" w:color="auto" w:sz="4" w:space="0"/>
              <w:left w:val="single" w:color="auto" w:sz="4" w:space="0"/>
              <w:bottom w:val="single" w:color="auto" w:sz="4" w:space="0"/>
              <w:right w:val="single" w:color="auto" w:sz="4" w:space="0"/>
            </w:tcBorders>
            <w:vAlign w:val="center"/>
          </w:tcPr>
          <w:p w14:paraId="263934A6">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B248267">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投标人采用单位数字证书，</w:t>
            </w:r>
            <w:r>
              <w:rPr>
                <w:rFonts w:hint="eastAsia" w:ascii="宋体" w:hAnsi="宋体" w:cs="宋体"/>
                <w:color w:val="auto"/>
                <w:szCs w:val="21"/>
                <w:highlight w:val="none"/>
                <w:u w:val="single"/>
                <w:lang w:val="en-US" w:eastAsia="zh-CN"/>
              </w:rPr>
              <w:t>对投标文件</w:t>
            </w:r>
            <w:r>
              <w:rPr>
                <w:rFonts w:hint="eastAsia" w:ascii="宋体" w:hAnsi="宋体" w:eastAsia="宋体" w:cs="宋体"/>
                <w:color w:val="auto"/>
                <w:szCs w:val="21"/>
                <w:highlight w:val="none"/>
                <w:u w:val="single"/>
              </w:rPr>
              <w:t>加盖电子印章。投标文件中需个人签字或盖章的，应加盖个人电子印章或在线下完成后扫描上传。按照广州交易集团有限公司（广州公共资源交易中心）交易平台关于全流程电子化项目的相关指南进行操作。联合体投标的，除投标文件中的《联合体共同投标协议书》需联合体各方盖章、签字外，投标文件其他内容中的“投标人”、“声明企业”应填写联合体各方的单位全称，但由主办方盖章、签字即可。</w:t>
            </w:r>
          </w:p>
          <w:p w14:paraId="30A8BB2B">
            <w:pPr>
              <w:pStyle w:val="16"/>
              <w:shd w:val="clear"/>
              <w:spacing w:line="276"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注：</w:t>
            </w:r>
            <w:r>
              <w:rPr>
                <w:rFonts w:hint="eastAsia" w:ascii="宋体" w:hAnsi="宋体" w:eastAsia="宋体" w:cs="宋体"/>
                <w:b/>
                <w:color w:val="auto"/>
                <w:szCs w:val="21"/>
                <w:highlight w:val="none"/>
                <w:u w:val="single"/>
                <w:lang w:val="en-US" w:eastAsia="zh-CN"/>
              </w:rPr>
              <w:t>设计方案</w:t>
            </w:r>
            <w:r>
              <w:rPr>
                <w:rFonts w:hint="eastAsia" w:ascii="宋体" w:hAnsi="宋体" w:eastAsia="宋体" w:cs="宋体"/>
                <w:b/>
                <w:color w:val="auto"/>
                <w:szCs w:val="21"/>
                <w:highlight w:val="none"/>
                <w:u w:val="single"/>
              </w:rPr>
              <w:t>投标文件为暗标，投标人在</w:t>
            </w:r>
            <w:r>
              <w:rPr>
                <w:rFonts w:hint="eastAsia" w:ascii="宋体" w:hAnsi="宋体" w:eastAsia="宋体" w:cs="宋体"/>
                <w:b/>
                <w:color w:val="auto"/>
                <w:szCs w:val="21"/>
                <w:highlight w:val="none"/>
                <w:u w:val="single"/>
                <w:lang w:val="en-US" w:eastAsia="zh-CN"/>
              </w:rPr>
              <w:t>设计方案</w:t>
            </w:r>
            <w:r>
              <w:rPr>
                <w:rFonts w:hint="eastAsia" w:ascii="宋体" w:hAnsi="宋体" w:eastAsia="宋体" w:cs="宋体"/>
                <w:b/>
                <w:color w:val="auto"/>
                <w:szCs w:val="21"/>
                <w:highlight w:val="none"/>
                <w:u w:val="single"/>
              </w:rPr>
              <w:t>内不得标注名称、印章、商标、图形等记认符号，且不得识辨出投标人或其专业技术人员的身份。</w:t>
            </w:r>
          </w:p>
        </w:tc>
      </w:tr>
      <w:tr w14:paraId="5C0B943A">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569AB2D0">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2226" w:type="dxa"/>
            <w:tcBorders>
              <w:top w:val="single" w:color="auto" w:sz="4" w:space="0"/>
              <w:left w:val="single" w:color="auto" w:sz="4" w:space="0"/>
              <w:bottom w:val="single" w:color="auto" w:sz="4" w:space="0"/>
              <w:right w:val="single" w:color="auto" w:sz="4" w:space="0"/>
            </w:tcBorders>
            <w:vAlign w:val="center"/>
          </w:tcPr>
          <w:p w14:paraId="0A449BE2">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38C6A0FC">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6E493A03">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61BCE277">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w:t>
            </w:r>
          </w:p>
        </w:tc>
        <w:tc>
          <w:tcPr>
            <w:tcW w:w="2226" w:type="dxa"/>
            <w:tcBorders>
              <w:top w:val="single" w:color="auto" w:sz="4" w:space="0"/>
              <w:left w:val="single" w:color="auto" w:sz="4" w:space="0"/>
              <w:bottom w:val="single" w:color="auto" w:sz="4" w:space="0"/>
              <w:right w:val="single" w:color="auto" w:sz="4" w:space="0"/>
            </w:tcBorders>
            <w:vAlign w:val="center"/>
          </w:tcPr>
          <w:p w14:paraId="6469A03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04545D3C">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FD90BD4">
        <w:tblPrEx>
          <w:tblCellMar>
            <w:top w:w="0" w:type="dxa"/>
            <w:left w:w="108" w:type="dxa"/>
            <w:bottom w:w="0" w:type="dxa"/>
            <w:right w:w="108" w:type="dxa"/>
          </w:tblCellMar>
        </w:tblPrEx>
        <w:trPr>
          <w:trHeight w:val="185" w:hRule="atLeast"/>
        </w:trPr>
        <w:tc>
          <w:tcPr>
            <w:tcW w:w="1165" w:type="dxa"/>
            <w:tcBorders>
              <w:top w:val="single" w:color="auto" w:sz="4" w:space="0"/>
              <w:left w:val="single" w:color="auto" w:sz="4" w:space="0"/>
              <w:bottom w:val="single" w:color="auto" w:sz="4" w:space="0"/>
              <w:right w:val="single" w:color="auto" w:sz="4" w:space="0"/>
            </w:tcBorders>
            <w:vAlign w:val="center"/>
          </w:tcPr>
          <w:p w14:paraId="459F0B9A">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226" w:type="dxa"/>
            <w:tcBorders>
              <w:top w:val="single" w:color="auto" w:sz="4" w:space="0"/>
              <w:left w:val="single" w:color="auto" w:sz="4" w:space="0"/>
              <w:bottom w:val="single" w:color="auto" w:sz="4" w:space="0"/>
              <w:right w:val="single" w:color="auto" w:sz="4" w:space="0"/>
            </w:tcBorders>
            <w:vAlign w:val="center"/>
          </w:tcPr>
          <w:p w14:paraId="7CFCE7CC">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6F5F4247">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p>
        </w:tc>
      </w:tr>
      <w:tr w14:paraId="49776116">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0E6E99B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2226" w:type="dxa"/>
            <w:tcBorders>
              <w:top w:val="single" w:color="auto" w:sz="4" w:space="0"/>
              <w:left w:val="single" w:color="auto" w:sz="4" w:space="0"/>
              <w:bottom w:val="single" w:color="auto" w:sz="4" w:space="0"/>
              <w:right w:val="single" w:color="auto" w:sz="4" w:space="0"/>
            </w:tcBorders>
            <w:vAlign w:val="center"/>
          </w:tcPr>
          <w:p w14:paraId="7AC5B5B5">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递交投标文件地点</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6F3FC06">
            <w:pPr>
              <w:shd w:val="clear"/>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投标人应在截止时间前通过广州交易集团有限公司（广州公共资源交易中心）交易平台递交电子投标文件。</w:t>
            </w:r>
          </w:p>
        </w:tc>
      </w:tr>
      <w:tr w14:paraId="396CEC05">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2AC02D3">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2226" w:type="dxa"/>
            <w:tcBorders>
              <w:top w:val="single" w:color="auto" w:sz="4" w:space="0"/>
              <w:left w:val="single" w:color="auto" w:sz="4" w:space="0"/>
              <w:bottom w:val="single" w:color="auto" w:sz="4" w:space="0"/>
              <w:right w:val="single" w:color="auto" w:sz="4" w:space="0"/>
            </w:tcBorders>
            <w:vAlign w:val="center"/>
          </w:tcPr>
          <w:p w14:paraId="4285BE19">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25BB92EA">
            <w:pPr>
              <w:pStyle w:val="15"/>
              <w:shd w:val="clear"/>
              <w:topLinePunct/>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p w14:paraId="72AC87FE">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tc>
      </w:tr>
      <w:tr w14:paraId="2C72B36F">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14:paraId="235434F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26" w:type="dxa"/>
            <w:tcBorders>
              <w:top w:val="single" w:color="auto" w:sz="4" w:space="0"/>
              <w:left w:val="single" w:color="auto" w:sz="4" w:space="0"/>
              <w:bottom w:val="single" w:color="auto" w:sz="4" w:space="0"/>
              <w:right w:val="single" w:color="auto" w:sz="4" w:space="0"/>
            </w:tcBorders>
            <w:vAlign w:val="center"/>
          </w:tcPr>
          <w:p w14:paraId="4C034F39">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279FA0A0">
            <w:pPr>
              <w:widowControl/>
              <w:shd w:val="clear"/>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开标时间：</w:t>
            </w:r>
            <w:r>
              <w:rPr>
                <w:rFonts w:hint="eastAsia" w:ascii="宋体" w:hAnsi="宋体" w:eastAsia="宋体" w:cs="宋体"/>
                <w:color w:val="auto"/>
                <w:kern w:val="0"/>
                <w:szCs w:val="21"/>
                <w:highlight w:val="none"/>
                <w:u w:val="single"/>
              </w:rPr>
              <w:t>开标时间同投标截止时间。</w:t>
            </w:r>
          </w:p>
          <w:p w14:paraId="3908D92F">
            <w:pPr>
              <w:widowControl/>
              <w:shd w:val="clear"/>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开标地点：</w:t>
            </w:r>
            <w:r>
              <w:rPr>
                <w:rFonts w:hint="eastAsia" w:ascii="宋体" w:hAnsi="宋体" w:eastAsia="宋体" w:cs="宋体"/>
                <w:color w:val="auto"/>
                <w:kern w:val="0"/>
                <w:szCs w:val="21"/>
                <w:highlight w:val="none"/>
                <w:u w:val="single"/>
              </w:rPr>
              <w:t>在广州交易集团有限公司（广州公共资源交易中心）交易平台进行网上开标。</w:t>
            </w:r>
          </w:p>
        </w:tc>
      </w:tr>
      <w:tr w14:paraId="2CE3F71A">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14:paraId="30032DA1">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26" w:type="dxa"/>
            <w:tcBorders>
              <w:top w:val="single" w:color="auto" w:sz="4" w:space="0"/>
              <w:left w:val="single" w:color="auto" w:sz="4" w:space="0"/>
              <w:bottom w:val="single" w:color="auto" w:sz="4" w:space="0"/>
              <w:right w:val="single" w:color="auto" w:sz="4" w:space="0"/>
            </w:tcBorders>
            <w:vAlign w:val="center"/>
          </w:tcPr>
          <w:p w14:paraId="11CBDB1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2A90829C">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主持人按下列程序进行开标：</w:t>
            </w:r>
          </w:p>
          <w:p w14:paraId="65906C34">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（1）宣布开标纪律；</w:t>
            </w:r>
          </w:p>
          <w:p w14:paraId="7E4583C9">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（2）在投标截止时间后</w:t>
            </w:r>
            <w:r>
              <w:rPr>
                <w:rFonts w:hint="eastAsia" w:ascii="宋体" w:hAnsi="宋体" w:cs="宋体"/>
                <w:color w:val="auto"/>
                <w:szCs w:val="21"/>
                <w:highlight w:val="none"/>
                <w:lang w:val="en-US" w:eastAsia="zh-CN"/>
              </w:rPr>
              <w:t>1小时</w:t>
            </w:r>
            <w:r>
              <w:rPr>
                <w:rFonts w:hint="eastAsia" w:ascii="宋体" w:hAnsi="宋体" w:eastAsia="宋体" w:cs="宋体"/>
                <w:color w:val="auto"/>
                <w:szCs w:val="21"/>
                <w:highlight w:val="none"/>
              </w:rPr>
              <w:t>内，投标人通过递交投标文件的交易平台对已递交的电子投标文件进行解密。投标人完成解密后，再由招标人进行解密（投标人只用执行一次解密，招标人执行解密次数根据招标文件开标次数确定）。</w:t>
            </w:r>
          </w:p>
          <w:p w14:paraId="529F80EE">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解密完成后，公布：a投标人名称；b投标文件递交情况；c投标文件解密情况；d项目负责人、设计负责人、专职安全员；e投标报价（含设计费报价和建安工程费报价）；f工期；g投标人的加密打包投标文件电脑机器特征码等主要内容，并记录在案。未在规定时间内解密的投标文件不参与开标、评标。</w:t>
            </w:r>
          </w:p>
          <w:p w14:paraId="72D8840B">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（4）截标后，开标开始时间因故推迟的，相关评标信息仍以原定的开标开始时间的信息为准。</w:t>
            </w:r>
          </w:p>
          <w:p w14:paraId="1698215F">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（5）备用光盘的读取按“10 电子招标投标”第6点的规定执行。</w:t>
            </w:r>
          </w:p>
          <w:p w14:paraId="5EC24ADF">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42A2270">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参加现场开标的投标人对开标结果有异议的，应当在开标现场提出，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5BFDB4EF">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（8）投标人未参加开标或在规定的时间内未提出异议的，视为对开标无异议。</w:t>
            </w:r>
          </w:p>
          <w:p w14:paraId="0EB155BC">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（9）开标时，两个（含两个）以上的投标人加密打包投标文件电脑机器特征码一致的，不参与下一程序，并由评标委员会否决其投标。</w:t>
            </w:r>
          </w:p>
          <w:p w14:paraId="5FCFB79A">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（10）投标文件（</w:t>
            </w:r>
            <w:r>
              <w:rPr>
                <w:rFonts w:hint="eastAsia" w:ascii="宋体" w:hAnsi="宋体" w:eastAsia="宋体" w:cs="宋体"/>
                <w:color w:val="auto"/>
                <w:szCs w:val="21"/>
                <w:highlight w:val="none"/>
                <w:lang w:val="en-US" w:eastAsia="zh-CN"/>
              </w:rPr>
              <w:t>设计方案</w:t>
            </w:r>
            <w:r>
              <w:rPr>
                <w:rFonts w:hint="eastAsia" w:ascii="宋体" w:hAnsi="宋体" w:eastAsia="宋体" w:cs="宋体"/>
                <w:color w:val="auto"/>
                <w:szCs w:val="21"/>
                <w:highlight w:val="none"/>
              </w:rPr>
              <w:t>）开标时不得开启，在评标时由交易平台随机编号后开启，交由评标委员会进行评审。编号所对应的投标人在</w:t>
            </w:r>
            <w:r>
              <w:rPr>
                <w:rFonts w:hint="eastAsia" w:ascii="宋体" w:hAnsi="宋体" w:eastAsia="宋体" w:cs="宋体"/>
                <w:color w:val="auto"/>
                <w:szCs w:val="21"/>
                <w:highlight w:val="none"/>
                <w:lang w:val="en-US" w:eastAsia="zh-CN"/>
              </w:rPr>
              <w:t>设计方案</w:t>
            </w:r>
            <w:r>
              <w:rPr>
                <w:rFonts w:hint="eastAsia" w:ascii="宋体" w:hAnsi="宋体" w:eastAsia="宋体" w:cs="宋体"/>
                <w:color w:val="auto"/>
                <w:szCs w:val="21"/>
                <w:highlight w:val="none"/>
              </w:rPr>
              <w:t>评审结束前不得告知评标委员会、交易平台工作人员、招标人或招标代理机构。</w:t>
            </w:r>
          </w:p>
          <w:p w14:paraId="375A12AF">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（11）投标人未参加开标或在规定的时间内未提出异议的，视为对开标无异议。</w:t>
            </w:r>
          </w:p>
          <w:p w14:paraId="5FCCF07F">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（12）投标人代表、招标人代表、监标人、记录人等有关人员在开标记录上签字确认；若有关人员不签字的，不影响开标程序；</w:t>
            </w:r>
          </w:p>
          <w:p w14:paraId="3E4C8129">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（13）开标结束。</w:t>
            </w:r>
          </w:p>
        </w:tc>
      </w:tr>
      <w:tr w14:paraId="22A2CB88">
        <w:tblPrEx>
          <w:tblCellMar>
            <w:top w:w="0" w:type="dxa"/>
            <w:left w:w="108" w:type="dxa"/>
            <w:bottom w:w="0" w:type="dxa"/>
            <w:right w:w="108" w:type="dxa"/>
          </w:tblCellMar>
        </w:tblPrEx>
        <w:trPr>
          <w:trHeight w:val="1135" w:hRule="atLeast"/>
        </w:trPr>
        <w:tc>
          <w:tcPr>
            <w:tcW w:w="1165" w:type="dxa"/>
            <w:tcBorders>
              <w:top w:val="single" w:color="auto" w:sz="4" w:space="0"/>
              <w:left w:val="single" w:color="auto" w:sz="4" w:space="0"/>
              <w:bottom w:val="single" w:color="auto" w:sz="4" w:space="0"/>
              <w:right w:val="single" w:color="auto" w:sz="4" w:space="0"/>
            </w:tcBorders>
            <w:vAlign w:val="center"/>
          </w:tcPr>
          <w:p w14:paraId="58412E12">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2226" w:type="dxa"/>
            <w:tcBorders>
              <w:top w:val="single" w:color="auto" w:sz="4" w:space="0"/>
              <w:left w:val="single" w:color="auto" w:sz="4" w:space="0"/>
              <w:bottom w:val="single" w:color="auto" w:sz="4" w:space="0"/>
              <w:right w:val="single" w:color="auto" w:sz="4" w:space="0"/>
            </w:tcBorders>
            <w:vAlign w:val="center"/>
          </w:tcPr>
          <w:p w14:paraId="43E96C25">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1643CF0B">
            <w:pPr>
              <w:shd w:val="clear"/>
              <w:spacing w:line="276" w:lineRule="auto"/>
              <w:ind w:left="1476" w:hanging="1476" w:hangingChars="703"/>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评标委员会构成：由招标人依法组建。</w:t>
            </w:r>
          </w:p>
        </w:tc>
      </w:tr>
      <w:tr w14:paraId="58E7D388">
        <w:tblPrEx>
          <w:tblCellMar>
            <w:top w:w="0" w:type="dxa"/>
            <w:left w:w="108" w:type="dxa"/>
            <w:bottom w:w="0" w:type="dxa"/>
            <w:right w:w="108" w:type="dxa"/>
          </w:tblCellMar>
        </w:tblPrEx>
        <w:trPr>
          <w:trHeight w:val="995" w:hRule="atLeast"/>
        </w:trPr>
        <w:tc>
          <w:tcPr>
            <w:tcW w:w="1165" w:type="dxa"/>
            <w:tcBorders>
              <w:top w:val="single" w:color="auto" w:sz="4" w:space="0"/>
              <w:left w:val="single" w:color="auto" w:sz="4" w:space="0"/>
              <w:bottom w:val="single" w:color="auto" w:sz="4" w:space="0"/>
              <w:right w:val="single" w:color="auto" w:sz="4" w:space="0"/>
            </w:tcBorders>
            <w:vAlign w:val="center"/>
          </w:tcPr>
          <w:p w14:paraId="3D5C02D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2226" w:type="dxa"/>
            <w:tcBorders>
              <w:top w:val="single" w:color="auto" w:sz="4" w:space="0"/>
              <w:left w:val="single" w:color="auto" w:sz="4" w:space="0"/>
              <w:bottom w:val="single" w:color="auto" w:sz="4" w:space="0"/>
              <w:right w:val="single" w:color="auto" w:sz="4" w:space="0"/>
            </w:tcBorders>
            <w:vAlign w:val="center"/>
          </w:tcPr>
          <w:p w14:paraId="62A22D8A">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30F35122">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5AFFD10E">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■否，推荐的中标候选人数：3人。</w:t>
            </w:r>
          </w:p>
        </w:tc>
      </w:tr>
      <w:tr w14:paraId="596EB141">
        <w:tblPrEx>
          <w:tblCellMar>
            <w:top w:w="0" w:type="dxa"/>
            <w:left w:w="108" w:type="dxa"/>
            <w:bottom w:w="0" w:type="dxa"/>
            <w:right w:w="108" w:type="dxa"/>
          </w:tblCellMar>
        </w:tblPrEx>
        <w:trPr>
          <w:trHeight w:val="1042" w:hRule="atLeast"/>
        </w:trPr>
        <w:tc>
          <w:tcPr>
            <w:tcW w:w="1165" w:type="dxa"/>
            <w:tcBorders>
              <w:top w:val="single" w:color="auto" w:sz="4" w:space="0"/>
              <w:left w:val="single" w:color="auto" w:sz="4" w:space="0"/>
              <w:bottom w:val="single" w:color="auto" w:sz="4" w:space="0"/>
              <w:right w:val="single" w:color="auto" w:sz="4" w:space="0"/>
            </w:tcBorders>
            <w:vAlign w:val="center"/>
          </w:tcPr>
          <w:p w14:paraId="2FED677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226" w:type="dxa"/>
            <w:tcBorders>
              <w:top w:val="single" w:color="auto" w:sz="4" w:space="0"/>
              <w:left w:val="single" w:color="auto" w:sz="4" w:space="0"/>
              <w:bottom w:val="single" w:color="auto" w:sz="4" w:space="0"/>
              <w:right w:val="single" w:color="auto" w:sz="4" w:space="0"/>
            </w:tcBorders>
            <w:vAlign w:val="center"/>
          </w:tcPr>
          <w:p w14:paraId="244E7DDE">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中标候选人公示媒介</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58B4FB45">
            <w:pPr>
              <w:shd w:val="clear"/>
              <w:spacing w:line="276" w:lineRule="auto"/>
              <w:rPr>
                <w:rFonts w:hint="eastAsia" w:ascii="宋体" w:hAnsi="宋体" w:eastAsia="宋体" w:cs="宋体"/>
                <w:color w:val="auto"/>
                <w:szCs w:val="21"/>
                <w:highlight w:val="none"/>
              </w:rPr>
            </w:pPr>
            <w:r>
              <w:rPr>
                <w:rFonts w:hint="eastAsia" w:ascii="宋体" w:hAnsi="宋体" w:cs="宋体"/>
                <w:color w:val="auto"/>
                <w:kern w:val="0"/>
                <w:szCs w:val="21"/>
              </w:rPr>
              <w:t>广州公共资源交易中心网站（网址：http://www.gzggzy.cn）、广东省招标投标监管网（网址：https://zbtb.gd.gov.cn/#/index）、中国招标投标公共服务平台（网址：http://www.cebpubservice.com）等媒体发布。</w:t>
            </w:r>
          </w:p>
        </w:tc>
      </w:tr>
      <w:tr w14:paraId="12ACCEA2">
        <w:tblPrEx>
          <w:tblCellMar>
            <w:top w:w="0" w:type="dxa"/>
            <w:left w:w="108" w:type="dxa"/>
            <w:bottom w:w="0" w:type="dxa"/>
            <w:right w:w="108" w:type="dxa"/>
          </w:tblCellMar>
        </w:tblPrEx>
        <w:trPr>
          <w:trHeight w:val="1128" w:hRule="atLeast"/>
        </w:trPr>
        <w:tc>
          <w:tcPr>
            <w:tcW w:w="1165" w:type="dxa"/>
            <w:tcBorders>
              <w:top w:val="single" w:color="auto" w:sz="4" w:space="0"/>
              <w:left w:val="single" w:color="auto" w:sz="4" w:space="0"/>
              <w:bottom w:val="single" w:color="auto" w:sz="4" w:space="0"/>
              <w:right w:val="single" w:color="auto" w:sz="4" w:space="0"/>
            </w:tcBorders>
            <w:vAlign w:val="center"/>
          </w:tcPr>
          <w:p w14:paraId="1B567EC3">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w:t>
            </w:r>
          </w:p>
        </w:tc>
        <w:tc>
          <w:tcPr>
            <w:tcW w:w="2226" w:type="dxa"/>
            <w:tcBorders>
              <w:top w:val="single" w:color="auto" w:sz="4" w:space="0"/>
              <w:left w:val="single" w:color="auto" w:sz="4" w:space="0"/>
              <w:bottom w:val="single" w:color="auto" w:sz="4" w:space="0"/>
              <w:right w:val="single" w:color="auto" w:sz="4" w:space="0"/>
            </w:tcBorders>
            <w:vAlign w:val="center"/>
          </w:tcPr>
          <w:p w14:paraId="6BDF1DAB">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6463" w:type="dxa"/>
            <w:gridSpan w:val="2"/>
            <w:tcBorders>
              <w:top w:val="single" w:color="auto" w:sz="4" w:space="0"/>
              <w:left w:val="single" w:color="auto" w:sz="4" w:space="0"/>
              <w:bottom w:val="single" w:color="auto" w:sz="4" w:space="0"/>
              <w:right w:val="single" w:color="auto" w:sz="4" w:space="0"/>
            </w:tcBorders>
            <w:vAlign w:val="center"/>
          </w:tcPr>
          <w:p w14:paraId="774FFF4E">
            <w:pPr>
              <w:widowControl/>
              <w:shd w:val="clear"/>
              <w:spacing w:line="276"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履约担保的形式：</w:t>
            </w:r>
            <w:r>
              <w:rPr>
                <w:rFonts w:hint="eastAsia" w:ascii="宋体" w:hAnsi="宋体" w:cs="宋体"/>
                <w:color w:val="auto"/>
                <w:kern w:val="0"/>
                <w:szCs w:val="21"/>
                <w:highlight w:val="none"/>
                <w:lang w:val="en-US" w:eastAsia="zh-CN"/>
              </w:rPr>
              <w:t>收取</w:t>
            </w:r>
          </w:p>
          <w:p w14:paraId="250A54E3">
            <w:pPr>
              <w:shd w:val="clear"/>
              <w:spacing w:line="276" w:lineRule="auto"/>
              <w:rPr>
                <w:rFonts w:hint="eastAsia" w:ascii="宋体" w:hAnsi="宋体"/>
                <w:color w:val="auto"/>
                <w:highlight w:val="none"/>
              </w:rPr>
            </w:pPr>
            <w:r>
              <w:rPr>
                <w:rFonts w:hint="eastAsia" w:ascii="宋体" w:hAnsi="宋体" w:eastAsia="宋体" w:cs="宋体"/>
                <w:color w:val="auto"/>
                <w:kern w:val="0"/>
                <w:szCs w:val="21"/>
                <w:highlight w:val="none"/>
              </w:rPr>
              <w:t>履约担保的金额：</w:t>
            </w:r>
            <w:r>
              <w:rPr>
                <w:rFonts w:hint="eastAsia" w:ascii="宋体" w:hAnsi="宋体"/>
                <w:color w:val="auto"/>
                <w:highlight w:val="none"/>
              </w:rPr>
              <w:t>中标人提供的</w:t>
            </w:r>
            <w:r>
              <w:rPr>
                <w:rFonts w:hint="eastAsia" w:ascii="宋体" w:hAnsi="宋体" w:cs="宋体"/>
                <w:color w:val="auto"/>
                <w:highlight w:val="none"/>
              </w:rPr>
              <w:t>建安工程费中标金额的</w:t>
            </w:r>
            <w:r>
              <w:rPr>
                <w:rFonts w:hint="eastAsia" w:ascii="宋体" w:hAnsi="宋体" w:cs="宋体"/>
                <w:color w:val="auto"/>
                <w:highlight w:val="none"/>
                <w:lang w:val="en-US" w:eastAsia="zh-CN"/>
              </w:rPr>
              <w:t>5</w:t>
            </w:r>
            <w:r>
              <w:rPr>
                <w:rFonts w:hint="eastAsia" w:ascii="宋体" w:hAnsi="宋体" w:cs="宋体"/>
                <w:color w:val="auto"/>
                <w:highlight w:val="none"/>
              </w:rPr>
              <w:t>％</w:t>
            </w:r>
          </w:p>
          <w:p w14:paraId="0889B75E">
            <w:pPr>
              <w:shd w:val="clear"/>
              <w:spacing w:line="276" w:lineRule="auto"/>
              <w:rPr>
                <w:rFonts w:hint="eastAsia" w:ascii="宋体" w:hAnsi="宋体" w:eastAsia="宋体" w:cs="宋体"/>
                <w:color w:val="auto"/>
                <w:szCs w:val="21"/>
                <w:highlight w:val="none"/>
                <w:lang w:val="en-US" w:eastAsia="zh-CN"/>
              </w:rPr>
            </w:pPr>
            <w:r>
              <w:rPr>
                <w:rFonts w:hint="eastAsia" w:ascii="宋体" w:hAnsi="宋体"/>
                <w:color w:val="auto"/>
                <w:highlight w:val="none"/>
              </w:rPr>
              <w:t>履约保证金的形式：转账、现金或银行保函、保证保险、担保保函或其他合法形式。</w:t>
            </w:r>
          </w:p>
        </w:tc>
      </w:tr>
      <w:tr w14:paraId="1DEC4651">
        <w:tblPrEx>
          <w:tblCellMar>
            <w:top w:w="0" w:type="dxa"/>
            <w:left w:w="108" w:type="dxa"/>
            <w:bottom w:w="0" w:type="dxa"/>
            <w:right w:w="108" w:type="dxa"/>
          </w:tblCellMar>
        </w:tblPrEx>
        <w:trPr>
          <w:trHeight w:val="414" w:hRule="atLeast"/>
        </w:trPr>
        <w:tc>
          <w:tcPr>
            <w:tcW w:w="1165" w:type="dxa"/>
            <w:tcBorders>
              <w:top w:val="single" w:color="auto" w:sz="4" w:space="0"/>
              <w:left w:val="single" w:color="auto" w:sz="4" w:space="0"/>
              <w:bottom w:val="single" w:color="auto" w:sz="4" w:space="0"/>
              <w:right w:val="single" w:color="auto" w:sz="4" w:space="0"/>
            </w:tcBorders>
            <w:vAlign w:val="center"/>
          </w:tcPr>
          <w:p w14:paraId="31BC8377">
            <w:pPr>
              <w:shd w:val="clea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8689" w:type="dxa"/>
            <w:gridSpan w:val="3"/>
            <w:tcBorders>
              <w:top w:val="single" w:color="auto" w:sz="4" w:space="0"/>
              <w:left w:val="single" w:color="auto" w:sz="4" w:space="0"/>
              <w:bottom w:val="single" w:color="auto" w:sz="4" w:space="0"/>
              <w:right w:val="single" w:color="auto" w:sz="4" w:space="0"/>
            </w:tcBorders>
            <w:vAlign w:val="center"/>
          </w:tcPr>
          <w:p w14:paraId="07DD4BFD">
            <w:pPr>
              <w:shd w:val="clear"/>
              <w:spacing w:line="276"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需要补充的其他内容</w:t>
            </w:r>
          </w:p>
        </w:tc>
      </w:tr>
      <w:tr w14:paraId="4C13FD68">
        <w:tblPrEx>
          <w:tblCellMar>
            <w:top w:w="0" w:type="dxa"/>
            <w:left w:w="108" w:type="dxa"/>
            <w:bottom w:w="0" w:type="dxa"/>
            <w:right w:w="108" w:type="dxa"/>
          </w:tblCellMar>
        </w:tblPrEx>
        <w:trPr>
          <w:trHeight w:val="437" w:hRule="atLeast"/>
        </w:trPr>
        <w:tc>
          <w:tcPr>
            <w:tcW w:w="1165" w:type="dxa"/>
            <w:tcBorders>
              <w:top w:val="single" w:color="auto" w:sz="4" w:space="0"/>
              <w:left w:val="single" w:color="auto" w:sz="4" w:space="0"/>
              <w:bottom w:val="single" w:color="auto" w:sz="4" w:space="0"/>
              <w:right w:val="single" w:color="auto" w:sz="4" w:space="0"/>
            </w:tcBorders>
            <w:vAlign w:val="center"/>
          </w:tcPr>
          <w:p w14:paraId="4F77EFF8">
            <w:pPr>
              <w:shd w:val="clear"/>
              <w:spacing w:line="276"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9.1</w:t>
            </w:r>
          </w:p>
        </w:tc>
        <w:tc>
          <w:tcPr>
            <w:tcW w:w="8689" w:type="dxa"/>
            <w:gridSpan w:val="3"/>
            <w:tcBorders>
              <w:top w:val="single" w:color="auto" w:sz="4" w:space="0"/>
              <w:left w:val="single" w:color="auto" w:sz="4" w:space="0"/>
              <w:bottom w:val="single" w:color="auto" w:sz="4" w:space="0"/>
              <w:right w:val="single" w:color="auto" w:sz="4" w:space="0"/>
            </w:tcBorders>
            <w:vAlign w:val="center"/>
          </w:tcPr>
          <w:p w14:paraId="644C3AC8">
            <w:pPr>
              <w:shd w:val="clear"/>
              <w:spacing w:line="276" w:lineRule="auto"/>
              <w:rPr>
                <w:rFonts w:hint="eastAsia" w:ascii="宋体" w:hAnsi="宋体" w:eastAsia="宋体" w:cs="宋体"/>
                <w:bCs/>
                <w:color w:val="auto"/>
                <w:szCs w:val="21"/>
                <w:highlight w:val="none"/>
              </w:rPr>
            </w:pPr>
            <w:r>
              <w:rPr>
                <w:rFonts w:hint="eastAsia" w:ascii="宋体" w:hAnsi="宋体" w:eastAsia="宋体" w:cs="宋体"/>
                <w:bCs/>
                <w:color w:val="auto"/>
                <w:kern w:val="0"/>
                <w:szCs w:val="21"/>
                <w:highlight w:val="none"/>
              </w:rPr>
              <w:t>施工保修期限：按照《建设工程质量管理条例》规定。</w:t>
            </w:r>
          </w:p>
        </w:tc>
      </w:tr>
      <w:tr w14:paraId="74C900F1">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6F10DFD">
            <w:pPr>
              <w:shd w:val="clear"/>
              <w:spacing w:line="276"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9.2</w:t>
            </w:r>
          </w:p>
        </w:tc>
        <w:tc>
          <w:tcPr>
            <w:tcW w:w="8689" w:type="dxa"/>
            <w:gridSpan w:val="3"/>
            <w:tcBorders>
              <w:top w:val="single" w:color="auto" w:sz="4" w:space="0"/>
              <w:left w:val="single" w:color="auto" w:sz="4" w:space="0"/>
              <w:bottom w:val="single" w:color="auto" w:sz="4" w:space="0"/>
              <w:right w:val="single" w:color="auto" w:sz="4" w:space="0"/>
            </w:tcBorders>
            <w:vAlign w:val="center"/>
          </w:tcPr>
          <w:p w14:paraId="4F041F19">
            <w:pPr>
              <w:shd w:val="clear"/>
              <w:spacing w:line="276"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建设工程质量检测管理办法：</w:t>
            </w:r>
          </w:p>
          <w:p w14:paraId="23CA4A32">
            <w:pPr>
              <w:shd w:val="clear"/>
              <w:spacing w:line="276" w:lineRule="auto"/>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F1E41E0">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4C81BDE2">
            <w:pPr>
              <w:shd w:val="clear"/>
              <w:spacing w:line="276"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9.3</w:t>
            </w:r>
          </w:p>
        </w:tc>
        <w:tc>
          <w:tcPr>
            <w:tcW w:w="8689" w:type="dxa"/>
            <w:gridSpan w:val="3"/>
            <w:tcBorders>
              <w:top w:val="single" w:color="auto" w:sz="4" w:space="0"/>
              <w:left w:val="single" w:color="auto" w:sz="4" w:space="0"/>
              <w:bottom w:val="single" w:color="auto" w:sz="4" w:space="0"/>
              <w:right w:val="single" w:color="auto" w:sz="4" w:space="0"/>
            </w:tcBorders>
            <w:vAlign w:val="center"/>
          </w:tcPr>
          <w:p w14:paraId="32E94529">
            <w:pPr>
              <w:shd w:val="clear"/>
              <w:spacing w:line="276"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在招标和合同实施期间，业主要求投标人和承包人遵守最高的道德标准。</w:t>
            </w:r>
          </w:p>
          <w:p w14:paraId="7BAE7467">
            <w:pPr>
              <w:shd w:val="clear"/>
              <w:spacing w:line="276"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1、对本条款的规定，特定义如下词汇：</w:t>
            </w:r>
          </w:p>
          <w:p w14:paraId="0B01420F">
            <w:pPr>
              <w:shd w:val="clear"/>
              <w:spacing w:line="276"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（1）“腐败行为”是指在招标或合同执行期间，通过提供、给予、接受或索要任何有价值的东西，从而影响招标人有关人员工作的行为；</w:t>
            </w:r>
          </w:p>
          <w:p w14:paraId="7038BEBD">
            <w:pPr>
              <w:shd w:val="clear"/>
              <w:spacing w:line="276"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14:paraId="471F3CD8">
            <w:pPr>
              <w:shd w:val="clear"/>
              <w:spacing w:line="276"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2、如果投标人被认定在本招标的竞争中有腐败或欺诈行为，则会被取消投标资格。</w:t>
            </w:r>
          </w:p>
        </w:tc>
      </w:tr>
      <w:tr w14:paraId="28AD3A4E">
        <w:tblPrEx>
          <w:tblCellMar>
            <w:top w:w="0" w:type="dxa"/>
            <w:left w:w="108" w:type="dxa"/>
            <w:bottom w:w="0" w:type="dxa"/>
            <w:right w:w="108" w:type="dxa"/>
          </w:tblCellMar>
        </w:tblPrEx>
        <w:trPr>
          <w:trHeight w:val="998" w:hRule="atLeast"/>
        </w:trPr>
        <w:tc>
          <w:tcPr>
            <w:tcW w:w="1165" w:type="dxa"/>
            <w:tcBorders>
              <w:top w:val="single" w:color="auto" w:sz="4" w:space="0"/>
              <w:left w:val="single" w:color="auto" w:sz="4" w:space="0"/>
              <w:bottom w:val="single" w:color="auto" w:sz="4" w:space="0"/>
              <w:right w:val="single" w:color="auto" w:sz="4" w:space="0"/>
            </w:tcBorders>
            <w:vAlign w:val="center"/>
          </w:tcPr>
          <w:p w14:paraId="68CB0792">
            <w:pPr>
              <w:shd w:val="clear"/>
              <w:spacing w:line="276"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9.4</w:t>
            </w:r>
          </w:p>
        </w:tc>
        <w:tc>
          <w:tcPr>
            <w:tcW w:w="8689" w:type="dxa"/>
            <w:gridSpan w:val="3"/>
            <w:tcBorders>
              <w:top w:val="single" w:color="auto" w:sz="4" w:space="0"/>
              <w:left w:val="single" w:color="auto" w:sz="4" w:space="0"/>
              <w:bottom w:val="single" w:color="auto" w:sz="4" w:space="0"/>
              <w:right w:val="single" w:color="auto" w:sz="4" w:space="0"/>
            </w:tcBorders>
            <w:vAlign w:val="center"/>
          </w:tcPr>
          <w:p w14:paraId="45934C75">
            <w:pPr>
              <w:widowControl/>
              <w:shd w:val="clear"/>
              <w:spacing w:line="276" w:lineRule="auto"/>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职业健康安全管理目标：杜绝一般等级以上的伤亡事故且工伤责任事故人数为零。</w:t>
            </w:r>
          </w:p>
          <w:p w14:paraId="16E4E90B">
            <w:pPr>
              <w:shd w:val="clear"/>
              <w:spacing w:line="276" w:lineRule="auto"/>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环境管理目标：严格执行《广州市建设工程现场文明施工管理办法》等市有关文明施工方面的文件。</w:t>
            </w:r>
          </w:p>
        </w:tc>
      </w:tr>
      <w:tr w14:paraId="3862B12D">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14:paraId="35B94B28">
            <w:pPr>
              <w:shd w:val="clear"/>
              <w:spacing w:line="276"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9.5</w:t>
            </w:r>
          </w:p>
        </w:tc>
        <w:tc>
          <w:tcPr>
            <w:tcW w:w="8689" w:type="dxa"/>
            <w:gridSpan w:val="3"/>
            <w:tcBorders>
              <w:top w:val="single" w:color="auto" w:sz="4" w:space="0"/>
              <w:left w:val="single" w:color="auto" w:sz="4" w:space="0"/>
              <w:bottom w:val="single" w:color="auto" w:sz="4" w:space="0"/>
              <w:right w:val="single" w:color="auto" w:sz="4" w:space="0"/>
            </w:tcBorders>
            <w:vAlign w:val="center"/>
          </w:tcPr>
          <w:p w14:paraId="2C474A67">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承包方式：</w:t>
            </w:r>
            <w:r>
              <w:rPr>
                <w:rFonts w:hint="eastAsia" w:ascii="宋体" w:hAnsi="宋体" w:eastAsia="宋体" w:cs="宋体"/>
                <w:color w:val="auto"/>
                <w:szCs w:val="21"/>
                <w:highlight w:val="none"/>
                <w:u w:val="single"/>
                <w:lang w:val="en-US" w:eastAsia="zh-CN"/>
              </w:rPr>
              <w:t>包设计、包施工、包材料、包工期、包质量、包安全、包环保、包文明施工、包保修、包相关配合服务</w:t>
            </w:r>
            <w:r>
              <w:rPr>
                <w:rFonts w:hint="eastAsia" w:ascii="宋体" w:hAnsi="宋体" w:eastAsia="宋体" w:cs="宋体"/>
                <w:color w:val="auto"/>
                <w:szCs w:val="21"/>
                <w:highlight w:val="none"/>
                <w:u w:val="single"/>
              </w:rPr>
              <w:t>。</w:t>
            </w:r>
          </w:p>
          <w:p w14:paraId="0E90C728">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结算方式具体按合同条款规定。</w:t>
            </w:r>
          </w:p>
          <w:p w14:paraId="03F9DCB1">
            <w:pPr>
              <w:shd w:val="clear"/>
              <w:spacing w:line="276" w:lineRule="auto"/>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本工程实行全过程限额设计施工，限额投资。所有工程变更需经过建设单位审定后方可实施。</w:t>
            </w:r>
          </w:p>
        </w:tc>
      </w:tr>
      <w:tr w14:paraId="52A3F7DD">
        <w:tblPrEx>
          <w:tblCellMar>
            <w:top w:w="0" w:type="dxa"/>
            <w:left w:w="108" w:type="dxa"/>
            <w:bottom w:w="0" w:type="dxa"/>
            <w:right w:w="108" w:type="dxa"/>
          </w:tblCellMar>
        </w:tblPrEx>
        <w:trPr>
          <w:trHeight w:val="1144" w:hRule="atLeast"/>
        </w:trPr>
        <w:tc>
          <w:tcPr>
            <w:tcW w:w="1165" w:type="dxa"/>
            <w:tcBorders>
              <w:top w:val="single" w:color="auto" w:sz="4" w:space="0"/>
              <w:left w:val="single" w:color="auto" w:sz="4" w:space="0"/>
              <w:bottom w:val="single" w:color="auto" w:sz="4" w:space="0"/>
              <w:right w:val="single" w:color="auto" w:sz="4" w:space="0"/>
            </w:tcBorders>
            <w:vAlign w:val="center"/>
          </w:tcPr>
          <w:p w14:paraId="0117CCB9">
            <w:pPr>
              <w:shd w:val="clear"/>
              <w:spacing w:line="276"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9.6</w:t>
            </w:r>
          </w:p>
        </w:tc>
        <w:tc>
          <w:tcPr>
            <w:tcW w:w="8689" w:type="dxa"/>
            <w:gridSpan w:val="3"/>
            <w:tcBorders>
              <w:top w:val="single" w:color="auto" w:sz="4" w:space="0"/>
              <w:left w:val="single" w:color="auto" w:sz="4" w:space="0"/>
              <w:bottom w:val="single" w:color="auto" w:sz="4" w:space="0"/>
              <w:right w:val="single" w:color="auto" w:sz="4" w:space="0"/>
            </w:tcBorders>
            <w:vAlign w:val="center"/>
          </w:tcPr>
          <w:p w14:paraId="1ED4C864">
            <w:pPr>
              <w:numPr>
                <w:ilvl w:val="0"/>
                <w:numId w:val="2"/>
              </w:numPr>
              <w:shd w:val="clea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中标人代缴交易服务费，其费用包含在中标人报价中，由广州交易集团有限公司（广州公共资源交易中心）向中标人开具发票。</w:t>
            </w:r>
          </w:p>
          <w:p w14:paraId="2EA253DB">
            <w:pPr>
              <w:pStyle w:val="11"/>
              <w:shd w:val="clear"/>
              <w:spacing w:line="276" w:lineRule="auto"/>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2、本项目招标代理服务费由中标人支付，金额以招标人与招标代理机构签订的招标代理合同为准。</w:t>
            </w:r>
          </w:p>
        </w:tc>
      </w:tr>
      <w:tr w14:paraId="4949FAE9">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E9371A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9FD7250">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电子招标投标</w:t>
            </w:r>
          </w:p>
        </w:tc>
        <w:tc>
          <w:tcPr>
            <w:tcW w:w="5635" w:type="dxa"/>
            <w:tcBorders>
              <w:top w:val="single" w:color="auto" w:sz="4" w:space="0"/>
              <w:left w:val="single" w:color="auto" w:sz="4" w:space="0"/>
              <w:bottom w:val="single" w:color="auto" w:sz="4" w:space="0"/>
              <w:right w:val="single" w:color="auto" w:sz="4" w:space="0"/>
            </w:tcBorders>
            <w:vAlign w:val="center"/>
          </w:tcPr>
          <w:p w14:paraId="5AA4AB82">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682EBFC5">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■是，具体要求：</w:t>
            </w:r>
          </w:p>
          <w:p w14:paraId="619FD8CA">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文件形式：投标文件全部采用电子文档，投标文件应按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加盖个人电子印章或在线下完成后扫描上传。具体操作详见交易平台相关操作指南。</w:t>
            </w:r>
          </w:p>
          <w:p w14:paraId="31B1BFAB">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2、投标文件的修改与撤回：投标人修改或撤回已递交的投标文件，需在交易平台发出撤回通知，并按要求加盖电子印章。电子招标投标交易平台收到通知后，即时向投标人发出确认回执通知。</w:t>
            </w:r>
          </w:p>
          <w:p w14:paraId="79D3964A">
            <w:pPr>
              <w:shd w:val="clear"/>
              <w:spacing w:line="276" w:lineRule="auto"/>
              <w:rPr>
                <w:rFonts w:hint="eastAsia" w:ascii="宋体" w:hAnsi="宋体" w:cs="宋体"/>
                <w:color w:val="auto"/>
                <w:szCs w:val="21"/>
                <w:highlight w:val="none"/>
                <w:u w:val="single"/>
                <w:lang w:eastAsia="zh-CN"/>
              </w:rPr>
            </w:pPr>
            <w:r>
              <w:rPr>
                <w:rFonts w:hint="eastAsia" w:ascii="宋体" w:hAnsi="宋体" w:eastAsia="宋体" w:cs="宋体"/>
                <w:color w:val="auto"/>
                <w:szCs w:val="21"/>
                <w:highlight w:val="none"/>
                <w:u w:val="single"/>
              </w:rPr>
              <w:t>3、（重要风险提示）备用光盘或u盘</w:t>
            </w:r>
            <w:r>
              <w:rPr>
                <w:rFonts w:hint="eastAsia" w:ascii="宋体" w:hAnsi="宋体" w:cs="宋体"/>
                <w:color w:val="auto"/>
                <w:szCs w:val="21"/>
                <w:highlight w:val="none"/>
                <w:u w:val="single"/>
                <w:lang w:eastAsia="zh-CN"/>
              </w:rPr>
              <w:t>：</w:t>
            </w:r>
          </w:p>
          <w:p w14:paraId="527DA57C">
            <w:pPr>
              <w:rPr>
                <w:rFonts w:hint="eastAsia" w:ascii="宋体" w:hAnsi="宋体" w:cs="宋体"/>
                <w:szCs w:val="21"/>
              </w:rPr>
            </w:pPr>
            <w:r>
              <w:rPr>
                <w:rFonts w:hint="eastAsia" w:ascii="宋体" w:hAnsi="宋体" w:cs="宋体"/>
                <w:szCs w:val="21"/>
              </w:rPr>
              <w:t>（1）投标人可使用投标文件制作工具生成非加密的电子投标文件载入备用光盘(或U盘)，并分别用不透明信封密封。在规定的时间、地点提交备用，具体要求：</w:t>
            </w:r>
          </w:p>
          <w:p w14:paraId="39427385">
            <w:pPr>
              <w:rPr>
                <w:rFonts w:hint="eastAsia" w:ascii="宋体" w:hAnsi="宋体" w:cs="宋体"/>
                <w:szCs w:val="21"/>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1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①</w:t>
            </w:r>
            <w:r>
              <w:rPr>
                <w:rFonts w:hint="eastAsia" w:ascii="宋体" w:hAnsi="宋体" w:eastAsia="宋体" w:cs="宋体"/>
                <w:color w:val="auto"/>
                <w:szCs w:val="21"/>
                <w:highlight w:val="none"/>
                <w:u w:val="single"/>
              </w:rPr>
              <w:fldChar w:fldCharType="end"/>
            </w:r>
            <w:r>
              <w:rPr>
                <w:rFonts w:hint="eastAsia" w:ascii="宋体" w:hAnsi="宋体" w:cs="宋体"/>
                <w:szCs w:val="21"/>
              </w:rPr>
              <w:t>备用光盘(或U盘)一：资格审查文件、工程总承包实施方案技术部分、工程总承包实施方案经济部分；</w:t>
            </w:r>
          </w:p>
          <w:p w14:paraId="45567741">
            <w:pPr>
              <w:rPr>
                <w:rFonts w:hint="eastAsia" w:ascii="宋体" w:hAnsi="宋体" w:cs="宋体"/>
                <w:szCs w:val="21"/>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2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②</w:t>
            </w:r>
            <w:r>
              <w:rPr>
                <w:rFonts w:hint="eastAsia" w:ascii="宋体" w:hAnsi="宋体" w:eastAsia="宋体" w:cs="宋体"/>
                <w:color w:val="auto"/>
                <w:szCs w:val="21"/>
                <w:highlight w:val="none"/>
                <w:u w:val="single"/>
              </w:rPr>
              <w:fldChar w:fldCharType="end"/>
            </w:r>
            <w:r>
              <w:rPr>
                <w:rFonts w:hint="eastAsia" w:ascii="宋体" w:hAnsi="宋体" w:cs="宋体"/>
                <w:szCs w:val="21"/>
              </w:rPr>
              <w:t>备用光盘(或U盘)二：设计方案投标文件；</w:t>
            </w:r>
          </w:p>
          <w:p w14:paraId="2129CC76">
            <w:pPr>
              <w:rPr>
                <w:rFonts w:hint="eastAsia" w:ascii="宋体" w:hAnsi="宋体" w:cs="宋体"/>
                <w:b/>
                <w:szCs w:val="21"/>
              </w:rPr>
            </w:pPr>
            <w:r>
              <w:rPr>
                <w:rFonts w:hint="eastAsia" w:ascii="宋体" w:hAnsi="宋体" w:cs="宋体"/>
                <w:b/>
                <w:szCs w:val="21"/>
              </w:rPr>
              <w:t>注：设计方案投标文件采用暗标。</w:t>
            </w:r>
          </w:p>
          <w:p w14:paraId="5B958828">
            <w:pPr>
              <w:rPr>
                <w:rFonts w:hint="eastAsia" w:ascii="宋体" w:hAnsi="宋体" w:cs="宋体"/>
                <w:szCs w:val="21"/>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3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③</w:t>
            </w:r>
            <w:r>
              <w:rPr>
                <w:rFonts w:hint="eastAsia" w:ascii="宋体" w:hAnsi="宋体" w:eastAsia="宋体" w:cs="宋体"/>
                <w:color w:val="auto"/>
                <w:szCs w:val="21"/>
                <w:highlight w:val="none"/>
                <w:u w:val="single"/>
              </w:rPr>
              <w:fldChar w:fldCharType="end"/>
            </w:r>
            <w:r>
              <w:rPr>
                <w:rFonts w:hint="eastAsia" w:ascii="宋体" w:hAnsi="宋体" w:cs="宋体"/>
                <w:szCs w:val="21"/>
              </w:rPr>
              <w:t>备用光盘(或U盘)三：保密信封；</w:t>
            </w:r>
          </w:p>
          <w:p w14:paraId="129556B4">
            <w:pPr>
              <w:rPr>
                <w:rFonts w:hint="eastAsia" w:ascii="宋体" w:hAnsi="宋体" w:cs="宋体"/>
                <w:b/>
                <w:szCs w:val="21"/>
              </w:rPr>
            </w:pPr>
            <w:r>
              <w:rPr>
                <w:rFonts w:hint="eastAsia" w:ascii="宋体" w:hAnsi="宋体" w:cs="宋体"/>
                <w:b/>
                <w:szCs w:val="21"/>
              </w:rPr>
              <w:t>注：内含A3规格制作的效果图电子版1张并加盖投标人电子印章，用于辨认投标人身份。</w:t>
            </w:r>
          </w:p>
          <w:p w14:paraId="062BE7A6">
            <w:pPr>
              <w:rPr>
                <w:rFonts w:hint="eastAsia" w:ascii="宋体" w:hAnsi="宋体" w:cs="宋体"/>
                <w:szCs w:val="21"/>
              </w:rPr>
            </w:pPr>
            <w:r>
              <w:rPr>
                <w:rFonts w:hint="eastAsia" w:ascii="宋体" w:hAnsi="宋体" w:cs="宋体"/>
                <w:szCs w:val="21"/>
              </w:rPr>
              <w:t>（2）封装方式:</w:t>
            </w:r>
          </w:p>
          <w:p w14:paraId="5D627DE1">
            <w:pPr>
              <w:rPr>
                <w:rFonts w:hint="eastAsia" w:ascii="宋体" w:hAnsi="宋体" w:cs="宋体"/>
                <w:szCs w:val="21"/>
              </w:rPr>
            </w:pPr>
            <w:r>
              <w:rPr>
                <w:rFonts w:hint="eastAsia" w:ascii="宋体" w:hAnsi="宋体" w:cs="宋体"/>
                <w:szCs w:val="21"/>
              </w:rPr>
              <w:t>1、“设计方案投标文件”、“保密信封”的备用光盘(或U盘)信封封面除了标注“项目名称设计方案投标文件”、“保密信封”字样外不得出现可以辨认投标人及专业技术人员身份的名称、印章、商标、图形等记认符号。</w:t>
            </w:r>
          </w:p>
          <w:p w14:paraId="268411E2">
            <w:pPr>
              <w:rPr>
                <w:rFonts w:hint="eastAsia" w:ascii="宋体" w:hAnsi="宋体" w:cs="宋体"/>
                <w:szCs w:val="21"/>
              </w:rPr>
            </w:pPr>
            <w:r>
              <w:rPr>
                <w:rFonts w:hint="eastAsia" w:ascii="宋体" w:hAnsi="宋体" w:cs="宋体"/>
                <w:szCs w:val="21"/>
              </w:rPr>
              <w:t>2、其余备用光盘(或U盘) 信封封面写明：项目名称、</w:t>
            </w:r>
            <w:r>
              <w:rPr>
                <w:rFonts w:hint="eastAsia" w:ascii="宋体" w:hAnsi="宋体" w:cs="宋体"/>
                <w:szCs w:val="21"/>
                <w:u w:val="single"/>
              </w:rPr>
              <w:t xml:space="preserve">      </w:t>
            </w:r>
            <w:r>
              <w:rPr>
                <w:rFonts w:hint="eastAsia" w:ascii="宋体" w:hAnsi="宋体" w:cs="宋体"/>
                <w:szCs w:val="21"/>
              </w:rPr>
              <w:t>投标文件、投标人单位名称、“年月日”并加盖投标人公章（联合体投标的，“投标人”一栏需书写所有联合体成员的单位全称，由牵头单位签署、盖章）；</w:t>
            </w:r>
          </w:p>
          <w:p w14:paraId="33AEC938">
            <w:pPr>
              <w:pStyle w:val="21"/>
              <w:rPr>
                <w:rFonts w:hint="eastAsia" w:hAnsi="宋体" w:cs="宋体"/>
                <w:szCs w:val="21"/>
              </w:rPr>
            </w:pPr>
            <w:r>
              <w:rPr>
                <w:rFonts w:hint="eastAsia" w:hAnsi="宋体" w:cs="宋体"/>
                <w:szCs w:val="21"/>
              </w:rPr>
              <w:t>（3）备用光盘(或U盘)份数：共3份。</w:t>
            </w:r>
          </w:p>
          <w:p w14:paraId="6C160142">
            <w:pPr>
              <w:shd w:val="clear"/>
              <w:spacing w:line="276" w:lineRule="auto"/>
              <w:rPr>
                <w:rFonts w:hint="eastAsia" w:ascii="宋体" w:hAnsi="宋体" w:eastAsia="宋体" w:cs="宋体"/>
                <w:color w:val="auto"/>
                <w:szCs w:val="21"/>
                <w:highlight w:val="none"/>
                <w:u w:val="single"/>
              </w:rPr>
            </w:pPr>
            <w:r>
              <w:rPr>
                <w:rFonts w:hint="eastAsia" w:ascii="宋体" w:hAnsi="宋体" w:cs="宋体"/>
                <w:szCs w:val="21"/>
              </w:rPr>
              <w:t>（4）投标文件备用光盘(或U盘)无法读取或导入的，则视为未提交投标文件备用光盘(或U盘)。如果投标人没有按规定通过广州公共资源交易中心交易平台网上递交电子投标文件的，不再读取提交的备用光盘(或U盘)。投标人也可不提交投标文件备用光盘(或U盘)</w:t>
            </w:r>
          </w:p>
          <w:p w14:paraId="146A7130">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4、投标文件的递交：</w:t>
            </w:r>
          </w:p>
          <w:p w14:paraId="798E0517">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1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①</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投标文件递交的截止时间（投标截止时间，下同）为  年  月  日  时  分，投标人应在截止时间前通过电子招标投标交易平台递交电子投标文件。</w:t>
            </w:r>
          </w:p>
          <w:p w14:paraId="414BFC46">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2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②</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提交投标文件备用光盘或u盘。</w:t>
            </w:r>
          </w:p>
          <w:p w14:paraId="67648609">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投标文件光盘或u盘(备用)递交时间：投标文件递交的截止时间前15分钟。地点：广州交易集团有限公司（广州公共资源交易中心）花都交易部。</w:t>
            </w:r>
          </w:p>
          <w:p w14:paraId="7CCFD260">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3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③</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投标人完成电子投标上传后，电子招标投标交易平台即时向投标人发出递交回执通知。递交时间以递交回执通知载明的传输时间为准。</w:t>
            </w:r>
          </w:p>
          <w:p w14:paraId="7F2311C5">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4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④</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逾期送达的投标文件，电子招标投标交易平台将予以拒收。</w:t>
            </w:r>
          </w:p>
          <w:p w14:paraId="3290B512">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5、投标文件加密要求：</w:t>
            </w:r>
          </w:p>
          <w:p w14:paraId="0FEBDA7A">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1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①</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网上递交的电子投标文件须进行加密。具体操作详见交易平台相关操作指南。</w:t>
            </w:r>
          </w:p>
          <w:p w14:paraId="264AA351">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 2 \* GB3 </w:instrText>
            </w:r>
            <w:r>
              <w:rPr>
                <w:rFonts w:hint="eastAsia"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②</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未按要求加密的投标文件，招标人将予以拒收。</w:t>
            </w:r>
          </w:p>
          <w:p w14:paraId="7072FB3B">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6、投标文件解密失败的补救方案：</w:t>
            </w:r>
          </w:p>
          <w:p w14:paraId="56CB97F8">
            <w:pPr>
              <w:shd w:val="clea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4582B2BA">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除发生上述情况外，开标评标均以投标人通过交易平台网上递交的电子投标文件为准。</w:t>
            </w:r>
          </w:p>
        </w:tc>
      </w:tr>
      <w:tr w14:paraId="0FFA1C5E">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7B9D8E3D">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066381EF">
            <w:pPr>
              <w:shd w:val="clear"/>
              <w:spacing w:line="276"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投标人不得存在的情形</w:t>
            </w:r>
          </w:p>
        </w:tc>
        <w:tc>
          <w:tcPr>
            <w:tcW w:w="5635" w:type="dxa"/>
            <w:tcBorders>
              <w:top w:val="single" w:color="auto" w:sz="4" w:space="0"/>
              <w:left w:val="single" w:color="auto" w:sz="4" w:space="0"/>
              <w:bottom w:val="single" w:color="auto" w:sz="4" w:space="0"/>
              <w:right w:val="single" w:color="auto" w:sz="4" w:space="0"/>
            </w:tcBorders>
            <w:vAlign w:val="center"/>
          </w:tcPr>
          <w:p w14:paraId="46B94780">
            <w:pPr>
              <w:shd w:val="clea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投标人不得存在的情形以招标公告及《投标人声明》第三点的规定为准。</w:t>
            </w:r>
          </w:p>
        </w:tc>
      </w:tr>
      <w:tr w14:paraId="15F22B9F">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14:paraId="3EE2939D">
            <w:pPr>
              <w:spacing w:line="36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EBC47B5">
            <w:pPr>
              <w:spacing w:line="360" w:lineRule="auto"/>
              <w:jc w:val="center"/>
              <w:rPr>
                <w:rFonts w:hint="eastAsia" w:ascii="宋体" w:hAnsi="宋体" w:eastAsia="宋体" w:cs="宋体"/>
                <w:color w:val="auto"/>
                <w:szCs w:val="21"/>
                <w:highlight w:val="none"/>
              </w:rPr>
            </w:pPr>
            <w:r>
              <w:rPr>
                <w:rFonts w:hint="eastAsia"/>
                <w:b/>
                <w:bCs/>
                <w:color w:val="auto"/>
                <w:highlight w:val="none"/>
                <w:u w:val="single"/>
                <w:lang w:val="en-US" w:eastAsia="zh-CN"/>
              </w:rPr>
              <w:t>投标报价</w:t>
            </w:r>
            <w:r>
              <w:rPr>
                <w:rFonts w:hint="default" w:ascii="宋体" w:hAnsi="宋体" w:eastAsia="宋体" w:cs="宋体"/>
                <w:b/>
                <w:bCs/>
                <w:color w:val="auto"/>
                <w:sz w:val="21"/>
                <w:szCs w:val="21"/>
                <w:highlight w:val="none"/>
                <w:u w:val="single"/>
                <w:lang w:val="en-US"/>
              </w:rPr>
              <w:t>评审优惠政策</w:t>
            </w:r>
          </w:p>
        </w:tc>
        <w:tc>
          <w:tcPr>
            <w:tcW w:w="5635" w:type="dxa"/>
            <w:tcBorders>
              <w:top w:val="single" w:color="auto" w:sz="4" w:space="0"/>
              <w:left w:val="single" w:color="auto" w:sz="4" w:space="0"/>
              <w:bottom w:val="single" w:color="auto" w:sz="4" w:space="0"/>
              <w:right w:val="single" w:color="auto" w:sz="4" w:space="0"/>
            </w:tcBorders>
            <w:vAlign w:val="center"/>
          </w:tcPr>
          <w:p w14:paraId="2F63DC5F">
            <w:pPr>
              <w:autoSpaceDE w:val="0"/>
              <w:autoSpaceDN w:val="0"/>
              <w:adjustRightInd w:val="0"/>
              <w:spacing w:line="240" w:lineRule="auto"/>
              <w:jc w:val="left"/>
              <w:rPr>
                <w:rFonts w:hint="eastAsia" w:ascii="宋体" w:hAnsi="宋体" w:eastAsia="宋体" w:cs="宋体"/>
                <w:b/>
                <w:bCs/>
                <w:color w:val="auto"/>
                <w:sz w:val="21"/>
                <w:szCs w:val="21"/>
                <w:highlight w:val="none"/>
                <w:u w:val="single"/>
                <w:lang w:val="en-US" w:eastAsia="zh-CN"/>
              </w:rPr>
            </w:pPr>
            <w:r>
              <w:rPr>
                <w:rFonts w:hint="default" w:ascii="宋体" w:hAnsi="宋体" w:eastAsia="宋体" w:cs="宋体"/>
                <w:b/>
                <w:bCs/>
                <w:color w:val="auto"/>
                <w:sz w:val="21"/>
                <w:szCs w:val="21"/>
                <w:highlight w:val="none"/>
                <w:u w:val="single"/>
                <w:lang w:val="en-US"/>
              </w:rPr>
              <w:t>经济标评审优惠政策（仅适用于招标人为国家机关、事业单位、团体组织，且使用财政性资金开展的依法必须招标项目）</w:t>
            </w:r>
          </w:p>
          <w:p w14:paraId="2E9C421D">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w:t>
            </w:r>
            <w:r>
              <w:rPr>
                <w:rFonts w:hint="default" w:ascii="宋体" w:hAnsi="宋体" w:eastAsia="宋体" w:cs="宋体"/>
                <w:b/>
                <w:bCs/>
                <w:color w:val="auto"/>
                <w:sz w:val="21"/>
                <w:szCs w:val="21"/>
                <w:highlight w:val="none"/>
                <w:u w:val="single"/>
                <w:lang w:val="en-US"/>
              </w:rPr>
              <w:t>本招标项目执行</w:t>
            </w:r>
            <w:r>
              <w:rPr>
                <w:rFonts w:hint="eastAsia" w:ascii="宋体" w:hAnsi="宋体" w:cs="宋体"/>
                <w:b/>
                <w:bCs/>
                <w:color w:val="auto"/>
                <w:szCs w:val="21"/>
                <w:highlight w:val="none"/>
              </w:rPr>
              <w:t>投标报价</w:t>
            </w:r>
            <w:r>
              <w:rPr>
                <w:rFonts w:hint="default" w:ascii="宋体" w:hAnsi="宋体" w:eastAsia="宋体" w:cs="宋体"/>
                <w:b/>
                <w:bCs/>
                <w:color w:val="auto"/>
                <w:sz w:val="21"/>
                <w:szCs w:val="21"/>
                <w:highlight w:val="none"/>
                <w:u w:val="single"/>
                <w:lang w:val="en-US"/>
              </w:rPr>
              <w:t>评审优惠政策</w:t>
            </w:r>
          </w:p>
          <w:p w14:paraId="6AFCD041">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□本招标项目不执行</w:t>
            </w:r>
            <w:r>
              <w:rPr>
                <w:rFonts w:hint="eastAsia" w:ascii="宋体" w:hAnsi="宋体" w:cs="宋体"/>
                <w:b/>
                <w:bCs/>
                <w:color w:val="auto"/>
                <w:szCs w:val="21"/>
                <w:highlight w:val="none"/>
              </w:rPr>
              <w:t>投标报价</w:t>
            </w:r>
            <w:r>
              <w:rPr>
                <w:rFonts w:hint="default" w:ascii="宋体" w:hAnsi="宋体" w:eastAsia="宋体" w:cs="宋体"/>
                <w:b/>
                <w:bCs/>
                <w:color w:val="auto"/>
                <w:sz w:val="21"/>
                <w:szCs w:val="21"/>
                <w:highlight w:val="none"/>
                <w:u w:val="single"/>
                <w:lang w:val="en-US"/>
              </w:rPr>
              <w:t>评审优惠政策</w:t>
            </w:r>
          </w:p>
          <w:p w14:paraId="3BDA5512">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default" w:ascii="宋体" w:hAnsi="宋体" w:eastAsia="宋体" w:cs="宋体"/>
                <w:b/>
                <w:bCs/>
                <w:color w:val="auto"/>
                <w:sz w:val="21"/>
                <w:szCs w:val="21"/>
                <w:highlight w:val="none"/>
                <w:u w:val="single"/>
                <w:lang w:val="en-US"/>
              </w:rPr>
              <w:t>注：</w:t>
            </w:r>
            <w:r>
              <w:rPr>
                <w:rFonts w:hint="eastAsia" w:ascii="宋体" w:hAnsi="宋体" w:eastAsia="宋体" w:cs="宋体"/>
                <w:b/>
                <w:bCs/>
                <w:color w:val="auto"/>
                <w:sz w:val="21"/>
                <w:szCs w:val="21"/>
                <w:highlight w:val="none"/>
                <w:u w:val="single"/>
                <w:lang w:val="en-US" w:eastAsia="zh-CN"/>
              </w:rPr>
              <w:t>（1）</w:t>
            </w:r>
            <w:r>
              <w:rPr>
                <w:rFonts w:hint="default" w:ascii="宋体" w:hAnsi="宋体" w:eastAsia="宋体" w:cs="宋体"/>
                <w:b/>
                <w:bCs/>
                <w:color w:val="auto"/>
                <w:sz w:val="21"/>
                <w:szCs w:val="21"/>
                <w:highlight w:val="none"/>
                <w:u w:val="single"/>
                <w:lang w:val="en-US"/>
              </w:rPr>
              <w:t>符合</w:t>
            </w:r>
            <w:r>
              <w:rPr>
                <w:rFonts w:hint="eastAsia" w:ascii="宋体" w:hAnsi="宋体" w:cs="宋体"/>
                <w:b/>
                <w:bCs/>
                <w:color w:val="auto"/>
                <w:szCs w:val="21"/>
                <w:highlight w:val="none"/>
              </w:rPr>
              <w:t>投标报价</w:t>
            </w:r>
            <w:r>
              <w:rPr>
                <w:rFonts w:hint="default" w:ascii="宋体" w:hAnsi="宋体" w:eastAsia="宋体" w:cs="宋体"/>
                <w:b/>
                <w:bCs/>
                <w:color w:val="auto"/>
                <w:sz w:val="21"/>
                <w:szCs w:val="21"/>
                <w:highlight w:val="none"/>
                <w:u w:val="single"/>
                <w:lang w:val="en-US"/>
              </w:rPr>
              <w:t>评审优惠政策条件的，应当执行该政策；不符合</w:t>
            </w:r>
            <w:r>
              <w:rPr>
                <w:rFonts w:hint="eastAsia" w:ascii="宋体" w:hAnsi="宋体" w:cs="宋体"/>
                <w:b/>
                <w:bCs/>
                <w:color w:val="auto"/>
                <w:szCs w:val="21"/>
                <w:highlight w:val="none"/>
              </w:rPr>
              <w:t>投标报价</w:t>
            </w:r>
            <w:r>
              <w:rPr>
                <w:rFonts w:hint="default" w:ascii="宋体" w:hAnsi="宋体" w:eastAsia="宋体" w:cs="宋体"/>
                <w:b/>
                <w:bCs/>
                <w:color w:val="auto"/>
                <w:sz w:val="21"/>
                <w:szCs w:val="21"/>
                <w:highlight w:val="none"/>
                <w:u w:val="single"/>
                <w:lang w:val="en-US"/>
              </w:rPr>
              <w:t>评审优惠政策条件的，不得执行该政策。</w:t>
            </w:r>
          </w:p>
          <w:p w14:paraId="391E7044">
            <w:pPr>
              <w:autoSpaceDE w:val="0"/>
              <w:autoSpaceDN w:val="0"/>
              <w:adjustRightInd w:val="0"/>
              <w:spacing w:line="240" w:lineRule="auto"/>
              <w:ind w:firstLine="0" w:firstLineChars="0"/>
              <w:jc w:val="left"/>
              <w:rPr>
                <w:rFonts w:hint="default" w:ascii="宋体" w:hAnsi="宋体" w:eastAsia="宋体" w:cs="宋体"/>
                <w:b/>
                <w:bCs/>
                <w:color w:val="auto"/>
                <w:sz w:val="21"/>
                <w:szCs w:val="21"/>
                <w:highlight w:val="none"/>
                <w:u w:val="single"/>
                <w:lang w:val="en-US"/>
              </w:rPr>
            </w:pPr>
            <w:r>
              <w:rPr>
                <w:rFonts w:hint="eastAsia" w:ascii="宋体" w:hAnsi="宋体" w:eastAsia="宋体" w:cs="宋体"/>
                <w:b/>
                <w:bCs/>
                <w:color w:val="auto"/>
                <w:sz w:val="21"/>
                <w:szCs w:val="21"/>
                <w:highlight w:val="none"/>
                <w:u w:val="single"/>
                <w:lang w:val="en-US" w:eastAsia="zh-CN"/>
              </w:rPr>
              <w:t>（2）</w:t>
            </w:r>
            <w:r>
              <w:rPr>
                <w:rFonts w:hint="default" w:ascii="宋体" w:hAnsi="宋体" w:eastAsia="宋体" w:cs="宋体"/>
                <w:b/>
                <w:bCs/>
                <w:color w:val="auto"/>
                <w:sz w:val="21"/>
                <w:szCs w:val="21"/>
                <w:highlight w:val="none"/>
                <w:u w:val="single"/>
                <w:lang w:val="en-US"/>
              </w:rPr>
              <w:t>财政性资金是指纳入预算管理的资金，以财政性资金作为还款来源的借贷资金，视同财政性资金。</w:t>
            </w:r>
          </w:p>
          <w:p w14:paraId="2FC52150">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sz w:val="21"/>
                <w:szCs w:val="21"/>
                <w:highlight w:val="none"/>
                <w:u w:val="single"/>
                <w:lang w:val="en-US" w:eastAsia="zh-CN"/>
              </w:rPr>
              <w:t>（3）</w:t>
            </w:r>
            <w:r>
              <w:rPr>
                <w:rFonts w:hint="eastAsia" w:ascii="宋体" w:hAnsi="宋体" w:eastAsia="宋体" w:cs="宋体"/>
                <w:b/>
                <w:bCs/>
                <w:strike w:val="0"/>
                <w:color w:val="auto"/>
                <w:sz w:val="21"/>
                <w:szCs w:val="21"/>
                <w:highlight w:val="none"/>
                <w:u w:val="single"/>
                <w:lang w:val="en-US" w:eastAsia="zh-CN"/>
              </w:rPr>
              <w:t>若本招标项目执行投标报价评审优惠政策，当投标人为大中型企业与小微企业组成联合体或大中型企业向一家或者多家小微企业分包的，其《联合体协议书》或《分包意向协议》约定小微企业的合同份额占到合同总金额30%以上的。</w:t>
            </w:r>
          </w:p>
          <w:p w14:paraId="334D5F24">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67EEA0D3">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2、本招标项目评标计算</w:t>
            </w:r>
            <w:r>
              <w:rPr>
                <w:rFonts w:hint="eastAsia" w:ascii="宋体" w:hAnsi="宋体" w:cs="宋体"/>
                <w:b/>
                <w:bCs/>
                <w:color w:val="auto"/>
                <w:szCs w:val="21"/>
                <w:highlight w:val="none"/>
              </w:rPr>
              <w:t>投标报价</w:t>
            </w:r>
            <w:r>
              <w:rPr>
                <w:rFonts w:hint="eastAsia" w:ascii="宋体" w:hAnsi="宋体" w:cs="宋体"/>
                <w:b/>
                <w:bCs/>
                <w:color w:val="auto"/>
                <w:szCs w:val="21"/>
                <w:highlight w:val="none"/>
                <w:lang w:val="en-US" w:eastAsia="zh-CN"/>
              </w:rPr>
              <w:t>得分</w:t>
            </w:r>
            <w:r>
              <w:rPr>
                <w:rFonts w:hint="default" w:ascii="宋体" w:hAnsi="宋体" w:eastAsia="宋体" w:cs="宋体"/>
                <w:b/>
                <w:bCs/>
                <w:color w:val="auto"/>
                <w:kern w:val="2"/>
                <w:sz w:val="21"/>
                <w:szCs w:val="21"/>
                <w:highlight w:val="none"/>
                <w:u w:val="single"/>
                <w:lang w:val="en-US" w:eastAsia="zh-CN" w:bidi="ar-SA"/>
              </w:rPr>
              <w:t>时，对小微企业投标的，在采用原报价进行评分的基础上增加其价格得分的5%作为其</w:t>
            </w:r>
            <w:r>
              <w:rPr>
                <w:rFonts w:hint="eastAsia" w:ascii="宋体" w:hAnsi="宋体" w:cs="宋体"/>
                <w:b/>
                <w:bCs/>
                <w:color w:val="auto"/>
                <w:szCs w:val="21"/>
                <w:highlight w:val="none"/>
              </w:rPr>
              <w:t>投标报价</w:t>
            </w:r>
            <w:r>
              <w:rPr>
                <w:rFonts w:hint="eastAsia" w:ascii="宋体" w:hAnsi="宋体" w:cs="宋体"/>
                <w:b/>
                <w:bCs/>
                <w:color w:val="auto"/>
                <w:szCs w:val="21"/>
                <w:highlight w:val="none"/>
                <w:lang w:val="en-US" w:eastAsia="zh-CN"/>
              </w:rPr>
              <w:t>得分</w:t>
            </w:r>
            <w:r>
              <w:rPr>
                <w:rFonts w:hint="default"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strike w:val="0"/>
                <w:color w:val="auto"/>
                <w:kern w:val="2"/>
                <w:sz w:val="21"/>
                <w:szCs w:val="21"/>
                <w:highlight w:val="none"/>
                <w:u w:val="single"/>
                <w:lang w:val="en-US" w:eastAsia="zh-CN" w:bidi="ar-SA"/>
              </w:rPr>
              <w:t>对大中型企业与小微企业组成联合体或者允许大中型企业向一家或者多家小微企业分包（联合协议或者</w:t>
            </w:r>
            <w:r>
              <w:rPr>
                <w:rFonts w:hint="default" w:ascii="宋体" w:hAnsi="宋体" w:eastAsia="宋体" w:cs="宋体"/>
                <w:b/>
                <w:bCs/>
                <w:color w:val="auto"/>
                <w:kern w:val="2"/>
                <w:sz w:val="21"/>
                <w:szCs w:val="21"/>
                <w:highlight w:val="none"/>
                <w:u w:val="single"/>
                <w:lang w:val="en-US" w:eastAsia="zh-CN" w:bidi="ar-SA"/>
              </w:rPr>
              <w:t>分包意向协议约定小微企业的合同份额占到合同总金额30%以上）的，在采用原报价进行评分的基础上增加其价格得分的2%作为其</w:t>
            </w:r>
            <w:r>
              <w:rPr>
                <w:rFonts w:hint="eastAsia" w:ascii="宋体" w:hAnsi="宋体" w:cs="宋体"/>
                <w:b/>
                <w:bCs/>
                <w:color w:val="auto"/>
                <w:szCs w:val="21"/>
                <w:highlight w:val="none"/>
              </w:rPr>
              <w:t>投标报价</w:t>
            </w:r>
            <w:r>
              <w:rPr>
                <w:rFonts w:hint="eastAsia" w:ascii="宋体" w:hAnsi="宋体" w:cs="宋体"/>
                <w:b/>
                <w:bCs/>
                <w:color w:val="auto"/>
                <w:szCs w:val="21"/>
                <w:highlight w:val="none"/>
                <w:lang w:val="en-US" w:eastAsia="zh-CN"/>
              </w:rPr>
              <w:t>得分</w:t>
            </w:r>
            <w:r>
              <w:rPr>
                <w:rFonts w:hint="default" w:ascii="宋体" w:hAnsi="宋体" w:eastAsia="宋体" w:cs="宋体"/>
                <w:b/>
                <w:bCs/>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w:t>
            </w:r>
            <w:r>
              <w:rPr>
                <w:rFonts w:hint="eastAsia" w:ascii="宋体" w:hAnsi="宋体" w:cs="宋体"/>
                <w:b/>
                <w:bCs/>
                <w:color w:val="auto"/>
                <w:szCs w:val="21"/>
                <w:highlight w:val="none"/>
              </w:rPr>
              <w:t>投标报价</w:t>
            </w:r>
            <w:r>
              <w:rPr>
                <w:rFonts w:hint="eastAsia" w:ascii="宋体" w:hAnsi="宋体" w:cs="宋体"/>
                <w:b/>
                <w:bCs/>
                <w:color w:val="auto"/>
                <w:szCs w:val="21"/>
                <w:highlight w:val="none"/>
                <w:lang w:val="en-US" w:eastAsia="zh-CN"/>
              </w:rPr>
              <w:t>得分</w:t>
            </w:r>
            <w:r>
              <w:rPr>
                <w:rFonts w:hint="eastAsia"/>
                <w:b/>
                <w:bCs/>
                <w:color w:val="auto"/>
                <w:highlight w:val="none"/>
                <w:u w:val="single"/>
                <w:lang w:val="zh-CN" w:eastAsia="zh-CN"/>
              </w:rPr>
              <w:t>。</w:t>
            </w:r>
          </w:p>
          <w:p w14:paraId="27D7DBC4">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3、投标人应按《政府采购促进中小企业发展管理办法》（财库〔2020〕46号）规定出具《中小企业声明函》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（格式详见第四章投标文件格式），否则不得享受相关价格评审优惠。投标人填写《中小企业声明函》</w:t>
            </w:r>
            <w:r>
              <w:rPr>
                <w:rFonts w:hint="eastAsia" w:ascii="宋体" w:hAnsi="宋体" w:cs="宋体"/>
                <w:b/>
                <w:bCs/>
                <w:color w:val="auto"/>
                <w:kern w:val="2"/>
                <w:sz w:val="21"/>
                <w:szCs w:val="21"/>
                <w:highlight w:val="none"/>
                <w:u w:val="single"/>
                <w:lang w:val="en-US" w:eastAsia="zh-CN" w:bidi="ar-SA"/>
              </w:rPr>
              <w:t>、《分包意向协议》</w:t>
            </w:r>
            <w:r>
              <w:rPr>
                <w:rFonts w:hint="default" w:ascii="宋体" w:hAnsi="宋体" w:eastAsia="宋体" w:cs="宋体"/>
                <w:b/>
                <w:bCs/>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2680B896">
            <w:pPr>
              <w:autoSpaceDE w:val="0"/>
              <w:autoSpaceDN w:val="0"/>
              <w:adjustRightInd w:val="0"/>
              <w:jc w:val="left"/>
              <w:rPr>
                <w:rFonts w:hint="default"/>
                <w:color w:val="auto"/>
                <w:highlight w:val="none"/>
                <w:lang w:val="en-US" w:eastAsia="zh-CN"/>
              </w:rPr>
            </w:pPr>
            <w:r>
              <w:rPr>
                <w:rFonts w:hint="default" w:ascii="宋体" w:hAnsi="宋体" w:eastAsia="宋体" w:cs="宋体"/>
                <w:b/>
                <w:bCs/>
                <w:color w:val="auto"/>
                <w:kern w:val="2"/>
                <w:sz w:val="21"/>
                <w:szCs w:val="21"/>
                <w:highlight w:val="none"/>
                <w:u w:val="single"/>
                <w:lang w:val="en-US" w:eastAsia="zh-CN" w:bidi="ar-SA"/>
              </w:rPr>
              <w:t>4</w:t>
            </w: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7AA0A9D">
            <w:pPr>
              <w:autoSpaceDE w:val="0"/>
              <w:autoSpaceDN w:val="0"/>
              <w:adjustRightInd w:val="0"/>
              <w:spacing w:line="240" w:lineRule="auto"/>
              <w:ind w:firstLine="0" w:firstLineChars="0"/>
              <w:jc w:val="left"/>
              <w:rPr>
                <w:rFonts w:hint="default" w:ascii="宋体" w:hAnsi="宋体" w:eastAsia="宋体" w:cs="宋体"/>
                <w:b/>
                <w:bCs/>
                <w:strike/>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p>
          <w:p w14:paraId="6E1C46B1">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（2）</w:t>
            </w:r>
            <w:r>
              <w:rPr>
                <w:rFonts w:hint="default" w:ascii="宋体" w:hAnsi="宋体" w:eastAsia="宋体" w:cs="宋体"/>
                <w:b/>
                <w:bCs/>
                <w:strike w:val="0"/>
                <w:color w:val="auto"/>
                <w:kern w:val="2"/>
                <w:sz w:val="21"/>
                <w:szCs w:val="21"/>
                <w:highlight w:val="none"/>
                <w:u w:val="single"/>
                <w:lang w:val="en-US" w:eastAsia="zh-CN" w:bidi="ar-SA"/>
              </w:rPr>
              <w:t>组成联合体或者接受分包合同的小微企业与联合体内其他企业、分包企业之间存在直接控股、管理关系的，不享受价格评分</w:t>
            </w:r>
            <w:r>
              <w:rPr>
                <w:rFonts w:hint="default" w:ascii="宋体" w:hAnsi="宋体" w:eastAsia="宋体" w:cs="宋体"/>
                <w:b/>
                <w:bCs/>
                <w:color w:val="auto"/>
                <w:kern w:val="2"/>
                <w:sz w:val="21"/>
                <w:szCs w:val="21"/>
                <w:highlight w:val="none"/>
                <w:u w:val="single"/>
                <w:lang w:val="en-US" w:eastAsia="zh-CN" w:bidi="ar-SA"/>
              </w:rPr>
              <w:t>优惠。</w:t>
            </w:r>
          </w:p>
          <w:p w14:paraId="46ED2865">
            <w:pPr>
              <w:autoSpaceDE w:val="0"/>
              <w:autoSpaceDN w:val="0"/>
              <w:adjustRightInd w:val="0"/>
              <w:spacing w:line="240" w:lineRule="auto"/>
              <w:ind w:firstLine="0" w:firstLineChars="0"/>
              <w:jc w:val="left"/>
              <w:rPr>
                <w:rFonts w:hint="default" w:ascii="宋体" w:hAnsi="宋体" w:eastAsia="宋体" w:cs="宋体"/>
                <w:b/>
                <w:bCs/>
                <w:color w:val="auto"/>
                <w:kern w:val="2"/>
                <w:sz w:val="21"/>
                <w:szCs w:val="21"/>
                <w:highlight w:val="none"/>
                <w:u w:val="single"/>
                <w:lang w:val="en-US" w:eastAsia="zh-CN" w:bidi="ar-SA"/>
              </w:rPr>
            </w:pPr>
            <w:r>
              <w:rPr>
                <w:rFonts w:hint="default" w:ascii="宋体" w:hAnsi="宋体" w:eastAsia="宋体" w:cs="宋体"/>
                <w:b/>
                <w:bCs/>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14:paraId="7DBFAF16">
            <w:pPr>
              <w:autoSpaceDE w:val="0"/>
              <w:autoSpaceDN w:val="0"/>
              <w:adjustRightInd w:val="0"/>
              <w:spacing w:line="240" w:lineRule="auto"/>
              <w:ind w:firstLine="0" w:firstLineChars="0"/>
              <w:jc w:val="left"/>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highlight w:val="none"/>
                <w:u w:val="single"/>
                <w:lang w:val="zh-CN" w:eastAsia="zh-CN"/>
              </w:rPr>
              <w:t>（</w:t>
            </w:r>
            <w:r>
              <w:rPr>
                <w:rFonts w:hint="eastAsia" w:ascii="宋体" w:hAnsi="宋体" w:eastAsia="宋体" w:cs="宋体"/>
                <w:b/>
                <w:bCs/>
                <w:color w:val="auto"/>
                <w:highlight w:val="none"/>
                <w:u w:val="single"/>
                <w:lang w:val="en-US" w:eastAsia="zh-CN"/>
              </w:rPr>
              <w:t>4</w:t>
            </w:r>
            <w:r>
              <w:rPr>
                <w:rFonts w:hint="eastAsia" w:ascii="宋体" w:hAnsi="宋体" w:eastAsia="宋体" w:cs="宋体"/>
                <w:b/>
                <w:bCs/>
                <w:color w:val="auto"/>
                <w:highlight w:val="none"/>
                <w:u w:val="single"/>
                <w:lang w:val="zh-CN" w:eastAsia="zh-CN"/>
              </w:rPr>
              <w:t>）规定享受扶持政策获得</w:t>
            </w:r>
            <w:r>
              <w:rPr>
                <w:rFonts w:hint="eastAsia" w:ascii="宋体" w:hAnsi="宋体" w:eastAsia="宋体" w:cs="宋体"/>
                <w:b/>
                <w:bCs/>
                <w:color w:val="auto"/>
                <w:highlight w:val="none"/>
                <w:u w:val="single"/>
                <w:lang w:val="en-US" w:eastAsia="zh-CN"/>
              </w:rPr>
              <w:t>承包</w:t>
            </w:r>
            <w:r>
              <w:rPr>
                <w:rFonts w:hint="eastAsia" w:ascii="宋体" w:hAnsi="宋体" w:eastAsia="宋体" w:cs="宋体"/>
                <w:b/>
                <w:bCs/>
                <w:color w:val="auto"/>
                <w:highlight w:val="none"/>
                <w:u w:val="single"/>
                <w:lang w:val="zh-CN" w:eastAsia="zh-CN"/>
              </w:rPr>
              <w:t>合同的，小微企业不得将合同分包给大中型企业，中型企业不得将合同分包给大型企业。</w:t>
            </w:r>
          </w:p>
          <w:p w14:paraId="0C875504">
            <w:pPr>
              <w:autoSpaceDE w:val="0"/>
              <w:autoSpaceDN w:val="0"/>
              <w:adjustRightInd w:val="0"/>
              <w:spacing w:line="240" w:lineRule="auto"/>
              <w:jc w:val="left"/>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w:t>
            </w:r>
            <w:r>
              <w:rPr>
                <w:rFonts w:hint="default" w:ascii="宋体" w:hAnsi="宋体" w:eastAsia="宋体" w:cs="宋体"/>
                <w:b/>
                <w:bCs/>
                <w:color w:val="auto"/>
                <w:kern w:val="2"/>
                <w:sz w:val="21"/>
                <w:szCs w:val="21"/>
                <w:highlight w:val="none"/>
                <w:u w:val="single"/>
                <w:lang w:val="en-US" w:eastAsia="zh-CN" w:bidi="ar-SA"/>
              </w:rPr>
              <w:t>5</w:t>
            </w:r>
            <w:r>
              <w:rPr>
                <w:rFonts w:hint="eastAsia" w:ascii="宋体" w:hAnsi="宋体" w:eastAsia="宋体" w:cs="宋体"/>
                <w:b/>
                <w:bCs/>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七章投标文件格式），经评审满足要求后，可享受上述加分优惠，否则不得享受上述加分优惠。监狱企业、残疾人福利性单位属于小型、微型企业的，不重复享受政策。</w:t>
            </w:r>
          </w:p>
          <w:p w14:paraId="6FD77388">
            <w:pPr>
              <w:autoSpaceDE w:val="0"/>
              <w:autoSpaceDN w:val="0"/>
              <w:adjustRightInd w:val="0"/>
              <w:spacing w:line="240" w:lineRule="auto"/>
              <w:ind w:firstLine="0" w:firstLineChars="0"/>
              <w:jc w:val="left"/>
              <w:rPr>
                <w:rFonts w:hint="eastAsia" w:ascii="宋体" w:hAnsi="宋体" w:eastAsia="宋体" w:cs="宋体"/>
                <w:strike w:val="0"/>
                <w:color w:val="auto"/>
                <w:szCs w:val="21"/>
                <w:highlight w:val="none"/>
              </w:rPr>
            </w:pPr>
            <w:r>
              <w:rPr>
                <w:rFonts w:hint="eastAsia" w:ascii="宋体" w:hAnsi="宋体" w:eastAsia="宋体" w:cs="宋体"/>
                <w:b/>
                <w:bCs/>
                <w:color w:val="auto"/>
                <w:kern w:val="2"/>
                <w:sz w:val="21"/>
                <w:szCs w:val="21"/>
                <w:highlight w:val="none"/>
                <w:u w:val="single"/>
                <w:lang w:val="en-US" w:eastAsia="zh-CN" w:bidi="ar-SA"/>
              </w:rPr>
              <w:t>（6）分包须符合《中华人民共和国建筑法》、《建设工程质量管理条例》、《中华人民共和国招标投标法》及招标文件《第四章 合同条款及格式》中“分包”等有关规定。如有违反上述规定的，为无效分包，并承担相应责任。</w:t>
            </w:r>
          </w:p>
        </w:tc>
      </w:tr>
    </w:tbl>
    <w:p w14:paraId="578D02D4">
      <w:pPr>
        <w:pStyle w:val="3"/>
        <w:shd w:val="clear"/>
        <w:rPr>
          <w:rFonts w:hint="eastAsia" w:ascii="宋体" w:hAnsi="宋体" w:eastAsia="宋体" w:cs="宋体"/>
          <w:b w:val="0"/>
          <w:bCs w:val="0"/>
          <w:color w:val="auto"/>
          <w:highlight w:val="none"/>
        </w:rPr>
      </w:pPr>
      <w:r>
        <w:rPr>
          <w:rFonts w:hint="eastAsia" w:ascii="宋体" w:hAnsi="宋体" w:eastAsia="宋体" w:cs="宋体"/>
          <w:color w:val="auto"/>
          <w:highlight w:val="none"/>
        </w:rPr>
        <w:br w:type="page"/>
      </w:r>
      <w:bookmarkStart w:id="69" w:name="_Toc247527553"/>
      <w:bookmarkStart w:id="70" w:name="_Toc247513952"/>
      <w:bookmarkStart w:id="71" w:name="_Toc152042305"/>
      <w:bookmarkStart w:id="72" w:name="_Toc152045529"/>
      <w:bookmarkStart w:id="73" w:name="_Toc144974497"/>
      <w:bookmarkStart w:id="74" w:name="_Toc4408"/>
      <w:r>
        <w:rPr>
          <w:rFonts w:hint="eastAsia" w:ascii="宋体" w:hAnsi="宋体" w:eastAsia="宋体" w:cs="宋体"/>
          <w:color w:val="auto"/>
          <w:highlight w:val="none"/>
        </w:rPr>
        <w:t>1. 总则</w:t>
      </w:r>
      <w:bookmarkEnd w:id="69"/>
      <w:bookmarkEnd w:id="70"/>
      <w:bookmarkEnd w:id="71"/>
      <w:bookmarkEnd w:id="72"/>
      <w:bookmarkEnd w:id="73"/>
      <w:bookmarkEnd w:id="74"/>
    </w:p>
    <w:p w14:paraId="7ECA2EC5">
      <w:pPr>
        <w:pStyle w:val="4"/>
        <w:shd w:val="clear"/>
        <w:rPr>
          <w:rFonts w:hint="eastAsia" w:ascii="宋体" w:hAnsi="宋体" w:eastAsia="宋体" w:cs="宋体"/>
          <w:color w:val="auto"/>
          <w:highlight w:val="none"/>
        </w:rPr>
      </w:pPr>
      <w:bookmarkStart w:id="75" w:name="_Toc152045530"/>
      <w:bookmarkStart w:id="76" w:name="_Toc144974498"/>
      <w:bookmarkStart w:id="77" w:name="_Toc26896"/>
      <w:bookmarkStart w:id="78" w:name="_Toc31341"/>
      <w:bookmarkStart w:id="79" w:name="_Toc247513953"/>
      <w:bookmarkStart w:id="80" w:name="_Toc28488"/>
      <w:bookmarkStart w:id="81" w:name="_Toc152042306"/>
      <w:bookmarkStart w:id="82" w:name="_Toc247527554"/>
      <w:r>
        <w:rPr>
          <w:rFonts w:hint="eastAsia" w:ascii="宋体" w:hAnsi="宋体" w:eastAsia="宋体" w:cs="宋体"/>
          <w:color w:val="auto"/>
          <w:highlight w:val="none"/>
        </w:rPr>
        <w:t>1.1 项目概况</w:t>
      </w:r>
      <w:bookmarkEnd w:id="75"/>
      <w:bookmarkEnd w:id="76"/>
      <w:bookmarkEnd w:id="77"/>
      <w:bookmarkEnd w:id="78"/>
      <w:bookmarkEnd w:id="79"/>
      <w:bookmarkEnd w:id="80"/>
      <w:bookmarkEnd w:id="81"/>
      <w:bookmarkEnd w:id="82"/>
    </w:p>
    <w:p w14:paraId="695BBF1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1.1.1根据《中华人民共和国招标投标法》等有关法律、法规和规章的规定，本招标项目已具备招标条件，现对该项目设计施工进行总承包招标。</w:t>
      </w:r>
    </w:p>
    <w:p w14:paraId="0A19F265">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招标人：见投标人须知前附表。</w:t>
      </w:r>
    </w:p>
    <w:p w14:paraId="4E792522">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招标代理机构：见投标人须知前附表。</w:t>
      </w:r>
    </w:p>
    <w:p w14:paraId="1B8B56A1">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招标项目名称：见投标人须知前附表。</w:t>
      </w:r>
    </w:p>
    <w:p w14:paraId="1260A7C2">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1.1.5 项目建设地点：见投标人须知前附表。</w:t>
      </w:r>
    </w:p>
    <w:p w14:paraId="48C8B383">
      <w:pPr>
        <w:pStyle w:val="4"/>
        <w:shd w:val="clear"/>
        <w:rPr>
          <w:rFonts w:hint="eastAsia" w:ascii="宋体" w:hAnsi="宋体" w:eastAsia="宋体" w:cs="宋体"/>
          <w:color w:val="auto"/>
          <w:highlight w:val="none"/>
        </w:rPr>
      </w:pPr>
      <w:bookmarkStart w:id="83" w:name="_Toc152045531"/>
      <w:bookmarkStart w:id="84" w:name="_Toc30330"/>
      <w:bookmarkStart w:id="85" w:name="_Toc247527555"/>
      <w:bookmarkStart w:id="86" w:name="_Toc30664"/>
      <w:bookmarkStart w:id="87" w:name="_Toc247513954"/>
      <w:bookmarkStart w:id="88" w:name="_Toc144974499"/>
      <w:bookmarkStart w:id="89" w:name="_Toc1053"/>
      <w:bookmarkStart w:id="90" w:name="_Toc152042307"/>
      <w:r>
        <w:rPr>
          <w:rFonts w:hint="eastAsia" w:ascii="宋体" w:hAnsi="宋体" w:eastAsia="宋体" w:cs="宋体"/>
          <w:color w:val="auto"/>
          <w:highlight w:val="none"/>
        </w:rPr>
        <w:t>1.2 项目的资金来源和落实情况</w:t>
      </w:r>
      <w:bookmarkEnd w:id="83"/>
      <w:bookmarkEnd w:id="84"/>
      <w:bookmarkEnd w:id="85"/>
      <w:bookmarkEnd w:id="86"/>
      <w:bookmarkEnd w:id="87"/>
      <w:bookmarkEnd w:id="88"/>
      <w:bookmarkEnd w:id="89"/>
      <w:bookmarkEnd w:id="90"/>
    </w:p>
    <w:p w14:paraId="1AF148B2">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 资金来源及比例：见投标人须知前附表。</w:t>
      </w:r>
    </w:p>
    <w:p w14:paraId="3E8F913B">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1.2.2 资金落实情况：见投标人须知前附表。</w:t>
      </w:r>
    </w:p>
    <w:p w14:paraId="6F822207">
      <w:pPr>
        <w:pStyle w:val="4"/>
        <w:shd w:val="clear"/>
        <w:rPr>
          <w:rFonts w:hint="eastAsia" w:ascii="宋体" w:hAnsi="宋体" w:eastAsia="宋体" w:cs="宋体"/>
          <w:color w:val="auto"/>
          <w:highlight w:val="none"/>
        </w:rPr>
      </w:pPr>
      <w:bookmarkStart w:id="91" w:name="_Toc247527556"/>
      <w:bookmarkStart w:id="92" w:name="_Toc247513955"/>
      <w:bookmarkStart w:id="93" w:name="_Toc152045532"/>
      <w:bookmarkStart w:id="94" w:name="_Toc144974500"/>
      <w:bookmarkStart w:id="95" w:name="_Toc152042308"/>
      <w:bookmarkStart w:id="96" w:name="_Toc11891"/>
      <w:bookmarkStart w:id="97" w:name="_Toc11582"/>
      <w:bookmarkStart w:id="98" w:name="_Toc17207"/>
      <w:r>
        <w:rPr>
          <w:rFonts w:hint="eastAsia" w:ascii="宋体" w:hAnsi="宋体" w:eastAsia="宋体" w:cs="宋体"/>
          <w:color w:val="auto"/>
          <w:highlight w:val="none"/>
        </w:rPr>
        <w:t>1.3 招标范围、计划工期和</w:t>
      </w:r>
      <w:bookmarkEnd w:id="91"/>
      <w:bookmarkEnd w:id="92"/>
      <w:bookmarkEnd w:id="93"/>
      <w:bookmarkEnd w:id="94"/>
      <w:bookmarkEnd w:id="95"/>
      <w:r>
        <w:rPr>
          <w:rFonts w:hint="eastAsia" w:ascii="宋体" w:hAnsi="宋体" w:eastAsia="宋体" w:cs="宋体"/>
          <w:color w:val="auto"/>
          <w:highlight w:val="none"/>
        </w:rPr>
        <w:t>质量标准</w:t>
      </w:r>
      <w:bookmarkEnd w:id="96"/>
      <w:bookmarkEnd w:id="97"/>
      <w:bookmarkEnd w:id="98"/>
    </w:p>
    <w:p w14:paraId="0156DA80">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 招标范围：见投标人须知前附表。</w:t>
      </w:r>
    </w:p>
    <w:p w14:paraId="05B71327">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1.3.2 计划工期：见投标人须知前附表。</w:t>
      </w:r>
    </w:p>
    <w:p w14:paraId="7E6ED812">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1.3.3 质量标准：见投标人须知前附表。</w:t>
      </w:r>
    </w:p>
    <w:p w14:paraId="26BAABFA">
      <w:pPr>
        <w:pStyle w:val="4"/>
        <w:shd w:val="clear"/>
        <w:rPr>
          <w:rFonts w:hint="eastAsia" w:ascii="宋体" w:hAnsi="宋体" w:eastAsia="宋体" w:cs="宋体"/>
          <w:color w:val="auto"/>
          <w:highlight w:val="none"/>
        </w:rPr>
      </w:pPr>
      <w:bookmarkStart w:id="99" w:name="_Toc152042310"/>
      <w:bookmarkStart w:id="100" w:name="_Toc144974502"/>
      <w:bookmarkStart w:id="101" w:name="_Toc18638"/>
      <w:bookmarkStart w:id="102" w:name="_Toc247513957"/>
      <w:bookmarkStart w:id="103" w:name="_Toc247527558"/>
      <w:bookmarkStart w:id="104" w:name="_Toc17274"/>
      <w:bookmarkStart w:id="105" w:name="_Toc152045534"/>
      <w:bookmarkStart w:id="106" w:name="_Toc17813"/>
      <w:r>
        <w:rPr>
          <w:rFonts w:hint="eastAsia" w:ascii="宋体" w:hAnsi="宋体" w:eastAsia="宋体" w:cs="宋体"/>
          <w:color w:val="auto"/>
          <w:highlight w:val="none"/>
        </w:rPr>
        <w:t>1.4 投标人资格要求（适用于未进行资格预审的）</w:t>
      </w:r>
      <w:bookmarkEnd w:id="99"/>
      <w:bookmarkEnd w:id="100"/>
      <w:bookmarkEnd w:id="101"/>
      <w:bookmarkEnd w:id="102"/>
      <w:bookmarkEnd w:id="103"/>
      <w:bookmarkEnd w:id="104"/>
      <w:bookmarkEnd w:id="105"/>
      <w:bookmarkEnd w:id="106"/>
    </w:p>
    <w:p w14:paraId="6279DF12">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1.4.1 投标人应具备承担本招标项目资质条件、能力和信誉：详见招标公告。</w:t>
      </w:r>
    </w:p>
    <w:p w14:paraId="5412B234">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1.4.2 投标人须知前附表规定接受联合体投标的，除应符合本章第1.4.1项和投标人须知前附表的要求外，还应遵守以下规定： </w:t>
      </w:r>
    </w:p>
    <w:p w14:paraId="51427858">
      <w:pPr>
        <w:shd w:val="clear"/>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（1）联合体各方应按招标文件提供的格式签订联合体共同投标协议书，明确联合体主办方和各方权利义务；</w:t>
      </w:r>
    </w:p>
    <w:p w14:paraId="1C7EEF82">
      <w:pPr>
        <w:shd w:val="clear"/>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（2）由同一专业的单位组成的联合体，按照资质等级较低的单位确定资质等级；</w:t>
      </w:r>
    </w:p>
    <w:p w14:paraId="3A618716">
      <w:pPr>
        <w:shd w:val="clear"/>
        <w:spacing w:line="40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（3）联合体各方不得再以自己名义单独或参加其他联合体在本招标项目中投标。</w:t>
      </w:r>
    </w:p>
    <w:p w14:paraId="432E4FD5">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1.4.3 投标人不得存在下列情形之一（以投标人提供的《投标人声明》中的承诺内容为准）：</w:t>
      </w:r>
    </w:p>
    <w:p w14:paraId="5E93EDAC">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 xml:space="preserve">（1）为招标人不具有独立法人资格的附属机构（单位）； </w:t>
      </w:r>
    </w:p>
    <w:p w14:paraId="62745D0F">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（2）为招标项目前期工作提供咨询服务的；</w:t>
      </w:r>
    </w:p>
    <w:p w14:paraId="157B68E5">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（3）为本招标项目的监理人；</w:t>
      </w:r>
    </w:p>
    <w:p w14:paraId="4D8A2AD8">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 xml:space="preserve">（4）为本招标项目的代建人； </w:t>
      </w:r>
    </w:p>
    <w:p w14:paraId="74417C65">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 xml:space="preserve">（5）为本招标项目提供招标代理服务的； </w:t>
      </w:r>
    </w:p>
    <w:p w14:paraId="5154D2E8">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 xml:space="preserve">（6）被责令停业的； </w:t>
      </w:r>
    </w:p>
    <w:p w14:paraId="133B5C77">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 xml:space="preserve">（7）被暂停或取消投标资格的； </w:t>
      </w:r>
    </w:p>
    <w:p w14:paraId="79804F87">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（8）财产被接管或冻结的；</w:t>
      </w:r>
    </w:p>
    <w:p w14:paraId="5C76FB4D">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（9）在最近三年内有骗取中标或严重违约或重大工程质量问题的；</w:t>
      </w:r>
    </w:p>
    <w:p w14:paraId="2177627A">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（10）与本招标项目的监理人或代建人或招标代理机构同为一个法定代表人的；</w:t>
      </w:r>
    </w:p>
    <w:p w14:paraId="1334E910">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（11）与本招标项目的监理人或代建人或招标代理机构相互控股或参股的；</w:t>
      </w:r>
    </w:p>
    <w:p w14:paraId="2B059D37">
      <w:pPr>
        <w:shd w:val="clear"/>
        <w:spacing w:line="400" w:lineRule="exact"/>
        <w:ind w:firstLine="315" w:firstLineChars="150"/>
        <w:rPr>
          <w:rFonts w:hint="eastAsia" w:ascii="宋体" w:hAnsi="宋体" w:eastAsia="宋体" w:cs="宋体"/>
          <w:strike/>
          <w:color w:val="auto"/>
          <w:highlight w:val="none"/>
        </w:rPr>
      </w:pPr>
      <w:r>
        <w:rPr>
          <w:rFonts w:hint="eastAsia" w:ascii="宋体" w:hAnsi="宋体" w:eastAsia="宋体" w:cs="宋体"/>
          <w:strike/>
          <w:color w:val="auto"/>
          <w:highlight w:val="none"/>
        </w:rPr>
        <w:t>（12）与本招标项目的监理人或代建人或招标代理机构相互任职或工作的。</w:t>
      </w:r>
    </w:p>
    <w:p w14:paraId="083DBAE3">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1.4.4 单位负责人为同一人或者存在控股、管理关系的不同单位，不得同时参加本招标项目投标（以投标人提供的《投标人声明》中的承诺内容为准）。</w:t>
      </w:r>
    </w:p>
    <w:p w14:paraId="2CBFBC23">
      <w:pPr>
        <w:pStyle w:val="4"/>
        <w:shd w:val="clear"/>
        <w:rPr>
          <w:rFonts w:hint="eastAsia" w:ascii="宋体" w:hAnsi="宋体" w:eastAsia="宋体" w:cs="宋体"/>
          <w:color w:val="auto"/>
          <w:highlight w:val="none"/>
        </w:rPr>
      </w:pPr>
      <w:bookmarkStart w:id="107" w:name="_Toc247513958"/>
      <w:bookmarkStart w:id="108" w:name="_Toc144974503"/>
      <w:bookmarkStart w:id="109" w:name="_Toc247527559"/>
      <w:bookmarkStart w:id="110" w:name="_Toc152045535"/>
      <w:bookmarkStart w:id="111" w:name="_Toc152042311"/>
      <w:bookmarkStart w:id="112" w:name="_Toc24413"/>
      <w:bookmarkStart w:id="113" w:name="_Toc29210"/>
      <w:bookmarkStart w:id="114" w:name="_Toc28201"/>
      <w:r>
        <w:rPr>
          <w:rFonts w:hint="eastAsia" w:ascii="宋体" w:hAnsi="宋体" w:eastAsia="宋体" w:cs="宋体"/>
          <w:color w:val="auto"/>
          <w:highlight w:val="none"/>
        </w:rPr>
        <w:t>1.5 费用承担</w:t>
      </w:r>
      <w:bookmarkEnd w:id="107"/>
      <w:bookmarkEnd w:id="108"/>
      <w:bookmarkEnd w:id="109"/>
      <w:bookmarkEnd w:id="110"/>
      <w:bookmarkEnd w:id="111"/>
      <w:r>
        <w:rPr>
          <w:rFonts w:hint="eastAsia" w:ascii="宋体" w:hAnsi="宋体" w:eastAsia="宋体" w:cs="宋体"/>
          <w:color w:val="auto"/>
          <w:highlight w:val="none"/>
        </w:rPr>
        <w:t>和设计成果补偿</w:t>
      </w:r>
      <w:bookmarkEnd w:id="112"/>
      <w:bookmarkEnd w:id="113"/>
      <w:bookmarkEnd w:id="114"/>
    </w:p>
    <w:p w14:paraId="10F763CC">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 投标人准备和参加投标活动发生的费用自理。</w:t>
      </w:r>
    </w:p>
    <w:p w14:paraId="29FD892E">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 招标人对符合招标文件规定的未中标人的设计成果进行补偿的，按投标人须知前附表规定给予补偿，并有权免费使用未中标人设计成果。</w:t>
      </w:r>
    </w:p>
    <w:p w14:paraId="1D5DC762">
      <w:pPr>
        <w:pStyle w:val="4"/>
        <w:shd w:val="clear"/>
        <w:rPr>
          <w:rFonts w:hint="eastAsia" w:ascii="宋体" w:hAnsi="宋体" w:eastAsia="宋体" w:cs="宋体"/>
          <w:color w:val="auto"/>
          <w:highlight w:val="none"/>
        </w:rPr>
      </w:pPr>
      <w:bookmarkStart w:id="115" w:name="_Toc22870"/>
      <w:bookmarkStart w:id="116" w:name="_Toc10402"/>
      <w:bookmarkStart w:id="117" w:name="_Toc3981"/>
      <w:bookmarkStart w:id="118" w:name="_Toc247513959"/>
      <w:bookmarkStart w:id="119" w:name="_Toc247527560"/>
      <w:bookmarkStart w:id="120" w:name="_Toc152045536"/>
      <w:bookmarkStart w:id="121" w:name="_Toc152042312"/>
      <w:bookmarkStart w:id="122" w:name="_Toc144974504"/>
      <w:r>
        <w:rPr>
          <w:rFonts w:hint="eastAsia" w:ascii="宋体" w:hAnsi="宋体" w:eastAsia="宋体" w:cs="宋体"/>
          <w:color w:val="auto"/>
          <w:highlight w:val="none"/>
        </w:rPr>
        <w:t>1.6 保密</w:t>
      </w:r>
      <w:bookmarkEnd w:id="115"/>
      <w:bookmarkEnd w:id="116"/>
      <w:bookmarkEnd w:id="117"/>
      <w:bookmarkEnd w:id="118"/>
      <w:bookmarkEnd w:id="119"/>
      <w:bookmarkEnd w:id="120"/>
      <w:bookmarkEnd w:id="121"/>
      <w:bookmarkEnd w:id="122"/>
    </w:p>
    <w:p w14:paraId="78E3301C">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参与招标投标活动的各方应对招标文件和投标文件中的商业和技术等秘密保密，否则应承担相应的法律责任。 </w:t>
      </w:r>
    </w:p>
    <w:p w14:paraId="5D163F1A">
      <w:pPr>
        <w:pStyle w:val="4"/>
        <w:shd w:val="clear"/>
        <w:rPr>
          <w:rFonts w:hint="eastAsia" w:ascii="宋体" w:hAnsi="宋体" w:eastAsia="宋体" w:cs="宋体"/>
          <w:color w:val="auto"/>
          <w:highlight w:val="none"/>
        </w:rPr>
      </w:pPr>
      <w:bookmarkStart w:id="123" w:name="_Toc144974505"/>
      <w:bookmarkStart w:id="124" w:name="_Toc19774"/>
      <w:bookmarkStart w:id="125" w:name="_Toc9184"/>
      <w:bookmarkStart w:id="126" w:name="_Toc247527561"/>
      <w:bookmarkStart w:id="127" w:name="_Toc152045537"/>
      <w:bookmarkStart w:id="128" w:name="_Toc247513960"/>
      <w:bookmarkStart w:id="129" w:name="_Toc152042313"/>
      <w:bookmarkStart w:id="130" w:name="_Toc3068"/>
      <w:r>
        <w:rPr>
          <w:rFonts w:hint="eastAsia" w:ascii="宋体" w:hAnsi="宋体" w:eastAsia="宋体" w:cs="宋体"/>
          <w:color w:val="auto"/>
          <w:highlight w:val="none"/>
        </w:rPr>
        <w:t>1.7 语言</w:t>
      </w:r>
      <w:bookmarkEnd w:id="123"/>
      <w:r>
        <w:rPr>
          <w:rFonts w:hint="eastAsia" w:ascii="宋体" w:hAnsi="宋体" w:eastAsia="宋体" w:cs="宋体"/>
          <w:color w:val="auto"/>
          <w:highlight w:val="none"/>
        </w:rPr>
        <w:t>文字</w:t>
      </w:r>
      <w:bookmarkEnd w:id="124"/>
      <w:bookmarkEnd w:id="125"/>
      <w:bookmarkEnd w:id="126"/>
      <w:bookmarkEnd w:id="127"/>
      <w:bookmarkEnd w:id="128"/>
      <w:bookmarkEnd w:id="129"/>
      <w:bookmarkEnd w:id="130"/>
    </w:p>
    <w:p w14:paraId="59FD07E8">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招标投标文件使用的语言文字为中文。专用术语使用外文的，应附有中文注释。</w:t>
      </w:r>
    </w:p>
    <w:p w14:paraId="6A2C652B">
      <w:pPr>
        <w:pStyle w:val="4"/>
        <w:shd w:val="clear"/>
        <w:rPr>
          <w:rFonts w:hint="eastAsia" w:ascii="宋体" w:hAnsi="宋体" w:eastAsia="宋体" w:cs="宋体"/>
          <w:color w:val="auto"/>
          <w:highlight w:val="none"/>
        </w:rPr>
      </w:pPr>
      <w:bookmarkStart w:id="131" w:name="_Toc144974506"/>
      <w:bookmarkStart w:id="132" w:name="_Toc247513961"/>
      <w:bookmarkStart w:id="133" w:name="_Toc152042314"/>
      <w:bookmarkStart w:id="134" w:name="_Toc247527562"/>
      <w:bookmarkStart w:id="135" w:name="_Toc14034"/>
      <w:bookmarkStart w:id="136" w:name="_Toc152045538"/>
      <w:bookmarkStart w:id="137" w:name="_Toc25773"/>
      <w:bookmarkStart w:id="138" w:name="_Toc8865"/>
      <w:r>
        <w:rPr>
          <w:rFonts w:hint="eastAsia" w:ascii="宋体" w:hAnsi="宋体" w:eastAsia="宋体" w:cs="宋体"/>
          <w:color w:val="auto"/>
          <w:highlight w:val="none"/>
        </w:rPr>
        <w:t>1.8 计量单位</w:t>
      </w:r>
      <w:bookmarkEnd w:id="131"/>
      <w:bookmarkEnd w:id="132"/>
      <w:bookmarkEnd w:id="133"/>
      <w:bookmarkEnd w:id="134"/>
      <w:bookmarkEnd w:id="135"/>
      <w:bookmarkEnd w:id="136"/>
      <w:bookmarkEnd w:id="137"/>
      <w:bookmarkEnd w:id="138"/>
    </w:p>
    <w:p w14:paraId="0152D4ED">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1.8.1 所有计量均采用中华人民共和国法定计量单位。</w:t>
      </w:r>
    </w:p>
    <w:p w14:paraId="117EBE6B">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1.8.2 本工程投标报价采用的币种为人民币。</w:t>
      </w:r>
    </w:p>
    <w:p w14:paraId="17461711">
      <w:pPr>
        <w:pStyle w:val="4"/>
        <w:shd w:val="clear"/>
        <w:rPr>
          <w:rFonts w:hint="eastAsia" w:ascii="宋体" w:hAnsi="宋体" w:eastAsia="宋体" w:cs="宋体"/>
          <w:color w:val="auto"/>
          <w:highlight w:val="none"/>
        </w:rPr>
      </w:pPr>
      <w:bookmarkStart w:id="139" w:name="_Toc25098"/>
      <w:bookmarkStart w:id="140" w:name="_Toc247513962"/>
      <w:bookmarkStart w:id="141" w:name="_Toc19101"/>
      <w:bookmarkStart w:id="142" w:name="_Toc152042315"/>
      <w:bookmarkStart w:id="143" w:name="_Toc144974507"/>
      <w:bookmarkStart w:id="144" w:name="_Toc247527563"/>
      <w:bookmarkStart w:id="145" w:name="_Toc3182"/>
      <w:bookmarkStart w:id="146" w:name="_Toc152045539"/>
      <w:r>
        <w:rPr>
          <w:rFonts w:hint="eastAsia" w:ascii="宋体" w:hAnsi="宋体" w:eastAsia="宋体" w:cs="宋体"/>
          <w:color w:val="auto"/>
          <w:highlight w:val="none"/>
        </w:rPr>
        <w:t>1.9 踏勘现场</w:t>
      </w:r>
      <w:bookmarkEnd w:id="139"/>
      <w:bookmarkEnd w:id="140"/>
      <w:bookmarkEnd w:id="141"/>
      <w:bookmarkEnd w:id="142"/>
      <w:bookmarkEnd w:id="143"/>
      <w:bookmarkEnd w:id="144"/>
      <w:bookmarkEnd w:id="145"/>
      <w:bookmarkEnd w:id="146"/>
    </w:p>
    <w:p w14:paraId="3C75EC1A">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1.9.1 投标人须知前附表规定组织踏勘现场的，招标人按投标人须知前附表规定的时间、地点组织投标人踏勘项目现场。 </w:t>
      </w:r>
    </w:p>
    <w:p w14:paraId="42E1CCD2">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1.9.2 投标人踏勘现场发生的费用自理。</w:t>
      </w:r>
    </w:p>
    <w:p w14:paraId="43B25571">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1.9.3 除招标人的原因外，投标人自行负责在踏勘现场中所发生的人员伤亡和财产损失。</w:t>
      </w:r>
    </w:p>
    <w:p w14:paraId="3ED661F7">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1.9.4 现场由投标人自行踏勘，投标人不进行踏勘的，视为已熟知现场条件，自行承担相关风险。招标人不对投标人自行踏勘现场作出的判断和决策负责。</w:t>
      </w:r>
    </w:p>
    <w:p w14:paraId="13C3ACB2">
      <w:pPr>
        <w:shd w:val="clear"/>
        <w:spacing w:line="400" w:lineRule="exact"/>
        <w:ind w:firstLine="420" w:firstLineChars="200"/>
        <w:rPr>
          <w:rFonts w:hint="eastAsia" w:ascii="宋体" w:hAnsi="宋体" w:eastAsia="宋体" w:cs="宋体"/>
          <w:color w:val="auto"/>
          <w:highlight w:val="none"/>
        </w:rPr>
      </w:pPr>
    </w:p>
    <w:p w14:paraId="305DB4DF">
      <w:pPr>
        <w:pStyle w:val="4"/>
        <w:shd w:val="clear"/>
        <w:rPr>
          <w:rFonts w:hint="eastAsia" w:ascii="宋体" w:hAnsi="宋体" w:eastAsia="宋体" w:cs="宋体"/>
          <w:color w:val="auto"/>
          <w:highlight w:val="none"/>
        </w:rPr>
      </w:pPr>
      <w:bookmarkStart w:id="147" w:name="_Toc144974508"/>
      <w:bookmarkStart w:id="148" w:name="_Toc247513963"/>
      <w:bookmarkStart w:id="149" w:name="_Toc2420"/>
      <w:bookmarkStart w:id="150" w:name="_Toc152042316"/>
      <w:bookmarkStart w:id="151" w:name="_Toc247527564"/>
      <w:bookmarkStart w:id="152" w:name="_Toc152045540"/>
      <w:bookmarkStart w:id="153" w:name="_Toc17152"/>
      <w:bookmarkStart w:id="154" w:name="_Toc9651"/>
      <w:r>
        <w:rPr>
          <w:rFonts w:hint="eastAsia" w:ascii="宋体" w:hAnsi="宋体" w:eastAsia="宋体" w:cs="宋体"/>
          <w:color w:val="auto"/>
          <w:highlight w:val="none"/>
        </w:rPr>
        <w:t>1.10 投标预备会</w:t>
      </w:r>
      <w:bookmarkEnd w:id="147"/>
      <w:bookmarkEnd w:id="148"/>
      <w:bookmarkEnd w:id="149"/>
      <w:bookmarkEnd w:id="150"/>
      <w:bookmarkEnd w:id="151"/>
      <w:bookmarkEnd w:id="152"/>
      <w:bookmarkEnd w:id="153"/>
      <w:bookmarkEnd w:id="154"/>
    </w:p>
    <w:p w14:paraId="5ED03727">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1.10.1 投标人须知前附表规定召开投标预备会的，招标人按投标人须知前附表规定的时间和地点召开投标预备会，澄清投标人提出的问题。</w:t>
      </w:r>
    </w:p>
    <w:p w14:paraId="00124FFE">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1.10.2 投标人应在投标人须知前附表规定的时间前，</w:t>
      </w:r>
      <w:r>
        <w:rPr>
          <w:rFonts w:hint="eastAsia" w:ascii="宋体" w:hAnsi="宋体" w:eastAsia="宋体" w:cs="宋体"/>
          <w:color w:val="auto"/>
          <w:highlight w:val="none"/>
          <w:u w:val="single"/>
        </w:rPr>
        <w:t>进行网上答疑。</w:t>
      </w:r>
    </w:p>
    <w:p w14:paraId="36DC8BD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1.10.3 招标人在投标人须知前附表规定的时间内，将对投标人所提问题的澄清，</w:t>
      </w:r>
      <w:r>
        <w:rPr>
          <w:rFonts w:hint="eastAsia" w:ascii="宋体" w:hAnsi="宋体" w:eastAsia="宋体" w:cs="宋体"/>
          <w:color w:val="auto"/>
          <w:highlight w:val="none"/>
          <w:u w:val="single"/>
        </w:rPr>
        <w:t>以网上发布形式通知所有潜在投标人，澄清文件一经在广州交易集团有限公司（广州公共资源交易中心）网站发布，视作已发放给所有投标人。</w:t>
      </w:r>
      <w:r>
        <w:rPr>
          <w:rFonts w:hint="eastAsia" w:ascii="宋体" w:hAnsi="宋体" w:eastAsia="宋体" w:cs="宋体"/>
          <w:color w:val="auto"/>
          <w:highlight w:val="none"/>
        </w:rPr>
        <w:t>该澄清内容为招标文件的组成部分。</w:t>
      </w:r>
    </w:p>
    <w:p w14:paraId="64270C10">
      <w:pPr>
        <w:pStyle w:val="4"/>
        <w:shd w:val="clear"/>
        <w:rPr>
          <w:rFonts w:hint="eastAsia" w:ascii="宋体" w:hAnsi="宋体" w:eastAsia="宋体" w:cs="宋体"/>
          <w:color w:val="auto"/>
          <w:highlight w:val="none"/>
        </w:rPr>
      </w:pPr>
      <w:bookmarkStart w:id="155" w:name="_Toc144974509"/>
      <w:bookmarkStart w:id="156" w:name="_Toc247527565"/>
      <w:bookmarkStart w:id="157" w:name="_Toc3694"/>
      <w:bookmarkStart w:id="158" w:name="_Toc31561"/>
      <w:bookmarkStart w:id="159" w:name="_Toc21297"/>
      <w:bookmarkStart w:id="160" w:name="_Toc247513964"/>
      <w:bookmarkStart w:id="161" w:name="_Toc152045541"/>
      <w:bookmarkStart w:id="162" w:name="_Toc152042317"/>
      <w:r>
        <w:rPr>
          <w:rFonts w:hint="eastAsia" w:ascii="宋体" w:hAnsi="宋体" w:eastAsia="宋体" w:cs="宋体"/>
          <w:color w:val="auto"/>
          <w:highlight w:val="none"/>
        </w:rPr>
        <w:t>1.11 分包</w:t>
      </w:r>
      <w:bookmarkEnd w:id="155"/>
      <w:bookmarkEnd w:id="156"/>
      <w:bookmarkEnd w:id="157"/>
      <w:bookmarkEnd w:id="158"/>
      <w:bookmarkEnd w:id="159"/>
      <w:bookmarkEnd w:id="160"/>
      <w:bookmarkEnd w:id="161"/>
      <w:bookmarkEnd w:id="162"/>
    </w:p>
    <w:p w14:paraId="71899EE1">
      <w:pPr>
        <w:shd w:val="clear"/>
        <w:spacing w:line="400" w:lineRule="exact"/>
        <w:ind w:firstLine="567" w:firstLineChars="270"/>
        <w:rPr>
          <w:rFonts w:hint="eastAsia" w:ascii="宋体" w:hAnsi="宋体" w:eastAsia="宋体" w:cs="宋体"/>
          <w:color w:val="auto"/>
          <w:highlight w:val="none"/>
        </w:rPr>
      </w:pPr>
      <w:r>
        <w:rPr>
          <w:rFonts w:hint="eastAsia" w:ascii="宋体" w:hAnsi="宋体" w:eastAsia="宋体" w:cs="宋体"/>
          <w:color w:val="auto"/>
          <w:highlight w:val="none"/>
        </w:rPr>
        <w:t>1.11.1 投标人须知前附表规定应当由分包人实施的非主体、非关键性工作，投标人应当按照第五章“招标人要求”的规定提供分包人侯选名单及其相应资料。</w:t>
      </w:r>
    </w:p>
    <w:p w14:paraId="3864ECA2">
      <w:pPr>
        <w:shd w:val="clear"/>
        <w:spacing w:line="400" w:lineRule="exact"/>
        <w:ind w:firstLine="567" w:firstLineChars="270"/>
        <w:rPr>
          <w:rFonts w:hint="eastAsia" w:ascii="宋体" w:hAnsi="宋体" w:eastAsia="宋体" w:cs="宋体"/>
          <w:color w:val="auto"/>
          <w:highlight w:val="none"/>
        </w:rPr>
      </w:pPr>
      <w:r>
        <w:rPr>
          <w:rFonts w:hint="eastAsia" w:ascii="宋体" w:hAnsi="宋体" w:eastAsia="宋体" w:cs="宋体"/>
          <w:color w:val="auto"/>
          <w:highlight w:val="none"/>
        </w:rPr>
        <w:t>1.11.2 投标人拟在中标后将中标项目的部分非主体、非关键性工作进行分包的，应符合投标人须知前附表规定的分包内容、分包金额和资质要求等限制性条件。</w:t>
      </w:r>
    </w:p>
    <w:p w14:paraId="27D30598">
      <w:pPr>
        <w:pStyle w:val="4"/>
        <w:shd w:val="clear"/>
        <w:rPr>
          <w:rFonts w:hint="eastAsia" w:ascii="宋体" w:hAnsi="宋体" w:eastAsia="宋体" w:cs="宋体"/>
          <w:color w:val="auto"/>
          <w:highlight w:val="none"/>
        </w:rPr>
      </w:pPr>
      <w:bookmarkStart w:id="163" w:name="_Toc1857"/>
      <w:bookmarkStart w:id="164" w:name="_Toc247527566"/>
      <w:bookmarkStart w:id="165" w:name="_Toc247513965"/>
      <w:bookmarkStart w:id="166" w:name="_Toc13521"/>
      <w:bookmarkStart w:id="167" w:name="_Toc9023"/>
      <w:r>
        <w:rPr>
          <w:rFonts w:hint="eastAsia" w:ascii="宋体" w:hAnsi="宋体" w:eastAsia="宋体" w:cs="宋体"/>
          <w:color w:val="auto"/>
          <w:highlight w:val="none"/>
        </w:rPr>
        <w:t>1.12 偏离</w:t>
      </w:r>
      <w:bookmarkEnd w:id="163"/>
      <w:bookmarkEnd w:id="164"/>
      <w:bookmarkEnd w:id="165"/>
      <w:bookmarkEnd w:id="166"/>
      <w:bookmarkEnd w:id="167"/>
    </w:p>
    <w:p w14:paraId="74306F8C">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投标人须知前附表允许投标文件偏离招标文件某些要求的，偏离应当符合招标文件规定的偏离范围和幅度。</w:t>
      </w:r>
    </w:p>
    <w:p w14:paraId="4D642F6F">
      <w:pPr>
        <w:pStyle w:val="3"/>
        <w:shd w:val="clear"/>
        <w:rPr>
          <w:rFonts w:hint="eastAsia" w:ascii="宋体" w:hAnsi="宋体" w:eastAsia="宋体" w:cs="宋体"/>
          <w:color w:val="auto"/>
          <w:highlight w:val="none"/>
        </w:rPr>
      </w:pPr>
      <w:bookmarkStart w:id="168" w:name="_Toc144974510"/>
      <w:bookmarkStart w:id="169" w:name="_Toc247527567"/>
      <w:bookmarkStart w:id="170" w:name="_Toc247513966"/>
      <w:bookmarkStart w:id="171" w:name="_Toc29782"/>
      <w:bookmarkStart w:id="172" w:name="_Toc10845"/>
      <w:bookmarkStart w:id="173" w:name="_Toc152045542"/>
      <w:bookmarkStart w:id="174" w:name="_Toc9146"/>
      <w:bookmarkStart w:id="175" w:name="_Toc152042318"/>
      <w:r>
        <w:rPr>
          <w:rFonts w:hint="eastAsia" w:ascii="宋体" w:hAnsi="宋体" w:eastAsia="宋体" w:cs="宋体"/>
          <w:color w:val="auto"/>
          <w:highlight w:val="none"/>
        </w:rPr>
        <w:t>2. 招标文件</w:t>
      </w:r>
      <w:bookmarkEnd w:id="168"/>
      <w:bookmarkEnd w:id="169"/>
      <w:bookmarkEnd w:id="170"/>
      <w:bookmarkEnd w:id="171"/>
      <w:bookmarkEnd w:id="172"/>
      <w:bookmarkEnd w:id="173"/>
      <w:bookmarkEnd w:id="174"/>
      <w:bookmarkEnd w:id="175"/>
    </w:p>
    <w:p w14:paraId="329D9287">
      <w:pPr>
        <w:pStyle w:val="4"/>
        <w:shd w:val="clear"/>
        <w:rPr>
          <w:rFonts w:hint="eastAsia" w:ascii="宋体" w:hAnsi="宋体" w:eastAsia="宋体" w:cs="宋体"/>
          <w:color w:val="auto"/>
          <w:highlight w:val="none"/>
        </w:rPr>
      </w:pPr>
      <w:bookmarkStart w:id="176" w:name="_Toc247513967"/>
      <w:bookmarkStart w:id="177" w:name="_Toc25711"/>
      <w:bookmarkStart w:id="178" w:name="_Toc9990"/>
      <w:bookmarkStart w:id="179" w:name="_Toc30638"/>
      <w:bookmarkStart w:id="180" w:name="_Toc247527568"/>
      <w:bookmarkStart w:id="181" w:name="_Toc152045543"/>
      <w:bookmarkStart w:id="182" w:name="_Toc144974511"/>
      <w:bookmarkStart w:id="183" w:name="_Toc152042319"/>
      <w:r>
        <w:rPr>
          <w:rFonts w:hint="eastAsia" w:ascii="宋体" w:hAnsi="宋体" w:eastAsia="宋体" w:cs="宋体"/>
          <w:color w:val="auto"/>
          <w:highlight w:val="none"/>
        </w:rPr>
        <w:t>2.1 招标文件的组成</w:t>
      </w:r>
      <w:bookmarkEnd w:id="176"/>
      <w:bookmarkEnd w:id="177"/>
      <w:bookmarkEnd w:id="178"/>
      <w:bookmarkEnd w:id="179"/>
      <w:bookmarkEnd w:id="180"/>
      <w:bookmarkEnd w:id="181"/>
      <w:bookmarkEnd w:id="182"/>
      <w:bookmarkEnd w:id="183"/>
    </w:p>
    <w:p w14:paraId="3102AC3E">
      <w:pPr>
        <w:shd w:val="clea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本招标文件包括：</w:t>
      </w:r>
    </w:p>
    <w:p w14:paraId="2E55BF8C">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（1）招标公告；</w:t>
      </w:r>
    </w:p>
    <w:p w14:paraId="7021D6C6">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14:paraId="3E9B8951">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（3）评标办法；</w:t>
      </w:r>
    </w:p>
    <w:p w14:paraId="3C570298">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（4）合同条款及格式(另册)；</w:t>
      </w:r>
    </w:p>
    <w:p w14:paraId="30E6BDA9">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（5）招标人要求；</w:t>
      </w:r>
    </w:p>
    <w:p w14:paraId="1B76DA44">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（6）招标人提供的资料；</w:t>
      </w:r>
    </w:p>
    <w:p w14:paraId="4AB3E42C">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（7）投标文件格式；</w:t>
      </w:r>
    </w:p>
    <w:p w14:paraId="221C8555">
      <w:pPr>
        <w:shd w:val="clear"/>
        <w:spacing w:line="400" w:lineRule="exact"/>
        <w:ind w:firstLine="359" w:firstLineChars="171"/>
        <w:rPr>
          <w:rFonts w:hint="eastAsia" w:ascii="宋体" w:hAnsi="宋体" w:eastAsia="宋体" w:cs="宋体"/>
          <w:color w:val="auto"/>
          <w:highlight w:val="none"/>
          <w:u w:val="single"/>
        </w:rPr>
      </w:pPr>
      <w:r>
        <w:rPr>
          <w:rFonts w:hint="eastAsia" w:ascii="宋体" w:hAnsi="宋体" w:eastAsia="宋体" w:cs="宋体"/>
          <w:color w:val="auto"/>
          <w:highlight w:val="none"/>
        </w:rPr>
        <w:t>（8）投标人须知前附表规定的其他资料。</w:t>
      </w:r>
    </w:p>
    <w:p w14:paraId="7EF165E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根据本章第1.10款、第2.2款和第2.3款对招标文件所作的澄清、修改，</w:t>
      </w:r>
      <w:r>
        <w:rPr>
          <w:rFonts w:hint="eastAsia" w:ascii="宋体" w:hAnsi="宋体" w:eastAsia="宋体" w:cs="宋体"/>
          <w:color w:val="auto"/>
          <w:highlight w:val="none"/>
          <w:u w:val="single"/>
        </w:rPr>
        <w:t>构成招标文件的组成部分。当招标文件的澄清、修改等在同一内容的表述不一致时，以最后发出的书面文件为准</w:t>
      </w:r>
      <w:r>
        <w:rPr>
          <w:rFonts w:hint="eastAsia" w:ascii="宋体" w:hAnsi="宋体" w:eastAsia="宋体" w:cs="宋体"/>
          <w:color w:val="auto"/>
          <w:highlight w:val="none"/>
        </w:rPr>
        <w:t>。</w:t>
      </w:r>
    </w:p>
    <w:p w14:paraId="09EB322A">
      <w:pPr>
        <w:pStyle w:val="4"/>
        <w:shd w:val="clear"/>
        <w:rPr>
          <w:rFonts w:hint="eastAsia" w:ascii="宋体" w:hAnsi="宋体" w:eastAsia="宋体" w:cs="宋体"/>
          <w:color w:val="auto"/>
          <w:highlight w:val="none"/>
        </w:rPr>
      </w:pPr>
      <w:bookmarkStart w:id="184" w:name="_Toc152045544"/>
      <w:bookmarkStart w:id="185" w:name="_Toc247513968"/>
      <w:bookmarkStart w:id="186" w:name="_Toc23073"/>
      <w:bookmarkStart w:id="187" w:name="_Toc152042320"/>
      <w:bookmarkStart w:id="188" w:name="_Toc247527569"/>
      <w:bookmarkStart w:id="189" w:name="_Toc144974512"/>
      <w:bookmarkStart w:id="190" w:name="_Toc8887"/>
      <w:bookmarkStart w:id="191" w:name="_Toc19158"/>
      <w:r>
        <w:rPr>
          <w:rFonts w:hint="eastAsia" w:ascii="宋体" w:hAnsi="宋体" w:eastAsia="宋体" w:cs="宋体"/>
          <w:color w:val="auto"/>
          <w:highlight w:val="none"/>
        </w:rPr>
        <w:t>2.2 招标文件的澄清</w:t>
      </w:r>
      <w:bookmarkEnd w:id="184"/>
      <w:bookmarkEnd w:id="185"/>
      <w:bookmarkEnd w:id="186"/>
      <w:bookmarkEnd w:id="187"/>
      <w:bookmarkEnd w:id="188"/>
      <w:bookmarkEnd w:id="189"/>
      <w:bookmarkEnd w:id="190"/>
      <w:bookmarkEnd w:id="191"/>
    </w:p>
    <w:p w14:paraId="05CDEF38">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2.2.1</w:t>
      </w:r>
      <w:r>
        <w:rPr>
          <w:rFonts w:hint="eastAsia" w:ascii="宋体" w:hAnsi="宋体" w:eastAsia="宋体" w:cs="宋体"/>
          <w:color w:val="auto"/>
          <w:highlight w:val="none"/>
          <w:u w:val="single"/>
        </w:rPr>
        <w:t>招标答疑采用网上答疑方式进行。投标人若对招标文件有疑问的，可在递交投标文件截止日期18日前通过广州交易集团有限公司（广州公共资源交易中心）网站将问题提交给招标人或招标代理人。提交问题时一律不得署名。</w:t>
      </w:r>
    </w:p>
    <w:p w14:paraId="49E0552C">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2.2.2</w:t>
      </w:r>
      <w:r>
        <w:rPr>
          <w:rFonts w:hint="eastAsia" w:ascii="宋体" w:hAnsi="宋体" w:eastAsia="宋体" w:cs="宋体"/>
          <w:color w:val="auto"/>
          <w:highlight w:val="none"/>
          <w:u w:val="single"/>
        </w:rPr>
        <w:t>招标人应在投标截止时间15日前解答投标人对招标文件提出的疑问，形成答疑纪要，在广州交易集团有限公司（广州公共资源交易中心）网站发布。</w:t>
      </w:r>
    </w:p>
    <w:p w14:paraId="4931287E">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2.2.3招标文件的答疑纪要在广州交易集团有限公司（广州公共资源交易中心）网站发布，一经发布，视作已发放给所有投标人。</w:t>
      </w:r>
    </w:p>
    <w:p w14:paraId="1456DA6D">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2.2.4 招标答疑纪要为招标文件的一部分。投标人可在广州交易集团有限公司（广州公共资源交易中心）网站浏览、下载招标答疑纪要。</w:t>
      </w:r>
    </w:p>
    <w:p w14:paraId="12A2B9BA">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2.2.5 若招标答疑纪要与招标文件有矛盾时，以广州交易集团有限公司（广州公共资源交易中心）网站最后发布的答疑纪要为准。</w:t>
      </w:r>
    </w:p>
    <w:p w14:paraId="068ED4CA">
      <w:pPr>
        <w:pStyle w:val="4"/>
        <w:shd w:val="clear"/>
        <w:rPr>
          <w:rFonts w:hint="eastAsia" w:ascii="宋体" w:hAnsi="宋体" w:eastAsia="宋体" w:cs="宋体"/>
          <w:color w:val="auto"/>
          <w:highlight w:val="none"/>
        </w:rPr>
      </w:pPr>
      <w:bookmarkStart w:id="192" w:name="_Toc152042321"/>
      <w:bookmarkStart w:id="193" w:name="_Toc247527570"/>
      <w:bookmarkStart w:id="194" w:name="_Toc144974513"/>
      <w:bookmarkStart w:id="195" w:name="_Toc24149"/>
      <w:bookmarkStart w:id="196" w:name="_Toc5830"/>
      <w:bookmarkStart w:id="197" w:name="_Toc247513969"/>
      <w:bookmarkStart w:id="198" w:name="_Toc25207"/>
      <w:bookmarkStart w:id="199" w:name="_Toc152045545"/>
      <w:r>
        <w:rPr>
          <w:rFonts w:hint="eastAsia" w:ascii="宋体" w:hAnsi="宋体" w:eastAsia="宋体" w:cs="宋体"/>
          <w:color w:val="auto"/>
          <w:highlight w:val="none"/>
        </w:rPr>
        <w:t>2.3 招标文件的修改</w:t>
      </w:r>
      <w:bookmarkEnd w:id="192"/>
      <w:bookmarkEnd w:id="193"/>
      <w:bookmarkEnd w:id="194"/>
      <w:bookmarkEnd w:id="195"/>
      <w:bookmarkEnd w:id="196"/>
      <w:bookmarkEnd w:id="197"/>
      <w:bookmarkEnd w:id="198"/>
      <w:bookmarkEnd w:id="199"/>
    </w:p>
    <w:p w14:paraId="4937D6A4">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2.3.1 </w:t>
      </w:r>
      <w:r>
        <w:rPr>
          <w:rFonts w:hint="eastAsia" w:ascii="宋体" w:hAnsi="宋体" w:eastAsia="宋体" w:cs="宋体"/>
          <w:color w:val="auto"/>
          <w:highlight w:val="none"/>
          <w:u w:val="single"/>
        </w:rPr>
        <w:t>在投标截止时间15天前，招标人可对招标文件进行必要的澄清或修改，并通过广州交易集团有限公司（广州公共资源交易中心）网站发布。如果修改招标文件的时间距投标截止时间不足15 天，并且修改内容影响投标文件编制的，相应延长投标截止时间。投标人应及时通过广州交易集团有限公司（广州公共资源交易中心）网站浏览、下载招标文件修改。</w:t>
      </w:r>
    </w:p>
    <w:p w14:paraId="2C67DE6A">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2.3.2 </w:t>
      </w:r>
      <w:r>
        <w:rPr>
          <w:rFonts w:hint="eastAsia" w:ascii="宋体" w:hAnsi="宋体" w:eastAsia="宋体" w:cs="宋体"/>
          <w:color w:val="auto"/>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w:t>
      </w:r>
    </w:p>
    <w:p w14:paraId="2681DC38">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2.3.3 招标文件的澄清、修改作为招标文件的组成部分，具有约束作用。</w:t>
      </w:r>
    </w:p>
    <w:p w14:paraId="459D4315">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2.3.4 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65910D25">
      <w:pPr>
        <w:shd w:val="clear"/>
        <w:spacing w:line="400" w:lineRule="exact"/>
        <w:ind w:firstLine="420" w:firstLineChars="200"/>
        <w:rPr>
          <w:rFonts w:hint="eastAsia" w:ascii="宋体" w:hAnsi="宋体" w:eastAsia="宋体" w:cs="宋体"/>
          <w:color w:val="auto"/>
          <w:highlight w:val="none"/>
          <w:u w:val="single"/>
        </w:rPr>
      </w:pPr>
    </w:p>
    <w:p w14:paraId="49D93187">
      <w:pPr>
        <w:pStyle w:val="3"/>
        <w:shd w:val="clear"/>
        <w:rPr>
          <w:rFonts w:hint="eastAsia" w:ascii="宋体" w:hAnsi="宋体" w:eastAsia="宋体" w:cs="宋体"/>
          <w:color w:val="auto"/>
          <w:highlight w:val="none"/>
        </w:rPr>
      </w:pPr>
      <w:bookmarkStart w:id="200" w:name="_Toc144974514"/>
      <w:bookmarkStart w:id="201" w:name="_Toc11733"/>
      <w:bookmarkStart w:id="202" w:name="_Toc247527571"/>
      <w:bookmarkStart w:id="203" w:name="_Toc152045546"/>
      <w:bookmarkStart w:id="204" w:name="_Toc247513970"/>
      <w:bookmarkStart w:id="205" w:name="_Toc152042322"/>
      <w:bookmarkStart w:id="206" w:name="_Toc21578"/>
      <w:bookmarkStart w:id="207" w:name="_Toc30863"/>
      <w:r>
        <w:rPr>
          <w:rFonts w:hint="eastAsia" w:ascii="宋体" w:hAnsi="宋体" w:eastAsia="宋体" w:cs="宋体"/>
          <w:color w:val="auto"/>
          <w:highlight w:val="none"/>
        </w:rPr>
        <w:t>3. 投标文件</w:t>
      </w:r>
      <w:bookmarkEnd w:id="200"/>
      <w:bookmarkEnd w:id="201"/>
      <w:bookmarkEnd w:id="202"/>
      <w:bookmarkEnd w:id="203"/>
      <w:bookmarkEnd w:id="204"/>
      <w:bookmarkEnd w:id="205"/>
      <w:bookmarkEnd w:id="206"/>
      <w:bookmarkEnd w:id="207"/>
    </w:p>
    <w:p w14:paraId="0525D080">
      <w:pPr>
        <w:pStyle w:val="4"/>
        <w:shd w:val="clear"/>
        <w:rPr>
          <w:rFonts w:hint="eastAsia" w:ascii="宋体" w:hAnsi="宋体" w:eastAsia="宋体" w:cs="宋体"/>
          <w:color w:val="auto"/>
          <w:highlight w:val="none"/>
        </w:rPr>
      </w:pPr>
      <w:bookmarkStart w:id="208" w:name="_Toc682"/>
      <w:bookmarkStart w:id="209" w:name="_Toc152045547"/>
      <w:bookmarkStart w:id="210" w:name="_Toc144974515"/>
      <w:bookmarkStart w:id="211" w:name="_Toc247527572"/>
      <w:bookmarkStart w:id="212" w:name="_Toc32041"/>
      <w:bookmarkStart w:id="213" w:name="_Toc152042323"/>
      <w:bookmarkStart w:id="214" w:name="_Toc439240616"/>
      <w:bookmarkStart w:id="215" w:name="_Toc356469195"/>
      <w:bookmarkStart w:id="216" w:name="_Toc357089529"/>
      <w:bookmarkStart w:id="217" w:name="_Toc4971"/>
      <w:bookmarkStart w:id="218" w:name="_Toc251"/>
      <w:bookmarkStart w:id="219" w:name="_Toc247513971"/>
      <w:bookmarkStart w:id="220" w:name="_Toc300834968"/>
      <w:bookmarkStart w:id="221" w:name="_Toc439246015"/>
      <w:r>
        <w:rPr>
          <w:rFonts w:hint="eastAsia" w:ascii="宋体" w:hAnsi="宋体" w:eastAsia="宋体" w:cs="宋体"/>
          <w:color w:val="auto"/>
          <w:highlight w:val="none"/>
        </w:rPr>
        <w:t>3.1 投标文件的组成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AD5FB56">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3.1.1</w:t>
      </w:r>
      <w:r>
        <w:rPr>
          <w:rFonts w:hint="eastAsia" w:ascii="宋体" w:hAnsi="宋体" w:cs="宋体"/>
          <w:color w:val="auto"/>
          <w:szCs w:val="21"/>
          <w:u w:val="single"/>
        </w:rPr>
        <w:t>投标文件由</w:t>
      </w:r>
      <w:r>
        <w:rPr>
          <w:rFonts w:hint="eastAsia" w:ascii="宋体" w:hAnsi="宋体" w:cs="宋体"/>
          <w:b/>
          <w:bCs/>
          <w:color w:val="auto"/>
          <w:szCs w:val="21"/>
          <w:u w:val="single"/>
        </w:rPr>
        <w:t>资格审查文件、设计方案投标文件、工程总承包实施方案技术部分、</w:t>
      </w:r>
      <w:r>
        <w:rPr>
          <w:rFonts w:hint="eastAsia" w:ascii="宋体" w:hAnsi="宋体" w:cs="宋体"/>
          <w:b/>
          <w:bCs/>
          <w:color w:val="auto"/>
          <w:szCs w:val="21"/>
          <w:u w:val="single"/>
        </w:rPr>
        <w:cr/>
      </w:r>
      <w:r>
        <w:rPr>
          <w:rFonts w:hint="eastAsia" w:ascii="宋体" w:hAnsi="宋体" w:cs="宋体"/>
          <w:b/>
          <w:bCs/>
          <w:color w:val="auto"/>
          <w:szCs w:val="21"/>
          <w:u w:val="single"/>
        </w:rPr>
        <w:t>工程总承包实施方案经济部分四部分组成</w:t>
      </w:r>
      <w:r>
        <w:rPr>
          <w:rFonts w:hint="eastAsia" w:ascii="宋体" w:hAnsi="宋体" w:cs="宋体"/>
          <w:color w:val="auto"/>
          <w:szCs w:val="21"/>
          <w:u w:val="single"/>
        </w:rPr>
        <w:t>，如招标文件没有格式规定的，由投标人自行编制。</w:t>
      </w:r>
    </w:p>
    <w:p w14:paraId="2F580362">
      <w:pPr>
        <w:shd w:val="clear"/>
        <w:spacing w:line="400" w:lineRule="exact"/>
        <w:ind w:firstLine="422" w:firstLineChars="2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3.1.2资格审查文件</w:t>
      </w:r>
    </w:p>
    <w:p w14:paraId="7D590F38">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投标单位法定代表人证明书及</w:t>
      </w:r>
      <w:bookmarkStart w:id="222" w:name="OLE_LINK9"/>
      <w:r>
        <w:rPr>
          <w:rFonts w:hint="eastAsia" w:ascii="宋体" w:hAnsi="宋体" w:eastAsia="宋体" w:cs="宋体"/>
          <w:color w:val="auto"/>
          <w:highlight w:val="none"/>
          <w:u w:val="single"/>
        </w:rPr>
        <w:t>法人授权委托证明书</w:t>
      </w:r>
      <w:bookmarkEnd w:id="222"/>
      <w:r>
        <w:rPr>
          <w:rFonts w:hint="eastAsia" w:ascii="宋体" w:hAnsi="宋体" w:eastAsia="宋体" w:cs="宋体"/>
          <w:color w:val="auto"/>
          <w:highlight w:val="none"/>
          <w:u w:val="single"/>
        </w:rPr>
        <w:t>（联合体投标的，由联合体主办方单位代表联合体授权）；</w:t>
      </w:r>
    </w:p>
    <w:p w14:paraId="6FFFF538">
      <w:pPr>
        <w:numPr>
          <w:ilvl w:val="0"/>
          <w:numId w:val="0"/>
        </w:numPr>
        <w:shd w:val="clear"/>
        <w:spacing w:line="400" w:lineRule="exact"/>
        <w:ind w:left="420" w:leftChars="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企业营业执照（联合体投标的，联合体各方均提供）；</w:t>
      </w:r>
    </w:p>
    <w:p w14:paraId="1E0F470A">
      <w:pPr>
        <w:numPr>
          <w:ilvl w:val="0"/>
          <w:numId w:val="0"/>
        </w:numPr>
        <w:shd w:val="clear"/>
        <w:spacing w:line="400" w:lineRule="exact"/>
        <w:ind w:left="420" w:leftChars="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资质证书（联合体投标的，联合体各方均提供）；</w:t>
      </w:r>
    </w:p>
    <w:p w14:paraId="31D73662">
      <w:pPr>
        <w:numPr>
          <w:ilvl w:val="0"/>
          <w:numId w:val="0"/>
        </w:numPr>
        <w:shd w:val="clear"/>
        <w:spacing w:line="400" w:lineRule="exact"/>
        <w:ind w:left="420" w:leftChars="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安全生产许可证（联合体投标的，</w:t>
      </w:r>
      <w:r>
        <w:rPr>
          <w:rFonts w:hint="eastAsia" w:ascii="宋体" w:hAnsi="宋体" w:eastAsia="宋体" w:cs="宋体"/>
          <w:color w:val="auto"/>
          <w:szCs w:val="21"/>
          <w:highlight w:val="none"/>
          <w:u w:val="single"/>
        </w:rPr>
        <w:t>由施工方提供</w:t>
      </w:r>
      <w:r>
        <w:rPr>
          <w:rFonts w:hint="eastAsia" w:ascii="宋体" w:hAnsi="宋体" w:eastAsia="宋体" w:cs="宋体"/>
          <w:color w:val="auto"/>
          <w:highlight w:val="none"/>
          <w:u w:val="single"/>
        </w:rPr>
        <w:t>）；</w:t>
      </w:r>
    </w:p>
    <w:p w14:paraId="3D3DB166">
      <w:pPr>
        <w:numPr>
          <w:ilvl w:val="0"/>
          <w:numId w:val="0"/>
        </w:numPr>
        <w:shd w:val="clear"/>
        <w:spacing w:line="400" w:lineRule="exact"/>
        <w:ind w:left="420" w:leftChars="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投标人（或联合体主办方）拟派项目负责人（可兼任施工负责人）的相关证书；</w:t>
      </w:r>
    </w:p>
    <w:p w14:paraId="5E4424F7">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u w:val="single"/>
        </w:rPr>
        <w:t>投标人（或联合体主办方）拟派施工负责人的建造师注册证书，持有在有效期内的安全培训考核合格证书（B类）或建筑施工企业项目负责人安全生产考核合格证书；</w:t>
      </w:r>
    </w:p>
    <w:p w14:paraId="66870916">
      <w:pPr>
        <w:numPr>
          <w:ilvl w:val="0"/>
          <w:numId w:val="0"/>
        </w:numPr>
        <w:shd w:val="clear"/>
        <w:spacing w:line="400" w:lineRule="exact"/>
        <w:ind w:left="420" w:leftChars="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u w:val="single"/>
        </w:rPr>
        <w:t>投标人（或联合体设计方）拟派设计负责人的职称证书；</w:t>
      </w:r>
    </w:p>
    <w:p w14:paraId="07C9127F">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(8)</w:t>
      </w:r>
      <w:r>
        <w:rPr>
          <w:rFonts w:hint="eastAsia" w:ascii="宋体" w:hAnsi="宋体" w:eastAsia="宋体" w:cs="宋体"/>
          <w:color w:val="auto"/>
          <w:highlight w:val="none"/>
          <w:u w:val="single"/>
        </w:rPr>
        <w:t>投标人（或联合体主办方）拟派专职安全员具有</w:t>
      </w:r>
      <w:r>
        <w:rPr>
          <w:rFonts w:hint="eastAsia" w:ascii="宋体" w:hAnsi="宋体" w:eastAsia="宋体" w:cs="宋体"/>
          <w:color w:val="auto"/>
          <w:szCs w:val="21"/>
          <w:highlight w:val="none"/>
          <w:u w:val="single"/>
        </w:rPr>
        <w:t>在有效期内的安全生产考核合格证书（C类）或建筑施工企业专职安全生产管理人员安全生产考核合格证书（C3类）</w:t>
      </w:r>
      <w:r>
        <w:rPr>
          <w:rFonts w:hint="eastAsia" w:ascii="宋体" w:hAnsi="宋体" w:eastAsia="宋体" w:cs="宋体"/>
          <w:color w:val="auto"/>
          <w:highlight w:val="none"/>
          <w:u w:val="single"/>
        </w:rPr>
        <w:t>；</w:t>
      </w:r>
    </w:p>
    <w:p w14:paraId="3DF4D03A">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u w:val="single"/>
        </w:rPr>
        <w:t>投标人（或联合体主办方）拟派施工技术负责人的</w:t>
      </w:r>
      <w:r>
        <w:rPr>
          <w:rFonts w:hint="eastAsia" w:ascii="宋体" w:hAnsi="宋体" w:eastAsia="宋体" w:cs="宋体"/>
          <w:color w:val="auto"/>
          <w:szCs w:val="21"/>
          <w:highlight w:val="none"/>
          <w:u w:val="single"/>
        </w:rPr>
        <w:t>职称证书；</w:t>
      </w:r>
    </w:p>
    <w:p w14:paraId="1E151406">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(10)</w:t>
      </w:r>
      <w:r>
        <w:rPr>
          <w:rFonts w:hint="eastAsia" w:ascii="宋体" w:hAnsi="宋体" w:eastAsia="宋体" w:cs="宋体"/>
          <w:color w:val="auto"/>
          <w:highlight w:val="none"/>
          <w:u w:val="single"/>
        </w:rPr>
        <w:t>按招标公告附件一盖章签署的《投标人声明》；</w:t>
      </w:r>
    </w:p>
    <w:p w14:paraId="0C115285">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(11)</w:t>
      </w:r>
      <w:r>
        <w:rPr>
          <w:rFonts w:hint="eastAsia" w:ascii="宋体" w:hAnsi="宋体" w:eastAsia="宋体" w:cs="宋体"/>
          <w:color w:val="auto"/>
          <w:highlight w:val="none"/>
          <w:u w:val="single"/>
        </w:rPr>
        <w:t xml:space="preserve">盖章签署的《联合体共同投标协议书》（参考格式）（如有）； </w:t>
      </w:r>
    </w:p>
    <w:p w14:paraId="2038AB38">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u w:val="single"/>
        </w:rPr>
        <w:t>投标登记前，投标人（含联合体各方）须在广州交易集团有限公司（广州公共资源交易中心）办理企业信息登记，拟担任本工程项目负责人、施工负责人、设计负责人、专职安全员须是投标人本企业信息登记中的在册人员（联合体投标的，企业信息登记和人员在册情况为联合体共同投标协议书分工对应企业库内的登记信息）。</w:t>
      </w:r>
    </w:p>
    <w:p w14:paraId="681CBA2B">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(13)</w:t>
      </w:r>
      <w:r>
        <w:rPr>
          <w:rFonts w:hint="eastAsia" w:ascii="宋体" w:hAnsi="宋体" w:eastAsia="宋体" w:cs="宋体"/>
          <w:color w:val="auto"/>
          <w:highlight w:val="none"/>
          <w:u w:val="single"/>
        </w:rPr>
        <w:t>投标人（含联合体各方）不是本项目的代建单位、项目管理单位、监理单位、造价咨询单位、招标代理单位。投标人（含联合体各方）须承诺应当具有相应的项目管理体系和项目管理能力、财务和风险承担能力。（按投标人提供的《投标人声明》内容进行评审）</w:t>
      </w:r>
    </w:p>
    <w:p w14:paraId="7D88FD1C">
      <w:pPr>
        <w:numPr>
          <w:ilvl w:val="0"/>
          <w:numId w:val="0"/>
        </w:num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(14)</w:t>
      </w:r>
      <w:r>
        <w:rPr>
          <w:rFonts w:hint="eastAsia" w:ascii="宋体" w:hAnsi="宋体" w:eastAsia="宋体" w:cs="宋体"/>
          <w:color w:val="auto"/>
          <w:highlight w:val="none"/>
          <w:u w:val="single"/>
        </w:rPr>
        <w:t>投标人认为应该提供的其他资料。</w:t>
      </w:r>
    </w:p>
    <w:p w14:paraId="1FE9B1EF">
      <w:pPr>
        <w:shd w:val="clear"/>
        <w:spacing w:line="400" w:lineRule="exact"/>
        <w:ind w:firstLine="422" w:firstLineChars="200"/>
        <w:rPr>
          <w:rFonts w:hint="eastAsia" w:ascii="宋体" w:hAnsi="宋体" w:eastAsia="宋体" w:cs="宋体"/>
          <w:b/>
          <w:bCs/>
          <w:color w:val="auto"/>
          <w:highlight w:val="none"/>
          <w:u w:val="single"/>
        </w:rPr>
      </w:pPr>
      <w:bookmarkStart w:id="223" w:name="OLE_LINK4"/>
      <w:r>
        <w:rPr>
          <w:rFonts w:hint="eastAsia" w:ascii="宋体" w:hAnsi="宋体" w:eastAsia="宋体" w:cs="宋体"/>
          <w:b/>
          <w:bCs/>
          <w:color w:val="auto"/>
          <w:highlight w:val="none"/>
          <w:u w:val="single"/>
        </w:rPr>
        <w:t>3.1.3</w:t>
      </w:r>
      <w:bookmarkEnd w:id="223"/>
      <w:r>
        <w:rPr>
          <w:rFonts w:hint="eastAsia" w:ascii="宋体" w:hAnsi="宋体" w:eastAsia="宋体" w:cs="宋体"/>
          <w:b/>
          <w:bCs/>
          <w:color w:val="auto"/>
          <w:highlight w:val="none"/>
          <w:u w:val="single"/>
          <w:lang w:val="en-US" w:eastAsia="zh-CN"/>
        </w:rPr>
        <w:t>设计方案</w:t>
      </w:r>
      <w:r>
        <w:rPr>
          <w:rFonts w:hint="eastAsia" w:ascii="宋体" w:hAnsi="宋体" w:eastAsia="宋体" w:cs="宋体"/>
          <w:b/>
          <w:bCs/>
          <w:color w:val="auto"/>
          <w:highlight w:val="none"/>
          <w:u w:val="single"/>
        </w:rPr>
        <w:t>文件</w:t>
      </w:r>
    </w:p>
    <w:p w14:paraId="50C2648D">
      <w:pPr>
        <w:pStyle w:val="39"/>
        <w:shd w:val="clear"/>
        <w:spacing w:after="0" w:line="360" w:lineRule="auto"/>
        <w:ind w:firstLine="422"/>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lang w:val="en-US" w:eastAsia="zh-CN"/>
        </w:rPr>
        <w:t>设计方案</w:t>
      </w:r>
      <w:r>
        <w:rPr>
          <w:rFonts w:hint="eastAsia" w:ascii="宋体" w:hAnsi="宋体" w:eastAsia="宋体" w:cs="宋体"/>
          <w:b/>
          <w:color w:val="auto"/>
          <w:szCs w:val="21"/>
          <w:highlight w:val="none"/>
          <w:u w:val="single"/>
        </w:rPr>
        <w:t>评审采用“暗标”形式，不得出现可以辨认投标人及专业技术人员身份的名称、印章、商标、图形等记认符号，也不得通过明标、暗标中包含的相同内容（如报价等）互相印证、辨认投标人身份，应包含但不限于以下内容:</w:t>
      </w:r>
    </w:p>
    <w:p w14:paraId="292CC12E">
      <w:pPr>
        <w:pStyle w:val="38"/>
        <w:shd w:val="clear"/>
        <w:spacing w:after="0" w:line="360" w:lineRule="auto"/>
        <w:ind w:left="640" w:firstLine="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（1）首页：写明项目名称、设计作品主题（不宜超过20个字）、编制年月</w:t>
      </w:r>
      <w:r>
        <w:rPr>
          <w:rFonts w:hint="eastAsia" w:ascii="宋体" w:hAnsi="宋体" w:eastAsia="宋体" w:cs="宋体"/>
          <w:color w:val="auto"/>
          <w:szCs w:val="21"/>
          <w:highlight w:val="none"/>
          <w:u w:val="single"/>
          <w:lang w:eastAsia="zh-CN"/>
        </w:rPr>
        <w:t>；</w:t>
      </w:r>
    </w:p>
    <w:p w14:paraId="720BCF54">
      <w:pPr>
        <w:pStyle w:val="38"/>
        <w:shd w:val="clear"/>
        <w:spacing w:after="0" w:line="360" w:lineRule="auto"/>
        <w:ind w:left="640"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目录；</w:t>
      </w:r>
    </w:p>
    <w:p w14:paraId="14A6D8D3">
      <w:pPr>
        <w:pStyle w:val="38"/>
        <w:shd w:val="clear"/>
        <w:spacing w:after="0" w:line="360" w:lineRule="auto"/>
        <w:ind w:left="640"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设计方案</w:t>
      </w:r>
      <w:r>
        <w:rPr>
          <w:rFonts w:hint="eastAsia" w:ascii="宋体" w:hAnsi="宋体" w:eastAsia="宋体" w:cs="宋体"/>
          <w:color w:val="auto"/>
          <w:szCs w:val="21"/>
          <w:highlight w:val="none"/>
          <w:u w:val="single"/>
        </w:rPr>
        <w:t>；</w:t>
      </w:r>
    </w:p>
    <w:p w14:paraId="0AB69437">
      <w:pPr>
        <w:pStyle w:val="38"/>
        <w:shd w:val="clear"/>
        <w:spacing w:after="0" w:line="360" w:lineRule="auto"/>
        <w:ind w:left="640"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）投标人提出的建议；</w:t>
      </w:r>
    </w:p>
    <w:p w14:paraId="3338DF9B">
      <w:pPr>
        <w:pStyle w:val="38"/>
        <w:shd w:val="clear"/>
        <w:spacing w:after="0" w:line="360" w:lineRule="auto"/>
        <w:ind w:left="640"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）投标人认为有必要提供的其他资料。</w:t>
      </w:r>
    </w:p>
    <w:p w14:paraId="5D495A0E">
      <w:pPr>
        <w:spacing w:line="360" w:lineRule="auto"/>
        <w:ind w:firstLine="422" w:firstLineChars="200"/>
        <w:rPr>
          <w:rFonts w:hint="eastAsia" w:ascii="宋体" w:hAnsi="宋体" w:cs="宋体"/>
          <w:b/>
          <w:bCs/>
          <w:color w:val="auto"/>
          <w:szCs w:val="21"/>
          <w:u w:val="single"/>
        </w:rPr>
      </w:pPr>
      <w:bookmarkStart w:id="224" w:name="_Toc16275"/>
      <w:bookmarkStart w:id="225" w:name="_Toc152042324"/>
      <w:bookmarkStart w:id="226" w:name="_Toc247527573"/>
      <w:bookmarkStart w:id="227" w:name="_Toc22089"/>
      <w:bookmarkStart w:id="228" w:name="_Toc152045548"/>
      <w:bookmarkStart w:id="229" w:name="_Toc247513972"/>
      <w:bookmarkStart w:id="230" w:name="_Toc144974516"/>
      <w:r>
        <w:rPr>
          <w:rFonts w:hint="eastAsia" w:ascii="宋体" w:hAnsi="宋体" w:cs="宋体"/>
          <w:b/>
          <w:bCs/>
          <w:color w:val="auto"/>
          <w:szCs w:val="21"/>
          <w:u w:val="single"/>
        </w:rPr>
        <w:t>3.1.</w:t>
      </w:r>
      <w:r>
        <w:rPr>
          <w:rFonts w:hint="eastAsia" w:ascii="宋体" w:hAnsi="宋体" w:cs="宋体"/>
          <w:b/>
          <w:bCs/>
          <w:color w:val="auto"/>
          <w:szCs w:val="21"/>
          <w:u w:val="single"/>
          <w:lang w:val="en-US" w:eastAsia="zh-CN"/>
        </w:rPr>
        <w:t>4</w:t>
      </w:r>
      <w:r>
        <w:rPr>
          <w:rFonts w:hint="eastAsia" w:ascii="宋体" w:hAnsi="宋体" w:cs="宋体"/>
          <w:b/>
          <w:bCs/>
          <w:color w:val="auto"/>
          <w:szCs w:val="21"/>
          <w:u w:val="single"/>
        </w:rPr>
        <w:t>工程总承包实施方案技术部分：</w:t>
      </w:r>
    </w:p>
    <w:p w14:paraId="6210A047">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（1）封面：写明项目名称、工程总承包实施方案技术部分、投标人单位及年月日；加盖投标人电子印章（联合体投标的，“投标人”一栏需书写所有联合体成员的单位全称，由主办方签署、盖章）；</w:t>
      </w:r>
    </w:p>
    <w:p w14:paraId="32E1B1CA">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（2）目录；</w:t>
      </w:r>
    </w:p>
    <w:p w14:paraId="176E5EBD">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（3）设计投标书</w:t>
      </w:r>
    </w:p>
    <w:p w14:paraId="00352FA9">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default" w:ascii="宋体" w:hAnsi="宋体" w:cs="宋体"/>
          <w:color w:val="auto"/>
          <w:szCs w:val="21"/>
          <w:u w:val="single"/>
          <w:lang w:val="en-US"/>
        </w:rPr>
        <w:t>4</w:t>
      </w:r>
      <w:r>
        <w:rPr>
          <w:rFonts w:hint="eastAsia" w:ascii="宋体" w:hAnsi="宋体" w:cs="宋体"/>
          <w:color w:val="auto"/>
          <w:szCs w:val="21"/>
          <w:u w:val="single"/>
        </w:rPr>
        <w:t>）投标书；</w:t>
      </w:r>
    </w:p>
    <w:p w14:paraId="13722650">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default" w:ascii="宋体" w:hAnsi="宋体" w:cs="宋体"/>
          <w:color w:val="auto"/>
          <w:szCs w:val="21"/>
          <w:u w:val="single"/>
          <w:lang w:val="en-US"/>
        </w:rPr>
        <w:t>5</w:t>
      </w:r>
      <w:r>
        <w:rPr>
          <w:rFonts w:hint="eastAsia" w:ascii="宋体" w:hAnsi="宋体" w:cs="宋体"/>
          <w:color w:val="auto"/>
          <w:szCs w:val="21"/>
          <w:u w:val="single"/>
        </w:rPr>
        <w:t>）投标承诺函；</w:t>
      </w:r>
    </w:p>
    <w:p w14:paraId="1D347C38">
      <w:pPr>
        <w:spacing w:line="360" w:lineRule="auto"/>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u w:val="single"/>
        </w:rPr>
        <w:t>（</w:t>
      </w:r>
      <w:r>
        <w:rPr>
          <w:rFonts w:hint="default" w:ascii="宋体" w:hAnsi="宋体" w:cs="宋体"/>
          <w:color w:val="auto"/>
          <w:szCs w:val="21"/>
          <w:u w:val="single"/>
          <w:lang w:val="en-US"/>
        </w:rPr>
        <w:t>6</w:t>
      </w:r>
      <w:r>
        <w:rPr>
          <w:rFonts w:hint="eastAsia" w:ascii="宋体" w:hAnsi="宋体" w:cs="宋体"/>
          <w:color w:val="auto"/>
          <w:szCs w:val="21"/>
          <w:u w:val="single"/>
        </w:rPr>
        <w:t>）类似业绩证明资料</w:t>
      </w:r>
      <w:r>
        <w:rPr>
          <w:rFonts w:hint="eastAsia" w:ascii="宋体" w:hAnsi="宋体" w:cs="宋体"/>
          <w:color w:val="auto"/>
          <w:szCs w:val="21"/>
          <w:u w:val="single"/>
          <w:lang w:eastAsia="zh-CN"/>
        </w:rPr>
        <w:t>（如有）</w:t>
      </w:r>
      <w:r>
        <w:rPr>
          <w:rFonts w:hint="eastAsia" w:ascii="宋体" w:hAnsi="宋体" w:cs="宋体"/>
          <w:color w:val="auto"/>
          <w:szCs w:val="21"/>
          <w:u w:val="single"/>
        </w:rPr>
        <w:t>；</w:t>
      </w:r>
    </w:p>
    <w:p w14:paraId="018E382F">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default" w:ascii="宋体" w:hAnsi="宋体" w:cs="宋体"/>
          <w:color w:val="auto"/>
          <w:szCs w:val="21"/>
          <w:u w:val="single"/>
          <w:lang w:val="en-US"/>
        </w:rPr>
        <w:t>7</w:t>
      </w:r>
      <w:r>
        <w:rPr>
          <w:rFonts w:hint="eastAsia" w:ascii="宋体" w:hAnsi="宋体" w:cs="宋体"/>
          <w:color w:val="auto"/>
          <w:szCs w:val="21"/>
          <w:u w:val="single"/>
        </w:rPr>
        <w:t>）企业获奖证明资料</w:t>
      </w:r>
      <w:r>
        <w:rPr>
          <w:rFonts w:hint="eastAsia" w:ascii="宋体" w:hAnsi="宋体" w:cs="宋体"/>
          <w:color w:val="auto"/>
          <w:szCs w:val="21"/>
          <w:u w:val="single"/>
          <w:lang w:eastAsia="zh-CN"/>
        </w:rPr>
        <w:t>（如有）</w:t>
      </w:r>
      <w:r>
        <w:rPr>
          <w:rFonts w:hint="eastAsia" w:ascii="宋体" w:hAnsi="宋体" w:cs="宋体"/>
          <w:color w:val="auto"/>
          <w:szCs w:val="21"/>
          <w:u w:val="single"/>
        </w:rPr>
        <w:t>；</w:t>
      </w:r>
    </w:p>
    <w:p w14:paraId="0B543390">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eastAsia" w:ascii="宋体" w:hAnsi="宋体" w:cs="宋体"/>
          <w:color w:val="auto"/>
          <w:szCs w:val="21"/>
          <w:u w:val="single"/>
          <w:lang w:val="en-US" w:eastAsia="zh-CN"/>
        </w:rPr>
        <w:t>8</w:t>
      </w:r>
      <w:r>
        <w:rPr>
          <w:rFonts w:hint="eastAsia" w:ascii="宋体" w:hAnsi="宋体" w:cs="宋体"/>
          <w:color w:val="auto"/>
          <w:szCs w:val="21"/>
          <w:u w:val="single"/>
        </w:rPr>
        <w:t>）项目管理团队证明资料</w:t>
      </w:r>
      <w:r>
        <w:rPr>
          <w:rFonts w:hint="eastAsia" w:ascii="宋体" w:hAnsi="宋体" w:cs="宋体"/>
          <w:color w:val="auto"/>
          <w:szCs w:val="21"/>
          <w:u w:val="single"/>
          <w:lang w:eastAsia="zh-CN"/>
        </w:rPr>
        <w:t>（如有）</w:t>
      </w:r>
      <w:r>
        <w:rPr>
          <w:rFonts w:hint="eastAsia" w:ascii="宋体" w:hAnsi="宋体" w:cs="宋体"/>
          <w:color w:val="auto"/>
          <w:szCs w:val="21"/>
          <w:u w:val="single"/>
        </w:rPr>
        <w:t>；</w:t>
      </w:r>
    </w:p>
    <w:p w14:paraId="480E25D6">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eastAsia" w:ascii="宋体" w:hAnsi="宋体" w:cs="宋体"/>
          <w:color w:val="auto"/>
          <w:szCs w:val="21"/>
          <w:u w:val="single"/>
          <w:lang w:val="en-US" w:eastAsia="zh-CN"/>
        </w:rPr>
        <w:t>9</w:t>
      </w:r>
      <w:r>
        <w:rPr>
          <w:rFonts w:hint="eastAsia" w:ascii="宋体" w:hAnsi="宋体" w:cs="宋体"/>
          <w:color w:val="auto"/>
          <w:szCs w:val="21"/>
          <w:u w:val="single"/>
        </w:rPr>
        <w:t>）</w:t>
      </w:r>
      <w:r>
        <w:rPr>
          <w:rFonts w:hint="eastAsia" w:ascii="宋体" w:hAnsi="宋体" w:cs="宋体"/>
          <w:color w:val="auto"/>
          <w:szCs w:val="21"/>
          <w:u w:val="single"/>
          <w:lang w:eastAsia="zh-CN"/>
        </w:rPr>
        <w:t>企业资信</w:t>
      </w:r>
      <w:r>
        <w:rPr>
          <w:rFonts w:hint="eastAsia" w:ascii="宋体" w:hAnsi="宋体" w:cs="宋体"/>
          <w:color w:val="auto"/>
          <w:szCs w:val="21"/>
          <w:u w:val="single"/>
        </w:rPr>
        <w:t>证明资料</w:t>
      </w:r>
      <w:r>
        <w:rPr>
          <w:rFonts w:hint="eastAsia" w:ascii="宋体" w:hAnsi="宋体" w:cs="宋体"/>
          <w:color w:val="auto"/>
          <w:szCs w:val="21"/>
          <w:u w:val="single"/>
          <w:lang w:eastAsia="zh-CN"/>
        </w:rPr>
        <w:t>（如有）</w:t>
      </w:r>
      <w:r>
        <w:rPr>
          <w:rFonts w:hint="eastAsia" w:ascii="宋体" w:hAnsi="宋体" w:cs="宋体"/>
          <w:color w:val="auto"/>
          <w:szCs w:val="21"/>
          <w:u w:val="single"/>
        </w:rPr>
        <w:t>；</w:t>
      </w:r>
    </w:p>
    <w:p w14:paraId="61CE5683">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eastAsia" w:ascii="宋体" w:hAnsi="宋体" w:cs="宋体"/>
          <w:color w:val="auto"/>
          <w:szCs w:val="21"/>
          <w:u w:val="single"/>
          <w:lang w:val="en-US" w:eastAsia="zh-CN"/>
        </w:rPr>
        <w:t>10</w:t>
      </w:r>
      <w:r>
        <w:rPr>
          <w:rFonts w:hint="eastAsia" w:ascii="宋体" w:hAnsi="宋体" w:cs="宋体"/>
          <w:color w:val="auto"/>
          <w:szCs w:val="21"/>
          <w:u w:val="single"/>
        </w:rPr>
        <w:t>）</w:t>
      </w:r>
      <w:r>
        <w:rPr>
          <w:rFonts w:hint="eastAsia" w:ascii="宋体" w:hAnsi="宋体"/>
          <w:color w:val="auto"/>
          <w:szCs w:val="21"/>
        </w:rPr>
        <w:t>管理体系认证</w:t>
      </w:r>
      <w:r>
        <w:rPr>
          <w:rFonts w:hint="eastAsia" w:ascii="宋体" w:hAnsi="宋体" w:cs="宋体"/>
          <w:color w:val="auto"/>
          <w:szCs w:val="21"/>
          <w:u w:val="single"/>
        </w:rPr>
        <w:t>证明资料</w:t>
      </w:r>
      <w:r>
        <w:rPr>
          <w:rFonts w:hint="eastAsia" w:ascii="宋体" w:hAnsi="宋体" w:cs="宋体"/>
          <w:color w:val="auto"/>
          <w:szCs w:val="21"/>
          <w:u w:val="single"/>
          <w:lang w:eastAsia="zh-CN"/>
        </w:rPr>
        <w:t>（如有）</w:t>
      </w:r>
      <w:r>
        <w:rPr>
          <w:rFonts w:hint="eastAsia" w:ascii="宋体" w:hAnsi="宋体" w:cs="宋体"/>
          <w:color w:val="auto"/>
          <w:szCs w:val="21"/>
          <w:u w:val="single"/>
        </w:rPr>
        <w:t>；</w:t>
      </w:r>
    </w:p>
    <w:p w14:paraId="7924948F">
      <w:pPr>
        <w:pStyle w:val="12"/>
        <w:rPr>
          <w:rFonts w:hint="eastAsia"/>
        </w:rPr>
      </w:pPr>
      <w:r>
        <w:rPr>
          <w:rFonts w:hint="eastAsia" w:ascii="宋体" w:hAnsi="宋体" w:cs="宋体"/>
          <w:color w:val="auto"/>
          <w:szCs w:val="21"/>
          <w:u w:val="single"/>
        </w:rPr>
        <w:t>（</w:t>
      </w:r>
      <w:r>
        <w:rPr>
          <w:rFonts w:hint="eastAsia" w:ascii="宋体" w:hAnsi="宋体" w:cs="宋体"/>
          <w:color w:val="auto"/>
          <w:szCs w:val="21"/>
          <w:u w:val="single"/>
          <w:lang w:val="en-US" w:eastAsia="zh-CN"/>
        </w:rPr>
        <w:t>11</w:t>
      </w:r>
      <w:r>
        <w:rPr>
          <w:rFonts w:hint="eastAsia" w:ascii="宋体" w:hAnsi="宋体" w:cs="宋体"/>
          <w:color w:val="auto"/>
          <w:szCs w:val="21"/>
          <w:u w:val="single"/>
        </w:rPr>
        <w:t>）</w:t>
      </w:r>
      <w:r>
        <w:rPr>
          <w:rFonts w:hint="eastAsia" w:ascii="宋体" w:hAnsi="宋体"/>
          <w:color w:val="auto"/>
          <w:szCs w:val="21"/>
          <w:lang w:val="en-US" w:eastAsia="zh-CN"/>
        </w:rPr>
        <w:t>企业信誉</w:t>
      </w:r>
      <w:r>
        <w:rPr>
          <w:rFonts w:hint="eastAsia" w:ascii="宋体" w:hAnsi="宋体" w:cs="宋体"/>
          <w:color w:val="auto"/>
          <w:szCs w:val="21"/>
          <w:u w:val="single"/>
        </w:rPr>
        <w:t>证明资料</w:t>
      </w:r>
      <w:r>
        <w:rPr>
          <w:rFonts w:hint="eastAsia" w:ascii="宋体" w:hAnsi="宋体" w:cs="宋体"/>
          <w:color w:val="auto"/>
          <w:szCs w:val="21"/>
          <w:u w:val="single"/>
          <w:lang w:eastAsia="zh-CN"/>
        </w:rPr>
        <w:t>（如有）</w:t>
      </w:r>
      <w:r>
        <w:rPr>
          <w:rFonts w:hint="eastAsia" w:ascii="宋体" w:hAnsi="宋体" w:cs="宋体"/>
          <w:color w:val="auto"/>
          <w:szCs w:val="21"/>
          <w:u w:val="single"/>
        </w:rPr>
        <w:t>；</w:t>
      </w:r>
    </w:p>
    <w:p w14:paraId="14D089EF">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（1</w:t>
      </w:r>
      <w:r>
        <w:rPr>
          <w:rFonts w:hint="eastAsia" w:ascii="宋体" w:hAnsi="宋体" w:cs="宋体"/>
          <w:color w:val="auto"/>
          <w:szCs w:val="21"/>
          <w:u w:val="single"/>
          <w:lang w:val="en-US" w:eastAsia="zh-CN"/>
        </w:rPr>
        <w:t>2</w:t>
      </w:r>
      <w:r>
        <w:rPr>
          <w:rFonts w:hint="eastAsia" w:ascii="宋体" w:hAnsi="宋体" w:cs="宋体"/>
          <w:color w:val="auto"/>
          <w:szCs w:val="21"/>
          <w:u w:val="single"/>
        </w:rPr>
        <w:t>）工程实施方案；</w:t>
      </w:r>
    </w:p>
    <w:p w14:paraId="1F485B5C">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（1</w:t>
      </w:r>
      <w:r>
        <w:rPr>
          <w:rFonts w:hint="eastAsia" w:ascii="宋体" w:hAnsi="宋体" w:cs="宋体"/>
          <w:color w:val="auto"/>
          <w:szCs w:val="21"/>
          <w:u w:val="single"/>
          <w:lang w:val="en-US" w:eastAsia="zh-CN"/>
        </w:rPr>
        <w:t>3</w:t>
      </w:r>
      <w:r>
        <w:rPr>
          <w:rFonts w:hint="eastAsia" w:ascii="宋体" w:hAnsi="宋体" w:cs="宋体"/>
          <w:color w:val="auto"/>
          <w:szCs w:val="21"/>
          <w:u w:val="single"/>
        </w:rPr>
        <w:t>）参与编制投标文件人员名单；</w:t>
      </w:r>
    </w:p>
    <w:p w14:paraId="35E5A17A">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（1</w:t>
      </w:r>
      <w:r>
        <w:rPr>
          <w:rFonts w:hint="eastAsia" w:ascii="宋体" w:hAnsi="宋体" w:cs="宋体"/>
          <w:color w:val="auto"/>
          <w:szCs w:val="21"/>
          <w:u w:val="single"/>
          <w:lang w:val="en-US" w:eastAsia="zh-CN"/>
        </w:rPr>
        <w:t>4</w:t>
      </w:r>
      <w:r>
        <w:rPr>
          <w:rFonts w:hint="eastAsia" w:ascii="宋体" w:hAnsi="宋体" w:cs="宋体"/>
          <w:color w:val="auto"/>
          <w:szCs w:val="21"/>
          <w:u w:val="single"/>
        </w:rPr>
        <w:t>）投标人认为应该提供的其他资料。</w:t>
      </w:r>
    </w:p>
    <w:p w14:paraId="79084072">
      <w:pPr>
        <w:spacing w:line="360" w:lineRule="auto"/>
        <w:ind w:firstLine="422" w:firstLineChars="200"/>
        <w:rPr>
          <w:rFonts w:hint="eastAsia" w:ascii="宋体" w:hAnsi="宋体" w:cs="宋体"/>
          <w:b/>
          <w:bCs/>
          <w:color w:val="auto"/>
          <w:szCs w:val="21"/>
          <w:u w:val="single"/>
        </w:rPr>
      </w:pPr>
      <w:r>
        <w:rPr>
          <w:rFonts w:hint="eastAsia" w:ascii="宋体" w:hAnsi="宋体" w:cs="宋体"/>
          <w:b/>
          <w:bCs/>
          <w:color w:val="auto"/>
          <w:szCs w:val="21"/>
          <w:u w:val="single"/>
        </w:rPr>
        <w:t>3.1.</w:t>
      </w:r>
      <w:r>
        <w:rPr>
          <w:rFonts w:hint="eastAsia" w:ascii="宋体" w:hAnsi="宋体" w:cs="宋体"/>
          <w:b/>
          <w:bCs/>
          <w:color w:val="auto"/>
          <w:szCs w:val="21"/>
          <w:u w:val="single"/>
          <w:lang w:val="en-US" w:eastAsia="zh-CN"/>
        </w:rPr>
        <w:t>5</w:t>
      </w:r>
      <w:r>
        <w:rPr>
          <w:rFonts w:hint="eastAsia" w:ascii="宋体" w:hAnsi="宋体" w:cs="宋体"/>
          <w:b/>
          <w:bCs/>
          <w:color w:val="auto"/>
          <w:szCs w:val="21"/>
          <w:u w:val="single"/>
        </w:rPr>
        <w:t>工程总承包实施方案经济部分：</w:t>
      </w:r>
    </w:p>
    <w:p w14:paraId="52C47182">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（1）封面：写明项目名称、工程总承包实施方案经济部分、投标人单位及年月日；加盖投标人电子印章（联合体投标的，“投标人”一栏需书写所有联合体成员的单位全称，由主办方签署、盖章）；</w:t>
      </w:r>
    </w:p>
    <w:p w14:paraId="04B0EF23">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eastAsia" w:ascii="宋体" w:hAnsi="宋体" w:cs="宋体"/>
          <w:color w:val="auto"/>
          <w:szCs w:val="21"/>
          <w:u w:val="single"/>
          <w:lang w:val="en-US" w:eastAsia="zh-CN"/>
        </w:rPr>
        <w:t>2</w:t>
      </w:r>
      <w:r>
        <w:rPr>
          <w:rFonts w:hint="eastAsia" w:ascii="宋体" w:hAnsi="宋体" w:cs="宋体"/>
          <w:color w:val="auto"/>
          <w:szCs w:val="21"/>
          <w:u w:val="single"/>
        </w:rPr>
        <w:t>）《经济标投标书》（按招标文件的要求填写）；</w:t>
      </w:r>
    </w:p>
    <w:p w14:paraId="6412E2D8">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w:t>
      </w:r>
      <w:r>
        <w:rPr>
          <w:rFonts w:hint="eastAsia" w:ascii="宋体" w:hAnsi="宋体" w:cs="宋体"/>
          <w:color w:val="auto"/>
          <w:szCs w:val="21"/>
          <w:u w:val="single"/>
          <w:lang w:val="en-US" w:eastAsia="zh-CN"/>
        </w:rPr>
        <w:t>3</w:t>
      </w:r>
      <w:r>
        <w:rPr>
          <w:rFonts w:hint="eastAsia" w:ascii="宋体" w:hAnsi="宋体" w:cs="宋体"/>
          <w:color w:val="auto"/>
          <w:szCs w:val="21"/>
          <w:u w:val="single"/>
        </w:rPr>
        <w:t>）投标人认为应该提供的其他资料。</w:t>
      </w:r>
    </w:p>
    <w:p w14:paraId="7533CFE5">
      <w:pPr>
        <w:spacing w:line="360" w:lineRule="auto"/>
        <w:ind w:firstLine="420" w:firstLineChars="200"/>
        <w:rPr>
          <w:rFonts w:hint="eastAsia" w:ascii="宋体" w:hAnsi="宋体" w:cs="宋体"/>
          <w:color w:val="auto"/>
          <w:szCs w:val="21"/>
          <w:u w:val="single"/>
        </w:rPr>
      </w:pPr>
    </w:p>
    <w:p w14:paraId="0600F139">
      <w:pPr>
        <w:pStyle w:val="4"/>
        <w:shd w:val="clear"/>
        <w:rPr>
          <w:rFonts w:hint="eastAsia" w:ascii="宋体" w:hAnsi="宋体" w:eastAsia="宋体" w:cs="宋体"/>
          <w:color w:val="auto"/>
          <w:highlight w:val="none"/>
        </w:rPr>
      </w:pPr>
      <w:bookmarkStart w:id="231" w:name="_Toc24762"/>
      <w:r>
        <w:rPr>
          <w:rFonts w:hint="eastAsia" w:ascii="宋体" w:hAnsi="宋体" w:eastAsia="宋体" w:cs="宋体"/>
          <w:color w:val="auto"/>
          <w:highlight w:val="none"/>
        </w:rPr>
        <w:t>3.2 投标报价</w:t>
      </w:r>
      <w:bookmarkEnd w:id="224"/>
      <w:bookmarkEnd w:id="225"/>
      <w:bookmarkEnd w:id="226"/>
      <w:bookmarkEnd w:id="227"/>
      <w:bookmarkEnd w:id="228"/>
      <w:bookmarkEnd w:id="229"/>
      <w:bookmarkEnd w:id="230"/>
      <w:bookmarkEnd w:id="231"/>
    </w:p>
    <w:p w14:paraId="32DD78C0">
      <w:pPr>
        <w:shd w:val="clea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3.2.1 </w:t>
      </w:r>
      <w:r>
        <w:rPr>
          <w:rFonts w:hint="eastAsia" w:ascii="宋体" w:hAnsi="宋体" w:eastAsia="宋体" w:cs="宋体"/>
          <w:color w:val="auto"/>
          <w:szCs w:val="21"/>
          <w:highlight w:val="none"/>
        </w:rPr>
        <w:t>投标人应充分了解施工场地的位置、周边环境、道路、装卸、保管、安装限制以及影响投标报价的其他要素。投标人根据投标设计，结合市场情况进行投标报价。</w:t>
      </w:r>
    </w:p>
    <w:p w14:paraId="3EC49D17">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3.2.2 招标人设有最高投标限价的，投标人的投标报价不得超过最高投标限价，最高投标限价或其计算方法在投标人须知前附表中载明。</w:t>
      </w:r>
    </w:p>
    <w:p w14:paraId="671DAB47">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3.2.3 投标报价的其他要求见投标人须知前附表。</w:t>
      </w:r>
    </w:p>
    <w:p w14:paraId="6E47BEC7">
      <w:pPr>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u w:val="single"/>
        </w:rPr>
        <w:t>3.2.</w:t>
      </w:r>
      <w:r>
        <w:rPr>
          <w:rFonts w:hint="eastAsia" w:ascii="宋体" w:hAnsi="宋体" w:cs="宋体"/>
          <w:color w:val="auto"/>
          <w:szCs w:val="21"/>
          <w:u w:val="single"/>
          <w:lang w:val="en-US" w:eastAsia="zh-CN"/>
        </w:rPr>
        <w:t>4</w:t>
      </w:r>
      <w:r>
        <w:rPr>
          <w:rFonts w:hint="eastAsia" w:ascii="宋体" w:hAnsi="宋体" w:cs="宋体"/>
          <w:color w:val="auto"/>
          <w:szCs w:val="21"/>
          <w:u w:val="single"/>
        </w:rPr>
        <w:t>施工部分最高投标限价为</w:t>
      </w:r>
      <w:r>
        <w:rPr>
          <w:rFonts w:hint="eastAsia" w:ascii="宋体" w:hAnsi="宋体" w:cs="宋体"/>
          <w:color w:val="auto"/>
          <w:szCs w:val="21"/>
          <w:u w:val="single"/>
          <w:lang w:val="en-US" w:eastAsia="zh-CN"/>
        </w:rPr>
        <w:t>805.859102</w:t>
      </w:r>
      <w:r>
        <w:rPr>
          <w:rFonts w:hint="eastAsia" w:ascii="宋体" w:hAnsi="宋体" w:cs="宋体"/>
          <w:color w:val="auto"/>
          <w:szCs w:val="21"/>
          <w:u w:val="single"/>
        </w:rPr>
        <w:t>万元。施工部分工程成本警戒价为</w:t>
      </w:r>
      <w:r>
        <w:rPr>
          <w:rFonts w:hint="eastAsia" w:ascii="宋体" w:hAnsi="宋体" w:cs="宋体"/>
          <w:color w:val="auto"/>
          <w:szCs w:val="21"/>
          <w:u w:val="single"/>
          <w:lang w:val="en-US" w:eastAsia="zh-CN"/>
        </w:rPr>
        <w:t>725.2731918</w:t>
      </w:r>
      <w:r>
        <w:rPr>
          <w:rFonts w:hint="eastAsia" w:ascii="宋体" w:hAnsi="宋体" w:cs="宋体"/>
          <w:color w:val="auto"/>
          <w:szCs w:val="21"/>
          <w:u w:val="single"/>
        </w:rPr>
        <w:t>万元（施工部分限价的</w:t>
      </w:r>
      <w:r>
        <w:rPr>
          <w:rFonts w:hint="eastAsia" w:ascii="宋体" w:hAnsi="宋体" w:cs="宋体"/>
          <w:color w:val="auto"/>
          <w:szCs w:val="21"/>
          <w:u w:val="single"/>
          <w:lang w:eastAsia="zh-CN"/>
        </w:rPr>
        <w:t>90%</w:t>
      </w:r>
      <w:r>
        <w:rPr>
          <w:rFonts w:hint="eastAsia" w:ascii="宋体" w:hAnsi="宋体" w:cs="宋体"/>
          <w:color w:val="auto"/>
          <w:szCs w:val="21"/>
          <w:u w:val="single"/>
        </w:rPr>
        <w:t>）。</w:t>
      </w:r>
    </w:p>
    <w:p w14:paraId="4AEEED00">
      <w:pPr>
        <w:pStyle w:val="12"/>
        <w:rPr>
          <w:rFonts w:hint="eastAsia"/>
          <w:color w:val="auto"/>
        </w:rPr>
      </w:pPr>
    </w:p>
    <w:p w14:paraId="4E54D6A3">
      <w:pPr>
        <w:pStyle w:val="4"/>
        <w:shd w:val="clear"/>
        <w:rPr>
          <w:rFonts w:hint="eastAsia" w:ascii="宋体" w:hAnsi="宋体" w:eastAsia="宋体" w:cs="宋体"/>
          <w:color w:val="auto"/>
          <w:highlight w:val="none"/>
        </w:rPr>
      </w:pPr>
      <w:bookmarkStart w:id="232" w:name="_Toc247513973"/>
      <w:bookmarkStart w:id="233" w:name="_Toc247527574"/>
      <w:bookmarkStart w:id="234" w:name="_Toc152045549"/>
      <w:bookmarkStart w:id="235" w:name="_Toc144974517"/>
      <w:bookmarkStart w:id="236" w:name="_Toc152042325"/>
      <w:bookmarkStart w:id="237" w:name="_Toc6310"/>
      <w:bookmarkStart w:id="238" w:name="_Toc20394"/>
      <w:bookmarkStart w:id="239" w:name="_Toc16455"/>
      <w:r>
        <w:rPr>
          <w:rFonts w:hint="eastAsia" w:ascii="宋体" w:hAnsi="宋体" w:eastAsia="宋体" w:cs="宋体"/>
          <w:color w:val="auto"/>
          <w:highlight w:val="none"/>
        </w:rPr>
        <w:t>3.3 投标有效期</w:t>
      </w:r>
      <w:bookmarkEnd w:id="232"/>
      <w:bookmarkEnd w:id="233"/>
      <w:bookmarkEnd w:id="234"/>
      <w:bookmarkEnd w:id="235"/>
      <w:bookmarkEnd w:id="236"/>
      <w:bookmarkEnd w:id="237"/>
      <w:bookmarkEnd w:id="238"/>
      <w:bookmarkEnd w:id="239"/>
    </w:p>
    <w:p w14:paraId="2B3ACBEC">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3.3.1 除投标人须知前附表另有规定外，</w:t>
      </w:r>
      <w:r>
        <w:rPr>
          <w:rFonts w:hint="eastAsia" w:ascii="宋体" w:hAnsi="宋体" w:cs="宋体"/>
          <w:color w:val="auto"/>
          <w:highlight w:val="none"/>
          <w:lang w:eastAsia="zh-CN"/>
        </w:rPr>
        <w:t>投标有效期为120天</w:t>
      </w:r>
      <w:r>
        <w:rPr>
          <w:rFonts w:hint="eastAsia" w:ascii="宋体" w:hAnsi="宋体" w:eastAsia="宋体" w:cs="宋体"/>
          <w:color w:val="auto"/>
          <w:highlight w:val="none"/>
        </w:rPr>
        <w:t>。</w:t>
      </w:r>
    </w:p>
    <w:p w14:paraId="08637890">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3.3.2 在投标有效期内，投标人撤销或修改其投标文件的，应承担招标文件和法律规定的责任。</w:t>
      </w:r>
    </w:p>
    <w:p w14:paraId="5B90AFD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3.3.3 出现特殊情况需要延长投标有效期的，招标人以书面形式通知所有投标人延长投标有效期。投标人同意延长的，</w:t>
      </w:r>
      <w:r>
        <w:rPr>
          <w:rFonts w:hint="eastAsia" w:ascii="宋体" w:hAnsi="宋体" w:eastAsia="宋体" w:cs="宋体"/>
          <w:strike/>
          <w:color w:val="auto"/>
          <w:highlight w:val="none"/>
        </w:rPr>
        <w:t>应相应延长其投标保证金的有效期，但</w:t>
      </w:r>
      <w:r>
        <w:rPr>
          <w:rFonts w:hint="eastAsia" w:ascii="宋体" w:hAnsi="宋体" w:eastAsia="宋体" w:cs="宋体"/>
          <w:color w:val="auto"/>
          <w:highlight w:val="none"/>
        </w:rPr>
        <w:t>不得要求或被允许修改或撤销其投标文件；投标人拒绝延长的，其投标失效</w:t>
      </w:r>
      <w:r>
        <w:rPr>
          <w:rFonts w:hint="eastAsia" w:ascii="宋体" w:hAnsi="宋体" w:eastAsia="宋体" w:cs="宋体"/>
          <w:strike/>
          <w:color w:val="auto"/>
          <w:highlight w:val="none"/>
        </w:rPr>
        <w:t>，但投标人有权收回其投标保证金</w:t>
      </w:r>
      <w:r>
        <w:rPr>
          <w:rFonts w:hint="eastAsia" w:ascii="宋体" w:hAnsi="宋体" w:eastAsia="宋体" w:cs="宋体"/>
          <w:color w:val="auto"/>
          <w:highlight w:val="none"/>
        </w:rPr>
        <w:t xml:space="preserve">。 </w:t>
      </w:r>
    </w:p>
    <w:p w14:paraId="03E0F0A2">
      <w:pPr>
        <w:pStyle w:val="4"/>
        <w:shd w:val="clear"/>
        <w:rPr>
          <w:rFonts w:hint="eastAsia" w:ascii="宋体" w:hAnsi="宋体" w:eastAsia="宋体" w:cs="宋体"/>
          <w:strike/>
          <w:color w:val="auto"/>
          <w:highlight w:val="none"/>
        </w:rPr>
      </w:pPr>
      <w:bookmarkStart w:id="240" w:name="_Toc562"/>
      <w:bookmarkStart w:id="241" w:name="_Toc152042326"/>
      <w:bookmarkStart w:id="242" w:name="_Toc22899"/>
      <w:bookmarkStart w:id="243" w:name="_Toc247527575"/>
      <w:bookmarkStart w:id="244" w:name="_Toc152045550"/>
      <w:bookmarkStart w:id="245" w:name="_Toc14731"/>
      <w:bookmarkStart w:id="246" w:name="_Toc247513974"/>
      <w:bookmarkStart w:id="247" w:name="_Toc144974518"/>
      <w:r>
        <w:rPr>
          <w:rFonts w:hint="eastAsia" w:ascii="宋体" w:hAnsi="宋体" w:eastAsia="宋体" w:cs="宋体"/>
          <w:strike/>
          <w:color w:val="auto"/>
          <w:highlight w:val="none"/>
        </w:rPr>
        <w:t>3.4 投标保证金</w:t>
      </w:r>
      <w:bookmarkEnd w:id="240"/>
      <w:bookmarkEnd w:id="241"/>
      <w:bookmarkEnd w:id="242"/>
      <w:bookmarkEnd w:id="243"/>
      <w:bookmarkEnd w:id="244"/>
      <w:bookmarkEnd w:id="245"/>
      <w:bookmarkEnd w:id="246"/>
      <w:bookmarkEnd w:id="247"/>
    </w:p>
    <w:p w14:paraId="53C1A8FC">
      <w:pPr>
        <w:shd w:val="clear"/>
        <w:spacing w:line="400" w:lineRule="exact"/>
        <w:ind w:firstLine="420" w:firstLineChars="200"/>
        <w:rPr>
          <w:rFonts w:hint="eastAsia" w:ascii="宋体" w:hAnsi="宋体" w:eastAsia="宋体" w:cs="宋体"/>
          <w:strike/>
          <w:color w:val="auto"/>
          <w:highlight w:val="none"/>
          <w:lang w:eastAsia="zh-CN"/>
        </w:rPr>
      </w:pPr>
      <w:r>
        <w:rPr>
          <w:rFonts w:hint="eastAsia" w:ascii="宋体" w:hAnsi="宋体" w:eastAsia="宋体" w:cs="宋体"/>
          <w:color w:val="auto"/>
          <w:szCs w:val="21"/>
          <w:highlight w:val="none"/>
        </w:rPr>
        <w:t>本项目不要求递交投标保证金</w:t>
      </w:r>
      <w:r>
        <w:rPr>
          <w:rFonts w:hint="eastAsia" w:ascii="宋体" w:hAnsi="宋体" w:cs="宋体"/>
          <w:color w:val="auto"/>
          <w:szCs w:val="21"/>
          <w:highlight w:val="none"/>
          <w:lang w:eastAsia="zh-CN"/>
        </w:rPr>
        <w:t>。</w:t>
      </w:r>
    </w:p>
    <w:p w14:paraId="7A7B2836">
      <w:pPr>
        <w:shd w:val="clear"/>
        <w:spacing w:line="400" w:lineRule="exact"/>
        <w:ind w:firstLine="420" w:firstLineChars="200"/>
        <w:rPr>
          <w:rFonts w:hint="eastAsia" w:ascii="宋体" w:hAnsi="宋体" w:eastAsia="宋体" w:cs="宋体"/>
          <w:strike/>
          <w:color w:val="auto"/>
          <w:highlight w:val="none"/>
        </w:rPr>
      </w:pPr>
      <w:r>
        <w:rPr>
          <w:rFonts w:hint="eastAsia" w:ascii="宋体" w:hAnsi="宋体" w:eastAsia="宋体" w:cs="宋体"/>
          <w:strike/>
          <w:color w:val="auto"/>
          <w:highlight w:val="none"/>
        </w:rPr>
        <w:t xml:space="preserve">3.4.1 </w:t>
      </w:r>
      <w:r>
        <w:rPr>
          <w:rFonts w:hint="eastAsia" w:ascii="宋体" w:hAnsi="宋体" w:eastAsia="宋体" w:cs="宋体"/>
          <w:strike/>
          <w:color w:val="auto"/>
          <w:highlight w:val="none"/>
          <w:u w:val="single"/>
        </w:rPr>
        <w:t>投标人在投标截止时间前，应按投标人须知前附表规定的金额、形式递交投标保证金</w:t>
      </w:r>
      <w:r>
        <w:rPr>
          <w:rFonts w:hint="eastAsia" w:ascii="宋体" w:hAnsi="宋体" w:eastAsia="宋体" w:cs="宋体"/>
          <w:strike/>
          <w:color w:val="auto"/>
          <w:highlight w:val="none"/>
        </w:rPr>
        <w:t>，并作为其投标文件的组成部分。联合体投标的，其投标保证金由主办方递交，并应符合投标人须知前附表的规定。</w:t>
      </w:r>
    </w:p>
    <w:p w14:paraId="01F15458">
      <w:pPr>
        <w:shd w:val="clear"/>
        <w:spacing w:line="400" w:lineRule="exact"/>
        <w:ind w:firstLine="420" w:firstLineChars="200"/>
        <w:rPr>
          <w:rFonts w:hint="eastAsia" w:ascii="宋体" w:hAnsi="宋体" w:eastAsia="宋体" w:cs="宋体"/>
          <w:strike/>
          <w:color w:val="auto"/>
          <w:highlight w:val="none"/>
        </w:rPr>
      </w:pPr>
      <w:r>
        <w:rPr>
          <w:rFonts w:hint="eastAsia" w:ascii="宋体" w:hAnsi="宋体" w:eastAsia="宋体" w:cs="宋体"/>
          <w:strike/>
          <w:color w:val="auto"/>
          <w:highlight w:val="none"/>
        </w:rPr>
        <w:t>3.4.2 投标人不按本章第3.4.1项要求提交投标保证金的，评标委员会将否决其投标。</w:t>
      </w:r>
    </w:p>
    <w:p w14:paraId="6429025D">
      <w:pPr>
        <w:shd w:val="clear"/>
        <w:spacing w:line="400" w:lineRule="exact"/>
        <w:ind w:firstLine="420" w:firstLineChars="200"/>
        <w:rPr>
          <w:rFonts w:hint="eastAsia" w:ascii="宋体" w:hAnsi="宋体" w:eastAsia="宋体" w:cs="宋体"/>
          <w:strike/>
          <w:color w:val="auto"/>
          <w:highlight w:val="none"/>
          <w:u w:val="single"/>
        </w:rPr>
      </w:pPr>
      <w:r>
        <w:rPr>
          <w:rFonts w:hint="eastAsia" w:ascii="宋体" w:hAnsi="宋体" w:eastAsia="宋体" w:cs="宋体"/>
          <w:strike/>
          <w:color w:val="auto"/>
          <w:highlight w:val="none"/>
          <w:u w:val="single"/>
        </w:rPr>
        <w:t>3.4.3未中标的投标人的投标保证金将尽快退还，最迟不超过招标人与中标人签定合同后的5个工作日。中标人的投标保证金，在签署合同并按要求提供了履约担保后予以退还。</w:t>
      </w:r>
    </w:p>
    <w:p w14:paraId="30A93B33">
      <w:pPr>
        <w:shd w:val="clear"/>
        <w:spacing w:line="400" w:lineRule="exact"/>
        <w:ind w:firstLine="420" w:firstLineChars="200"/>
        <w:rPr>
          <w:rFonts w:hint="eastAsia" w:ascii="宋体" w:hAnsi="宋体" w:eastAsia="宋体" w:cs="宋体"/>
          <w:strike/>
          <w:color w:val="auto"/>
          <w:highlight w:val="none"/>
        </w:rPr>
      </w:pPr>
      <w:r>
        <w:rPr>
          <w:rFonts w:hint="eastAsia" w:ascii="宋体" w:hAnsi="宋体" w:eastAsia="宋体" w:cs="宋体"/>
          <w:strike/>
          <w:color w:val="auto"/>
          <w:highlight w:val="none"/>
        </w:rPr>
        <w:t xml:space="preserve">3.4.4有下列情形之一的，投标保证金将不予退还： </w:t>
      </w:r>
    </w:p>
    <w:p w14:paraId="4158A642">
      <w:pPr>
        <w:pStyle w:val="21"/>
        <w:shd w:val="clear"/>
        <w:ind w:firstLine="420" w:firstLineChars="200"/>
        <w:rPr>
          <w:rFonts w:hint="eastAsia" w:ascii="宋体" w:hAnsi="宋体" w:eastAsia="宋体" w:cs="宋体"/>
          <w:strike/>
          <w:color w:val="auto"/>
          <w:highlight w:val="none"/>
          <w:u w:val="single"/>
        </w:rPr>
      </w:pPr>
      <w:bookmarkStart w:id="248" w:name="_Toc29040"/>
      <w:bookmarkStart w:id="249" w:name="_Toc247527577"/>
      <w:bookmarkStart w:id="250" w:name="_Toc152042328"/>
      <w:bookmarkStart w:id="251" w:name="_Toc247513976"/>
      <w:bookmarkStart w:id="252" w:name="_Toc21104"/>
      <w:bookmarkStart w:id="253" w:name="_Toc144974520"/>
      <w:bookmarkStart w:id="254" w:name="_Toc152045552"/>
      <w:r>
        <w:rPr>
          <w:rFonts w:hint="eastAsia" w:ascii="宋体" w:hAnsi="宋体" w:eastAsia="宋体" w:cs="宋体"/>
          <w:strike/>
          <w:color w:val="auto"/>
          <w:highlight w:val="none"/>
          <w:u w:val="single"/>
        </w:rPr>
        <w:t>（1）因投标人原因造成投标文件未解密的；</w:t>
      </w:r>
    </w:p>
    <w:p w14:paraId="2E59108D">
      <w:pPr>
        <w:pStyle w:val="21"/>
        <w:shd w:val="clear"/>
        <w:ind w:firstLine="420" w:firstLineChars="200"/>
        <w:rPr>
          <w:rFonts w:hint="eastAsia" w:ascii="宋体" w:hAnsi="宋体" w:eastAsia="宋体" w:cs="宋体"/>
          <w:strike/>
          <w:color w:val="auto"/>
          <w:highlight w:val="none"/>
          <w:u w:val="single"/>
        </w:rPr>
      </w:pPr>
      <w:r>
        <w:rPr>
          <w:rFonts w:hint="eastAsia" w:ascii="宋体" w:hAnsi="宋体" w:eastAsia="宋体" w:cs="宋体"/>
          <w:strike/>
          <w:color w:val="auto"/>
          <w:highlight w:val="none"/>
          <w:u w:val="single"/>
        </w:rPr>
        <w:t>（2）投标人在投标有效期内撤销投标文件；</w:t>
      </w:r>
    </w:p>
    <w:p w14:paraId="0531DC33">
      <w:pPr>
        <w:pStyle w:val="21"/>
        <w:shd w:val="clear"/>
        <w:ind w:firstLine="420" w:firstLineChars="200"/>
        <w:rPr>
          <w:rFonts w:hint="eastAsia" w:ascii="宋体" w:hAnsi="宋体" w:eastAsia="宋体" w:cs="宋体"/>
          <w:strike/>
          <w:color w:val="auto"/>
          <w:highlight w:val="none"/>
          <w:u w:val="single"/>
        </w:rPr>
      </w:pPr>
      <w:r>
        <w:rPr>
          <w:rFonts w:hint="eastAsia" w:ascii="宋体" w:hAnsi="宋体" w:eastAsia="宋体" w:cs="宋体"/>
          <w:strike/>
          <w:color w:val="auto"/>
          <w:highlight w:val="none"/>
          <w:u w:val="single"/>
        </w:rPr>
        <w:t>（3）中标人未能在规定期限内按要求提交履约担保；</w:t>
      </w:r>
    </w:p>
    <w:p w14:paraId="4FAD0F9F">
      <w:pPr>
        <w:pStyle w:val="21"/>
        <w:shd w:val="clear"/>
        <w:ind w:firstLine="420" w:firstLineChars="200"/>
        <w:rPr>
          <w:rFonts w:hint="eastAsia" w:ascii="宋体" w:hAnsi="宋体" w:eastAsia="宋体" w:cs="宋体"/>
          <w:strike/>
          <w:color w:val="auto"/>
          <w:highlight w:val="none"/>
          <w:u w:val="single"/>
        </w:rPr>
      </w:pPr>
      <w:r>
        <w:rPr>
          <w:rFonts w:hint="eastAsia" w:ascii="宋体" w:hAnsi="宋体" w:eastAsia="宋体" w:cs="宋体"/>
          <w:strike/>
          <w:color w:val="auto"/>
          <w:highlight w:val="none"/>
          <w:u w:val="single"/>
        </w:rPr>
        <w:t>（4）中标人未能在规定期限内签署合同协议。</w:t>
      </w:r>
    </w:p>
    <w:p w14:paraId="309704EF">
      <w:pPr>
        <w:pStyle w:val="4"/>
        <w:shd w:val="clear"/>
        <w:rPr>
          <w:rFonts w:hint="eastAsia" w:ascii="宋体" w:hAnsi="宋体" w:eastAsia="宋体" w:cs="宋体"/>
          <w:color w:val="auto"/>
          <w:highlight w:val="none"/>
        </w:rPr>
      </w:pPr>
      <w:bookmarkStart w:id="255" w:name="_Toc26300"/>
      <w:r>
        <w:rPr>
          <w:rFonts w:hint="eastAsia" w:ascii="宋体" w:hAnsi="宋体" w:eastAsia="宋体" w:cs="宋体"/>
          <w:color w:val="auto"/>
          <w:highlight w:val="none"/>
        </w:rPr>
        <w:t>3.5 资格审查资料（适用于未进行资格预审的）</w:t>
      </w:r>
      <w:bookmarkEnd w:id="248"/>
      <w:bookmarkEnd w:id="249"/>
      <w:bookmarkEnd w:id="250"/>
      <w:bookmarkEnd w:id="251"/>
      <w:bookmarkEnd w:id="252"/>
      <w:bookmarkEnd w:id="253"/>
      <w:bookmarkEnd w:id="254"/>
      <w:bookmarkEnd w:id="255"/>
    </w:p>
    <w:p w14:paraId="61EF469F">
      <w:pPr>
        <w:shd w:val="clear"/>
        <w:spacing w:line="400" w:lineRule="exact"/>
        <w:ind w:firstLine="315" w:firstLineChars="150"/>
        <w:rPr>
          <w:rFonts w:hint="eastAsia" w:ascii="宋体" w:hAnsi="宋体" w:eastAsia="宋体" w:cs="宋体"/>
          <w:color w:val="auto"/>
          <w:highlight w:val="none"/>
          <w:u w:val="single"/>
        </w:rPr>
      </w:pPr>
      <w:bookmarkStart w:id="256" w:name="_Toc152042329"/>
      <w:bookmarkStart w:id="257" w:name="_Toc152045553"/>
      <w:bookmarkStart w:id="258" w:name="_Toc247513977"/>
      <w:bookmarkStart w:id="259" w:name="_Toc144974521"/>
      <w:bookmarkStart w:id="260" w:name="_Toc247527578"/>
      <w:r>
        <w:rPr>
          <w:rFonts w:hint="eastAsia" w:ascii="宋体" w:hAnsi="宋体" w:eastAsia="宋体" w:cs="宋体"/>
          <w:color w:val="auto"/>
          <w:highlight w:val="none"/>
          <w:u w:val="single"/>
        </w:rPr>
        <w:t>3.5.1本项目采用电子化资格后审，由评标委员会负责对投标人的资格进行审查，评标时只对通过资格审查的投标人进行下一阶段的评审。</w:t>
      </w:r>
    </w:p>
    <w:p w14:paraId="00B68D6A">
      <w:pPr>
        <w:shd w:val="clear"/>
        <w:spacing w:line="400" w:lineRule="exact"/>
        <w:ind w:firstLine="315" w:firstLineChars="15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3.5.2资审合格后，投标人的资格发生变化而不满足投标人合格条件，在发出中标通知书前，资格问题仍未解决的，招标人将取消其中标资格。</w:t>
      </w:r>
    </w:p>
    <w:p w14:paraId="462B41CB">
      <w:pPr>
        <w:pStyle w:val="4"/>
        <w:shd w:val="clear"/>
        <w:rPr>
          <w:rFonts w:hint="eastAsia" w:ascii="宋体" w:hAnsi="宋体" w:eastAsia="宋体" w:cs="宋体"/>
          <w:color w:val="auto"/>
          <w:highlight w:val="none"/>
        </w:rPr>
      </w:pPr>
      <w:bookmarkStart w:id="261" w:name="_Toc29602"/>
      <w:bookmarkStart w:id="262" w:name="_Toc21817"/>
      <w:bookmarkStart w:id="263" w:name="_Toc9896"/>
      <w:r>
        <w:rPr>
          <w:rFonts w:hint="eastAsia" w:ascii="宋体" w:hAnsi="宋体" w:eastAsia="宋体" w:cs="宋体"/>
          <w:color w:val="auto"/>
          <w:highlight w:val="none"/>
        </w:rPr>
        <w:t>3.6 备选投标方案</w:t>
      </w:r>
      <w:bookmarkEnd w:id="256"/>
      <w:bookmarkEnd w:id="257"/>
      <w:bookmarkEnd w:id="258"/>
      <w:bookmarkEnd w:id="259"/>
      <w:bookmarkEnd w:id="260"/>
      <w:bookmarkEnd w:id="261"/>
      <w:bookmarkEnd w:id="262"/>
      <w:bookmarkEnd w:id="263"/>
    </w:p>
    <w:p w14:paraId="60053EB7">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除投标人须知前附表另有规定外，投标人不得递交备选投标方案。</w:t>
      </w:r>
    </w:p>
    <w:p w14:paraId="581DA3BD">
      <w:pPr>
        <w:pStyle w:val="4"/>
        <w:shd w:val="clear"/>
        <w:rPr>
          <w:rFonts w:hint="eastAsia" w:ascii="宋体" w:hAnsi="宋体" w:eastAsia="宋体" w:cs="宋体"/>
          <w:color w:val="auto"/>
          <w:highlight w:val="none"/>
        </w:rPr>
      </w:pPr>
      <w:bookmarkStart w:id="264" w:name="_Toc152045554"/>
      <w:bookmarkStart w:id="265" w:name="_Toc25571"/>
      <w:bookmarkStart w:id="266" w:name="_Toc144974522"/>
      <w:bookmarkStart w:id="267" w:name="_Toc152042330"/>
      <w:bookmarkStart w:id="268" w:name="_Toc20639"/>
      <w:bookmarkStart w:id="269" w:name="_Toc247527579"/>
      <w:bookmarkStart w:id="270" w:name="_Toc247513978"/>
      <w:bookmarkStart w:id="271" w:name="_Toc22621"/>
      <w:r>
        <w:rPr>
          <w:rFonts w:hint="eastAsia" w:ascii="宋体" w:hAnsi="宋体" w:eastAsia="宋体" w:cs="宋体"/>
          <w:color w:val="auto"/>
          <w:highlight w:val="none"/>
        </w:rPr>
        <w:t>3.7 投标文件的编制</w:t>
      </w:r>
      <w:bookmarkEnd w:id="264"/>
      <w:bookmarkEnd w:id="265"/>
      <w:bookmarkEnd w:id="266"/>
      <w:bookmarkEnd w:id="267"/>
      <w:bookmarkEnd w:id="268"/>
      <w:bookmarkEnd w:id="269"/>
      <w:bookmarkEnd w:id="270"/>
      <w:bookmarkEnd w:id="271"/>
    </w:p>
    <w:p w14:paraId="11635569">
      <w:pPr>
        <w:shd w:val="clear"/>
        <w:spacing w:line="400" w:lineRule="exact"/>
        <w:ind w:firstLine="420" w:firstLineChars="200"/>
        <w:rPr>
          <w:rFonts w:hint="eastAsia" w:ascii="宋体" w:hAnsi="宋体" w:eastAsia="宋体" w:cs="宋体"/>
          <w:color w:val="auto"/>
          <w:highlight w:val="none"/>
        </w:rPr>
      </w:pPr>
      <w:bookmarkStart w:id="272" w:name="_Toc247527580"/>
      <w:bookmarkStart w:id="273" w:name="_Toc144974523"/>
      <w:bookmarkStart w:id="274" w:name="_Toc247513979"/>
      <w:bookmarkStart w:id="275" w:name="_Toc152045555"/>
      <w:bookmarkStart w:id="276" w:name="_Toc152042331"/>
      <w:r>
        <w:rPr>
          <w:rFonts w:hint="eastAsia" w:ascii="宋体" w:hAnsi="宋体" w:eastAsia="宋体" w:cs="宋体"/>
          <w:color w:val="auto"/>
          <w:highlight w:val="none"/>
        </w:rPr>
        <w:t xml:space="preserve">3.7.1 </w:t>
      </w:r>
      <w:r>
        <w:rPr>
          <w:rFonts w:hint="eastAsia" w:ascii="宋体" w:hAnsi="宋体" w:eastAsia="宋体" w:cs="宋体"/>
          <w:color w:val="auto"/>
          <w:highlight w:val="none"/>
          <w:u w:val="single"/>
        </w:rPr>
        <w:t>投标文件应按第七章“投标文件格式”进行编写，如有必要，可以增加附页，作为投标文件的组成部分。</w:t>
      </w:r>
    </w:p>
    <w:p w14:paraId="771C7491">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3.7.2 投标文件应当对招标文件有关</w:t>
      </w:r>
      <w:r>
        <w:rPr>
          <w:rFonts w:hint="eastAsia" w:ascii="宋体" w:hAnsi="宋体" w:eastAsia="宋体" w:cs="宋体"/>
          <w:color w:val="auto"/>
          <w:szCs w:val="21"/>
          <w:highlight w:val="none"/>
        </w:rPr>
        <w:t>招标范围、投标有效期、工期、质量标准、招标人要求等实质性内容作出响应。</w:t>
      </w:r>
    </w:p>
    <w:p w14:paraId="458FCC84">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3.7.3</w:t>
      </w:r>
      <w:r>
        <w:rPr>
          <w:rFonts w:hint="eastAsia" w:ascii="宋体" w:hAnsi="宋体" w:eastAsia="宋体" w:cs="宋体"/>
          <w:color w:val="auto"/>
          <w:highlight w:val="none"/>
          <w:u w:val="single"/>
        </w:rPr>
        <w:t>投标人采用单位数字证书，</w:t>
      </w:r>
      <w:r>
        <w:rPr>
          <w:rFonts w:hint="eastAsia" w:ascii="宋体" w:hAnsi="宋体" w:cs="宋体"/>
          <w:color w:val="auto"/>
          <w:highlight w:val="none"/>
          <w:u w:val="single"/>
          <w:lang w:eastAsia="zh-CN"/>
        </w:rPr>
        <w:t>对投标文件</w:t>
      </w:r>
      <w:r>
        <w:rPr>
          <w:rFonts w:hint="eastAsia" w:ascii="宋体" w:hAnsi="宋体" w:eastAsia="宋体" w:cs="宋体"/>
          <w:color w:val="auto"/>
          <w:highlight w:val="none"/>
          <w:u w:val="single"/>
        </w:rPr>
        <w:t>加盖电子印章。投标文件中需个人签字或盖章的，应加盖个人电子印章或在线下完成后扫描上传。按照广州交易集团有限公司（广州公共资源交易中心）交易平台关于全流程电子化项目的相关指南进行操作。联合体投标的，除投标文件中的《联合体共同投标协议书》需联合体各方盖章、签字外，投标文件其他内容中的“投标人”、“声明企业”应填写联合体各方的单位全称，但由主办方盖章、签字即可。</w:t>
      </w:r>
    </w:p>
    <w:p w14:paraId="18C3909C">
      <w:pPr>
        <w:shd w:val="clear"/>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szCs w:val="21"/>
          <w:highlight w:val="none"/>
          <w:u w:val="single"/>
        </w:rPr>
        <w:t>注：</w:t>
      </w:r>
      <w:r>
        <w:rPr>
          <w:rFonts w:hint="eastAsia" w:ascii="宋体" w:hAnsi="宋体" w:eastAsia="宋体" w:cs="宋体"/>
          <w:b/>
          <w:color w:val="auto"/>
          <w:szCs w:val="21"/>
          <w:highlight w:val="none"/>
          <w:u w:val="single"/>
          <w:lang w:val="en-US" w:eastAsia="zh-CN"/>
        </w:rPr>
        <w:t>设计方案</w:t>
      </w:r>
      <w:r>
        <w:rPr>
          <w:rFonts w:hint="eastAsia" w:ascii="宋体" w:hAnsi="宋体" w:eastAsia="宋体" w:cs="宋体"/>
          <w:b/>
          <w:color w:val="auto"/>
          <w:szCs w:val="21"/>
          <w:highlight w:val="none"/>
          <w:u w:val="single"/>
        </w:rPr>
        <w:t>投标文件为暗标，投标人在</w:t>
      </w:r>
      <w:r>
        <w:rPr>
          <w:rFonts w:hint="eastAsia" w:ascii="宋体" w:hAnsi="宋体" w:eastAsia="宋体" w:cs="宋体"/>
          <w:b/>
          <w:color w:val="auto"/>
          <w:szCs w:val="21"/>
          <w:highlight w:val="none"/>
          <w:u w:val="single"/>
          <w:lang w:val="en-US" w:eastAsia="zh-CN"/>
        </w:rPr>
        <w:t>设计方案</w:t>
      </w:r>
      <w:r>
        <w:rPr>
          <w:rFonts w:hint="eastAsia" w:ascii="宋体" w:hAnsi="宋体" w:eastAsia="宋体" w:cs="宋体"/>
          <w:b/>
          <w:color w:val="auto"/>
          <w:szCs w:val="21"/>
          <w:highlight w:val="none"/>
          <w:u w:val="single"/>
        </w:rPr>
        <w:t>内不得标注名称、印章、商标、图形等记认符号，且不得识辨出投标人或其专业技术人员的身份。</w:t>
      </w:r>
    </w:p>
    <w:p w14:paraId="52B8EE4A">
      <w:pPr>
        <w:pStyle w:val="3"/>
        <w:shd w:val="clear"/>
        <w:rPr>
          <w:rFonts w:hint="eastAsia" w:ascii="宋体" w:hAnsi="宋体" w:eastAsia="宋体" w:cs="宋体"/>
          <w:color w:val="auto"/>
          <w:highlight w:val="none"/>
        </w:rPr>
      </w:pPr>
      <w:bookmarkStart w:id="277" w:name="_Toc148"/>
      <w:bookmarkStart w:id="278" w:name="_Toc2247"/>
      <w:bookmarkStart w:id="279" w:name="_Toc13446"/>
      <w:r>
        <w:rPr>
          <w:rFonts w:hint="eastAsia" w:ascii="宋体" w:hAnsi="宋体" w:eastAsia="宋体" w:cs="宋体"/>
          <w:color w:val="auto"/>
          <w:highlight w:val="none"/>
        </w:rPr>
        <w:t>4. 投标</w:t>
      </w:r>
      <w:bookmarkEnd w:id="272"/>
      <w:bookmarkEnd w:id="273"/>
      <w:bookmarkEnd w:id="274"/>
      <w:bookmarkEnd w:id="275"/>
      <w:bookmarkEnd w:id="276"/>
      <w:bookmarkEnd w:id="277"/>
      <w:bookmarkEnd w:id="278"/>
      <w:bookmarkEnd w:id="279"/>
    </w:p>
    <w:p w14:paraId="2B02AD6F">
      <w:pPr>
        <w:pStyle w:val="4"/>
        <w:shd w:val="clear"/>
        <w:rPr>
          <w:rFonts w:hint="eastAsia" w:ascii="宋体" w:hAnsi="宋体" w:eastAsia="宋体" w:cs="宋体"/>
          <w:color w:val="auto"/>
          <w:highlight w:val="none"/>
        </w:rPr>
      </w:pPr>
      <w:bookmarkStart w:id="280" w:name="_Toc247527581"/>
      <w:bookmarkStart w:id="281" w:name="_Toc31640"/>
      <w:bookmarkStart w:id="282" w:name="_Toc152042332"/>
      <w:bookmarkStart w:id="283" w:name="_Toc9318"/>
      <w:bookmarkStart w:id="284" w:name="_Toc18344"/>
      <w:bookmarkStart w:id="285" w:name="_Toc144974524"/>
      <w:bookmarkStart w:id="286" w:name="_Toc152045556"/>
      <w:bookmarkStart w:id="287" w:name="_Toc247513980"/>
      <w:r>
        <w:rPr>
          <w:rFonts w:hint="eastAsia" w:ascii="宋体" w:hAnsi="宋体" w:eastAsia="宋体" w:cs="宋体"/>
          <w:color w:val="auto"/>
          <w:highlight w:val="none"/>
        </w:rPr>
        <w:t>4.1 投标文件的密封和标记</w:t>
      </w:r>
      <w:bookmarkEnd w:id="280"/>
      <w:bookmarkEnd w:id="281"/>
      <w:bookmarkEnd w:id="282"/>
      <w:bookmarkEnd w:id="283"/>
      <w:bookmarkEnd w:id="284"/>
      <w:bookmarkEnd w:id="285"/>
      <w:bookmarkEnd w:id="286"/>
      <w:bookmarkEnd w:id="287"/>
    </w:p>
    <w:p w14:paraId="588D0760">
      <w:pPr>
        <w:shd w:val="clear"/>
        <w:spacing w:line="400" w:lineRule="exact"/>
        <w:ind w:firstLine="420" w:firstLineChars="200"/>
        <w:rPr>
          <w:rFonts w:hint="eastAsia" w:ascii="宋体" w:hAnsi="宋体" w:eastAsia="宋体" w:cs="宋体"/>
          <w:color w:val="auto"/>
          <w:highlight w:val="none"/>
          <w:u w:val="single"/>
        </w:rPr>
      </w:pPr>
      <w:bookmarkStart w:id="288" w:name="_Toc247513981"/>
      <w:bookmarkStart w:id="289" w:name="_Toc152045557"/>
      <w:bookmarkStart w:id="290" w:name="_Toc247527582"/>
      <w:bookmarkStart w:id="291" w:name="_Toc144974525"/>
      <w:bookmarkStart w:id="292" w:name="_Toc152042333"/>
      <w:r>
        <w:rPr>
          <w:rFonts w:hint="eastAsia" w:ascii="宋体" w:hAnsi="宋体" w:eastAsia="宋体" w:cs="宋体"/>
          <w:color w:val="auto"/>
          <w:highlight w:val="none"/>
          <w:u w:val="single"/>
        </w:rPr>
        <w:t>4.1.1</w:t>
      </w:r>
      <w:r>
        <w:rPr>
          <w:rFonts w:hint="eastAsia" w:ascii="宋体" w:hAnsi="宋体" w:eastAsia="宋体" w:cs="宋体"/>
          <w:color w:val="auto"/>
          <w:szCs w:val="21"/>
          <w:highlight w:val="none"/>
          <w:u w:val="single"/>
        </w:rPr>
        <w:t>投</w:t>
      </w:r>
      <w:r>
        <w:rPr>
          <w:rFonts w:hint="eastAsia" w:ascii="宋体" w:hAnsi="宋体" w:eastAsia="宋体" w:cs="宋体"/>
          <w:color w:val="auto"/>
          <w:spacing w:val="-2"/>
          <w:szCs w:val="21"/>
          <w:highlight w:val="none"/>
          <w:u w:val="single"/>
        </w:rPr>
        <w:t>标</w:t>
      </w:r>
      <w:r>
        <w:rPr>
          <w:rFonts w:hint="eastAsia" w:ascii="宋体" w:hAnsi="宋体" w:eastAsia="宋体" w:cs="宋体"/>
          <w:color w:val="auto"/>
          <w:szCs w:val="21"/>
          <w:highlight w:val="none"/>
          <w:u w:val="single"/>
        </w:rPr>
        <w:t>人</w:t>
      </w:r>
      <w:r>
        <w:rPr>
          <w:rFonts w:hint="eastAsia" w:ascii="宋体" w:hAnsi="宋体" w:eastAsia="宋体" w:cs="宋体"/>
          <w:color w:val="auto"/>
          <w:spacing w:val="-2"/>
          <w:szCs w:val="21"/>
          <w:highlight w:val="none"/>
          <w:u w:val="single"/>
        </w:rPr>
        <w:t>应</w:t>
      </w:r>
      <w:r>
        <w:rPr>
          <w:rFonts w:hint="eastAsia" w:ascii="宋体" w:hAnsi="宋体" w:eastAsia="宋体" w:cs="宋体"/>
          <w:color w:val="auto"/>
          <w:szCs w:val="21"/>
          <w:highlight w:val="none"/>
          <w:u w:val="single"/>
        </w:rPr>
        <w:t>当</w:t>
      </w:r>
      <w:r>
        <w:rPr>
          <w:rFonts w:hint="eastAsia" w:ascii="宋体" w:hAnsi="宋体" w:eastAsia="宋体" w:cs="宋体"/>
          <w:color w:val="auto"/>
          <w:spacing w:val="-2"/>
          <w:szCs w:val="21"/>
          <w:highlight w:val="none"/>
          <w:u w:val="single"/>
        </w:rPr>
        <w:t>按</w:t>
      </w:r>
      <w:r>
        <w:rPr>
          <w:rFonts w:hint="eastAsia" w:ascii="宋体" w:hAnsi="宋体" w:eastAsia="宋体" w:cs="宋体"/>
          <w:color w:val="auto"/>
          <w:szCs w:val="21"/>
          <w:highlight w:val="none"/>
          <w:u w:val="single"/>
        </w:rPr>
        <w:t>照招</w:t>
      </w:r>
      <w:r>
        <w:rPr>
          <w:rFonts w:hint="eastAsia" w:ascii="宋体" w:hAnsi="宋体" w:eastAsia="宋体" w:cs="宋体"/>
          <w:color w:val="auto"/>
          <w:spacing w:val="-2"/>
          <w:szCs w:val="21"/>
          <w:highlight w:val="none"/>
          <w:u w:val="single"/>
        </w:rPr>
        <w:t>标</w:t>
      </w:r>
      <w:r>
        <w:rPr>
          <w:rFonts w:hint="eastAsia" w:ascii="宋体" w:hAnsi="宋体" w:eastAsia="宋体" w:cs="宋体"/>
          <w:color w:val="auto"/>
          <w:szCs w:val="21"/>
          <w:highlight w:val="none"/>
          <w:u w:val="single"/>
        </w:rPr>
        <w:t>文</w:t>
      </w:r>
      <w:r>
        <w:rPr>
          <w:rFonts w:hint="eastAsia" w:ascii="宋体" w:hAnsi="宋体" w:eastAsia="宋体" w:cs="宋体"/>
          <w:color w:val="auto"/>
          <w:spacing w:val="-2"/>
          <w:szCs w:val="21"/>
          <w:highlight w:val="none"/>
          <w:u w:val="single"/>
        </w:rPr>
        <w:t>件</w:t>
      </w:r>
      <w:r>
        <w:rPr>
          <w:rFonts w:hint="eastAsia" w:ascii="宋体" w:hAnsi="宋体" w:eastAsia="宋体" w:cs="宋体"/>
          <w:color w:val="auto"/>
          <w:szCs w:val="21"/>
          <w:highlight w:val="none"/>
          <w:u w:val="single"/>
        </w:rPr>
        <w:t>和</w:t>
      </w:r>
      <w:r>
        <w:rPr>
          <w:rFonts w:hint="eastAsia" w:ascii="宋体" w:hAnsi="宋体" w:eastAsia="宋体" w:cs="宋体"/>
          <w:color w:val="auto"/>
          <w:spacing w:val="-2"/>
          <w:szCs w:val="21"/>
          <w:highlight w:val="none"/>
          <w:u w:val="single"/>
        </w:rPr>
        <w:t>电</w:t>
      </w:r>
      <w:r>
        <w:rPr>
          <w:rFonts w:hint="eastAsia" w:ascii="宋体" w:hAnsi="宋体" w:eastAsia="宋体" w:cs="宋体"/>
          <w:color w:val="auto"/>
          <w:szCs w:val="21"/>
          <w:highlight w:val="none"/>
          <w:u w:val="single"/>
        </w:rPr>
        <w:t>子</w:t>
      </w:r>
      <w:r>
        <w:rPr>
          <w:rFonts w:hint="eastAsia" w:ascii="宋体" w:hAnsi="宋体" w:eastAsia="宋体" w:cs="宋体"/>
          <w:color w:val="auto"/>
          <w:spacing w:val="-2"/>
          <w:szCs w:val="21"/>
          <w:highlight w:val="none"/>
          <w:u w:val="single"/>
        </w:rPr>
        <w:t>招</w:t>
      </w:r>
      <w:r>
        <w:rPr>
          <w:rFonts w:hint="eastAsia" w:ascii="宋体" w:hAnsi="宋体" w:eastAsia="宋体" w:cs="宋体"/>
          <w:color w:val="auto"/>
          <w:szCs w:val="21"/>
          <w:highlight w:val="none"/>
          <w:u w:val="single"/>
        </w:rPr>
        <w:t>标</w:t>
      </w:r>
      <w:r>
        <w:rPr>
          <w:rFonts w:hint="eastAsia" w:ascii="宋体" w:hAnsi="宋体" w:eastAsia="宋体" w:cs="宋体"/>
          <w:color w:val="auto"/>
          <w:spacing w:val="-2"/>
          <w:szCs w:val="21"/>
          <w:highlight w:val="none"/>
          <w:u w:val="single"/>
        </w:rPr>
        <w:t>投</w:t>
      </w:r>
      <w:r>
        <w:rPr>
          <w:rFonts w:hint="eastAsia" w:ascii="宋体" w:hAnsi="宋体" w:eastAsia="宋体" w:cs="宋体"/>
          <w:color w:val="auto"/>
          <w:szCs w:val="21"/>
          <w:highlight w:val="none"/>
          <w:u w:val="single"/>
        </w:rPr>
        <w:t>标交</w:t>
      </w:r>
      <w:r>
        <w:rPr>
          <w:rFonts w:hint="eastAsia" w:ascii="宋体" w:hAnsi="宋体" w:eastAsia="宋体" w:cs="宋体"/>
          <w:color w:val="auto"/>
          <w:spacing w:val="-2"/>
          <w:szCs w:val="21"/>
          <w:highlight w:val="none"/>
          <w:u w:val="single"/>
        </w:rPr>
        <w:t>易</w:t>
      </w:r>
      <w:r>
        <w:rPr>
          <w:rFonts w:hint="eastAsia" w:ascii="宋体" w:hAnsi="宋体" w:eastAsia="宋体" w:cs="宋体"/>
          <w:color w:val="auto"/>
          <w:szCs w:val="21"/>
          <w:highlight w:val="none"/>
          <w:u w:val="single"/>
        </w:rPr>
        <w:t>平</w:t>
      </w:r>
      <w:r>
        <w:rPr>
          <w:rFonts w:hint="eastAsia" w:ascii="宋体" w:hAnsi="宋体" w:eastAsia="宋体" w:cs="宋体"/>
          <w:color w:val="auto"/>
          <w:spacing w:val="-2"/>
          <w:szCs w:val="21"/>
          <w:highlight w:val="none"/>
          <w:u w:val="single"/>
        </w:rPr>
        <w:t>台</w:t>
      </w:r>
      <w:r>
        <w:rPr>
          <w:rFonts w:hint="eastAsia" w:ascii="宋体" w:hAnsi="宋体" w:eastAsia="宋体" w:cs="宋体"/>
          <w:color w:val="auto"/>
          <w:szCs w:val="21"/>
          <w:highlight w:val="none"/>
          <w:u w:val="single"/>
        </w:rPr>
        <w:t>的</w:t>
      </w:r>
      <w:r>
        <w:rPr>
          <w:rFonts w:hint="eastAsia" w:ascii="宋体" w:hAnsi="宋体" w:eastAsia="宋体" w:cs="宋体"/>
          <w:color w:val="auto"/>
          <w:spacing w:val="-2"/>
          <w:szCs w:val="21"/>
          <w:highlight w:val="none"/>
          <w:u w:val="single"/>
        </w:rPr>
        <w:t>要</w:t>
      </w:r>
      <w:r>
        <w:rPr>
          <w:rFonts w:hint="eastAsia" w:ascii="宋体" w:hAnsi="宋体" w:eastAsia="宋体" w:cs="宋体"/>
          <w:color w:val="auto"/>
          <w:szCs w:val="21"/>
          <w:highlight w:val="none"/>
          <w:u w:val="single"/>
        </w:rPr>
        <w:t>求</w:t>
      </w:r>
      <w:r>
        <w:rPr>
          <w:rFonts w:hint="eastAsia" w:ascii="宋体" w:hAnsi="宋体" w:eastAsia="宋体" w:cs="宋体"/>
          <w:color w:val="auto"/>
          <w:spacing w:val="-2"/>
          <w:szCs w:val="21"/>
          <w:highlight w:val="none"/>
          <w:u w:val="single"/>
        </w:rPr>
        <w:t>加</w:t>
      </w:r>
      <w:r>
        <w:rPr>
          <w:rFonts w:hint="eastAsia" w:ascii="宋体" w:hAnsi="宋体" w:eastAsia="宋体" w:cs="宋体"/>
          <w:color w:val="auto"/>
          <w:szCs w:val="21"/>
          <w:highlight w:val="none"/>
          <w:u w:val="single"/>
        </w:rPr>
        <w:t>密</w:t>
      </w:r>
      <w:r>
        <w:rPr>
          <w:rFonts w:hint="eastAsia" w:ascii="宋体" w:hAnsi="宋体" w:eastAsia="宋体" w:cs="宋体"/>
          <w:color w:val="auto"/>
          <w:spacing w:val="-2"/>
          <w:szCs w:val="21"/>
          <w:highlight w:val="none"/>
          <w:u w:val="single"/>
        </w:rPr>
        <w:t>投</w:t>
      </w:r>
      <w:r>
        <w:rPr>
          <w:rFonts w:hint="eastAsia" w:ascii="宋体" w:hAnsi="宋体" w:eastAsia="宋体" w:cs="宋体"/>
          <w:color w:val="auto"/>
          <w:szCs w:val="21"/>
          <w:highlight w:val="none"/>
          <w:u w:val="single"/>
        </w:rPr>
        <w:t>标文</w:t>
      </w:r>
      <w:r>
        <w:rPr>
          <w:rFonts w:hint="eastAsia" w:ascii="宋体" w:hAnsi="宋体" w:eastAsia="宋体" w:cs="宋体"/>
          <w:color w:val="auto"/>
          <w:spacing w:val="-2"/>
          <w:szCs w:val="21"/>
          <w:highlight w:val="none"/>
          <w:u w:val="single"/>
        </w:rPr>
        <w:t>件，</w:t>
      </w:r>
      <w:r>
        <w:rPr>
          <w:rFonts w:hint="eastAsia" w:ascii="宋体" w:hAnsi="宋体" w:eastAsia="宋体" w:cs="宋体"/>
          <w:color w:val="auto"/>
          <w:szCs w:val="21"/>
          <w:highlight w:val="none"/>
        </w:rPr>
        <w:t>具</w:t>
      </w:r>
      <w:r>
        <w:rPr>
          <w:rFonts w:hint="eastAsia" w:ascii="宋体" w:hAnsi="宋体" w:eastAsia="宋体" w:cs="宋体"/>
          <w:color w:val="auto"/>
          <w:szCs w:val="21"/>
          <w:highlight w:val="none"/>
          <w:u w:val="single"/>
        </w:rPr>
        <w:t>体操作详见广州交易集团有限公司（广州公共资源交易中心）网站发布的最新版操作指引。</w:t>
      </w:r>
    </w:p>
    <w:p w14:paraId="30CFFD92">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4.1.2投标文件封套上应写明的内容见投标人须知前附表。</w:t>
      </w:r>
    </w:p>
    <w:p w14:paraId="10F599B9">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4.1.3未按本章第4.1.1项或第4.1.2项要求密封和加写标记的投标文件，招标人不予受理。</w:t>
      </w:r>
    </w:p>
    <w:p w14:paraId="212CE57D">
      <w:pPr>
        <w:pStyle w:val="4"/>
        <w:shd w:val="clear"/>
        <w:rPr>
          <w:rFonts w:hint="eastAsia" w:ascii="宋体" w:hAnsi="宋体" w:eastAsia="宋体" w:cs="宋体"/>
          <w:color w:val="auto"/>
          <w:highlight w:val="none"/>
        </w:rPr>
      </w:pPr>
      <w:bookmarkStart w:id="293" w:name="_Toc27773"/>
      <w:bookmarkStart w:id="294" w:name="_Toc12530"/>
      <w:bookmarkStart w:id="295" w:name="_Toc20052"/>
      <w:r>
        <w:rPr>
          <w:rFonts w:hint="eastAsia" w:ascii="宋体" w:hAnsi="宋体" w:eastAsia="宋体" w:cs="宋体"/>
          <w:color w:val="auto"/>
          <w:highlight w:val="none"/>
        </w:rPr>
        <w:t>4.2 投标文件的递交</w:t>
      </w:r>
      <w:bookmarkEnd w:id="288"/>
      <w:bookmarkEnd w:id="289"/>
      <w:bookmarkEnd w:id="290"/>
      <w:bookmarkEnd w:id="291"/>
      <w:bookmarkEnd w:id="292"/>
      <w:bookmarkEnd w:id="293"/>
      <w:bookmarkEnd w:id="294"/>
      <w:bookmarkEnd w:id="295"/>
    </w:p>
    <w:p w14:paraId="2DD4DFF1">
      <w:pPr>
        <w:shd w:val="clear"/>
        <w:spacing w:line="400" w:lineRule="exact"/>
        <w:ind w:firstLine="420" w:firstLineChars="200"/>
        <w:rPr>
          <w:rFonts w:hint="eastAsia" w:ascii="宋体" w:hAnsi="宋体" w:eastAsia="宋体" w:cs="宋体"/>
          <w:color w:val="auto"/>
          <w:highlight w:val="none"/>
        </w:rPr>
      </w:pPr>
      <w:bookmarkStart w:id="296" w:name="_Toc247513982"/>
      <w:bookmarkStart w:id="297" w:name="_Toc247527583"/>
      <w:bookmarkStart w:id="298" w:name="_Toc152042334"/>
      <w:bookmarkStart w:id="299" w:name="_Toc152045558"/>
      <w:bookmarkStart w:id="300" w:name="_Toc144974526"/>
      <w:r>
        <w:rPr>
          <w:rFonts w:hint="eastAsia" w:ascii="宋体" w:hAnsi="宋体" w:eastAsia="宋体" w:cs="宋体"/>
          <w:color w:val="auto"/>
          <w:highlight w:val="none"/>
        </w:rPr>
        <w:t>4.2.1投标人应在第2.2.2项规定的投标截止时间前递交投标文件。</w:t>
      </w:r>
    </w:p>
    <w:p w14:paraId="276BA1B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4.2.2 投标人递交投标文件的地点：见投标人须知前附表。</w:t>
      </w:r>
    </w:p>
    <w:p w14:paraId="14A3B7CC">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4.2.3 除投标人须知前附表另有规定外，投标人所递交的投标文件不予退还。</w:t>
      </w:r>
    </w:p>
    <w:p w14:paraId="1085A1E8">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4.2.4 </w:t>
      </w:r>
      <w:r>
        <w:rPr>
          <w:rFonts w:hint="eastAsia" w:ascii="宋体" w:hAnsi="宋体" w:eastAsia="宋体" w:cs="宋体"/>
          <w:color w:val="auto"/>
          <w:highlight w:val="none"/>
          <w:u w:val="single"/>
        </w:rPr>
        <w:t>投标人完成电子投标文件上传后，电子招标投标交易平台即时向投标人发出递交回执通知。递交时间以递交回执通知载明的传输完成时间为准。</w:t>
      </w:r>
    </w:p>
    <w:p w14:paraId="42EC5EA5">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4.2.5</w:t>
      </w:r>
      <w:r>
        <w:rPr>
          <w:rFonts w:hint="eastAsia" w:ascii="宋体" w:hAnsi="宋体" w:eastAsia="宋体" w:cs="宋体"/>
          <w:color w:val="auto"/>
          <w:spacing w:val="-2"/>
          <w:szCs w:val="21"/>
          <w:highlight w:val="none"/>
          <w:u w:val="single"/>
        </w:rPr>
        <w:t>逾</w:t>
      </w:r>
      <w:r>
        <w:rPr>
          <w:rFonts w:hint="eastAsia" w:ascii="宋体" w:hAnsi="宋体" w:eastAsia="宋体" w:cs="宋体"/>
          <w:color w:val="auto"/>
          <w:szCs w:val="21"/>
          <w:highlight w:val="none"/>
          <w:u w:val="single"/>
        </w:rPr>
        <w:t>期</w:t>
      </w:r>
      <w:r>
        <w:rPr>
          <w:rFonts w:hint="eastAsia" w:ascii="宋体" w:hAnsi="宋体" w:eastAsia="宋体" w:cs="宋体"/>
          <w:color w:val="auto"/>
          <w:spacing w:val="-2"/>
          <w:szCs w:val="21"/>
          <w:highlight w:val="none"/>
          <w:u w:val="single"/>
        </w:rPr>
        <w:t>送</w:t>
      </w:r>
      <w:r>
        <w:rPr>
          <w:rFonts w:hint="eastAsia" w:ascii="宋体" w:hAnsi="宋体" w:eastAsia="宋体" w:cs="宋体"/>
          <w:color w:val="auto"/>
          <w:szCs w:val="21"/>
          <w:highlight w:val="none"/>
          <w:u w:val="single"/>
        </w:rPr>
        <w:t>达</w:t>
      </w:r>
      <w:r>
        <w:rPr>
          <w:rFonts w:hint="eastAsia" w:ascii="宋体" w:hAnsi="宋体" w:eastAsia="宋体" w:cs="宋体"/>
          <w:color w:val="auto"/>
          <w:spacing w:val="-2"/>
          <w:szCs w:val="21"/>
          <w:highlight w:val="none"/>
          <w:u w:val="single"/>
        </w:rPr>
        <w:t>的投</w:t>
      </w:r>
      <w:r>
        <w:rPr>
          <w:rFonts w:hint="eastAsia" w:ascii="宋体" w:hAnsi="宋体" w:eastAsia="宋体" w:cs="宋体"/>
          <w:color w:val="auto"/>
          <w:szCs w:val="21"/>
          <w:highlight w:val="none"/>
          <w:u w:val="single"/>
        </w:rPr>
        <w:t>标文</w:t>
      </w:r>
      <w:r>
        <w:rPr>
          <w:rFonts w:hint="eastAsia" w:ascii="宋体" w:hAnsi="宋体" w:eastAsia="宋体" w:cs="宋体"/>
          <w:color w:val="auto"/>
          <w:spacing w:val="-2"/>
          <w:szCs w:val="21"/>
          <w:highlight w:val="none"/>
          <w:u w:val="single"/>
        </w:rPr>
        <w:t>件</w:t>
      </w:r>
      <w:r>
        <w:rPr>
          <w:rFonts w:hint="eastAsia" w:ascii="宋体" w:hAnsi="宋体" w:eastAsia="宋体" w:cs="宋体"/>
          <w:color w:val="auto"/>
          <w:szCs w:val="21"/>
          <w:highlight w:val="none"/>
          <w:u w:val="single"/>
        </w:rPr>
        <w:t>，</w:t>
      </w:r>
      <w:r>
        <w:rPr>
          <w:rFonts w:hint="eastAsia" w:ascii="宋体" w:hAnsi="宋体" w:eastAsia="宋体" w:cs="宋体"/>
          <w:color w:val="auto"/>
          <w:spacing w:val="-2"/>
          <w:szCs w:val="21"/>
          <w:highlight w:val="none"/>
          <w:u w:val="single"/>
        </w:rPr>
        <w:t>电</w:t>
      </w:r>
      <w:r>
        <w:rPr>
          <w:rFonts w:hint="eastAsia" w:ascii="宋体" w:hAnsi="宋体" w:eastAsia="宋体" w:cs="宋体"/>
          <w:color w:val="auto"/>
          <w:szCs w:val="21"/>
          <w:highlight w:val="none"/>
          <w:u w:val="single"/>
        </w:rPr>
        <w:t>子</w:t>
      </w:r>
      <w:r>
        <w:rPr>
          <w:rFonts w:hint="eastAsia" w:ascii="宋体" w:hAnsi="宋体" w:eastAsia="宋体" w:cs="宋体"/>
          <w:color w:val="auto"/>
          <w:spacing w:val="-2"/>
          <w:szCs w:val="21"/>
          <w:highlight w:val="none"/>
          <w:u w:val="single"/>
        </w:rPr>
        <w:t>招</w:t>
      </w:r>
      <w:r>
        <w:rPr>
          <w:rFonts w:hint="eastAsia" w:ascii="宋体" w:hAnsi="宋体" w:eastAsia="宋体" w:cs="宋体"/>
          <w:color w:val="auto"/>
          <w:szCs w:val="21"/>
          <w:highlight w:val="none"/>
          <w:u w:val="single"/>
        </w:rPr>
        <w:t>标</w:t>
      </w:r>
      <w:r>
        <w:rPr>
          <w:rFonts w:hint="eastAsia" w:ascii="宋体" w:hAnsi="宋体" w:eastAsia="宋体" w:cs="宋体"/>
          <w:color w:val="auto"/>
          <w:spacing w:val="-2"/>
          <w:szCs w:val="21"/>
          <w:highlight w:val="none"/>
          <w:u w:val="single"/>
        </w:rPr>
        <w:t>投</w:t>
      </w:r>
      <w:r>
        <w:rPr>
          <w:rFonts w:hint="eastAsia" w:ascii="宋体" w:hAnsi="宋体" w:eastAsia="宋体" w:cs="宋体"/>
          <w:color w:val="auto"/>
          <w:szCs w:val="21"/>
          <w:highlight w:val="none"/>
          <w:u w:val="single"/>
        </w:rPr>
        <w:t>标</w:t>
      </w:r>
      <w:r>
        <w:rPr>
          <w:rFonts w:hint="eastAsia" w:ascii="宋体" w:hAnsi="宋体" w:eastAsia="宋体" w:cs="宋体"/>
          <w:color w:val="auto"/>
          <w:spacing w:val="-2"/>
          <w:szCs w:val="21"/>
          <w:highlight w:val="none"/>
          <w:u w:val="single"/>
        </w:rPr>
        <w:t>交</w:t>
      </w:r>
      <w:r>
        <w:rPr>
          <w:rFonts w:hint="eastAsia" w:ascii="宋体" w:hAnsi="宋体" w:eastAsia="宋体" w:cs="宋体"/>
          <w:color w:val="auto"/>
          <w:szCs w:val="21"/>
          <w:highlight w:val="none"/>
          <w:u w:val="single"/>
        </w:rPr>
        <w:t>易平</w:t>
      </w:r>
      <w:r>
        <w:rPr>
          <w:rFonts w:hint="eastAsia" w:ascii="宋体" w:hAnsi="宋体" w:eastAsia="宋体" w:cs="宋体"/>
          <w:color w:val="auto"/>
          <w:spacing w:val="-2"/>
          <w:szCs w:val="21"/>
          <w:highlight w:val="none"/>
          <w:u w:val="single"/>
        </w:rPr>
        <w:t>台</w:t>
      </w:r>
      <w:r>
        <w:rPr>
          <w:rFonts w:hint="eastAsia" w:ascii="宋体" w:hAnsi="宋体" w:eastAsia="宋体" w:cs="宋体"/>
          <w:color w:val="auto"/>
          <w:szCs w:val="21"/>
          <w:highlight w:val="none"/>
          <w:u w:val="single"/>
        </w:rPr>
        <w:t>将</w:t>
      </w:r>
      <w:r>
        <w:rPr>
          <w:rFonts w:hint="eastAsia" w:ascii="宋体" w:hAnsi="宋体" w:eastAsia="宋体" w:cs="宋体"/>
          <w:color w:val="auto"/>
          <w:spacing w:val="-2"/>
          <w:szCs w:val="21"/>
          <w:highlight w:val="none"/>
          <w:u w:val="single"/>
        </w:rPr>
        <w:t>予</w:t>
      </w:r>
      <w:r>
        <w:rPr>
          <w:rFonts w:hint="eastAsia" w:ascii="宋体" w:hAnsi="宋体" w:eastAsia="宋体" w:cs="宋体"/>
          <w:color w:val="auto"/>
          <w:szCs w:val="21"/>
          <w:highlight w:val="none"/>
          <w:u w:val="single"/>
        </w:rPr>
        <w:t>以</w:t>
      </w:r>
      <w:r>
        <w:rPr>
          <w:rFonts w:hint="eastAsia" w:ascii="宋体" w:hAnsi="宋体" w:eastAsia="宋体" w:cs="宋体"/>
          <w:color w:val="auto"/>
          <w:spacing w:val="-2"/>
          <w:szCs w:val="21"/>
          <w:highlight w:val="none"/>
          <w:u w:val="single"/>
        </w:rPr>
        <w:t>拒</w:t>
      </w:r>
      <w:r>
        <w:rPr>
          <w:rFonts w:hint="eastAsia" w:ascii="宋体" w:hAnsi="宋体" w:eastAsia="宋体" w:cs="宋体"/>
          <w:color w:val="auto"/>
          <w:szCs w:val="21"/>
          <w:highlight w:val="none"/>
          <w:u w:val="single"/>
        </w:rPr>
        <w:t>收</w:t>
      </w:r>
      <w:r>
        <w:rPr>
          <w:rFonts w:hint="eastAsia" w:ascii="宋体" w:hAnsi="宋体" w:eastAsia="宋体" w:cs="宋体"/>
          <w:color w:val="auto"/>
          <w:highlight w:val="none"/>
        </w:rPr>
        <w:t>。</w:t>
      </w:r>
    </w:p>
    <w:p w14:paraId="52E138A4">
      <w:pPr>
        <w:pStyle w:val="4"/>
        <w:shd w:val="clear"/>
        <w:rPr>
          <w:rFonts w:hint="eastAsia" w:ascii="宋体" w:hAnsi="宋体" w:eastAsia="宋体" w:cs="宋体"/>
          <w:color w:val="auto"/>
          <w:highlight w:val="none"/>
        </w:rPr>
      </w:pPr>
      <w:bookmarkStart w:id="301" w:name="_Toc32044"/>
      <w:bookmarkStart w:id="302" w:name="_Toc10751"/>
      <w:bookmarkStart w:id="303" w:name="_Toc19593"/>
      <w:r>
        <w:rPr>
          <w:rFonts w:hint="eastAsia" w:ascii="宋体" w:hAnsi="宋体" w:eastAsia="宋体" w:cs="宋体"/>
          <w:color w:val="auto"/>
          <w:highlight w:val="none"/>
        </w:rPr>
        <w:t>4.3 投标文件的修改与撤回</w:t>
      </w:r>
      <w:bookmarkEnd w:id="296"/>
      <w:bookmarkEnd w:id="297"/>
      <w:bookmarkEnd w:id="298"/>
      <w:bookmarkEnd w:id="299"/>
      <w:bookmarkEnd w:id="300"/>
      <w:bookmarkEnd w:id="301"/>
      <w:bookmarkEnd w:id="302"/>
      <w:bookmarkEnd w:id="303"/>
    </w:p>
    <w:p w14:paraId="3E8A8B2E">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4.3.1 在规定的投标截止时间前，投标人可以修改或撤回已递交的投标文件，但应以书面形式通知招标人。</w:t>
      </w:r>
    </w:p>
    <w:p w14:paraId="08E5E74C">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4.3.2 投标人修改或撤回已递交投标文件的书面通知应按照本章第3.7.3项的要求签字或盖章。招标人收到书面通知后，向投标人出具签收凭证。</w:t>
      </w:r>
    </w:p>
    <w:p w14:paraId="3ADB495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4.3.3 修改的内容为投标文件的组成部分。修改的投标文件应按照本章第3条、第4条规定进行编制、密封、标记和递交，并标明“修改”字样。</w:t>
      </w:r>
    </w:p>
    <w:p w14:paraId="00D87B3A">
      <w:pPr>
        <w:pStyle w:val="3"/>
        <w:shd w:val="clear"/>
        <w:rPr>
          <w:rFonts w:hint="eastAsia" w:ascii="宋体" w:hAnsi="宋体" w:eastAsia="宋体" w:cs="宋体"/>
          <w:color w:val="auto"/>
          <w:highlight w:val="none"/>
        </w:rPr>
      </w:pPr>
      <w:bookmarkStart w:id="304" w:name="_Toc25580"/>
      <w:bookmarkStart w:id="305" w:name="_Toc27640"/>
      <w:bookmarkStart w:id="306" w:name="_Toc247527584"/>
      <w:bookmarkStart w:id="307" w:name="_Toc144974527"/>
      <w:bookmarkStart w:id="308" w:name="_Toc247513983"/>
      <w:bookmarkStart w:id="309" w:name="_Toc17781"/>
      <w:bookmarkStart w:id="310" w:name="_Toc152042335"/>
      <w:bookmarkStart w:id="311" w:name="_Toc152045559"/>
      <w:r>
        <w:rPr>
          <w:rFonts w:hint="eastAsia" w:ascii="宋体" w:hAnsi="宋体" w:eastAsia="宋体" w:cs="宋体"/>
          <w:color w:val="auto"/>
          <w:highlight w:val="none"/>
        </w:rPr>
        <w:t>5. 开标</w:t>
      </w:r>
      <w:bookmarkEnd w:id="304"/>
      <w:bookmarkEnd w:id="305"/>
      <w:bookmarkEnd w:id="306"/>
      <w:bookmarkEnd w:id="307"/>
      <w:bookmarkEnd w:id="308"/>
      <w:bookmarkEnd w:id="309"/>
      <w:bookmarkEnd w:id="310"/>
      <w:bookmarkEnd w:id="311"/>
    </w:p>
    <w:p w14:paraId="14B9607B">
      <w:pPr>
        <w:pStyle w:val="4"/>
        <w:shd w:val="clear"/>
        <w:rPr>
          <w:rFonts w:hint="eastAsia" w:ascii="宋体" w:hAnsi="宋体" w:eastAsia="宋体" w:cs="宋体"/>
          <w:color w:val="auto"/>
          <w:highlight w:val="none"/>
        </w:rPr>
      </w:pPr>
      <w:bookmarkStart w:id="312" w:name="_Toc19889"/>
      <w:bookmarkStart w:id="313" w:name="_Toc144974528"/>
      <w:bookmarkStart w:id="314" w:name="_Toc17187"/>
      <w:bookmarkStart w:id="315" w:name="_Toc152042336"/>
      <w:bookmarkStart w:id="316" w:name="_Toc247513984"/>
      <w:bookmarkStart w:id="317" w:name="_Toc152045560"/>
      <w:bookmarkStart w:id="318" w:name="_Toc20557"/>
      <w:bookmarkStart w:id="319" w:name="_Toc247527585"/>
      <w:r>
        <w:rPr>
          <w:rFonts w:hint="eastAsia" w:ascii="宋体" w:hAnsi="宋体" w:eastAsia="宋体" w:cs="宋体"/>
          <w:color w:val="auto"/>
          <w:highlight w:val="none"/>
        </w:rPr>
        <w:t>5.1 开标时间和地点</w:t>
      </w:r>
      <w:bookmarkEnd w:id="312"/>
      <w:bookmarkEnd w:id="313"/>
      <w:bookmarkEnd w:id="314"/>
      <w:bookmarkEnd w:id="315"/>
      <w:bookmarkEnd w:id="316"/>
      <w:bookmarkEnd w:id="317"/>
      <w:bookmarkEnd w:id="318"/>
      <w:bookmarkEnd w:id="319"/>
    </w:p>
    <w:p w14:paraId="53115A76">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招标人在规定的投标截止时间（开标时间）和投标人须知前附表规定的地点公开开标，并邀请所有投标人的法定代表人或其委托代理人准时参加。</w:t>
      </w:r>
      <w:r>
        <w:rPr>
          <w:rFonts w:hint="eastAsia" w:ascii="宋体" w:hAnsi="宋体" w:eastAsia="宋体" w:cs="宋体"/>
          <w:color w:val="auto"/>
          <w:highlight w:val="none"/>
          <w:u w:val="single"/>
        </w:rPr>
        <w:t>若投标人不参加开标会的，其投标文件在开标现场的投标人（如有）、招标人代表（如有）、招标代理机构代表及交易中心代表见证下公开开启，并视同该投标人认可开标结果。</w:t>
      </w:r>
    </w:p>
    <w:p w14:paraId="63BA2E62">
      <w:pPr>
        <w:pStyle w:val="4"/>
        <w:shd w:val="clear"/>
        <w:rPr>
          <w:rFonts w:hint="eastAsia" w:ascii="宋体" w:hAnsi="宋体" w:eastAsia="宋体" w:cs="宋体"/>
          <w:color w:val="auto"/>
          <w:highlight w:val="none"/>
        </w:rPr>
      </w:pPr>
      <w:bookmarkStart w:id="320" w:name="_Toc152045561"/>
      <w:bookmarkStart w:id="321" w:name="_Toc144974529"/>
      <w:bookmarkStart w:id="322" w:name="_Toc19617"/>
      <w:bookmarkStart w:id="323" w:name="_Toc247513985"/>
      <w:bookmarkStart w:id="324" w:name="_Toc14610"/>
      <w:bookmarkStart w:id="325" w:name="_Toc3783"/>
      <w:bookmarkStart w:id="326" w:name="_Toc247527586"/>
      <w:bookmarkStart w:id="327" w:name="_Toc152042337"/>
      <w:r>
        <w:rPr>
          <w:rFonts w:hint="eastAsia" w:ascii="宋体" w:hAnsi="宋体" w:eastAsia="宋体" w:cs="宋体"/>
          <w:color w:val="auto"/>
          <w:highlight w:val="none"/>
        </w:rPr>
        <w:t>5.2 开标程序</w:t>
      </w:r>
      <w:bookmarkEnd w:id="320"/>
      <w:bookmarkEnd w:id="321"/>
      <w:bookmarkEnd w:id="322"/>
      <w:bookmarkEnd w:id="323"/>
      <w:bookmarkEnd w:id="324"/>
      <w:bookmarkEnd w:id="325"/>
      <w:bookmarkEnd w:id="326"/>
      <w:bookmarkEnd w:id="327"/>
    </w:p>
    <w:p w14:paraId="3573B368">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u w:val="single"/>
        </w:rPr>
        <w:t>主持人按下列程序进行开标：按“投标人须知前附表”第5.2条。</w:t>
      </w:r>
    </w:p>
    <w:p w14:paraId="24A7291A">
      <w:pPr>
        <w:pStyle w:val="4"/>
        <w:shd w:val="clear"/>
        <w:rPr>
          <w:rFonts w:hint="eastAsia" w:ascii="宋体" w:hAnsi="宋体" w:eastAsia="宋体" w:cs="宋体"/>
          <w:color w:val="auto"/>
          <w:highlight w:val="none"/>
        </w:rPr>
      </w:pPr>
      <w:bookmarkStart w:id="328" w:name="_Toc11489"/>
      <w:bookmarkStart w:id="329" w:name="_Toc26051"/>
      <w:bookmarkStart w:id="330" w:name="_Toc26944"/>
      <w:r>
        <w:rPr>
          <w:rFonts w:hint="eastAsia" w:ascii="宋体" w:hAnsi="宋体" w:eastAsia="宋体" w:cs="宋体"/>
          <w:color w:val="auto"/>
          <w:highlight w:val="none"/>
        </w:rPr>
        <w:t>5.3 开标异议</w:t>
      </w:r>
      <w:bookmarkEnd w:id="328"/>
      <w:bookmarkEnd w:id="329"/>
      <w:bookmarkEnd w:id="330"/>
    </w:p>
    <w:p w14:paraId="097A44BA">
      <w:pPr>
        <w:shd w:val="clear"/>
        <w:spacing w:line="400" w:lineRule="exact"/>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投标人对开标有异议的，应当在</w:t>
      </w:r>
      <w:r>
        <w:rPr>
          <w:rFonts w:hint="eastAsia" w:ascii="宋体" w:hAnsi="宋体" w:eastAsia="宋体" w:cs="宋体"/>
          <w:color w:val="auto"/>
          <w:highlight w:val="none"/>
          <w:u w:val="single"/>
        </w:rPr>
        <w:t>交易平台规定的时间内或开标现场</w:t>
      </w:r>
      <w:r>
        <w:rPr>
          <w:rFonts w:hint="eastAsia" w:ascii="宋体" w:hAnsi="宋体" w:eastAsia="宋体" w:cs="宋体"/>
          <w:color w:val="auto"/>
          <w:highlight w:val="none"/>
        </w:rPr>
        <w:t>提出，招标人当场作出答复，并制作记录。</w:t>
      </w:r>
    </w:p>
    <w:p w14:paraId="4D3BA7BF">
      <w:pPr>
        <w:pStyle w:val="3"/>
        <w:shd w:val="clear"/>
        <w:rPr>
          <w:rFonts w:hint="eastAsia" w:ascii="宋体" w:hAnsi="宋体" w:eastAsia="宋体" w:cs="宋体"/>
          <w:color w:val="auto"/>
          <w:highlight w:val="none"/>
        </w:rPr>
      </w:pPr>
      <w:bookmarkStart w:id="331" w:name="_Toc144974530"/>
      <w:bookmarkStart w:id="332" w:name="_Toc4553"/>
      <w:bookmarkStart w:id="333" w:name="_Toc26114"/>
      <w:bookmarkStart w:id="334" w:name="_Toc152042338"/>
      <w:bookmarkStart w:id="335" w:name="_Toc152045562"/>
      <w:bookmarkStart w:id="336" w:name="_Toc247527587"/>
      <w:bookmarkStart w:id="337" w:name="_Toc247513986"/>
      <w:bookmarkStart w:id="338" w:name="_Toc14544"/>
      <w:r>
        <w:rPr>
          <w:rFonts w:hint="eastAsia" w:ascii="宋体" w:hAnsi="宋体" w:eastAsia="宋体" w:cs="宋体"/>
          <w:color w:val="auto"/>
          <w:highlight w:val="none"/>
        </w:rPr>
        <w:t>6. 评标</w:t>
      </w:r>
      <w:bookmarkEnd w:id="331"/>
      <w:bookmarkEnd w:id="332"/>
      <w:bookmarkEnd w:id="333"/>
      <w:bookmarkEnd w:id="334"/>
      <w:bookmarkEnd w:id="335"/>
      <w:bookmarkEnd w:id="336"/>
      <w:bookmarkEnd w:id="337"/>
      <w:bookmarkEnd w:id="338"/>
    </w:p>
    <w:p w14:paraId="603CAE9F">
      <w:pPr>
        <w:pStyle w:val="4"/>
        <w:shd w:val="clear"/>
        <w:rPr>
          <w:rFonts w:hint="eastAsia" w:ascii="宋体" w:hAnsi="宋体" w:eastAsia="宋体" w:cs="宋体"/>
          <w:color w:val="auto"/>
          <w:highlight w:val="none"/>
        </w:rPr>
      </w:pPr>
      <w:bookmarkStart w:id="339" w:name="_Toc247527588"/>
      <w:bookmarkStart w:id="340" w:name="_Toc152042339"/>
      <w:bookmarkStart w:id="341" w:name="_Toc152045563"/>
      <w:bookmarkStart w:id="342" w:name="_Toc144974531"/>
      <w:bookmarkStart w:id="343" w:name="_Toc8592"/>
      <w:bookmarkStart w:id="344" w:name="_Toc26208"/>
      <w:bookmarkStart w:id="345" w:name="_Toc247513987"/>
      <w:bookmarkStart w:id="346" w:name="_Toc15286"/>
      <w:r>
        <w:rPr>
          <w:rFonts w:hint="eastAsia" w:ascii="宋体" w:hAnsi="宋体" w:eastAsia="宋体" w:cs="宋体"/>
          <w:color w:val="auto"/>
          <w:highlight w:val="none"/>
        </w:rPr>
        <w:t>6.1 评标委员会</w:t>
      </w:r>
      <w:bookmarkEnd w:id="339"/>
      <w:bookmarkEnd w:id="340"/>
      <w:bookmarkEnd w:id="341"/>
      <w:bookmarkEnd w:id="342"/>
      <w:bookmarkEnd w:id="343"/>
      <w:bookmarkEnd w:id="344"/>
      <w:bookmarkEnd w:id="345"/>
      <w:bookmarkEnd w:id="346"/>
    </w:p>
    <w:p w14:paraId="6D65E0B0">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7F47C2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6.1.2 评标委员会成员有下列情形之一的，应当回避：</w:t>
      </w:r>
    </w:p>
    <w:p w14:paraId="3AD923F7">
      <w:pPr>
        <w:shd w:val="clear"/>
        <w:spacing w:line="40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（1）投标人或投标人主要负责人的近亲属；</w:t>
      </w:r>
    </w:p>
    <w:p w14:paraId="05362DE8">
      <w:pPr>
        <w:shd w:val="clear"/>
        <w:spacing w:line="40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（2）项目主管部门或者行政监督部门的人员；</w:t>
      </w:r>
    </w:p>
    <w:p w14:paraId="0B59433E">
      <w:pPr>
        <w:shd w:val="clear"/>
        <w:spacing w:line="40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（3）与投标人有经济利益关系，可能影响对投标公正评审的；</w:t>
      </w:r>
    </w:p>
    <w:p w14:paraId="6C9D7678">
      <w:pPr>
        <w:shd w:val="clear"/>
        <w:spacing w:line="40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（4）曾因在招标、评标以及其他与招标投标有关活动中从事违法行为而受过行政处罚或刑事处罚的；</w:t>
      </w:r>
    </w:p>
    <w:p w14:paraId="5CA4B89D">
      <w:pPr>
        <w:shd w:val="clear"/>
        <w:spacing w:line="400" w:lineRule="exact"/>
        <w:ind w:firstLine="718" w:firstLineChars="342"/>
        <w:rPr>
          <w:rFonts w:hint="eastAsia" w:ascii="宋体" w:hAnsi="宋体" w:eastAsia="宋体" w:cs="宋体"/>
          <w:color w:val="auto"/>
          <w:highlight w:val="none"/>
        </w:rPr>
      </w:pPr>
      <w:r>
        <w:rPr>
          <w:rFonts w:hint="eastAsia" w:ascii="宋体" w:hAnsi="宋体" w:eastAsia="宋体" w:cs="宋体"/>
          <w:color w:val="auto"/>
          <w:highlight w:val="none"/>
        </w:rPr>
        <w:t>（5）与投标人有其他利害关系。</w:t>
      </w:r>
    </w:p>
    <w:p w14:paraId="0AAD8BAC">
      <w:pPr>
        <w:pStyle w:val="4"/>
        <w:shd w:val="clear"/>
        <w:rPr>
          <w:rFonts w:hint="eastAsia" w:ascii="宋体" w:hAnsi="宋体" w:eastAsia="宋体" w:cs="宋体"/>
          <w:color w:val="auto"/>
          <w:highlight w:val="none"/>
        </w:rPr>
      </w:pPr>
      <w:bookmarkStart w:id="347" w:name="_Toc7258"/>
      <w:bookmarkStart w:id="348" w:name="_Toc12581"/>
      <w:bookmarkStart w:id="349" w:name="_Toc247513988"/>
      <w:bookmarkStart w:id="350" w:name="_Toc4932"/>
      <w:bookmarkStart w:id="351" w:name="_Toc144974532"/>
      <w:bookmarkStart w:id="352" w:name="_Toc247527589"/>
      <w:bookmarkStart w:id="353" w:name="_Toc152042340"/>
      <w:bookmarkStart w:id="354" w:name="_Toc152045564"/>
      <w:r>
        <w:rPr>
          <w:rFonts w:hint="eastAsia" w:ascii="宋体" w:hAnsi="宋体" w:eastAsia="宋体" w:cs="宋体"/>
          <w:color w:val="auto"/>
          <w:highlight w:val="none"/>
        </w:rPr>
        <w:t>6.2 评标原则</w:t>
      </w:r>
      <w:bookmarkEnd w:id="347"/>
      <w:bookmarkEnd w:id="348"/>
      <w:bookmarkEnd w:id="349"/>
      <w:bookmarkEnd w:id="350"/>
      <w:bookmarkEnd w:id="351"/>
      <w:bookmarkEnd w:id="352"/>
      <w:bookmarkEnd w:id="353"/>
      <w:bookmarkEnd w:id="354"/>
      <w:r>
        <w:rPr>
          <w:rFonts w:hint="eastAsia" w:ascii="宋体" w:hAnsi="宋体" w:eastAsia="宋体" w:cs="宋体"/>
          <w:color w:val="auto"/>
          <w:highlight w:val="none"/>
        </w:rPr>
        <w:tab/>
      </w:r>
    </w:p>
    <w:p w14:paraId="477505BF">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评标活动遵循公平、公正、科学和择优的原则。</w:t>
      </w:r>
    </w:p>
    <w:p w14:paraId="65A0B123">
      <w:pPr>
        <w:pStyle w:val="4"/>
        <w:shd w:val="clear"/>
        <w:rPr>
          <w:rFonts w:hint="eastAsia" w:ascii="宋体" w:hAnsi="宋体" w:eastAsia="宋体" w:cs="宋体"/>
          <w:color w:val="auto"/>
          <w:highlight w:val="none"/>
        </w:rPr>
      </w:pPr>
      <w:bookmarkStart w:id="355" w:name="_Toc6862"/>
      <w:bookmarkStart w:id="356" w:name="_Toc16289"/>
      <w:bookmarkStart w:id="357" w:name="_Toc152045565"/>
      <w:bookmarkStart w:id="358" w:name="_Toc144974533"/>
      <w:bookmarkStart w:id="359" w:name="_Toc247513989"/>
      <w:bookmarkStart w:id="360" w:name="_Toc247527590"/>
      <w:bookmarkStart w:id="361" w:name="_Toc11980"/>
      <w:bookmarkStart w:id="362" w:name="_Toc152042341"/>
      <w:r>
        <w:rPr>
          <w:rFonts w:hint="eastAsia" w:ascii="宋体" w:hAnsi="宋体" w:eastAsia="宋体" w:cs="宋体"/>
          <w:color w:val="auto"/>
          <w:highlight w:val="none"/>
        </w:rPr>
        <w:t>6.3 评标</w:t>
      </w:r>
      <w:bookmarkEnd w:id="355"/>
      <w:bookmarkEnd w:id="356"/>
      <w:bookmarkEnd w:id="357"/>
      <w:bookmarkEnd w:id="358"/>
      <w:bookmarkEnd w:id="359"/>
      <w:bookmarkEnd w:id="360"/>
      <w:bookmarkEnd w:id="361"/>
      <w:bookmarkEnd w:id="362"/>
    </w:p>
    <w:p w14:paraId="136F2EFB">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评标委员会按照第三章“评标办法”规定的方法、评审因素、标准和程序对投标文件进行评审。第三章“评标办法”没有规定的方法、评审因素和标准，不作为评标依据。</w:t>
      </w:r>
    </w:p>
    <w:p w14:paraId="73852427">
      <w:pPr>
        <w:pStyle w:val="3"/>
        <w:shd w:val="clear"/>
        <w:rPr>
          <w:rFonts w:hint="eastAsia" w:ascii="宋体" w:hAnsi="宋体" w:eastAsia="宋体" w:cs="宋体"/>
          <w:color w:val="auto"/>
          <w:highlight w:val="none"/>
        </w:rPr>
      </w:pPr>
      <w:bookmarkStart w:id="363" w:name="_Toc152045566"/>
      <w:bookmarkStart w:id="364" w:name="_Toc247513990"/>
      <w:bookmarkStart w:id="365" w:name="_Toc27848"/>
      <w:bookmarkStart w:id="366" w:name="_Toc152042342"/>
      <w:bookmarkStart w:id="367" w:name="_Toc11622"/>
      <w:bookmarkStart w:id="368" w:name="_Toc11904"/>
      <w:bookmarkStart w:id="369" w:name="_Toc247527591"/>
      <w:bookmarkStart w:id="370" w:name="_Toc144974534"/>
      <w:r>
        <w:rPr>
          <w:rFonts w:hint="eastAsia" w:ascii="宋体" w:hAnsi="宋体" w:eastAsia="宋体" w:cs="宋体"/>
          <w:color w:val="auto"/>
          <w:highlight w:val="none"/>
        </w:rPr>
        <w:t>7. 合同授予</w:t>
      </w:r>
      <w:bookmarkEnd w:id="363"/>
      <w:bookmarkEnd w:id="364"/>
      <w:bookmarkEnd w:id="365"/>
      <w:bookmarkEnd w:id="366"/>
      <w:bookmarkEnd w:id="367"/>
      <w:bookmarkEnd w:id="368"/>
      <w:bookmarkEnd w:id="369"/>
      <w:bookmarkEnd w:id="370"/>
    </w:p>
    <w:p w14:paraId="42B4F547">
      <w:pPr>
        <w:pStyle w:val="4"/>
        <w:shd w:val="clear"/>
        <w:rPr>
          <w:rFonts w:hint="eastAsia" w:ascii="宋体" w:hAnsi="宋体" w:eastAsia="宋体" w:cs="宋体"/>
          <w:color w:val="auto"/>
          <w:highlight w:val="none"/>
        </w:rPr>
      </w:pPr>
      <w:bookmarkStart w:id="371" w:name="_Toc31858"/>
      <w:bookmarkStart w:id="372" w:name="_Toc247527592"/>
      <w:bookmarkStart w:id="373" w:name="_Toc152042343"/>
      <w:bookmarkStart w:id="374" w:name="_Toc23433"/>
      <w:bookmarkStart w:id="375" w:name="_Toc144974535"/>
      <w:bookmarkStart w:id="376" w:name="_Toc247513991"/>
      <w:bookmarkStart w:id="377" w:name="_Toc7899"/>
      <w:bookmarkStart w:id="378" w:name="_Toc152045567"/>
      <w:r>
        <w:rPr>
          <w:rFonts w:hint="eastAsia" w:ascii="宋体" w:hAnsi="宋体" w:eastAsia="宋体" w:cs="宋体"/>
          <w:color w:val="auto"/>
          <w:highlight w:val="none"/>
        </w:rPr>
        <w:t>7.1 定标方式</w:t>
      </w:r>
      <w:bookmarkEnd w:id="371"/>
      <w:bookmarkEnd w:id="372"/>
      <w:bookmarkEnd w:id="373"/>
      <w:bookmarkEnd w:id="374"/>
      <w:bookmarkEnd w:id="375"/>
      <w:bookmarkEnd w:id="376"/>
      <w:bookmarkEnd w:id="377"/>
      <w:bookmarkEnd w:id="378"/>
    </w:p>
    <w:p w14:paraId="60387329">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7.1.1除投标人须知前附表规定评标委员会直接确定中标人外，招标人依据评标委员会推荐的中标候选人确定中标人，评标委员会推荐中标候选人的人数见投标人须知前附表。</w:t>
      </w:r>
    </w:p>
    <w:p w14:paraId="0FC488F6">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7.1.2 依法必须进行公开招标的项目，招标人应当确定排名第一的中标候选人为中标人。</w:t>
      </w:r>
    </w:p>
    <w:p w14:paraId="68FB69C8">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7.1.3 排名第一的中标候选人放弃中标、或被取消中标资格，或因不可抗力提出不能履行合同，</w:t>
      </w:r>
      <w:r>
        <w:rPr>
          <w:rFonts w:hint="eastAsia" w:ascii="宋体" w:hAnsi="宋体" w:eastAsia="宋体" w:cs="宋体"/>
          <w:color w:val="auto"/>
          <w:szCs w:val="21"/>
          <w:highlight w:val="none"/>
          <w:u w:val="single"/>
        </w:rPr>
        <w:t>或者被查实存在影响中标结果的违法行为等情形，不符合中标条件的，</w:t>
      </w:r>
      <w:r>
        <w:rPr>
          <w:rFonts w:hint="eastAsia" w:ascii="宋体" w:hAnsi="宋体" w:eastAsia="宋体" w:cs="宋体"/>
          <w:color w:val="auto"/>
          <w:highlight w:val="none"/>
          <w:u w:val="single"/>
        </w:rPr>
        <w:t>招标人可以按照中标候选人顺序依次上升替补定标，以此类推，也可以重新招标。</w:t>
      </w:r>
    </w:p>
    <w:p w14:paraId="46D5957C">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7.1.4 若本项目所有中标候选人都不能成为中标人，则本项目招标失败，招标人依法重新招标。</w:t>
      </w:r>
    </w:p>
    <w:p w14:paraId="50D9917A">
      <w:pPr>
        <w:pStyle w:val="4"/>
        <w:shd w:val="clear"/>
        <w:rPr>
          <w:rFonts w:hint="eastAsia" w:ascii="宋体" w:hAnsi="宋体" w:eastAsia="宋体" w:cs="宋体"/>
          <w:color w:val="auto"/>
          <w:highlight w:val="none"/>
        </w:rPr>
      </w:pPr>
      <w:bookmarkStart w:id="379" w:name="_Toc13071"/>
      <w:bookmarkStart w:id="380" w:name="_Toc17881"/>
      <w:bookmarkStart w:id="381" w:name="_Toc10439"/>
      <w:r>
        <w:rPr>
          <w:rFonts w:hint="eastAsia" w:ascii="宋体" w:hAnsi="宋体" w:eastAsia="宋体" w:cs="宋体"/>
          <w:color w:val="auto"/>
          <w:highlight w:val="none"/>
        </w:rPr>
        <w:t>7.2 中标候选人公示</w:t>
      </w:r>
      <w:bookmarkEnd w:id="379"/>
      <w:bookmarkEnd w:id="380"/>
      <w:bookmarkEnd w:id="381"/>
    </w:p>
    <w:p w14:paraId="22D0536D">
      <w:pPr>
        <w:shd w:val="clear"/>
        <w:spacing w:line="400" w:lineRule="exact"/>
        <w:ind w:firstLine="420" w:firstLineChars="200"/>
        <w:rPr>
          <w:rFonts w:hint="eastAsia" w:ascii="宋体" w:hAnsi="宋体" w:eastAsia="宋体" w:cs="宋体"/>
          <w:color w:val="auto"/>
          <w:highlight w:val="none"/>
          <w:u w:val="single"/>
        </w:rPr>
      </w:pPr>
      <w:bookmarkStart w:id="382" w:name="_Toc152042344"/>
      <w:bookmarkStart w:id="383" w:name="_Toc247513992"/>
      <w:bookmarkStart w:id="384" w:name="_Toc247527593"/>
      <w:bookmarkStart w:id="385" w:name="_Toc144974536"/>
      <w:bookmarkStart w:id="386" w:name="_Toc152045568"/>
      <w:r>
        <w:rPr>
          <w:rFonts w:hint="eastAsia" w:ascii="宋体" w:hAnsi="宋体" w:eastAsia="宋体" w:cs="宋体"/>
          <w:color w:val="auto"/>
          <w:highlight w:val="none"/>
        </w:rPr>
        <w:t>招标人在投标人须知前附表规定的媒介公示中标候选人。</w:t>
      </w:r>
      <w:r>
        <w:rPr>
          <w:rFonts w:hint="eastAsia" w:ascii="宋体" w:hAnsi="宋体" w:eastAsia="宋体" w:cs="宋体"/>
          <w:color w:val="auto"/>
          <w:highlight w:val="none"/>
          <w:u w:val="single"/>
        </w:rPr>
        <w:t>公示时间为3天，公示期间的最后1天应当为工作日。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815F1F1">
      <w:pPr>
        <w:pStyle w:val="4"/>
        <w:shd w:val="clear"/>
        <w:rPr>
          <w:rFonts w:hint="eastAsia" w:ascii="宋体" w:hAnsi="宋体" w:eastAsia="宋体" w:cs="宋体"/>
          <w:color w:val="auto"/>
          <w:highlight w:val="none"/>
        </w:rPr>
      </w:pPr>
      <w:bookmarkStart w:id="387" w:name="_Toc3472"/>
      <w:bookmarkStart w:id="388" w:name="_Toc12824"/>
      <w:bookmarkStart w:id="389" w:name="_Toc4383"/>
      <w:r>
        <w:rPr>
          <w:rFonts w:hint="eastAsia" w:ascii="宋体" w:hAnsi="宋体" w:eastAsia="宋体" w:cs="宋体"/>
          <w:color w:val="auto"/>
          <w:highlight w:val="none"/>
        </w:rPr>
        <w:t>7.3 中标通知</w:t>
      </w:r>
      <w:bookmarkEnd w:id="382"/>
      <w:bookmarkEnd w:id="383"/>
      <w:bookmarkEnd w:id="384"/>
      <w:bookmarkEnd w:id="385"/>
      <w:bookmarkEnd w:id="386"/>
      <w:bookmarkEnd w:id="387"/>
      <w:bookmarkEnd w:id="388"/>
      <w:bookmarkEnd w:id="389"/>
    </w:p>
    <w:p w14:paraId="7DEF987A">
      <w:pPr>
        <w:shd w:val="clear"/>
        <w:spacing w:line="400" w:lineRule="exact"/>
        <w:ind w:firstLine="420" w:firstLineChars="200"/>
        <w:rPr>
          <w:rFonts w:hint="eastAsia" w:ascii="宋体" w:hAnsi="宋体" w:eastAsia="宋体" w:cs="宋体"/>
          <w:color w:val="auto"/>
          <w:highlight w:val="none"/>
        </w:rPr>
      </w:pPr>
      <w:bookmarkStart w:id="390" w:name="_Toc144974537"/>
      <w:bookmarkStart w:id="391" w:name="_Toc152045569"/>
      <w:bookmarkStart w:id="392" w:name="_Toc247527594"/>
      <w:bookmarkStart w:id="393" w:name="_Toc247513993"/>
      <w:bookmarkStart w:id="394" w:name="_Toc152042345"/>
      <w:r>
        <w:rPr>
          <w:rFonts w:hint="eastAsia" w:ascii="宋体" w:hAnsi="宋体" w:eastAsia="宋体" w:cs="宋体"/>
          <w:color w:val="auto"/>
          <w:highlight w:val="none"/>
        </w:rPr>
        <w:t>在本章第3.3款规定的投标有效期内，招标人以书面形式向中标人发出中标通知书，同时将中标结果通知未中标的投标人。</w:t>
      </w:r>
    </w:p>
    <w:p w14:paraId="205E9336">
      <w:pPr>
        <w:pStyle w:val="4"/>
        <w:shd w:val="clear"/>
        <w:rPr>
          <w:rFonts w:hint="eastAsia" w:ascii="宋体" w:hAnsi="宋体" w:eastAsia="宋体" w:cs="宋体"/>
          <w:color w:val="auto"/>
          <w:highlight w:val="none"/>
          <w:lang w:eastAsia="zh-CN"/>
        </w:rPr>
      </w:pPr>
      <w:bookmarkStart w:id="395" w:name="_Toc16203"/>
      <w:bookmarkStart w:id="396" w:name="_Toc18135"/>
      <w:bookmarkStart w:id="397" w:name="_Toc32705"/>
      <w:r>
        <w:rPr>
          <w:rFonts w:hint="eastAsia" w:ascii="宋体" w:hAnsi="宋体" w:eastAsia="宋体" w:cs="宋体"/>
          <w:color w:val="auto"/>
          <w:highlight w:val="none"/>
        </w:rPr>
        <w:t>7.4 履约担保</w:t>
      </w:r>
      <w:bookmarkEnd w:id="390"/>
      <w:bookmarkEnd w:id="391"/>
      <w:bookmarkEnd w:id="392"/>
      <w:bookmarkEnd w:id="393"/>
      <w:bookmarkEnd w:id="394"/>
      <w:bookmarkEnd w:id="395"/>
      <w:bookmarkEnd w:id="396"/>
      <w:bookmarkEnd w:id="397"/>
    </w:p>
    <w:p w14:paraId="199BEE20">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7.4.1 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w:t>
      </w:r>
      <w:r>
        <w:rPr>
          <w:rFonts w:hint="eastAsia" w:ascii="宋体" w:hAnsi="宋体" w:cs="宋体"/>
          <w:color w:val="auto"/>
          <w:highlight w:val="none"/>
          <w:lang w:val="en-US" w:eastAsia="zh-CN"/>
        </w:rPr>
        <w:t>5</w:t>
      </w:r>
      <w:r>
        <w:rPr>
          <w:rFonts w:hint="eastAsia" w:ascii="宋体" w:hAnsi="宋体" w:eastAsia="宋体" w:cs="宋体"/>
          <w:color w:val="auto"/>
          <w:highlight w:val="none"/>
        </w:rPr>
        <w:t>%。联合体中标的，其履约担保由联合体主办方的名义提交。</w:t>
      </w:r>
    </w:p>
    <w:p w14:paraId="1E934628">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7.4.2 中标人不能按本章第7.4.1项要求提交履约担保的，视为放弃中标，其</w:t>
      </w:r>
      <w:r>
        <w:rPr>
          <w:rFonts w:hint="eastAsia" w:ascii="宋体" w:hAnsi="宋体" w:eastAsia="宋体" w:cs="宋体"/>
          <w:strike/>
          <w:color w:val="auto"/>
          <w:highlight w:val="none"/>
        </w:rPr>
        <w:t>投标保证金不予退还</w:t>
      </w:r>
      <w:r>
        <w:rPr>
          <w:rFonts w:hint="eastAsia" w:ascii="宋体" w:hAnsi="宋体" w:eastAsia="宋体" w:cs="宋体"/>
          <w:color w:val="auto"/>
          <w:highlight w:val="none"/>
        </w:rPr>
        <w:t>，给招标人造成的损失</w:t>
      </w:r>
      <w:r>
        <w:rPr>
          <w:rFonts w:hint="eastAsia" w:ascii="宋体" w:hAnsi="宋体" w:eastAsia="宋体" w:cs="宋体"/>
          <w:strike/>
          <w:color w:val="auto"/>
          <w:highlight w:val="none"/>
        </w:rPr>
        <w:t>超过投标保证金数额</w:t>
      </w:r>
      <w:r>
        <w:rPr>
          <w:rFonts w:hint="eastAsia" w:ascii="宋体" w:hAnsi="宋体" w:eastAsia="宋体" w:cs="宋体"/>
          <w:color w:val="auto"/>
          <w:highlight w:val="none"/>
        </w:rPr>
        <w:t>的，中标人还应当</w:t>
      </w:r>
      <w:r>
        <w:rPr>
          <w:rFonts w:hint="eastAsia" w:ascii="宋体" w:hAnsi="宋体" w:eastAsia="宋体" w:cs="宋体"/>
          <w:strike/>
          <w:color w:val="auto"/>
          <w:highlight w:val="none"/>
        </w:rPr>
        <w:t>对超过部分</w:t>
      </w:r>
      <w:r>
        <w:rPr>
          <w:rFonts w:hint="eastAsia" w:ascii="宋体" w:hAnsi="宋体" w:eastAsia="宋体" w:cs="宋体"/>
          <w:color w:val="auto"/>
          <w:highlight w:val="none"/>
        </w:rPr>
        <w:t>予以赔偿。</w:t>
      </w:r>
    </w:p>
    <w:p w14:paraId="4BFC4006">
      <w:pPr>
        <w:pStyle w:val="4"/>
        <w:shd w:val="clear"/>
        <w:rPr>
          <w:rFonts w:hint="eastAsia" w:ascii="宋体" w:hAnsi="宋体" w:eastAsia="宋体" w:cs="宋体"/>
          <w:color w:val="auto"/>
          <w:highlight w:val="none"/>
        </w:rPr>
      </w:pPr>
      <w:bookmarkStart w:id="398" w:name="_Toc247527595"/>
      <w:bookmarkStart w:id="399" w:name="_Toc29062"/>
      <w:bookmarkStart w:id="400" w:name="_Toc152042346"/>
      <w:bookmarkStart w:id="401" w:name="_Toc152045570"/>
      <w:bookmarkStart w:id="402" w:name="_Toc247513994"/>
      <w:bookmarkStart w:id="403" w:name="_Toc32105"/>
      <w:bookmarkStart w:id="404" w:name="_Toc144974538"/>
      <w:bookmarkStart w:id="405" w:name="_Toc31878"/>
      <w:r>
        <w:rPr>
          <w:rFonts w:hint="eastAsia" w:ascii="宋体" w:hAnsi="宋体" w:eastAsia="宋体" w:cs="宋体"/>
          <w:color w:val="auto"/>
          <w:highlight w:val="none"/>
        </w:rPr>
        <w:t>7.5 签订合同</w:t>
      </w:r>
      <w:bookmarkEnd w:id="398"/>
      <w:bookmarkEnd w:id="399"/>
      <w:bookmarkEnd w:id="400"/>
      <w:bookmarkEnd w:id="401"/>
      <w:bookmarkEnd w:id="402"/>
      <w:bookmarkEnd w:id="403"/>
      <w:bookmarkEnd w:id="404"/>
      <w:bookmarkEnd w:id="405"/>
    </w:p>
    <w:p w14:paraId="09661CB5">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7.5.1 招标人和中标人应当自中标通知书发出之日起30天内，根据招标文件和中标人的投标文件订立书面合同。中标人无正当理由拒签合同的，招标人取消其中标资格，</w:t>
      </w:r>
      <w:r>
        <w:rPr>
          <w:rFonts w:hint="eastAsia" w:ascii="宋体" w:hAnsi="宋体" w:eastAsia="宋体" w:cs="宋体"/>
          <w:strike/>
          <w:color w:val="auto"/>
          <w:highlight w:val="none"/>
        </w:rPr>
        <w:t>其投标保证金不予退还</w:t>
      </w:r>
      <w:r>
        <w:rPr>
          <w:rFonts w:hint="eastAsia" w:ascii="宋体" w:hAnsi="宋体" w:eastAsia="宋体" w:cs="宋体"/>
          <w:color w:val="auto"/>
          <w:highlight w:val="none"/>
        </w:rPr>
        <w:t>；给招标人造成的损失</w:t>
      </w:r>
      <w:r>
        <w:rPr>
          <w:rFonts w:hint="eastAsia" w:ascii="宋体" w:hAnsi="宋体" w:eastAsia="宋体" w:cs="宋体"/>
          <w:strike/>
          <w:color w:val="auto"/>
          <w:highlight w:val="none"/>
        </w:rPr>
        <w:t>超过投标保证金数额的</w:t>
      </w:r>
      <w:r>
        <w:rPr>
          <w:rFonts w:hint="eastAsia" w:ascii="宋体" w:hAnsi="宋体" w:eastAsia="宋体" w:cs="宋体"/>
          <w:color w:val="auto"/>
          <w:highlight w:val="none"/>
        </w:rPr>
        <w:t xml:space="preserve">，中标人还应当对超过部分予以赔偿。 </w:t>
      </w:r>
    </w:p>
    <w:p w14:paraId="3495CBF3">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7.5.2 发出中标通知书后，招标人无正当理由拒签合同的，</w:t>
      </w:r>
      <w:r>
        <w:rPr>
          <w:rFonts w:hint="eastAsia" w:ascii="宋体" w:hAnsi="宋体" w:eastAsia="宋体" w:cs="宋体"/>
          <w:strike/>
          <w:color w:val="auto"/>
          <w:highlight w:val="none"/>
        </w:rPr>
        <w:t>招标人向中标人退还投标保证金</w:t>
      </w:r>
      <w:r>
        <w:rPr>
          <w:rFonts w:hint="eastAsia" w:ascii="宋体" w:hAnsi="宋体" w:eastAsia="宋体" w:cs="宋体"/>
          <w:color w:val="auto"/>
          <w:highlight w:val="none"/>
        </w:rPr>
        <w:t xml:space="preserve">；给中标人造成损失的，还应当赔偿损失。 </w:t>
      </w:r>
    </w:p>
    <w:p w14:paraId="73C695D8">
      <w:pPr>
        <w:pStyle w:val="3"/>
        <w:shd w:val="clear"/>
        <w:rPr>
          <w:rFonts w:hint="eastAsia" w:ascii="宋体" w:hAnsi="宋体" w:eastAsia="宋体" w:cs="宋体"/>
          <w:color w:val="auto"/>
          <w:highlight w:val="none"/>
        </w:rPr>
      </w:pPr>
      <w:bookmarkStart w:id="406" w:name="_Toc247527596"/>
      <w:bookmarkStart w:id="407" w:name="_Toc247513995"/>
      <w:bookmarkStart w:id="408" w:name="_Toc152045571"/>
      <w:bookmarkStart w:id="409" w:name="_Toc152042347"/>
      <w:bookmarkStart w:id="410" w:name="_Toc144974539"/>
      <w:bookmarkStart w:id="411" w:name="_Toc15293"/>
      <w:bookmarkStart w:id="412" w:name="_Toc3454"/>
      <w:bookmarkStart w:id="413" w:name="_Toc16037"/>
      <w:r>
        <w:rPr>
          <w:rFonts w:hint="eastAsia" w:ascii="宋体" w:hAnsi="宋体" w:eastAsia="宋体" w:cs="宋体"/>
          <w:color w:val="auto"/>
          <w:highlight w:val="none"/>
        </w:rPr>
        <w:t>8.</w:t>
      </w:r>
      <w:bookmarkEnd w:id="406"/>
      <w:bookmarkEnd w:id="407"/>
      <w:bookmarkEnd w:id="408"/>
      <w:bookmarkEnd w:id="409"/>
      <w:bookmarkEnd w:id="410"/>
      <w:bookmarkStart w:id="414" w:name="_Toc144974542"/>
      <w:bookmarkStart w:id="415" w:name="_Toc247513998"/>
      <w:bookmarkStart w:id="416" w:name="_Toc247527599"/>
      <w:bookmarkStart w:id="417" w:name="_Toc152045574"/>
      <w:bookmarkStart w:id="418" w:name="_Toc152042350"/>
      <w:r>
        <w:rPr>
          <w:rFonts w:hint="eastAsia" w:ascii="宋体" w:hAnsi="宋体" w:eastAsia="宋体" w:cs="宋体"/>
          <w:color w:val="auto"/>
          <w:highlight w:val="none"/>
        </w:rPr>
        <w:t xml:space="preserve"> 纪律和监督</w:t>
      </w:r>
      <w:bookmarkEnd w:id="411"/>
      <w:bookmarkEnd w:id="412"/>
      <w:bookmarkEnd w:id="413"/>
      <w:bookmarkEnd w:id="414"/>
      <w:bookmarkEnd w:id="415"/>
      <w:bookmarkEnd w:id="416"/>
      <w:bookmarkEnd w:id="417"/>
      <w:bookmarkEnd w:id="418"/>
    </w:p>
    <w:p w14:paraId="63D896E8">
      <w:pPr>
        <w:pStyle w:val="4"/>
        <w:shd w:val="clear"/>
        <w:rPr>
          <w:rFonts w:hint="eastAsia" w:ascii="宋体" w:hAnsi="宋体" w:eastAsia="宋体" w:cs="宋体"/>
          <w:color w:val="auto"/>
          <w:highlight w:val="none"/>
        </w:rPr>
      </w:pPr>
      <w:bookmarkStart w:id="419" w:name="_Toc247527600"/>
      <w:bookmarkStart w:id="420" w:name="_Toc247513999"/>
      <w:bookmarkStart w:id="421" w:name="_Toc22859"/>
      <w:bookmarkStart w:id="422" w:name="_Toc18127"/>
      <w:bookmarkStart w:id="423" w:name="_Toc144974543"/>
      <w:bookmarkStart w:id="424" w:name="_Toc152045575"/>
      <w:bookmarkStart w:id="425" w:name="_Toc22448"/>
      <w:bookmarkStart w:id="426" w:name="_Toc152042351"/>
      <w:r>
        <w:rPr>
          <w:rFonts w:hint="eastAsia" w:ascii="宋体" w:hAnsi="宋体" w:eastAsia="宋体" w:cs="宋体"/>
          <w:color w:val="auto"/>
          <w:highlight w:val="none"/>
        </w:rPr>
        <w:t>8.1 对招标人的纪律要求</w:t>
      </w:r>
      <w:bookmarkEnd w:id="419"/>
      <w:bookmarkEnd w:id="420"/>
      <w:bookmarkEnd w:id="421"/>
      <w:bookmarkEnd w:id="422"/>
      <w:bookmarkEnd w:id="423"/>
      <w:bookmarkEnd w:id="424"/>
      <w:bookmarkEnd w:id="425"/>
      <w:bookmarkEnd w:id="426"/>
    </w:p>
    <w:p w14:paraId="793E7D1A">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招标人不得泄漏招标投标活动中应当保密的情况和资料，不得与投标人串通损害国家利益、社会公共利益或者他人合法权益。</w:t>
      </w:r>
    </w:p>
    <w:p w14:paraId="5CED830C">
      <w:pPr>
        <w:pStyle w:val="4"/>
        <w:shd w:val="clear"/>
        <w:rPr>
          <w:rFonts w:hint="eastAsia" w:ascii="宋体" w:hAnsi="宋体" w:eastAsia="宋体" w:cs="宋体"/>
          <w:color w:val="auto"/>
          <w:highlight w:val="none"/>
        </w:rPr>
      </w:pPr>
      <w:bookmarkStart w:id="427" w:name="_Toc15285"/>
      <w:bookmarkStart w:id="428" w:name="_Toc5000"/>
      <w:bookmarkStart w:id="429" w:name="_Toc152042352"/>
      <w:bookmarkStart w:id="430" w:name="_Toc17310"/>
      <w:bookmarkStart w:id="431" w:name="_Toc247527601"/>
      <w:bookmarkStart w:id="432" w:name="_Toc247514000"/>
      <w:bookmarkStart w:id="433" w:name="_Toc144974544"/>
      <w:bookmarkStart w:id="434" w:name="_Toc152045576"/>
      <w:r>
        <w:rPr>
          <w:rFonts w:hint="eastAsia" w:ascii="宋体" w:hAnsi="宋体" w:eastAsia="宋体" w:cs="宋体"/>
          <w:color w:val="auto"/>
          <w:highlight w:val="none"/>
        </w:rPr>
        <w:t>8.2 对投标人的纪律要求</w:t>
      </w:r>
      <w:bookmarkEnd w:id="427"/>
      <w:bookmarkEnd w:id="428"/>
      <w:bookmarkEnd w:id="429"/>
      <w:bookmarkEnd w:id="430"/>
      <w:bookmarkEnd w:id="431"/>
      <w:bookmarkEnd w:id="432"/>
      <w:bookmarkEnd w:id="433"/>
      <w:bookmarkEnd w:id="434"/>
    </w:p>
    <w:p w14:paraId="1C3AD7A8">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8F79774">
      <w:pPr>
        <w:pStyle w:val="4"/>
        <w:shd w:val="clear"/>
        <w:rPr>
          <w:rFonts w:hint="eastAsia" w:ascii="宋体" w:hAnsi="宋体" w:eastAsia="宋体" w:cs="宋体"/>
          <w:color w:val="auto"/>
          <w:highlight w:val="none"/>
        </w:rPr>
      </w:pPr>
      <w:bookmarkStart w:id="435" w:name="_Toc21803"/>
      <w:bookmarkStart w:id="436" w:name="_Toc7046"/>
      <w:bookmarkStart w:id="437" w:name="_Toc144974545"/>
      <w:bookmarkStart w:id="438" w:name="_Toc247514001"/>
      <w:bookmarkStart w:id="439" w:name="_Toc152045577"/>
      <w:bookmarkStart w:id="440" w:name="_Toc247527602"/>
      <w:bookmarkStart w:id="441" w:name="_Toc8598"/>
      <w:bookmarkStart w:id="442" w:name="_Toc152042353"/>
      <w:r>
        <w:rPr>
          <w:rFonts w:hint="eastAsia" w:ascii="宋体" w:hAnsi="宋体" w:eastAsia="宋体" w:cs="宋体"/>
          <w:color w:val="auto"/>
          <w:highlight w:val="none"/>
        </w:rPr>
        <w:t>8.3 对评标委员会成员的纪律要求</w:t>
      </w:r>
      <w:bookmarkEnd w:id="435"/>
      <w:bookmarkEnd w:id="436"/>
      <w:bookmarkEnd w:id="437"/>
      <w:bookmarkEnd w:id="438"/>
      <w:bookmarkEnd w:id="439"/>
      <w:bookmarkEnd w:id="440"/>
      <w:bookmarkEnd w:id="441"/>
      <w:bookmarkEnd w:id="442"/>
    </w:p>
    <w:p w14:paraId="69D4ABD8">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0648B50">
      <w:pPr>
        <w:pStyle w:val="4"/>
        <w:shd w:val="clear"/>
        <w:rPr>
          <w:rFonts w:hint="eastAsia" w:ascii="宋体" w:hAnsi="宋体" w:eastAsia="宋体" w:cs="宋体"/>
          <w:color w:val="auto"/>
          <w:highlight w:val="none"/>
        </w:rPr>
      </w:pPr>
      <w:bookmarkStart w:id="443" w:name="_Toc8112"/>
      <w:bookmarkStart w:id="444" w:name="_Toc247527603"/>
      <w:bookmarkStart w:id="445" w:name="_Toc247514002"/>
      <w:bookmarkStart w:id="446" w:name="_Toc152045578"/>
      <w:bookmarkStart w:id="447" w:name="_Toc12506"/>
      <w:bookmarkStart w:id="448" w:name="_Toc24179"/>
      <w:bookmarkStart w:id="449" w:name="_Toc152042354"/>
      <w:bookmarkStart w:id="450" w:name="_Toc144974546"/>
      <w:r>
        <w:rPr>
          <w:rFonts w:hint="eastAsia" w:ascii="宋体" w:hAnsi="宋体" w:eastAsia="宋体" w:cs="宋体"/>
          <w:color w:val="auto"/>
          <w:highlight w:val="none"/>
        </w:rPr>
        <w:t>8.4 对与评标活动有关的工作人员的纪律要求</w:t>
      </w:r>
      <w:bookmarkEnd w:id="443"/>
      <w:bookmarkEnd w:id="444"/>
      <w:bookmarkEnd w:id="445"/>
      <w:bookmarkEnd w:id="446"/>
      <w:bookmarkEnd w:id="447"/>
      <w:bookmarkEnd w:id="448"/>
      <w:bookmarkEnd w:id="449"/>
    </w:p>
    <w:p w14:paraId="10A498EB">
      <w:pPr>
        <w:shd w:val="clear"/>
        <w:spacing w:line="400" w:lineRule="exact"/>
        <w:ind w:firstLine="420" w:firstLineChars="200"/>
        <w:rPr>
          <w:rFonts w:hint="eastAsia" w:ascii="宋体" w:hAnsi="宋体" w:eastAsia="宋体" w:cs="宋体"/>
          <w:color w:val="auto"/>
          <w:highlight w:val="none"/>
        </w:rPr>
      </w:pPr>
      <w:bookmarkStart w:id="451" w:name="_Toc152042355"/>
      <w:r>
        <w:rPr>
          <w:rFonts w:hint="eastAsia" w:ascii="宋体" w:hAnsi="宋体" w:eastAsia="宋体" w:cs="宋体"/>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51"/>
    </w:p>
    <w:p w14:paraId="39D78313">
      <w:pPr>
        <w:pStyle w:val="4"/>
        <w:shd w:val="clear"/>
        <w:rPr>
          <w:rFonts w:hint="eastAsia" w:ascii="宋体" w:hAnsi="宋体" w:eastAsia="宋体" w:cs="宋体"/>
          <w:color w:val="auto"/>
          <w:highlight w:val="none"/>
        </w:rPr>
      </w:pPr>
      <w:bookmarkStart w:id="452" w:name="_Toc247527604"/>
      <w:bookmarkStart w:id="453" w:name="_Toc152045579"/>
      <w:bookmarkStart w:id="454" w:name="_Toc26562"/>
      <w:bookmarkStart w:id="455" w:name="_Toc152042356"/>
      <w:bookmarkStart w:id="456" w:name="_Toc4788"/>
      <w:bookmarkStart w:id="457" w:name="_Toc9992"/>
      <w:bookmarkStart w:id="458" w:name="_Toc247514003"/>
      <w:r>
        <w:rPr>
          <w:rFonts w:hint="eastAsia" w:ascii="宋体" w:hAnsi="宋体" w:eastAsia="宋体" w:cs="宋体"/>
          <w:color w:val="auto"/>
          <w:highlight w:val="none"/>
        </w:rPr>
        <w:t>8.5 投诉</w:t>
      </w:r>
      <w:bookmarkEnd w:id="450"/>
      <w:bookmarkEnd w:id="452"/>
      <w:bookmarkEnd w:id="453"/>
      <w:bookmarkEnd w:id="454"/>
      <w:bookmarkEnd w:id="455"/>
      <w:bookmarkEnd w:id="456"/>
      <w:bookmarkEnd w:id="457"/>
      <w:bookmarkEnd w:id="458"/>
    </w:p>
    <w:p w14:paraId="6293C9C0">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投标人和其他利害关系人认为本次招标活动违反法律、法规和规章规定的，有权向有关行政监督部门投诉。</w:t>
      </w:r>
    </w:p>
    <w:p w14:paraId="4CA6CAB5">
      <w:pPr>
        <w:pStyle w:val="3"/>
        <w:shd w:val="clear"/>
        <w:rPr>
          <w:rFonts w:hint="eastAsia" w:ascii="宋体" w:hAnsi="宋体" w:eastAsia="宋体" w:cs="宋体"/>
          <w:color w:val="auto"/>
          <w:highlight w:val="none"/>
        </w:rPr>
      </w:pPr>
      <w:bookmarkStart w:id="459" w:name="_Toc32659"/>
      <w:bookmarkStart w:id="460" w:name="_Toc32591"/>
      <w:bookmarkStart w:id="461" w:name="_Toc152045580"/>
      <w:bookmarkStart w:id="462" w:name="_Toc152042357"/>
      <w:bookmarkStart w:id="463" w:name="_Toc144974547"/>
      <w:bookmarkStart w:id="464" w:name="_Toc247514004"/>
      <w:bookmarkStart w:id="465" w:name="_Toc247527605"/>
      <w:bookmarkStart w:id="466" w:name="_Toc25723"/>
      <w:r>
        <w:rPr>
          <w:rFonts w:hint="eastAsia" w:ascii="宋体" w:hAnsi="宋体" w:eastAsia="宋体" w:cs="宋体"/>
          <w:color w:val="auto"/>
          <w:highlight w:val="none"/>
        </w:rPr>
        <w:t>9. 需要补充的其他内容</w:t>
      </w:r>
      <w:bookmarkEnd w:id="459"/>
      <w:bookmarkEnd w:id="460"/>
      <w:bookmarkEnd w:id="461"/>
      <w:bookmarkEnd w:id="462"/>
      <w:bookmarkEnd w:id="463"/>
      <w:bookmarkEnd w:id="464"/>
      <w:bookmarkEnd w:id="465"/>
      <w:bookmarkEnd w:id="466"/>
    </w:p>
    <w:p w14:paraId="5471EF73">
      <w:pPr>
        <w:shd w:val="clea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14:paraId="69FD1203">
      <w:pPr>
        <w:pStyle w:val="3"/>
        <w:shd w:val="clear"/>
        <w:rPr>
          <w:rFonts w:hint="eastAsia" w:ascii="宋体" w:hAnsi="宋体" w:eastAsia="宋体" w:cs="宋体"/>
          <w:color w:val="auto"/>
          <w:highlight w:val="none"/>
        </w:rPr>
      </w:pPr>
      <w:bookmarkStart w:id="467" w:name="_Toc23547"/>
      <w:bookmarkStart w:id="468" w:name="_Toc661"/>
      <w:bookmarkStart w:id="469" w:name="_Toc22808"/>
      <w:r>
        <w:rPr>
          <w:rFonts w:hint="eastAsia" w:ascii="宋体" w:hAnsi="宋体" w:eastAsia="宋体" w:cs="宋体"/>
          <w:color w:val="auto"/>
          <w:highlight w:val="none"/>
        </w:rPr>
        <w:t>10. 电子招标投标</w:t>
      </w:r>
      <w:bookmarkEnd w:id="467"/>
      <w:bookmarkEnd w:id="468"/>
      <w:bookmarkEnd w:id="469"/>
    </w:p>
    <w:p w14:paraId="54CE24AB">
      <w:pPr>
        <w:shd w:val="clea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采用电子招标投标，对投标文件的编制、加密和标记、递交、开标、评标等具体要求，见投标人须知前附表。</w:t>
      </w:r>
    </w:p>
    <w:p w14:paraId="7C33C444">
      <w:pPr>
        <w:shd w:val="clear"/>
        <w:spacing w:line="400" w:lineRule="exact"/>
        <w:ind w:firstLine="420" w:firstLineChars="200"/>
        <w:rPr>
          <w:rFonts w:hint="eastAsia" w:ascii="宋体" w:hAnsi="宋体" w:eastAsia="宋体" w:cs="宋体"/>
          <w:color w:val="auto"/>
          <w:highlight w:val="none"/>
          <w:u w:val="single"/>
        </w:rPr>
        <w:sectPr>
          <w:pgSz w:w="11906" w:h="16838"/>
          <w:pgMar w:top="1304" w:right="1304" w:bottom="1304" w:left="1304" w:header="851" w:footer="992" w:gutter="0"/>
          <w:cols w:space="720" w:num="1"/>
          <w:docGrid w:type="lines" w:linePitch="312" w:charSpace="0"/>
        </w:sectPr>
      </w:pPr>
    </w:p>
    <w:p w14:paraId="0C458527">
      <w:pPr>
        <w:pStyle w:val="4"/>
        <w:shd w:val="clear"/>
        <w:spacing w:before="0"/>
        <w:ind w:firstLine="0" w:firstLineChars="0"/>
        <w:rPr>
          <w:rFonts w:hint="eastAsia" w:ascii="宋体" w:hAnsi="宋体" w:eastAsia="宋体" w:cs="宋体"/>
          <w:color w:val="auto"/>
          <w:highlight w:val="none"/>
        </w:rPr>
      </w:pPr>
      <w:bookmarkStart w:id="470" w:name="_Toc17454"/>
      <w:bookmarkStart w:id="471" w:name="_Toc10524"/>
      <w:bookmarkStart w:id="472" w:name="_Toc3477"/>
      <w:r>
        <w:rPr>
          <w:rFonts w:hint="eastAsia" w:ascii="宋体" w:hAnsi="宋体" w:eastAsia="宋体" w:cs="宋体"/>
          <w:color w:val="auto"/>
          <w:highlight w:val="none"/>
        </w:rPr>
        <w:t>附件一：</w:t>
      </w:r>
      <w:r>
        <w:rPr>
          <w:rFonts w:hint="eastAsia" w:ascii="宋体" w:hAnsi="宋体" w:eastAsia="宋体" w:cs="宋体"/>
          <w:color w:val="auto"/>
          <w:highlight w:val="none"/>
          <w:u w:val="single"/>
        </w:rPr>
        <w:t>开标记录表</w:t>
      </w:r>
      <w:bookmarkEnd w:id="470"/>
      <w:bookmarkEnd w:id="471"/>
      <w:bookmarkEnd w:id="472"/>
    </w:p>
    <w:p w14:paraId="3AA74428">
      <w:pPr>
        <w:shd w:val="clea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开标记录表（以交易中心系统为准）</w:t>
      </w:r>
    </w:p>
    <w:p w14:paraId="6A0C067A">
      <w:pPr>
        <w:shd w:val="clear"/>
        <w:spacing w:line="400" w:lineRule="exact"/>
        <w:ind w:righ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       项目名称：</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p>
    <w:p w14:paraId="50212C87">
      <w:pPr>
        <w:shd w:val="clear"/>
        <w:spacing w:line="400" w:lineRule="exact"/>
        <w:ind w:right="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最高投标限价(元)：</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ab/>
      </w:r>
    </w:p>
    <w:tbl>
      <w:tblPr>
        <w:tblStyle w:val="40"/>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993"/>
        <w:gridCol w:w="992"/>
        <w:gridCol w:w="1134"/>
        <w:gridCol w:w="709"/>
        <w:gridCol w:w="1134"/>
        <w:gridCol w:w="1275"/>
        <w:gridCol w:w="1418"/>
        <w:gridCol w:w="1417"/>
        <w:gridCol w:w="1418"/>
        <w:gridCol w:w="1166"/>
        <w:gridCol w:w="895"/>
      </w:tblGrid>
      <w:tr w14:paraId="226C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7D795A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1D1F50CD">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993" w:type="dxa"/>
            <w:tcBorders>
              <w:top w:val="single" w:color="auto" w:sz="4" w:space="0"/>
              <w:left w:val="single" w:color="auto" w:sz="4" w:space="0"/>
              <w:bottom w:val="single" w:color="auto" w:sz="4" w:space="0"/>
              <w:right w:val="single" w:color="auto" w:sz="4" w:space="0"/>
            </w:tcBorders>
            <w:vAlign w:val="center"/>
          </w:tcPr>
          <w:p w14:paraId="654C0A5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投标文件递交情况</w:t>
            </w:r>
          </w:p>
        </w:tc>
        <w:tc>
          <w:tcPr>
            <w:tcW w:w="992" w:type="dxa"/>
            <w:tcBorders>
              <w:top w:val="single" w:color="auto" w:sz="4" w:space="0"/>
              <w:left w:val="single" w:color="auto" w:sz="4" w:space="0"/>
              <w:bottom w:val="single" w:color="auto" w:sz="4" w:space="0"/>
              <w:right w:val="single" w:color="auto" w:sz="4" w:space="0"/>
            </w:tcBorders>
            <w:vAlign w:val="center"/>
          </w:tcPr>
          <w:p w14:paraId="3BDB7CE8">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投标文件解密情况</w:t>
            </w:r>
          </w:p>
        </w:tc>
        <w:tc>
          <w:tcPr>
            <w:tcW w:w="1134" w:type="dxa"/>
            <w:tcBorders>
              <w:top w:val="single" w:color="auto" w:sz="4" w:space="0"/>
              <w:left w:val="single" w:color="auto" w:sz="4" w:space="0"/>
              <w:bottom w:val="single" w:color="auto" w:sz="4" w:space="0"/>
              <w:right w:val="single" w:color="auto" w:sz="4" w:space="0"/>
            </w:tcBorders>
            <w:vAlign w:val="center"/>
          </w:tcPr>
          <w:p w14:paraId="12A2CD1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投标担保递交情况</w:t>
            </w:r>
          </w:p>
        </w:tc>
        <w:tc>
          <w:tcPr>
            <w:tcW w:w="709" w:type="dxa"/>
            <w:tcBorders>
              <w:top w:val="single" w:color="auto" w:sz="4" w:space="0"/>
              <w:left w:val="single" w:color="auto" w:sz="4" w:space="0"/>
              <w:bottom w:val="single" w:color="auto" w:sz="4" w:space="0"/>
              <w:right w:val="single" w:color="auto" w:sz="4" w:space="0"/>
            </w:tcBorders>
            <w:vAlign w:val="center"/>
          </w:tcPr>
          <w:p w14:paraId="2223C65C">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w:t>
            </w:r>
          </w:p>
        </w:tc>
        <w:tc>
          <w:tcPr>
            <w:tcW w:w="1134" w:type="dxa"/>
            <w:tcBorders>
              <w:top w:val="single" w:color="auto" w:sz="4" w:space="0"/>
              <w:left w:val="single" w:color="auto" w:sz="4" w:space="0"/>
              <w:bottom w:val="single" w:color="auto" w:sz="4" w:space="0"/>
              <w:right w:val="single" w:color="auto" w:sz="4" w:space="0"/>
            </w:tcBorders>
            <w:vAlign w:val="center"/>
          </w:tcPr>
          <w:p w14:paraId="21411284">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1275" w:type="dxa"/>
            <w:tcBorders>
              <w:top w:val="single" w:color="auto" w:sz="4" w:space="0"/>
              <w:left w:val="single" w:color="auto" w:sz="4" w:space="0"/>
              <w:right w:val="single" w:color="auto" w:sz="4" w:space="0"/>
            </w:tcBorders>
            <w:vAlign w:val="center"/>
          </w:tcPr>
          <w:p w14:paraId="61D86AC1">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418" w:type="dxa"/>
            <w:tcBorders>
              <w:top w:val="single" w:color="auto" w:sz="4" w:space="0"/>
              <w:left w:val="single" w:color="auto" w:sz="4" w:space="0"/>
              <w:right w:val="single" w:color="auto" w:sz="4" w:space="0"/>
            </w:tcBorders>
            <w:vAlign w:val="center"/>
          </w:tcPr>
          <w:p w14:paraId="59E1F82F">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施工负责人</w:t>
            </w:r>
          </w:p>
        </w:tc>
        <w:tc>
          <w:tcPr>
            <w:tcW w:w="1417" w:type="dxa"/>
            <w:tcBorders>
              <w:top w:val="single" w:color="auto" w:sz="4" w:space="0"/>
              <w:left w:val="single" w:color="auto" w:sz="4" w:space="0"/>
              <w:right w:val="single" w:color="auto" w:sz="4" w:space="0"/>
            </w:tcBorders>
            <w:vAlign w:val="center"/>
          </w:tcPr>
          <w:p w14:paraId="0FAA7D39">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设计负责人</w:t>
            </w:r>
          </w:p>
        </w:tc>
        <w:tc>
          <w:tcPr>
            <w:tcW w:w="1418" w:type="dxa"/>
            <w:tcBorders>
              <w:top w:val="single" w:color="auto" w:sz="4" w:space="0"/>
              <w:left w:val="single" w:color="auto" w:sz="4" w:space="0"/>
              <w:right w:val="single" w:color="auto" w:sz="4" w:space="0"/>
            </w:tcBorders>
            <w:vAlign w:val="center"/>
          </w:tcPr>
          <w:p w14:paraId="092D9CCA">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w:t>
            </w:r>
          </w:p>
        </w:tc>
        <w:tc>
          <w:tcPr>
            <w:tcW w:w="1166" w:type="dxa"/>
            <w:tcBorders>
              <w:top w:val="single" w:color="auto" w:sz="4" w:space="0"/>
              <w:left w:val="single" w:color="auto" w:sz="4" w:space="0"/>
              <w:right w:val="single" w:color="auto" w:sz="4" w:space="0"/>
            </w:tcBorders>
            <w:vAlign w:val="center"/>
          </w:tcPr>
          <w:p w14:paraId="2F82A357">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投标总报价（元）</w:t>
            </w:r>
          </w:p>
        </w:tc>
        <w:tc>
          <w:tcPr>
            <w:tcW w:w="895" w:type="dxa"/>
            <w:tcBorders>
              <w:top w:val="single" w:color="auto" w:sz="4" w:space="0"/>
              <w:left w:val="single" w:color="auto" w:sz="4" w:space="0"/>
              <w:right w:val="single" w:color="auto" w:sz="4" w:space="0"/>
            </w:tcBorders>
            <w:vAlign w:val="center"/>
          </w:tcPr>
          <w:p w14:paraId="2635B64F">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投标人签名</w:t>
            </w:r>
          </w:p>
        </w:tc>
      </w:tr>
      <w:tr w14:paraId="6923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1226B7B0">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E8144D4">
            <w:pPr>
              <w:shd w:val="clear"/>
              <w:spacing w:line="620" w:lineRule="exact"/>
              <w:jc w:val="center"/>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593428E0">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8EE63AD">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4249F6C">
            <w:pPr>
              <w:shd w:val="clear"/>
              <w:spacing w:line="620" w:lineRule="exact"/>
              <w:jc w:val="center"/>
              <w:rPr>
                <w:rFonts w:hint="eastAsia"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584AD83">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66664A6">
            <w:pPr>
              <w:shd w:val="clear"/>
              <w:spacing w:line="620" w:lineRule="exact"/>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ABCB5EB">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B29711D">
            <w:pPr>
              <w:shd w:val="clear"/>
              <w:spacing w:line="62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F7AC1A3">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8BBC324">
            <w:pPr>
              <w:shd w:val="clear"/>
              <w:spacing w:line="620" w:lineRule="exact"/>
              <w:jc w:val="center"/>
              <w:rPr>
                <w:rFonts w:hint="eastAsia" w:ascii="宋体" w:hAnsi="宋体" w:eastAsia="宋体" w:cs="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3B6ED36">
            <w:pPr>
              <w:shd w:val="clear"/>
              <w:spacing w:line="620" w:lineRule="exact"/>
              <w:jc w:val="center"/>
              <w:rPr>
                <w:rFonts w:hint="eastAsia" w:ascii="宋体" w:hAnsi="宋体" w:eastAsia="宋体" w:cs="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tcPr>
          <w:p w14:paraId="7A5E51A0">
            <w:pPr>
              <w:shd w:val="clear"/>
              <w:spacing w:line="620" w:lineRule="exact"/>
              <w:jc w:val="center"/>
              <w:rPr>
                <w:rFonts w:hint="eastAsia" w:ascii="宋体" w:hAnsi="宋体" w:eastAsia="宋体" w:cs="宋体"/>
                <w:color w:val="auto"/>
                <w:szCs w:val="21"/>
                <w:highlight w:val="none"/>
              </w:rPr>
            </w:pPr>
          </w:p>
        </w:tc>
      </w:tr>
      <w:tr w14:paraId="24F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B7C9FE5">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EEC98E2">
            <w:pPr>
              <w:shd w:val="clear"/>
              <w:spacing w:line="620" w:lineRule="exact"/>
              <w:jc w:val="center"/>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10EC1D45">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0EADB54">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B7B53E6">
            <w:pPr>
              <w:shd w:val="clear"/>
              <w:spacing w:line="620" w:lineRule="exact"/>
              <w:jc w:val="center"/>
              <w:rPr>
                <w:rFonts w:hint="eastAsia"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4E222FA">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B68540">
            <w:pPr>
              <w:shd w:val="clear"/>
              <w:spacing w:line="620" w:lineRule="exact"/>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21684987">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B305B5D">
            <w:pPr>
              <w:shd w:val="clear"/>
              <w:spacing w:line="62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75D3C0A">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F236280">
            <w:pPr>
              <w:shd w:val="clear"/>
              <w:spacing w:line="620" w:lineRule="exact"/>
              <w:jc w:val="center"/>
              <w:rPr>
                <w:rFonts w:hint="eastAsia" w:ascii="宋体" w:hAnsi="宋体" w:eastAsia="宋体" w:cs="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15733250">
            <w:pPr>
              <w:shd w:val="clear"/>
              <w:spacing w:line="620" w:lineRule="exact"/>
              <w:jc w:val="center"/>
              <w:rPr>
                <w:rFonts w:hint="eastAsia" w:ascii="宋体" w:hAnsi="宋体" w:eastAsia="宋体" w:cs="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tcPr>
          <w:p w14:paraId="1242265D">
            <w:pPr>
              <w:shd w:val="clear"/>
              <w:spacing w:line="620" w:lineRule="exact"/>
              <w:jc w:val="center"/>
              <w:rPr>
                <w:rFonts w:hint="eastAsia" w:ascii="宋体" w:hAnsi="宋体" w:eastAsia="宋体" w:cs="宋体"/>
                <w:color w:val="auto"/>
                <w:szCs w:val="21"/>
                <w:highlight w:val="none"/>
              </w:rPr>
            </w:pPr>
          </w:p>
        </w:tc>
      </w:tr>
      <w:tr w14:paraId="358A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7886EDA">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387556F">
            <w:pPr>
              <w:shd w:val="clear"/>
              <w:spacing w:line="620" w:lineRule="exact"/>
              <w:jc w:val="center"/>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7A2BE00C">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D979074">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ED597C6">
            <w:pPr>
              <w:shd w:val="clear"/>
              <w:spacing w:line="620" w:lineRule="exact"/>
              <w:jc w:val="center"/>
              <w:rPr>
                <w:rFonts w:hint="eastAsia"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33292A9">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2D3C278">
            <w:pPr>
              <w:shd w:val="clear"/>
              <w:spacing w:line="620" w:lineRule="exact"/>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062B87BF">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BE9267D">
            <w:pPr>
              <w:shd w:val="clear"/>
              <w:spacing w:line="62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720CA0">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EA8F160">
            <w:pPr>
              <w:shd w:val="clear"/>
              <w:spacing w:line="620" w:lineRule="exact"/>
              <w:jc w:val="center"/>
              <w:rPr>
                <w:rFonts w:hint="eastAsia" w:ascii="宋体" w:hAnsi="宋体" w:eastAsia="宋体" w:cs="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70BB84FA">
            <w:pPr>
              <w:shd w:val="clear"/>
              <w:spacing w:line="620" w:lineRule="exact"/>
              <w:jc w:val="center"/>
              <w:rPr>
                <w:rFonts w:hint="eastAsia" w:ascii="宋体" w:hAnsi="宋体" w:eastAsia="宋体" w:cs="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tcPr>
          <w:p w14:paraId="12503042">
            <w:pPr>
              <w:shd w:val="clear"/>
              <w:spacing w:line="620" w:lineRule="exact"/>
              <w:jc w:val="center"/>
              <w:rPr>
                <w:rFonts w:hint="eastAsia" w:ascii="宋体" w:hAnsi="宋体" w:eastAsia="宋体" w:cs="宋体"/>
                <w:color w:val="auto"/>
                <w:szCs w:val="21"/>
                <w:highlight w:val="none"/>
              </w:rPr>
            </w:pPr>
          </w:p>
        </w:tc>
      </w:tr>
      <w:tr w14:paraId="6A43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68FBEDBE">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7DE3400">
            <w:pPr>
              <w:shd w:val="clear"/>
              <w:spacing w:line="620" w:lineRule="exact"/>
              <w:jc w:val="center"/>
              <w:rPr>
                <w:rFonts w:hint="eastAsia"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14:paraId="06E6562B">
            <w:pPr>
              <w:shd w:val="clear"/>
              <w:spacing w:line="620" w:lineRule="exact"/>
              <w:jc w:val="center"/>
              <w:rPr>
                <w:rFonts w:hint="eastAsia"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F223F3A">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BA014D9">
            <w:pPr>
              <w:shd w:val="clear"/>
              <w:spacing w:line="620" w:lineRule="exact"/>
              <w:jc w:val="center"/>
              <w:rPr>
                <w:rFonts w:hint="eastAsia" w:ascii="宋体" w:hAnsi="宋体" w:eastAsia="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DF88814">
            <w:pPr>
              <w:shd w:val="clear"/>
              <w:spacing w:line="620" w:lineRule="exact"/>
              <w:jc w:val="center"/>
              <w:rPr>
                <w:rFonts w:hint="eastAsia" w:ascii="宋体" w:hAnsi="宋体" w:eastAsia="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09730E">
            <w:pPr>
              <w:shd w:val="clear"/>
              <w:spacing w:line="620" w:lineRule="exact"/>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3CE7D979">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D8297E9">
            <w:pPr>
              <w:shd w:val="clear"/>
              <w:spacing w:line="620" w:lineRule="exact"/>
              <w:jc w:val="center"/>
              <w:rPr>
                <w:rFonts w:hint="eastAsia" w:ascii="宋体" w:hAnsi="宋体" w:eastAsia="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0213ED0">
            <w:pPr>
              <w:shd w:val="clear"/>
              <w:spacing w:line="620" w:lineRule="exact"/>
              <w:jc w:val="center"/>
              <w:rPr>
                <w:rFonts w:hint="eastAsia" w:ascii="宋体" w:hAnsi="宋体" w:eastAsia="宋体" w:cs="宋体"/>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49675F7">
            <w:pPr>
              <w:shd w:val="clear"/>
              <w:spacing w:line="620" w:lineRule="exact"/>
              <w:jc w:val="center"/>
              <w:rPr>
                <w:rFonts w:hint="eastAsia" w:ascii="宋体" w:hAnsi="宋体" w:eastAsia="宋体" w:cs="宋体"/>
                <w:color w:val="auto"/>
                <w:szCs w:val="21"/>
                <w:highlight w:val="none"/>
              </w:rPr>
            </w:pPr>
          </w:p>
        </w:tc>
        <w:tc>
          <w:tcPr>
            <w:tcW w:w="1166" w:type="dxa"/>
            <w:tcBorders>
              <w:top w:val="single" w:color="auto" w:sz="4" w:space="0"/>
              <w:left w:val="single" w:color="auto" w:sz="4" w:space="0"/>
              <w:bottom w:val="single" w:color="auto" w:sz="4" w:space="0"/>
              <w:right w:val="single" w:color="auto" w:sz="4" w:space="0"/>
            </w:tcBorders>
            <w:vAlign w:val="center"/>
          </w:tcPr>
          <w:p w14:paraId="6FE27908">
            <w:pPr>
              <w:shd w:val="clear"/>
              <w:spacing w:line="620" w:lineRule="exact"/>
              <w:jc w:val="center"/>
              <w:rPr>
                <w:rFonts w:hint="eastAsia" w:ascii="宋体" w:hAnsi="宋体" w:eastAsia="宋体" w:cs="宋体"/>
                <w:color w:val="auto"/>
                <w:szCs w:val="21"/>
                <w:highlight w:val="none"/>
              </w:rPr>
            </w:pPr>
          </w:p>
        </w:tc>
        <w:tc>
          <w:tcPr>
            <w:tcW w:w="895" w:type="dxa"/>
            <w:tcBorders>
              <w:top w:val="single" w:color="auto" w:sz="4" w:space="0"/>
              <w:left w:val="single" w:color="auto" w:sz="4" w:space="0"/>
              <w:bottom w:val="single" w:color="auto" w:sz="4" w:space="0"/>
              <w:right w:val="single" w:color="auto" w:sz="4" w:space="0"/>
            </w:tcBorders>
          </w:tcPr>
          <w:p w14:paraId="25515C51">
            <w:pPr>
              <w:shd w:val="clear"/>
              <w:spacing w:line="620" w:lineRule="exact"/>
              <w:jc w:val="center"/>
              <w:rPr>
                <w:rFonts w:hint="eastAsia" w:ascii="宋体" w:hAnsi="宋体" w:eastAsia="宋体" w:cs="宋体"/>
                <w:color w:val="auto"/>
                <w:szCs w:val="21"/>
                <w:highlight w:val="none"/>
              </w:rPr>
            </w:pPr>
          </w:p>
        </w:tc>
      </w:tr>
    </w:tbl>
    <w:p w14:paraId="43473FB9">
      <w:pPr>
        <w:shd w:val="clear"/>
        <w:spacing w:line="400" w:lineRule="exact"/>
        <w:ind w:right="420"/>
        <w:jc w:val="left"/>
        <w:rPr>
          <w:rFonts w:hint="eastAsia" w:ascii="宋体" w:hAnsi="宋体" w:eastAsia="宋体" w:cs="宋体"/>
          <w:color w:val="auto"/>
          <w:szCs w:val="21"/>
          <w:highlight w:val="none"/>
        </w:rPr>
      </w:pPr>
    </w:p>
    <w:p w14:paraId="4EDF9D7F">
      <w:pPr>
        <w:shd w:val="clear"/>
        <w:spacing w:line="6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招标人代表：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记录人：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监标人：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F12CA3C">
      <w:pPr>
        <w:shd w:val="clear"/>
        <w:spacing w:line="62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日</w:t>
      </w:r>
    </w:p>
    <w:p w14:paraId="479762F9">
      <w:pPr>
        <w:shd w:val="clear"/>
        <w:spacing w:line="400" w:lineRule="exact"/>
        <w:ind w:right="420"/>
        <w:jc w:val="left"/>
        <w:rPr>
          <w:rFonts w:hint="eastAsia" w:ascii="宋体" w:hAnsi="宋体" w:eastAsia="宋体" w:cs="宋体"/>
          <w:color w:val="auto"/>
          <w:highlight w:val="none"/>
        </w:rPr>
        <w:sectPr>
          <w:pgSz w:w="16838" w:h="11906" w:orient="landscape"/>
          <w:pgMar w:top="1304" w:right="1304" w:bottom="1304" w:left="1304" w:header="851" w:footer="992" w:gutter="0"/>
          <w:cols w:space="720" w:num="1"/>
          <w:docGrid w:type="lines" w:linePitch="312" w:charSpace="0"/>
        </w:sectPr>
      </w:pPr>
    </w:p>
    <w:p w14:paraId="053DA808">
      <w:pPr>
        <w:pStyle w:val="4"/>
        <w:shd w:val="clear"/>
        <w:spacing w:before="0"/>
        <w:ind w:firstLine="0" w:firstLineChars="0"/>
        <w:rPr>
          <w:rFonts w:hint="eastAsia" w:ascii="宋体" w:hAnsi="宋体" w:eastAsia="宋体" w:cs="宋体"/>
          <w:color w:val="auto"/>
          <w:highlight w:val="none"/>
        </w:rPr>
      </w:pPr>
      <w:bookmarkStart w:id="473" w:name="_Toc247527607"/>
      <w:bookmarkStart w:id="474" w:name="_Toc144974549"/>
      <w:bookmarkStart w:id="475" w:name="_Toc247514006"/>
      <w:bookmarkStart w:id="476" w:name="_Toc8159"/>
      <w:bookmarkStart w:id="477" w:name="_Toc152042359"/>
      <w:bookmarkStart w:id="478" w:name="_Toc152045582"/>
      <w:r>
        <w:rPr>
          <w:rFonts w:hint="eastAsia" w:ascii="宋体" w:hAnsi="宋体" w:eastAsia="宋体" w:cs="宋体"/>
          <w:color w:val="auto"/>
          <w:highlight w:val="none"/>
        </w:rPr>
        <w:t>附件二：问题澄清通知</w:t>
      </w:r>
      <w:bookmarkEnd w:id="473"/>
      <w:bookmarkEnd w:id="474"/>
      <w:bookmarkEnd w:id="475"/>
      <w:bookmarkEnd w:id="476"/>
      <w:bookmarkEnd w:id="477"/>
      <w:bookmarkEnd w:id="478"/>
    </w:p>
    <w:p w14:paraId="2EA2F7FF">
      <w:pPr>
        <w:shd w:val="clear"/>
        <w:spacing w:line="440" w:lineRule="exact"/>
        <w:jc w:val="center"/>
        <w:rPr>
          <w:rFonts w:hint="eastAsia" w:ascii="宋体" w:hAnsi="宋体" w:eastAsia="宋体" w:cs="宋体"/>
          <w:color w:val="auto"/>
          <w:szCs w:val="21"/>
          <w:highlight w:val="none"/>
        </w:rPr>
      </w:pPr>
    </w:p>
    <w:p w14:paraId="2FDA056E">
      <w:pPr>
        <w:shd w:val="clea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问题澄清通知</w:t>
      </w:r>
    </w:p>
    <w:p w14:paraId="491E1ACA">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编号：</w:t>
      </w:r>
    </w:p>
    <w:p w14:paraId="5A90F34B">
      <w:pPr>
        <w:shd w:val="clear"/>
        <w:spacing w:line="440" w:lineRule="exact"/>
        <w:rPr>
          <w:rFonts w:hint="eastAsia" w:ascii="宋体" w:hAnsi="宋体" w:eastAsia="宋体" w:cs="宋体"/>
          <w:color w:val="auto"/>
          <w:szCs w:val="21"/>
          <w:highlight w:val="none"/>
        </w:rPr>
      </w:pPr>
    </w:p>
    <w:p w14:paraId="0D834D26">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14:paraId="5C5FBF96">
      <w:pPr>
        <w:shd w:val="clear"/>
        <w:spacing w:line="440" w:lineRule="exact"/>
        <w:rPr>
          <w:rFonts w:hint="eastAsia" w:ascii="宋体" w:hAnsi="宋体" w:eastAsia="宋体" w:cs="宋体"/>
          <w:color w:val="auto"/>
          <w:szCs w:val="21"/>
          <w:highlight w:val="none"/>
        </w:rPr>
      </w:pPr>
    </w:p>
    <w:p w14:paraId="661ED762">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（工程名称）设计施工总承包招标的评标委员会，对你方的投标文件进行了仔细的审查，现需你方对下列问题以书面形式予以澄清：</w:t>
      </w:r>
    </w:p>
    <w:p w14:paraId="6D59DA99">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539E8ADE">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p>
    <w:p w14:paraId="4CA913F0">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p>
    <w:p w14:paraId="64D4B54E">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   </w:t>
      </w:r>
    </w:p>
    <w:p w14:paraId="58E93C2F">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000345B9">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请将上述问题的澄清于年月日时前递交至（详细地址）或传真至（传真号码）。采用传真方式的，应在年月日时前将原件递交至（详细地址）。</w:t>
      </w:r>
    </w:p>
    <w:p w14:paraId="073B2B2D">
      <w:pPr>
        <w:shd w:val="clear"/>
        <w:spacing w:line="440" w:lineRule="exact"/>
        <w:rPr>
          <w:rFonts w:hint="eastAsia" w:ascii="宋体" w:hAnsi="宋体" w:eastAsia="宋体" w:cs="宋体"/>
          <w:color w:val="auto"/>
          <w:szCs w:val="21"/>
          <w:highlight w:val="none"/>
        </w:rPr>
      </w:pPr>
    </w:p>
    <w:p w14:paraId="6FFF00C4">
      <w:pPr>
        <w:shd w:val="clear"/>
        <w:spacing w:line="440" w:lineRule="exact"/>
        <w:rPr>
          <w:rFonts w:hint="eastAsia" w:ascii="宋体" w:hAnsi="宋体" w:eastAsia="宋体" w:cs="宋体"/>
          <w:color w:val="auto"/>
          <w:szCs w:val="21"/>
          <w:highlight w:val="none"/>
        </w:rPr>
      </w:pPr>
    </w:p>
    <w:p w14:paraId="210B6857">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评标委员会授权的招标人或招标代理机构：（签字或盖章）</w:t>
      </w:r>
    </w:p>
    <w:p w14:paraId="6456C382">
      <w:pPr>
        <w:shd w:val="clear"/>
        <w:spacing w:line="440" w:lineRule="exact"/>
        <w:rPr>
          <w:rFonts w:hint="eastAsia" w:ascii="宋体" w:hAnsi="宋体" w:eastAsia="宋体" w:cs="宋体"/>
          <w:color w:val="auto"/>
          <w:szCs w:val="21"/>
          <w:highlight w:val="none"/>
        </w:rPr>
      </w:pPr>
    </w:p>
    <w:p w14:paraId="23D989FB">
      <w:pPr>
        <w:shd w:val="clear"/>
        <w:spacing w:line="44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年月日</w:t>
      </w:r>
    </w:p>
    <w:p w14:paraId="6ACA87DA">
      <w:pPr>
        <w:shd w:val="clear"/>
        <w:spacing w:line="400" w:lineRule="exact"/>
        <w:rPr>
          <w:rFonts w:hint="eastAsia" w:ascii="宋体" w:hAnsi="宋体" w:eastAsia="宋体" w:cs="宋体"/>
          <w:color w:val="auto"/>
          <w:szCs w:val="21"/>
          <w:highlight w:val="none"/>
        </w:rPr>
      </w:pPr>
    </w:p>
    <w:p w14:paraId="6F477E50">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95BE2CA">
      <w:pPr>
        <w:pStyle w:val="4"/>
        <w:shd w:val="clear"/>
        <w:ind w:firstLine="0" w:firstLineChars="0"/>
        <w:rPr>
          <w:rFonts w:hint="eastAsia" w:ascii="宋体" w:hAnsi="宋体" w:eastAsia="宋体" w:cs="宋体"/>
          <w:color w:val="auto"/>
          <w:highlight w:val="none"/>
        </w:rPr>
      </w:pPr>
      <w:bookmarkStart w:id="479" w:name="_Toc11670"/>
      <w:bookmarkStart w:id="480" w:name="_Toc152045583"/>
      <w:bookmarkStart w:id="481" w:name="_Toc247527608"/>
      <w:bookmarkStart w:id="482" w:name="_Toc144974550"/>
      <w:bookmarkStart w:id="483" w:name="_Toc247514007"/>
      <w:bookmarkStart w:id="484" w:name="_Toc152042360"/>
      <w:bookmarkStart w:id="485" w:name="_Toc14870"/>
      <w:bookmarkStart w:id="486" w:name="_Toc25373"/>
      <w:r>
        <w:rPr>
          <w:rFonts w:hint="eastAsia" w:ascii="宋体" w:hAnsi="宋体" w:eastAsia="宋体" w:cs="宋体"/>
          <w:color w:val="auto"/>
          <w:highlight w:val="none"/>
        </w:rPr>
        <w:t>附件三：问题的澄清</w:t>
      </w:r>
      <w:bookmarkEnd w:id="479"/>
      <w:bookmarkEnd w:id="480"/>
      <w:bookmarkEnd w:id="481"/>
      <w:bookmarkEnd w:id="482"/>
      <w:bookmarkEnd w:id="483"/>
      <w:bookmarkEnd w:id="484"/>
      <w:bookmarkEnd w:id="485"/>
      <w:bookmarkEnd w:id="486"/>
    </w:p>
    <w:p w14:paraId="185FBD5F">
      <w:pPr>
        <w:shd w:val="clear"/>
        <w:spacing w:line="400" w:lineRule="exact"/>
        <w:jc w:val="center"/>
        <w:rPr>
          <w:rFonts w:hint="eastAsia" w:ascii="宋体" w:hAnsi="宋体" w:eastAsia="宋体" w:cs="宋体"/>
          <w:color w:val="auto"/>
          <w:szCs w:val="21"/>
          <w:highlight w:val="none"/>
        </w:rPr>
      </w:pPr>
    </w:p>
    <w:p w14:paraId="02053837">
      <w:pPr>
        <w:shd w:val="clea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问题的澄清</w:t>
      </w:r>
    </w:p>
    <w:p w14:paraId="1027065A">
      <w:pPr>
        <w:shd w:val="clear"/>
        <w:spacing w:line="400" w:lineRule="exact"/>
        <w:ind w:firstLine="3465" w:firstLineChars="16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编号： </w:t>
      </w:r>
    </w:p>
    <w:p w14:paraId="69B769A4">
      <w:pPr>
        <w:shd w:val="clear"/>
        <w:spacing w:line="400" w:lineRule="exact"/>
        <w:rPr>
          <w:rFonts w:hint="eastAsia" w:ascii="宋体" w:hAnsi="宋体" w:eastAsia="宋体" w:cs="宋体"/>
          <w:color w:val="auto"/>
          <w:szCs w:val="21"/>
          <w:highlight w:val="none"/>
        </w:rPr>
      </w:pPr>
    </w:p>
    <w:p w14:paraId="2DC1C6E2">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（工程名称）设计施工总承包招标评标委员会：</w:t>
      </w:r>
    </w:p>
    <w:p w14:paraId="724A7420">
      <w:pPr>
        <w:shd w:val="clear"/>
        <w:spacing w:line="440" w:lineRule="exact"/>
        <w:rPr>
          <w:rFonts w:hint="eastAsia" w:ascii="宋体" w:hAnsi="宋体" w:eastAsia="宋体" w:cs="宋体"/>
          <w:color w:val="auto"/>
          <w:szCs w:val="21"/>
          <w:highlight w:val="none"/>
        </w:rPr>
      </w:pPr>
    </w:p>
    <w:p w14:paraId="04830AA7">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问题澄清通知（编号：）已收悉，现澄清如下：</w:t>
      </w:r>
    </w:p>
    <w:p w14:paraId="5A5F9CC2">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1.</w:t>
      </w:r>
    </w:p>
    <w:p w14:paraId="1409600D">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2.</w:t>
      </w:r>
    </w:p>
    <w:p w14:paraId="6FE60647">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64E837E3">
      <w:pPr>
        <w:shd w:val="clear"/>
        <w:spacing w:line="440" w:lineRule="exact"/>
        <w:rPr>
          <w:rFonts w:hint="eastAsia" w:ascii="宋体" w:hAnsi="宋体" w:eastAsia="宋体" w:cs="宋体"/>
          <w:color w:val="auto"/>
          <w:szCs w:val="21"/>
          <w:highlight w:val="none"/>
        </w:rPr>
      </w:pPr>
    </w:p>
    <w:p w14:paraId="725A402A">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1E995D0">
      <w:pPr>
        <w:shd w:val="clear"/>
        <w:spacing w:line="440" w:lineRule="exact"/>
        <w:rPr>
          <w:rFonts w:hint="eastAsia" w:ascii="宋体" w:hAnsi="宋体" w:eastAsia="宋体" w:cs="宋体"/>
          <w:color w:val="auto"/>
          <w:szCs w:val="21"/>
          <w:highlight w:val="none"/>
        </w:rPr>
      </w:pPr>
    </w:p>
    <w:p w14:paraId="5ACA52E0">
      <w:pPr>
        <w:shd w:val="clear"/>
        <w:spacing w:line="440" w:lineRule="exact"/>
        <w:rPr>
          <w:rFonts w:hint="eastAsia" w:ascii="宋体" w:hAnsi="宋体" w:eastAsia="宋体" w:cs="宋体"/>
          <w:color w:val="auto"/>
          <w:szCs w:val="21"/>
          <w:highlight w:val="none"/>
        </w:rPr>
      </w:pPr>
    </w:p>
    <w:p w14:paraId="68C6D7D5">
      <w:pPr>
        <w:shd w:val="clear"/>
        <w:spacing w:line="440" w:lineRule="exact"/>
        <w:rPr>
          <w:rFonts w:hint="eastAsia" w:ascii="宋体" w:hAnsi="宋体" w:eastAsia="宋体" w:cs="宋体"/>
          <w:color w:val="auto"/>
          <w:szCs w:val="21"/>
          <w:highlight w:val="none"/>
        </w:rPr>
      </w:pPr>
    </w:p>
    <w:p w14:paraId="5082128B">
      <w:pPr>
        <w:shd w:val="clear"/>
        <w:spacing w:line="440" w:lineRule="exact"/>
        <w:rPr>
          <w:rFonts w:hint="eastAsia" w:ascii="宋体" w:hAnsi="宋体" w:eastAsia="宋体" w:cs="宋体"/>
          <w:color w:val="auto"/>
          <w:szCs w:val="21"/>
          <w:highlight w:val="none"/>
        </w:rPr>
      </w:pPr>
    </w:p>
    <w:p w14:paraId="0171F88A">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投标人：（盖单位章）</w:t>
      </w:r>
    </w:p>
    <w:p w14:paraId="397C0C72">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126986CB">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法定代表人或其委托代理人：（签字）</w:t>
      </w:r>
    </w:p>
    <w:p w14:paraId="7E56093C">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7D32E004">
      <w:pPr>
        <w:shd w:val="clea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年月日</w:t>
      </w:r>
    </w:p>
    <w:p w14:paraId="7CD32D9A">
      <w:pPr>
        <w:shd w:val="clear"/>
        <w:spacing w:line="400" w:lineRule="exact"/>
        <w:rPr>
          <w:rFonts w:hint="eastAsia" w:ascii="宋体" w:hAnsi="宋体" w:eastAsia="宋体" w:cs="宋体"/>
          <w:color w:val="auto"/>
          <w:highlight w:val="none"/>
        </w:rPr>
      </w:pPr>
    </w:p>
    <w:p w14:paraId="4FE61CD7">
      <w:pPr>
        <w:shd w:val="clea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91564C">
      <w:pPr>
        <w:pStyle w:val="4"/>
        <w:shd w:val="clear"/>
        <w:ind w:firstLine="0" w:firstLineChars="0"/>
        <w:rPr>
          <w:rFonts w:hint="eastAsia" w:ascii="宋体" w:hAnsi="宋体" w:eastAsia="宋体" w:cs="宋体"/>
          <w:color w:val="auto"/>
          <w:highlight w:val="none"/>
        </w:rPr>
      </w:pPr>
      <w:bookmarkStart w:id="487" w:name="_Toc247527609"/>
      <w:bookmarkStart w:id="488" w:name="_Toc7397"/>
      <w:bookmarkStart w:id="489" w:name="_Toc32746"/>
      <w:bookmarkStart w:id="490" w:name="_Toc247514008"/>
      <w:bookmarkStart w:id="491" w:name="_Toc152042361"/>
      <w:bookmarkStart w:id="492" w:name="_Toc144974551"/>
      <w:bookmarkStart w:id="493" w:name="_Toc152045584"/>
      <w:bookmarkStart w:id="494" w:name="_Toc30680"/>
      <w:r>
        <w:rPr>
          <w:rFonts w:hint="eastAsia" w:ascii="宋体" w:hAnsi="宋体" w:eastAsia="宋体" w:cs="宋体"/>
          <w:color w:val="auto"/>
          <w:highlight w:val="none"/>
        </w:rPr>
        <w:t>附件四：中标通知书</w:t>
      </w:r>
      <w:bookmarkEnd w:id="487"/>
      <w:bookmarkEnd w:id="488"/>
      <w:bookmarkEnd w:id="489"/>
      <w:bookmarkEnd w:id="490"/>
      <w:bookmarkEnd w:id="491"/>
      <w:bookmarkEnd w:id="492"/>
      <w:bookmarkEnd w:id="493"/>
      <w:bookmarkEnd w:id="494"/>
    </w:p>
    <w:p w14:paraId="1757C967">
      <w:pPr>
        <w:shd w:val="clear"/>
        <w:spacing w:line="400" w:lineRule="exact"/>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u w:val="single"/>
        </w:rPr>
        <w:t>中标通知书（以交易中心出具为准）</w:t>
      </w:r>
    </w:p>
    <w:p w14:paraId="745C3802">
      <w:pPr>
        <w:pStyle w:val="2"/>
        <w:shd w:val="clear"/>
        <w:jc w:val="center"/>
        <w:rPr>
          <w:rFonts w:hint="eastAsia" w:ascii="宋体" w:hAnsi="宋体" w:eastAsia="宋体" w:cs="宋体"/>
          <w:color w:val="auto"/>
          <w:highlight w:val="none"/>
        </w:rPr>
      </w:pPr>
      <w:bookmarkStart w:id="495" w:name="_Toc152042375"/>
      <w:bookmarkStart w:id="496" w:name="_Toc152045598"/>
      <w:bookmarkStart w:id="497" w:name="_Toc247514022"/>
      <w:bookmarkStart w:id="498" w:name="_Toc247527623"/>
      <w:bookmarkStart w:id="499" w:name="_Toc144974565"/>
      <w:r>
        <w:rPr>
          <w:rFonts w:hint="eastAsia" w:ascii="宋体" w:hAnsi="宋体" w:eastAsia="宋体" w:cs="宋体"/>
          <w:color w:val="auto"/>
          <w:highlight w:val="none"/>
        </w:rPr>
        <w:br w:type="page"/>
      </w:r>
      <w:bookmarkStart w:id="500" w:name="_Toc28885"/>
      <w:bookmarkStart w:id="501" w:name="_Toc4530"/>
      <w:bookmarkStart w:id="502" w:name="_Toc12849"/>
      <w:r>
        <w:rPr>
          <w:rFonts w:hint="eastAsia" w:ascii="宋体" w:hAnsi="宋体" w:eastAsia="宋体" w:cs="宋体"/>
          <w:color w:val="auto"/>
          <w:highlight w:val="none"/>
        </w:rPr>
        <w:t>第三章  评标办法（综合评估法）</w:t>
      </w:r>
      <w:bookmarkEnd w:id="495"/>
      <w:bookmarkEnd w:id="496"/>
      <w:bookmarkEnd w:id="497"/>
      <w:bookmarkEnd w:id="498"/>
      <w:bookmarkEnd w:id="499"/>
      <w:bookmarkEnd w:id="500"/>
      <w:bookmarkEnd w:id="501"/>
      <w:bookmarkEnd w:id="502"/>
    </w:p>
    <w:p w14:paraId="5922BEE4">
      <w:pPr>
        <w:pStyle w:val="3"/>
        <w:shd w:val="clear"/>
        <w:jc w:val="center"/>
        <w:rPr>
          <w:rFonts w:hint="eastAsia" w:ascii="宋体" w:hAnsi="宋体" w:eastAsia="宋体" w:cs="宋体"/>
          <w:color w:val="auto"/>
          <w:highlight w:val="none"/>
        </w:rPr>
      </w:pPr>
      <w:bookmarkStart w:id="503" w:name="_Toc4306"/>
      <w:bookmarkStart w:id="504" w:name="_Toc152045599"/>
      <w:bookmarkStart w:id="505" w:name="_Toc247527624"/>
      <w:bookmarkStart w:id="506" w:name="_Toc12277"/>
      <w:bookmarkStart w:id="507" w:name="_Toc152042376"/>
      <w:bookmarkStart w:id="508" w:name="_Toc144974566"/>
      <w:bookmarkStart w:id="509" w:name="_Toc1740"/>
      <w:bookmarkStart w:id="510" w:name="_Toc247514023"/>
      <w:r>
        <w:rPr>
          <w:rFonts w:hint="eastAsia" w:ascii="宋体" w:hAnsi="宋体" w:eastAsia="宋体" w:cs="宋体"/>
          <w:color w:val="auto"/>
          <w:highlight w:val="none"/>
        </w:rPr>
        <w:t>评标办法前附表</w:t>
      </w:r>
      <w:bookmarkEnd w:id="503"/>
      <w:bookmarkEnd w:id="504"/>
      <w:bookmarkEnd w:id="505"/>
      <w:bookmarkEnd w:id="506"/>
      <w:bookmarkEnd w:id="507"/>
      <w:bookmarkEnd w:id="508"/>
      <w:bookmarkEnd w:id="509"/>
      <w:bookmarkEnd w:id="510"/>
    </w:p>
    <w:tbl>
      <w:tblPr>
        <w:tblStyle w:val="40"/>
        <w:tblW w:w="9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743"/>
        <w:gridCol w:w="1811"/>
        <w:gridCol w:w="5729"/>
      </w:tblGrid>
      <w:tr w14:paraId="2B8A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2009CB30">
            <w:pPr>
              <w:shd w:val="clear"/>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11" w:type="dxa"/>
            <w:shd w:val="clear" w:color="auto" w:fill="auto"/>
            <w:vAlign w:val="center"/>
          </w:tcPr>
          <w:p w14:paraId="1B1BC853">
            <w:pPr>
              <w:shd w:val="clear"/>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729" w:type="dxa"/>
            <w:shd w:val="clear" w:color="auto" w:fill="auto"/>
            <w:vAlign w:val="center"/>
          </w:tcPr>
          <w:p w14:paraId="42FC5E3A">
            <w:pPr>
              <w:shd w:val="clear"/>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4AA5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restart"/>
            <w:shd w:val="clear" w:color="auto" w:fill="auto"/>
            <w:vAlign w:val="center"/>
          </w:tcPr>
          <w:p w14:paraId="552B6538">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743" w:type="dxa"/>
            <w:vMerge w:val="restart"/>
            <w:shd w:val="clear" w:color="auto" w:fill="auto"/>
            <w:vAlign w:val="center"/>
          </w:tcPr>
          <w:p w14:paraId="025C9244">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11" w:type="dxa"/>
            <w:shd w:val="clear" w:color="auto" w:fill="auto"/>
            <w:vAlign w:val="center"/>
          </w:tcPr>
          <w:p w14:paraId="023496A1">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p>
        </w:tc>
        <w:tc>
          <w:tcPr>
            <w:tcW w:w="5729" w:type="dxa"/>
            <w:shd w:val="clear" w:color="auto" w:fill="auto"/>
            <w:vAlign w:val="center"/>
          </w:tcPr>
          <w:p w14:paraId="0ADF6E90">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w:t>
            </w:r>
            <w:r>
              <w:rPr>
                <w:rFonts w:hint="eastAsia" w:ascii="宋体" w:hAnsi="宋体" w:eastAsia="宋体" w:cs="宋体"/>
                <w:color w:val="auto"/>
                <w:sz w:val="21"/>
                <w:szCs w:val="21"/>
                <w:highlight w:val="none"/>
                <w:u w:val="single"/>
              </w:rPr>
              <w:t>或法人证书</w:t>
            </w:r>
            <w:r>
              <w:rPr>
                <w:rFonts w:hint="eastAsia" w:ascii="宋体" w:hAnsi="宋体" w:eastAsia="宋体" w:cs="宋体"/>
                <w:color w:val="auto"/>
                <w:sz w:val="21"/>
                <w:szCs w:val="21"/>
                <w:highlight w:val="none"/>
              </w:rPr>
              <w:t>、资质证书一致</w:t>
            </w:r>
          </w:p>
        </w:tc>
      </w:tr>
      <w:tr w14:paraId="4D45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75B4F245">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3A635F92">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5C5AD4AE">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法定代表人证明及授权</w:t>
            </w:r>
          </w:p>
        </w:tc>
        <w:tc>
          <w:tcPr>
            <w:tcW w:w="5729" w:type="dxa"/>
            <w:shd w:val="clear" w:color="auto" w:fill="auto"/>
            <w:vAlign w:val="center"/>
          </w:tcPr>
          <w:p w14:paraId="1AE9D661">
            <w:pPr>
              <w:shd w:val="clea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投标文件中有有效的法定代表人证明书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法人授权委托证明书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r w14:paraId="7F76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70776CE8">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26F85B83">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05582A5F">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投标承诺函</w:t>
            </w:r>
          </w:p>
        </w:tc>
        <w:tc>
          <w:tcPr>
            <w:tcW w:w="5729" w:type="dxa"/>
            <w:shd w:val="clear" w:color="auto" w:fill="auto"/>
            <w:vAlign w:val="center"/>
          </w:tcPr>
          <w:p w14:paraId="10E92895">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投标承诺函内容与招标文件规定一致，且按规定加盖投标人电子印章</w:t>
            </w:r>
          </w:p>
        </w:tc>
      </w:tr>
      <w:tr w14:paraId="6E02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0E4707FF">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1AB122FD">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62D3B2AE">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729" w:type="dxa"/>
            <w:shd w:val="clear" w:color="auto" w:fill="auto"/>
            <w:vAlign w:val="center"/>
          </w:tcPr>
          <w:p w14:paraId="1E209F08">
            <w:pPr>
              <w:shd w:val="clear"/>
              <w:spacing w:line="276"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符合第七章“投标文件格式”的要求</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投标承诺函</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lang w:eastAsia="zh-CN"/>
              </w:rPr>
              <w:t>。</w:t>
            </w:r>
          </w:p>
        </w:tc>
      </w:tr>
      <w:tr w14:paraId="4749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427C2C71">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513B0CA1">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0DFAD411">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5729" w:type="dxa"/>
            <w:shd w:val="clear" w:color="auto" w:fill="auto"/>
            <w:vAlign w:val="center"/>
          </w:tcPr>
          <w:p w14:paraId="2DF1D656">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12E3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353AE88D">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28C1D5FC">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35726E97">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机器特征码一致</w:t>
            </w:r>
          </w:p>
        </w:tc>
        <w:tc>
          <w:tcPr>
            <w:tcW w:w="5729" w:type="dxa"/>
            <w:shd w:val="clear" w:color="auto" w:fill="auto"/>
            <w:vAlign w:val="center"/>
          </w:tcPr>
          <w:p w14:paraId="4BE2BB82">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不同投标人的加密打包投标文件电脑机器特征码不一致</w:t>
            </w:r>
          </w:p>
        </w:tc>
      </w:tr>
      <w:tr w14:paraId="0938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restart"/>
            <w:shd w:val="clear" w:color="auto" w:fill="auto"/>
            <w:vAlign w:val="center"/>
          </w:tcPr>
          <w:p w14:paraId="675CF38E">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743" w:type="dxa"/>
            <w:vMerge w:val="restart"/>
            <w:shd w:val="clear" w:color="auto" w:fill="auto"/>
            <w:vAlign w:val="center"/>
          </w:tcPr>
          <w:p w14:paraId="6C7B139F">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811" w:type="dxa"/>
            <w:shd w:val="clear" w:color="auto" w:fill="auto"/>
            <w:vAlign w:val="center"/>
          </w:tcPr>
          <w:p w14:paraId="60B66AB6">
            <w:pPr>
              <w:shd w:val="clear"/>
              <w:spacing w:line="276"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营业执照或事业单位法人证书</w:t>
            </w:r>
          </w:p>
        </w:tc>
        <w:tc>
          <w:tcPr>
            <w:tcW w:w="5729" w:type="dxa"/>
            <w:shd w:val="clear" w:color="auto" w:fill="auto"/>
            <w:vAlign w:val="center"/>
          </w:tcPr>
          <w:p w14:paraId="3EA018D9">
            <w:pPr>
              <w:shd w:val="clear"/>
              <w:spacing w:line="276"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投标人具有有效的工商行政管理部门（或市场监督管理部门）核发的法人营业执照或各级政府事业单位登记管理机关颁发的</w:t>
            </w:r>
            <w:bookmarkStart w:id="511" w:name="OLE_LINK10"/>
            <w:r>
              <w:rPr>
                <w:rFonts w:hint="eastAsia" w:ascii="宋体" w:hAnsi="宋体" w:eastAsia="宋体" w:cs="宋体"/>
                <w:color w:val="auto"/>
                <w:sz w:val="21"/>
                <w:szCs w:val="21"/>
                <w:highlight w:val="none"/>
                <w:u w:val="single"/>
              </w:rPr>
              <w:t>事业单位</w:t>
            </w:r>
            <w:bookmarkEnd w:id="511"/>
            <w:r>
              <w:rPr>
                <w:rFonts w:hint="eastAsia" w:ascii="宋体" w:hAnsi="宋体" w:eastAsia="宋体" w:cs="宋体"/>
                <w:color w:val="auto"/>
                <w:sz w:val="21"/>
                <w:szCs w:val="21"/>
                <w:highlight w:val="none"/>
                <w:u w:val="single"/>
              </w:rPr>
              <w:t>法人证书，按国家法律经营</w:t>
            </w:r>
          </w:p>
        </w:tc>
      </w:tr>
      <w:tr w14:paraId="6732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1AE03DCF">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52E32D4B">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44F1BAF6">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资质等级</w:t>
            </w:r>
          </w:p>
        </w:tc>
        <w:tc>
          <w:tcPr>
            <w:tcW w:w="5729" w:type="dxa"/>
            <w:shd w:val="clear" w:color="auto" w:fill="auto"/>
            <w:vAlign w:val="center"/>
          </w:tcPr>
          <w:p w14:paraId="73EC74A0">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1C16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48B6A95D">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728FE0EA">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2669768A">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财务状况</w:t>
            </w:r>
          </w:p>
        </w:tc>
        <w:tc>
          <w:tcPr>
            <w:tcW w:w="5729" w:type="dxa"/>
            <w:shd w:val="clear" w:color="auto" w:fill="auto"/>
            <w:vAlign w:val="center"/>
          </w:tcPr>
          <w:p w14:paraId="55F8D555">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5FE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7053A54C">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6C4CABB3">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37A2F1B1">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类似项目业绩</w:t>
            </w:r>
          </w:p>
        </w:tc>
        <w:tc>
          <w:tcPr>
            <w:tcW w:w="5729" w:type="dxa"/>
            <w:shd w:val="clear" w:color="auto" w:fill="auto"/>
            <w:vAlign w:val="center"/>
          </w:tcPr>
          <w:p w14:paraId="5E2239D9">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282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5E460FF5">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2102D32B">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2C0090CB">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w:t>
            </w:r>
          </w:p>
        </w:tc>
        <w:tc>
          <w:tcPr>
            <w:tcW w:w="5729" w:type="dxa"/>
            <w:shd w:val="clear" w:color="auto" w:fill="auto"/>
            <w:vAlign w:val="center"/>
          </w:tcPr>
          <w:p w14:paraId="0EAD8E86">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146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15C32085">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5635805B">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5DE2E5CA">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w:t>
            </w:r>
            <w:r>
              <w:rPr>
                <w:rFonts w:hint="eastAsia" w:ascii="宋体" w:hAnsi="宋体" w:cs="宋体"/>
                <w:szCs w:val="21"/>
              </w:rPr>
              <w:t>（可兼任施工负责人）</w:t>
            </w:r>
          </w:p>
        </w:tc>
        <w:tc>
          <w:tcPr>
            <w:tcW w:w="5729" w:type="dxa"/>
            <w:shd w:val="clear" w:color="auto" w:fill="auto"/>
            <w:vAlign w:val="center"/>
          </w:tcPr>
          <w:p w14:paraId="33C77FE7">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4EFF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0E1D3A68">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2070E682">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7561BE06">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施工负责人</w:t>
            </w:r>
          </w:p>
        </w:tc>
        <w:tc>
          <w:tcPr>
            <w:tcW w:w="5729" w:type="dxa"/>
            <w:shd w:val="clear" w:color="auto" w:fill="auto"/>
            <w:vAlign w:val="center"/>
          </w:tcPr>
          <w:p w14:paraId="72220013">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5FC8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21E1E2B9">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6D8BD13A">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0A625E70">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设计负责人</w:t>
            </w:r>
          </w:p>
        </w:tc>
        <w:tc>
          <w:tcPr>
            <w:tcW w:w="5729" w:type="dxa"/>
            <w:shd w:val="clear" w:color="auto" w:fill="auto"/>
            <w:vAlign w:val="center"/>
          </w:tcPr>
          <w:p w14:paraId="1C376D5A">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307E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71E790FA">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61D19EB3">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1CCD55D9">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施工技术负责人</w:t>
            </w:r>
          </w:p>
        </w:tc>
        <w:tc>
          <w:tcPr>
            <w:tcW w:w="5729" w:type="dxa"/>
            <w:shd w:val="clear" w:color="auto" w:fill="auto"/>
            <w:vAlign w:val="center"/>
          </w:tcPr>
          <w:p w14:paraId="5A7F45B3">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7F7D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4DE4BEFE">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0D108740">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6C2C68DB">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专职安全员</w:t>
            </w:r>
          </w:p>
        </w:tc>
        <w:tc>
          <w:tcPr>
            <w:tcW w:w="5729" w:type="dxa"/>
            <w:shd w:val="clear" w:color="auto" w:fill="auto"/>
            <w:vAlign w:val="center"/>
          </w:tcPr>
          <w:p w14:paraId="07D27B02">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5C15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154A388D">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6F34886C">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0EAC7C09">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5729" w:type="dxa"/>
            <w:shd w:val="clear" w:color="auto" w:fill="auto"/>
            <w:vAlign w:val="center"/>
          </w:tcPr>
          <w:p w14:paraId="587C3D36">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符合第二章“投标人须知”第1.4.1项规定</w:t>
            </w:r>
          </w:p>
        </w:tc>
      </w:tr>
      <w:tr w14:paraId="13E9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690D7CFF">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73A16C26">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1E535021">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联合体投标人</w:t>
            </w:r>
          </w:p>
        </w:tc>
        <w:tc>
          <w:tcPr>
            <w:tcW w:w="5729" w:type="dxa"/>
            <w:shd w:val="clear" w:color="auto" w:fill="auto"/>
            <w:vAlign w:val="center"/>
          </w:tcPr>
          <w:p w14:paraId="336CB35F">
            <w:pPr>
              <w:shd w:val="clear"/>
              <w:spacing w:line="276" w:lineRule="auto"/>
              <w:rPr>
                <w:rFonts w:hint="eastAsia" w:ascii="宋体" w:hAnsi="宋体" w:eastAsia="宋体" w:cs="宋体"/>
                <w:color w:val="auto"/>
                <w:sz w:val="21"/>
                <w:szCs w:val="21"/>
                <w:highlight w:val="none"/>
              </w:rPr>
            </w:pPr>
            <w:bookmarkStart w:id="512" w:name="OLE_LINK7"/>
            <w:r>
              <w:rPr>
                <w:rFonts w:hint="eastAsia" w:ascii="宋体" w:hAnsi="宋体" w:eastAsia="宋体" w:cs="宋体"/>
                <w:color w:val="auto"/>
                <w:sz w:val="21"/>
                <w:szCs w:val="21"/>
                <w:highlight w:val="none"/>
              </w:rPr>
              <w:t>符合第二章“投标人须知”第1.4.2项规定</w:t>
            </w:r>
            <w:bookmarkEnd w:id="512"/>
          </w:p>
        </w:tc>
      </w:tr>
      <w:tr w14:paraId="3E96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restart"/>
            <w:shd w:val="clear" w:color="auto" w:fill="auto"/>
            <w:vAlign w:val="center"/>
          </w:tcPr>
          <w:p w14:paraId="6E380610">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p w14:paraId="61460182">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43" w:type="dxa"/>
            <w:vMerge w:val="restart"/>
            <w:shd w:val="clear" w:color="auto" w:fill="auto"/>
            <w:vAlign w:val="center"/>
          </w:tcPr>
          <w:p w14:paraId="13DC68CA">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设计方案</w:t>
            </w:r>
            <w:r>
              <w:rPr>
                <w:rFonts w:hint="eastAsia" w:ascii="宋体" w:hAnsi="宋体" w:eastAsia="宋体" w:cs="宋体"/>
                <w:color w:val="auto"/>
                <w:sz w:val="21"/>
                <w:szCs w:val="21"/>
                <w:highlight w:val="none"/>
              </w:rPr>
              <w:t>响应性评审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暗标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w:t>
            </w:r>
          </w:p>
        </w:tc>
        <w:tc>
          <w:tcPr>
            <w:tcW w:w="1811" w:type="dxa"/>
            <w:shd w:val="clear" w:color="auto" w:fill="auto"/>
            <w:vAlign w:val="center"/>
          </w:tcPr>
          <w:p w14:paraId="49BE44FA">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暗标形式</w:t>
            </w:r>
          </w:p>
        </w:tc>
        <w:tc>
          <w:tcPr>
            <w:tcW w:w="5729" w:type="dxa"/>
            <w:shd w:val="clear" w:color="auto" w:fill="auto"/>
            <w:vAlign w:val="center"/>
          </w:tcPr>
          <w:p w14:paraId="6F75F3ED">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cs="Arial Unicode MS"/>
                <w:szCs w:val="21"/>
              </w:rPr>
              <w:t>（若为联合体，指联合体各单位）</w:t>
            </w:r>
            <w:r>
              <w:rPr>
                <w:rFonts w:hint="eastAsia" w:ascii="宋体" w:hAnsi="宋体" w:eastAsia="宋体" w:cs="宋体"/>
                <w:color w:val="auto"/>
                <w:sz w:val="21"/>
                <w:szCs w:val="21"/>
                <w:highlight w:val="none"/>
              </w:rPr>
              <w:t>未在</w:t>
            </w:r>
            <w:r>
              <w:rPr>
                <w:rFonts w:hint="eastAsia" w:ascii="宋体" w:hAnsi="宋体" w:eastAsia="宋体" w:cs="宋体"/>
                <w:color w:val="auto"/>
                <w:sz w:val="21"/>
                <w:szCs w:val="21"/>
                <w:highlight w:val="none"/>
                <w:lang w:val="en-US" w:eastAsia="zh-CN"/>
              </w:rPr>
              <w:t>设计方案</w:t>
            </w:r>
            <w:r>
              <w:rPr>
                <w:rFonts w:hint="eastAsia" w:ascii="宋体" w:hAnsi="宋体" w:eastAsia="宋体" w:cs="宋体"/>
                <w:color w:val="auto"/>
                <w:sz w:val="21"/>
                <w:szCs w:val="21"/>
                <w:highlight w:val="none"/>
              </w:rPr>
              <w:t>上标注或做任何可以辨认投标人及专业技术人员身份的名称、印章、商标、图形等</w:t>
            </w:r>
          </w:p>
        </w:tc>
      </w:tr>
      <w:tr w14:paraId="6306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2F68F8ED">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0BDCFC53">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113D47C6">
            <w:pPr>
              <w:shd w:val="clear"/>
              <w:spacing w:line="276"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明标暗标互相印</w:t>
            </w:r>
            <w:r>
              <w:rPr>
                <w:rFonts w:hint="eastAsia" w:ascii="宋体" w:hAnsi="宋体" w:eastAsia="宋体" w:cs="宋体"/>
                <w:color w:val="auto"/>
                <w:sz w:val="21"/>
                <w:szCs w:val="21"/>
                <w:highlight w:val="none"/>
                <w:lang w:val="en-US" w:eastAsia="zh-CN"/>
              </w:rPr>
              <w:t>证</w:t>
            </w:r>
          </w:p>
        </w:tc>
        <w:tc>
          <w:tcPr>
            <w:tcW w:w="5729" w:type="dxa"/>
            <w:shd w:val="clear" w:color="auto" w:fill="auto"/>
            <w:vAlign w:val="center"/>
          </w:tcPr>
          <w:p w14:paraId="43204497">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投标文件未通过明标、暗标中包含的相同内容（如报价等）互相印证、辨认投标人身份</w:t>
            </w:r>
          </w:p>
        </w:tc>
      </w:tr>
      <w:tr w14:paraId="33B0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71762808">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79903A7E">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670E1404">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5729" w:type="dxa"/>
            <w:shd w:val="clear" w:color="auto" w:fill="auto"/>
            <w:vAlign w:val="center"/>
          </w:tcPr>
          <w:p w14:paraId="4AB96D7D">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投标人之间不存在《</w:t>
            </w:r>
            <w:bookmarkStart w:id="513" w:name="OLE_LINK6"/>
            <w:r>
              <w:rPr>
                <w:rFonts w:hint="eastAsia" w:ascii="宋体" w:hAnsi="宋体" w:eastAsia="宋体" w:cs="宋体"/>
                <w:color w:val="auto"/>
                <w:sz w:val="21"/>
                <w:szCs w:val="21"/>
                <w:highlight w:val="none"/>
              </w:rPr>
              <w:t>广东省实施&lt;中华人民共和国招标投标法&gt;</w:t>
            </w:r>
            <w:r>
              <w:rPr>
                <w:rFonts w:hint="eastAsia" w:ascii="宋体" w:hAnsi="宋体" w:eastAsia="宋体" w:cs="宋体"/>
                <w:color w:val="auto"/>
                <w:sz w:val="21"/>
                <w:szCs w:val="21"/>
                <w:highlight w:val="none"/>
                <w:lang w:val="en-US" w:eastAsia="zh-CN"/>
              </w:rPr>
              <w:t>办法</w:t>
            </w:r>
            <w:bookmarkEnd w:id="513"/>
            <w:r>
              <w:rPr>
                <w:rFonts w:hint="eastAsia" w:ascii="宋体" w:hAnsi="宋体" w:eastAsia="宋体" w:cs="宋体"/>
                <w:color w:val="auto"/>
                <w:sz w:val="21"/>
                <w:szCs w:val="21"/>
                <w:highlight w:val="none"/>
              </w:rPr>
              <w:t>》第十六条所禁止的情形的</w:t>
            </w:r>
          </w:p>
        </w:tc>
      </w:tr>
      <w:tr w14:paraId="532D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4DC09A07">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3E3498FB">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358E816F">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抄袭行为</w:t>
            </w:r>
          </w:p>
        </w:tc>
        <w:tc>
          <w:tcPr>
            <w:tcW w:w="5729" w:type="dxa"/>
            <w:shd w:val="clear" w:color="auto" w:fill="auto"/>
            <w:vAlign w:val="center"/>
          </w:tcPr>
          <w:p w14:paraId="162C2E53">
            <w:pPr>
              <w:shd w:val="clear"/>
              <w:spacing w:line="276" w:lineRule="auto"/>
              <w:jc w:val="both"/>
              <w:rPr>
                <w:rFonts w:hint="eastAsia" w:ascii="宋体" w:hAnsi="宋体" w:eastAsia="宋体" w:cs="宋体"/>
                <w:color w:val="auto"/>
                <w:sz w:val="21"/>
                <w:szCs w:val="21"/>
                <w:highlight w:val="none"/>
              </w:rPr>
            </w:pPr>
            <w:r>
              <w:rPr>
                <w:rFonts w:hint="eastAsia" w:ascii="宋体" w:hAnsi="宋体" w:cs="宋体"/>
                <w:szCs w:val="21"/>
              </w:rPr>
              <w:t>不存在互相雷同和串通投标情形的（串通投标情形以《中华人民共和国招标投标法实施条例》的规定为准）</w:t>
            </w:r>
          </w:p>
        </w:tc>
      </w:tr>
      <w:tr w14:paraId="5613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2283F6E6">
            <w:pPr>
              <w:shd w:val="clear"/>
              <w:spacing w:line="276" w:lineRule="auto"/>
              <w:jc w:val="center"/>
              <w:rPr>
                <w:rFonts w:hint="eastAsia" w:ascii="宋体" w:hAnsi="宋体" w:eastAsia="宋体" w:cs="宋体"/>
                <w:color w:val="auto"/>
                <w:sz w:val="21"/>
                <w:szCs w:val="21"/>
                <w:highlight w:val="none"/>
              </w:rPr>
            </w:pPr>
            <w:bookmarkStart w:id="514" w:name="OLE_LINK3" w:colFirst="2" w:colLast="3"/>
          </w:p>
        </w:tc>
        <w:tc>
          <w:tcPr>
            <w:tcW w:w="1743" w:type="dxa"/>
            <w:vMerge w:val="continue"/>
            <w:shd w:val="clear" w:color="auto" w:fill="auto"/>
            <w:vAlign w:val="center"/>
          </w:tcPr>
          <w:p w14:paraId="10F441AD">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50F2DFFB">
            <w:pPr>
              <w:shd w:val="clear"/>
              <w:spacing w:line="276" w:lineRule="auto"/>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Cs w:val="20"/>
                <w:highlight w:val="none"/>
                <w:lang w:val="en-US" w:eastAsia="zh-CN"/>
              </w:rPr>
              <w:t>其他</w:t>
            </w:r>
            <w:r>
              <w:rPr>
                <w:rFonts w:hint="eastAsia" w:ascii="宋体" w:hAnsi="宋体" w:eastAsia="宋体" w:cs="宋体"/>
                <w:color w:val="auto"/>
                <w:szCs w:val="20"/>
                <w:highlight w:val="none"/>
              </w:rPr>
              <w:t>要求</w:t>
            </w:r>
          </w:p>
        </w:tc>
        <w:tc>
          <w:tcPr>
            <w:tcW w:w="5729" w:type="dxa"/>
            <w:shd w:val="clear" w:color="auto" w:fill="auto"/>
            <w:vAlign w:val="center"/>
          </w:tcPr>
          <w:p w14:paraId="41C84D0F">
            <w:pPr>
              <w:shd w:val="clear"/>
              <w:spacing w:line="276" w:lineRule="auto"/>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符合第二章“投标人须知”第</w:t>
            </w:r>
            <w:r>
              <w:rPr>
                <w:rFonts w:hint="eastAsia" w:ascii="宋体" w:hAnsi="宋体" w:eastAsia="宋体" w:cs="宋体"/>
                <w:color w:val="auto"/>
                <w:sz w:val="21"/>
                <w:szCs w:val="21"/>
                <w:highlight w:val="none"/>
                <w:lang w:val="en-US" w:eastAsia="zh-CN"/>
              </w:rPr>
              <w:t>3.1.3</w:t>
            </w:r>
            <w:r>
              <w:rPr>
                <w:rFonts w:hint="eastAsia" w:ascii="宋体" w:hAnsi="宋体" w:eastAsia="宋体" w:cs="宋体"/>
                <w:color w:val="auto"/>
                <w:sz w:val="21"/>
                <w:szCs w:val="21"/>
                <w:highlight w:val="none"/>
              </w:rPr>
              <w:t>项规定</w:t>
            </w:r>
          </w:p>
        </w:tc>
      </w:tr>
      <w:bookmarkEnd w:id="514"/>
      <w:tr w14:paraId="4A52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restart"/>
            <w:shd w:val="clear" w:color="auto" w:fill="auto"/>
            <w:vAlign w:val="center"/>
          </w:tcPr>
          <w:p w14:paraId="39B02462">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p w14:paraId="3934409A">
            <w:pPr>
              <w:pStyle w:val="16"/>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p w14:paraId="2E11FF7F">
            <w:pPr>
              <w:shd w:val="clear"/>
              <w:spacing w:line="276" w:lineRule="auto"/>
              <w:jc w:val="center"/>
              <w:rPr>
                <w:rFonts w:hint="eastAsia" w:ascii="宋体" w:hAnsi="宋体" w:eastAsia="宋体" w:cs="宋体"/>
                <w:color w:val="auto"/>
                <w:sz w:val="21"/>
                <w:szCs w:val="21"/>
                <w:highlight w:val="none"/>
              </w:rPr>
            </w:pPr>
          </w:p>
        </w:tc>
        <w:tc>
          <w:tcPr>
            <w:tcW w:w="1743" w:type="dxa"/>
            <w:vMerge w:val="restart"/>
            <w:shd w:val="clear" w:color="auto" w:fill="auto"/>
            <w:vAlign w:val="center"/>
          </w:tcPr>
          <w:p w14:paraId="5D22E783">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工程总承包实施方案响应性评审标准</w:t>
            </w:r>
          </w:p>
        </w:tc>
        <w:tc>
          <w:tcPr>
            <w:tcW w:w="1811" w:type="dxa"/>
            <w:shd w:val="clear" w:color="auto" w:fill="auto"/>
            <w:vAlign w:val="center"/>
          </w:tcPr>
          <w:p w14:paraId="76E38982">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729" w:type="dxa"/>
            <w:shd w:val="clear" w:color="auto" w:fill="auto"/>
            <w:vAlign w:val="center"/>
          </w:tcPr>
          <w:p w14:paraId="7D146F82">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符合第二章“投标人须知”第3.2.2项规定且不低于企业成本</w:t>
            </w:r>
          </w:p>
        </w:tc>
      </w:tr>
      <w:tr w14:paraId="1847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07A1D39F">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4DEEAB90">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4DFA4543">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729" w:type="dxa"/>
            <w:shd w:val="clear" w:color="auto" w:fill="auto"/>
            <w:vAlign w:val="center"/>
          </w:tcPr>
          <w:p w14:paraId="57AABE0F">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符合第二章“投标人须知”第1.3.1项规定</w:t>
            </w:r>
          </w:p>
        </w:tc>
      </w:tr>
      <w:tr w14:paraId="780F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4DB60870">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33E1D3BB">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23345AD0">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w:t>
            </w:r>
          </w:p>
        </w:tc>
        <w:tc>
          <w:tcPr>
            <w:tcW w:w="5729" w:type="dxa"/>
            <w:shd w:val="clear" w:color="auto" w:fill="auto"/>
            <w:vAlign w:val="center"/>
          </w:tcPr>
          <w:p w14:paraId="6A668D36">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符合第二章“投标人须知”第1.3.2项规定</w:t>
            </w:r>
          </w:p>
        </w:tc>
      </w:tr>
      <w:tr w14:paraId="5943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538EE2B2">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38316C23">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4822CA22">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5729" w:type="dxa"/>
            <w:shd w:val="clear" w:color="auto" w:fill="auto"/>
            <w:vAlign w:val="center"/>
          </w:tcPr>
          <w:p w14:paraId="181E5A20">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符合第二章“投标人须知”第1.3.3项规定</w:t>
            </w:r>
          </w:p>
        </w:tc>
      </w:tr>
      <w:tr w14:paraId="3FCE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0700CA6D">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5179D402">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5645BFE3">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729" w:type="dxa"/>
            <w:shd w:val="clear" w:color="auto" w:fill="auto"/>
            <w:vAlign w:val="center"/>
          </w:tcPr>
          <w:p w14:paraId="1801435B">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符合第二章“投标人须知”第3.3.1项规定</w:t>
            </w:r>
          </w:p>
        </w:tc>
      </w:tr>
      <w:tr w14:paraId="366C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69" w:type="dxa"/>
            <w:vMerge w:val="continue"/>
            <w:shd w:val="clear" w:color="auto" w:fill="auto"/>
            <w:vAlign w:val="center"/>
          </w:tcPr>
          <w:p w14:paraId="5F304039">
            <w:pPr>
              <w:shd w:val="clear"/>
              <w:spacing w:line="276" w:lineRule="auto"/>
              <w:jc w:val="center"/>
              <w:rPr>
                <w:rFonts w:hint="eastAsia" w:ascii="宋体" w:hAnsi="宋体" w:eastAsia="宋体" w:cs="宋体"/>
                <w:color w:val="auto"/>
                <w:sz w:val="21"/>
                <w:szCs w:val="21"/>
                <w:highlight w:val="none"/>
              </w:rPr>
            </w:pPr>
          </w:p>
        </w:tc>
        <w:tc>
          <w:tcPr>
            <w:tcW w:w="1743" w:type="dxa"/>
            <w:vMerge w:val="continue"/>
            <w:shd w:val="clear" w:color="auto" w:fill="auto"/>
            <w:vAlign w:val="center"/>
          </w:tcPr>
          <w:p w14:paraId="380E9050">
            <w:pPr>
              <w:shd w:val="clear"/>
              <w:spacing w:line="276" w:lineRule="auto"/>
              <w:jc w:val="center"/>
              <w:rPr>
                <w:rFonts w:hint="eastAsia" w:ascii="宋体" w:hAnsi="宋体" w:eastAsia="宋体" w:cs="宋体"/>
                <w:color w:val="auto"/>
                <w:sz w:val="21"/>
                <w:szCs w:val="21"/>
                <w:highlight w:val="none"/>
              </w:rPr>
            </w:pPr>
          </w:p>
        </w:tc>
        <w:tc>
          <w:tcPr>
            <w:tcW w:w="1811" w:type="dxa"/>
            <w:shd w:val="clear" w:color="auto" w:fill="auto"/>
            <w:vAlign w:val="center"/>
          </w:tcPr>
          <w:p w14:paraId="6773FAD2">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合法合规性</w:t>
            </w:r>
          </w:p>
        </w:tc>
        <w:tc>
          <w:tcPr>
            <w:tcW w:w="5729" w:type="dxa"/>
            <w:shd w:val="clear" w:color="auto" w:fill="auto"/>
            <w:vAlign w:val="center"/>
          </w:tcPr>
          <w:p w14:paraId="284974F4">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投标人之间不存在《广东省实施&lt;中华人民共和国招标投标法&gt;</w:t>
            </w:r>
            <w:r>
              <w:rPr>
                <w:rFonts w:hint="eastAsia" w:ascii="宋体" w:hAnsi="宋体" w:eastAsia="宋体" w:cs="宋体"/>
                <w:color w:val="auto"/>
                <w:sz w:val="21"/>
                <w:szCs w:val="21"/>
                <w:highlight w:val="none"/>
                <w:lang w:val="en-US" w:eastAsia="zh-CN"/>
              </w:rPr>
              <w:t>办法</w:t>
            </w:r>
            <w:r>
              <w:rPr>
                <w:rFonts w:hint="eastAsia" w:ascii="宋体" w:hAnsi="宋体" w:eastAsia="宋体" w:cs="宋体"/>
                <w:color w:val="auto"/>
                <w:sz w:val="21"/>
                <w:szCs w:val="21"/>
                <w:highlight w:val="none"/>
              </w:rPr>
              <w:t>》第十六条所禁止的情形的</w:t>
            </w:r>
          </w:p>
        </w:tc>
      </w:tr>
      <w:tr w14:paraId="0B2A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22C2318C">
            <w:pPr>
              <w:shd w:val="clear"/>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11" w:type="dxa"/>
            <w:shd w:val="clear" w:color="auto" w:fill="auto"/>
            <w:vAlign w:val="center"/>
          </w:tcPr>
          <w:p w14:paraId="54CB5A7E">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条款内容</w:t>
            </w:r>
          </w:p>
        </w:tc>
        <w:tc>
          <w:tcPr>
            <w:tcW w:w="5729" w:type="dxa"/>
            <w:shd w:val="clear" w:color="auto" w:fill="auto"/>
            <w:vAlign w:val="center"/>
          </w:tcPr>
          <w:p w14:paraId="417B62BA">
            <w:pPr>
              <w:shd w:val="clear"/>
              <w:spacing w:line="276"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0A84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4C9B4F44">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811" w:type="dxa"/>
            <w:shd w:val="clear" w:color="auto" w:fill="auto"/>
            <w:vAlign w:val="center"/>
          </w:tcPr>
          <w:p w14:paraId="07A7B9A7">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分值构成</w:t>
            </w:r>
          </w:p>
          <w:p w14:paraId="25AA063B">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(总分100分)</w:t>
            </w:r>
          </w:p>
        </w:tc>
        <w:tc>
          <w:tcPr>
            <w:tcW w:w="5729" w:type="dxa"/>
            <w:shd w:val="clear" w:color="auto" w:fill="auto"/>
            <w:vAlign w:val="center"/>
          </w:tcPr>
          <w:p w14:paraId="2A39B7E7">
            <w:pPr>
              <w:pStyle w:val="21"/>
              <w:rPr>
                <w:rFonts w:hint="eastAsia" w:ascii="宋体" w:hAnsi="宋体" w:eastAsia="宋体" w:cs="宋体"/>
                <w:b/>
                <w:bCs/>
                <w:color w:val="auto"/>
                <w:sz w:val="21"/>
                <w:szCs w:val="21"/>
                <w:highlight w:val="none"/>
                <w:u w:val="single"/>
              </w:rPr>
            </w:pPr>
            <w:r>
              <w:rPr>
                <w:rFonts w:hint="eastAsia" w:hAnsi="宋体" w:cs="宋体"/>
                <w:color w:val="auto"/>
                <w:szCs w:val="21"/>
                <w:u w:val="single"/>
              </w:rPr>
              <w:t>投标总得分（满分100分）=设计方案得分（满分100分）×（权重30%）+工程总承包实施方案经济部分得分（满分100分）×（权重35%）+工程总承包实施方案技术部分得分（满分100分）×（权重35%）。</w:t>
            </w:r>
          </w:p>
        </w:tc>
      </w:tr>
      <w:tr w14:paraId="2143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68382464">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11" w:type="dxa"/>
            <w:shd w:val="clear" w:color="auto" w:fill="auto"/>
            <w:vAlign w:val="center"/>
          </w:tcPr>
          <w:p w14:paraId="2D293F64">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tc>
        <w:tc>
          <w:tcPr>
            <w:tcW w:w="5729" w:type="dxa"/>
            <w:shd w:val="clear" w:color="auto" w:fill="auto"/>
            <w:vAlign w:val="center"/>
          </w:tcPr>
          <w:p w14:paraId="4E521758">
            <w:pPr>
              <w:rPr>
                <w:rFonts w:hint="eastAsia" w:ascii="宋体" w:hAnsi="宋体" w:cs="宋体"/>
                <w:color w:val="auto"/>
                <w:szCs w:val="21"/>
                <w:u w:val="single"/>
              </w:rPr>
            </w:pPr>
            <w:r>
              <w:rPr>
                <w:rFonts w:hint="eastAsia" w:ascii="宋体" w:hAnsi="宋体" w:cs="宋体"/>
                <w:color w:val="auto"/>
                <w:szCs w:val="21"/>
                <w:u w:val="single"/>
              </w:rPr>
              <w:t>（1）在通过形式评审、资格评审、响应性评审的投标文件且经算术校核的施工部分投标报价位于[施工部分最高投标限价×</w:t>
            </w:r>
            <w:r>
              <w:rPr>
                <w:rFonts w:hint="eastAsia" w:ascii="宋体" w:hAnsi="宋体" w:cs="宋体"/>
                <w:color w:val="auto"/>
                <w:szCs w:val="21"/>
                <w:u w:val="single"/>
                <w:lang w:eastAsia="zh-CN"/>
              </w:rPr>
              <w:t>90%</w:t>
            </w:r>
            <w:r>
              <w:rPr>
                <w:rFonts w:hint="eastAsia" w:ascii="宋体" w:hAnsi="宋体" w:cs="宋体"/>
                <w:color w:val="auto"/>
                <w:szCs w:val="21"/>
                <w:u w:val="single"/>
              </w:rPr>
              <w:t>，施工部分最高投标限价]区间的投标人大于5家时，在该区间中的施工部分投标报价中去掉一个最高价和一个最低价后，取剩余施工部分投标报价的算术平均值为评标基准价（精确到小数点后两位）；</w:t>
            </w:r>
          </w:p>
          <w:p w14:paraId="60D48B4D">
            <w:pPr>
              <w:rPr>
                <w:rFonts w:hint="eastAsia" w:ascii="宋体" w:hAnsi="宋体" w:cs="宋体"/>
                <w:color w:val="auto"/>
                <w:szCs w:val="21"/>
                <w:u w:val="single"/>
              </w:rPr>
            </w:pPr>
            <w:r>
              <w:rPr>
                <w:rFonts w:hint="eastAsia" w:ascii="宋体" w:hAnsi="宋体" w:cs="宋体"/>
                <w:color w:val="auto"/>
                <w:szCs w:val="21"/>
                <w:u w:val="single"/>
              </w:rPr>
              <w:t>（2）在通过形式评审、资格评审、响应性评审的投标文件且经算术校核的施工部分投标报价位于[施工部分最高投标限价×9</w:t>
            </w:r>
            <w:r>
              <w:rPr>
                <w:rFonts w:hint="eastAsia" w:ascii="宋体" w:hAnsi="宋体" w:cs="宋体"/>
                <w:color w:val="auto"/>
                <w:szCs w:val="21"/>
                <w:u w:val="single"/>
                <w:lang w:val="en-US" w:eastAsia="zh-CN"/>
              </w:rPr>
              <w:t>0</w:t>
            </w:r>
            <w:r>
              <w:rPr>
                <w:rFonts w:hint="eastAsia" w:ascii="宋体" w:hAnsi="宋体" w:cs="宋体"/>
                <w:color w:val="auto"/>
                <w:szCs w:val="21"/>
                <w:u w:val="single"/>
              </w:rPr>
              <w:t>%，施工部分最高投标限价]区间的投标人少于或等于5家时，直接取区间中的施工部分投标报价的算术平均值为评标基准价（精确到小数点后两位）。</w:t>
            </w:r>
          </w:p>
          <w:p w14:paraId="2D1CA6E9">
            <w:pPr>
              <w:rPr>
                <w:rFonts w:hint="eastAsia" w:ascii="宋体" w:hAnsi="宋体" w:eastAsia="宋体" w:cs="宋体"/>
                <w:color w:val="auto"/>
                <w:sz w:val="21"/>
                <w:szCs w:val="21"/>
                <w:highlight w:val="none"/>
              </w:rPr>
            </w:pPr>
            <w:r>
              <w:rPr>
                <w:rFonts w:hint="eastAsia" w:ascii="宋体" w:hAnsi="宋体" w:cs="宋体"/>
                <w:color w:val="auto"/>
                <w:szCs w:val="21"/>
                <w:u w:val="single"/>
              </w:rPr>
              <w:t>（3）若没有施工部分投标报价在参与评标基准价计算范围内且通过形式评审、资格评审、响应性评审的有效投标人时，以施工部分最高投标限价×</w:t>
            </w:r>
            <w:r>
              <w:rPr>
                <w:rFonts w:hint="eastAsia" w:ascii="宋体" w:hAnsi="宋体" w:cs="宋体"/>
                <w:color w:val="auto"/>
                <w:szCs w:val="21"/>
                <w:u w:val="single"/>
                <w:lang w:eastAsia="zh-CN"/>
              </w:rPr>
              <w:t>90%</w:t>
            </w:r>
            <w:r>
              <w:rPr>
                <w:rFonts w:hint="eastAsia" w:ascii="宋体" w:hAnsi="宋体" w:cs="宋体"/>
                <w:color w:val="auto"/>
                <w:szCs w:val="21"/>
                <w:u w:val="single"/>
              </w:rPr>
              <w:t>为评标基准价。</w:t>
            </w:r>
          </w:p>
        </w:tc>
      </w:tr>
      <w:tr w14:paraId="4185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22233534">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811" w:type="dxa"/>
            <w:shd w:val="clear" w:color="auto" w:fill="auto"/>
            <w:vAlign w:val="center"/>
          </w:tcPr>
          <w:p w14:paraId="0413554D">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5729" w:type="dxa"/>
            <w:shd w:val="clear" w:color="auto" w:fill="auto"/>
            <w:vAlign w:val="center"/>
          </w:tcPr>
          <w:p w14:paraId="259587C9">
            <w:pPr>
              <w:shd w:val="clear"/>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偏差率=100% ×（投标总报价－评标基准价）/评标基准价</w:t>
            </w:r>
          </w:p>
        </w:tc>
      </w:tr>
      <w:tr w14:paraId="4013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3DDDE565">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p>
        </w:tc>
        <w:tc>
          <w:tcPr>
            <w:tcW w:w="1811" w:type="dxa"/>
            <w:shd w:val="clear" w:color="auto" w:fill="auto"/>
            <w:vAlign w:val="center"/>
          </w:tcPr>
          <w:p w14:paraId="6A5A2DD4">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5729" w:type="dxa"/>
            <w:shd w:val="clear" w:color="auto" w:fill="auto"/>
            <w:vAlign w:val="center"/>
          </w:tcPr>
          <w:p w14:paraId="5E299F71">
            <w:pPr>
              <w:shd w:val="clea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40D8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66A0A635">
            <w:pPr>
              <w:jc w:val="center"/>
              <w:rPr>
                <w:rFonts w:hint="eastAsia" w:ascii="宋体" w:hAnsi="宋体" w:eastAsia="宋体" w:cs="宋体"/>
                <w:b/>
                <w:color w:val="auto"/>
                <w:sz w:val="21"/>
                <w:szCs w:val="21"/>
                <w:highlight w:val="none"/>
              </w:rPr>
            </w:pPr>
            <w:bookmarkStart w:id="515" w:name="_Toc152042377"/>
            <w:bookmarkStart w:id="516" w:name="_Toc247514024"/>
            <w:bookmarkStart w:id="517" w:name="_Toc247527625"/>
            <w:bookmarkStart w:id="518" w:name="_Toc152045600"/>
            <w:bookmarkStart w:id="519" w:name="_Toc144974567"/>
            <w:r>
              <w:rPr>
                <w:rFonts w:hint="eastAsia" w:ascii="宋体" w:hAnsi="宋体" w:cs="宋体"/>
                <w:color w:val="auto"/>
                <w:szCs w:val="21"/>
              </w:rPr>
              <w:t>2.2.4（1）</w:t>
            </w:r>
          </w:p>
        </w:tc>
        <w:tc>
          <w:tcPr>
            <w:tcW w:w="1811" w:type="dxa"/>
            <w:shd w:val="clear" w:color="auto" w:fill="auto"/>
            <w:vAlign w:val="center"/>
          </w:tcPr>
          <w:p w14:paraId="426198F1">
            <w:pPr>
              <w:jc w:val="center"/>
              <w:rPr>
                <w:rFonts w:hint="eastAsia" w:ascii="宋体" w:hAnsi="宋体" w:eastAsia="宋体" w:cs="宋体"/>
                <w:b/>
                <w:bCs/>
                <w:color w:val="auto"/>
                <w:sz w:val="21"/>
                <w:szCs w:val="21"/>
                <w:highlight w:val="none"/>
              </w:rPr>
            </w:pPr>
            <w:r>
              <w:rPr>
                <w:rFonts w:hint="eastAsia" w:ascii="宋体" w:hAnsi="宋体" w:cs="宋体"/>
                <w:color w:val="auto"/>
                <w:kern w:val="1"/>
                <w:szCs w:val="21"/>
              </w:rPr>
              <w:t>设计方案部分</w:t>
            </w:r>
          </w:p>
        </w:tc>
        <w:tc>
          <w:tcPr>
            <w:tcW w:w="5729" w:type="dxa"/>
            <w:shd w:val="clear" w:color="auto" w:fill="auto"/>
            <w:vAlign w:val="center"/>
          </w:tcPr>
          <w:p w14:paraId="3418C1A9">
            <w:pPr>
              <w:jc w:val="left"/>
              <w:rPr>
                <w:rFonts w:hint="eastAsia" w:ascii="宋体" w:hAnsi="宋体" w:eastAsia="宋体" w:cs="宋体"/>
                <w:b/>
                <w:color w:val="auto"/>
                <w:sz w:val="21"/>
                <w:szCs w:val="21"/>
                <w:highlight w:val="none"/>
              </w:rPr>
            </w:pPr>
            <w:r>
              <w:rPr>
                <w:rFonts w:hint="eastAsia" w:ascii="宋体" w:hAnsi="宋体" w:cs="宋体"/>
                <w:color w:val="auto"/>
                <w:kern w:val="1"/>
                <w:szCs w:val="21"/>
              </w:rPr>
              <w:t>见附表1《设计方案评分表》</w:t>
            </w:r>
          </w:p>
        </w:tc>
      </w:tr>
      <w:tr w14:paraId="209D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48A4FC80">
            <w:pPr>
              <w:jc w:val="center"/>
              <w:rPr>
                <w:rFonts w:hint="eastAsia" w:ascii="宋体" w:hAnsi="宋体" w:eastAsia="宋体" w:cs="宋体"/>
                <w:b/>
                <w:color w:val="auto"/>
                <w:sz w:val="21"/>
                <w:szCs w:val="21"/>
                <w:highlight w:val="none"/>
              </w:rPr>
            </w:pPr>
            <w:r>
              <w:rPr>
                <w:rFonts w:hint="eastAsia" w:ascii="宋体" w:hAnsi="宋体" w:cs="宋体"/>
                <w:color w:val="auto"/>
                <w:szCs w:val="21"/>
              </w:rPr>
              <w:t>2.2.4（2）</w:t>
            </w:r>
          </w:p>
        </w:tc>
        <w:tc>
          <w:tcPr>
            <w:tcW w:w="1811" w:type="dxa"/>
            <w:shd w:val="clear" w:color="auto" w:fill="auto"/>
            <w:vAlign w:val="center"/>
          </w:tcPr>
          <w:p w14:paraId="0428EA23">
            <w:pPr>
              <w:jc w:val="center"/>
              <w:rPr>
                <w:rFonts w:hint="eastAsia" w:ascii="宋体" w:hAnsi="宋体" w:eastAsia="宋体" w:cs="宋体"/>
                <w:b/>
                <w:bCs/>
                <w:color w:val="auto"/>
                <w:sz w:val="21"/>
                <w:szCs w:val="21"/>
                <w:highlight w:val="none"/>
              </w:rPr>
            </w:pPr>
            <w:r>
              <w:rPr>
                <w:rFonts w:hint="eastAsia" w:ascii="宋体" w:hAnsi="宋体" w:cs="宋体"/>
                <w:color w:val="auto"/>
                <w:szCs w:val="21"/>
              </w:rPr>
              <w:t>工程总承包实施方案技术部分</w:t>
            </w:r>
          </w:p>
        </w:tc>
        <w:tc>
          <w:tcPr>
            <w:tcW w:w="5729" w:type="dxa"/>
            <w:shd w:val="clear" w:color="auto" w:fill="auto"/>
            <w:vAlign w:val="center"/>
          </w:tcPr>
          <w:p w14:paraId="0A53A586">
            <w:pPr>
              <w:jc w:val="left"/>
              <w:rPr>
                <w:rFonts w:hint="eastAsia" w:ascii="宋体" w:hAnsi="宋体" w:eastAsia="宋体" w:cs="宋体"/>
                <w:b/>
                <w:color w:val="auto"/>
                <w:sz w:val="21"/>
                <w:szCs w:val="21"/>
                <w:highlight w:val="none"/>
              </w:rPr>
            </w:pPr>
            <w:r>
              <w:rPr>
                <w:rFonts w:hint="eastAsia" w:ascii="宋体" w:hAnsi="宋体" w:cs="宋体"/>
                <w:color w:val="auto"/>
                <w:kern w:val="1"/>
                <w:szCs w:val="21"/>
              </w:rPr>
              <w:t>见附表2《工程总承包实施方案技术部分评分表》</w:t>
            </w:r>
          </w:p>
        </w:tc>
      </w:tr>
      <w:tr w14:paraId="70AC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2412" w:type="dxa"/>
            <w:gridSpan w:val="2"/>
            <w:shd w:val="clear" w:color="auto" w:fill="auto"/>
            <w:vAlign w:val="center"/>
          </w:tcPr>
          <w:p w14:paraId="15735DBE">
            <w:pPr>
              <w:jc w:val="center"/>
              <w:rPr>
                <w:rFonts w:hint="eastAsia" w:ascii="宋体" w:hAnsi="宋体" w:eastAsia="宋体" w:cs="宋体"/>
                <w:b/>
                <w:color w:val="auto"/>
                <w:sz w:val="21"/>
                <w:szCs w:val="21"/>
                <w:highlight w:val="none"/>
              </w:rPr>
            </w:pPr>
            <w:r>
              <w:rPr>
                <w:rFonts w:hint="eastAsia" w:ascii="宋体" w:hAnsi="宋体" w:cs="宋体"/>
                <w:color w:val="auto"/>
                <w:szCs w:val="21"/>
              </w:rPr>
              <w:t>2.2.4（3）</w:t>
            </w:r>
          </w:p>
        </w:tc>
        <w:tc>
          <w:tcPr>
            <w:tcW w:w="1811" w:type="dxa"/>
            <w:shd w:val="clear" w:color="auto" w:fill="auto"/>
            <w:vAlign w:val="center"/>
          </w:tcPr>
          <w:p w14:paraId="2E24B611">
            <w:pPr>
              <w:jc w:val="center"/>
              <w:rPr>
                <w:rFonts w:hint="eastAsia" w:ascii="宋体" w:hAnsi="宋体" w:eastAsia="宋体" w:cs="宋体"/>
                <w:b/>
                <w:bCs/>
                <w:color w:val="auto"/>
                <w:sz w:val="21"/>
                <w:szCs w:val="21"/>
                <w:highlight w:val="none"/>
              </w:rPr>
            </w:pPr>
            <w:r>
              <w:rPr>
                <w:rFonts w:hint="eastAsia" w:ascii="宋体" w:hAnsi="宋体" w:cs="宋体"/>
                <w:color w:val="auto"/>
                <w:szCs w:val="21"/>
              </w:rPr>
              <w:t>工程总承包实施方案经济部分</w:t>
            </w:r>
          </w:p>
        </w:tc>
        <w:tc>
          <w:tcPr>
            <w:tcW w:w="5729" w:type="dxa"/>
            <w:shd w:val="clear" w:color="auto" w:fill="auto"/>
            <w:vAlign w:val="center"/>
          </w:tcPr>
          <w:p w14:paraId="1454A0D9">
            <w:pPr>
              <w:rPr>
                <w:rFonts w:hint="eastAsia" w:ascii="宋体" w:hAnsi="宋体" w:eastAsia="宋体" w:cs="宋体"/>
                <w:b/>
                <w:color w:val="auto"/>
                <w:sz w:val="21"/>
                <w:szCs w:val="21"/>
                <w:highlight w:val="none"/>
              </w:rPr>
            </w:pPr>
            <w:r>
              <w:rPr>
                <w:rFonts w:hint="eastAsia" w:ascii="宋体" w:hAnsi="宋体"/>
                <w:color w:val="auto"/>
                <w:szCs w:val="21"/>
                <w:u w:val="single"/>
              </w:rPr>
              <w:t>当施工部分投标报价等于评标参考价时得100分，施工部分投标报价每高于评标参考价1%，扣0.2分，每低于评标参考价1%，扣0.1分，得出投标报价得分，精确到小数点后两位。</w:t>
            </w:r>
          </w:p>
        </w:tc>
      </w:tr>
      <w:tr w14:paraId="47C9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9952" w:type="dxa"/>
            <w:gridSpan w:val="4"/>
            <w:shd w:val="clear" w:color="auto" w:fill="auto"/>
            <w:vAlign w:val="center"/>
          </w:tcPr>
          <w:p w14:paraId="3B265A60">
            <w:pPr>
              <w:rPr>
                <w:rFonts w:hint="eastAsia" w:ascii="宋体" w:hAnsi="宋体"/>
                <w:color w:val="auto"/>
                <w:szCs w:val="21"/>
                <w:u w:val="single"/>
              </w:rPr>
            </w:pPr>
            <w:r>
              <w:rPr>
                <w:rFonts w:hint="eastAsia" w:ascii="宋体" w:hAnsi="宋体" w:cs="宋体"/>
                <w:b/>
                <w:color w:val="auto"/>
                <w:szCs w:val="21"/>
              </w:rPr>
              <w:t>需要补充的其他内容</w:t>
            </w:r>
          </w:p>
        </w:tc>
      </w:tr>
      <w:tr w14:paraId="741F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52" w:type="dxa"/>
            <w:gridSpan w:val="4"/>
            <w:shd w:val="clear" w:color="auto" w:fill="auto"/>
            <w:vAlign w:val="top"/>
          </w:tcPr>
          <w:p w14:paraId="6F024A7C">
            <w:pPr>
              <w:rPr>
                <w:rFonts w:hint="eastAsia" w:ascii="宋体" w:hAnsi="宋体"/>
                <w:color w:val="auto"/>
                <w:szCs w:val="21"/>
                <w:u w:val="single"/>
              </w:rPr>
            </w:pPr>
            <w:r>
              <w:rPr>
                <w:rFonts w:hint="eastAsia" w:ascii="宋体" w:hAnsi="宋体" w:cs="宋体"/>
                <w:color w:val="auto"/>
                <w:szCs w:val="21"/>
              </w:rPr>
              <w:t>关于联合体投标人评标的相关规定：如组成联合体投标的，设计部分评分以承接设计任务的单位为准；施工部分评分以联合体主办方为准。</w:t>
            </w:r>
          </w:p>
        </w:tc>
      </w:tr>
    </w:tbl>
    <w:p w14:paraId="0F96862E">
      <w:pPr>
        <w:rPr>
          <w:rFonts w:hint="eastAsia" w:ascii="宋体" w:hAnsi="宋体" w:eastAsia="宋体" w:cs="宋体"/>
          <w:color w:val="auto"/>
          <w:highlight w:val="none"/>
        </w:rPr>
      </w:pPr>
      <w:bookmarkStart w:id="520" w:name="_Toc27342"/>
      <w:bookmarkStart w:id="521" w:name="_Toc1966"/>
      <w:r>
        <w:rPr>
          <w:rFonts w:hint="eastAsia" w:ascii="宋体" w:hAnsi="宋体" w:eastAsia="宋体" w:cs="宋体"/>
          <w:color w:val="auto"/>
          <w:highlight w:val="none"/>
        </w:rPr>
        <w:br w:type="page"/>
      </w:r>
    </w:p>
    <w:p w14:paraId="63B40957">
      <w:pPr>
        <w:pStyle w:val="3"/>
        <w:shd w:val="clear"/>
        <w:rPr>
          <w:rFonts w:hint="eastAsia" w:ascii="宋体" w:hAnsi="宋体" w:eastAsia="宋体" w:cs="宋体"/>
          <w:color w:val="auto"/>
          <w:highlight w:val="none"/>
        </w:rPr>
      </w:pPr>
      <w:bookmarkStart w:id="522" w:name="_Toc16178"/>
      <w:r>
        <w:rPr>
          <w:rFonts w:hint="eastAsia" w:ascii="宋体" w:hAnsi="宋体" w:eastAsia="宋体" w:cs="宋体"/>
          <w:color w:val="auto"/>
          <w:highlight w:val="none"/>
        </w:rPr>
        <w:t>1. 评标方法</w:t>
      </w:r>
      <w:bookmarkEnd w:id="515"/>
      <w:bookmarkEnd w:id="516"/>
      <w:bookmarkEnd w:id="517"/>
      <w:bookmarkEnd w:id="518"/>
      <w:bookmarkEnd w:id="519"/>
      <w:bookmarkEnd w:id="520"/>
      <w:bookmarkEnd w:id="521"/>
      <w:bookmarkEnd w:id="522"/>
    </w:p>
    <w:p w14:paraId="0B429D0D">
      <w:pPr>
        <w:shd w:val="clear"/>
        <w:spacing w:line="360" w:lineRule="auto"/>
        <w:ind w:firstLine="420" w:firstLineChars="200"/>
        <w:rPr>
          <w:rFonts w:hint="eastAsia" w:ascii="宋体" w:hAnsi="宋体" w:eastAsia="宋体" w:cs="宋体"/>
          <w:color w:val="auto"/>
          <w:highlight w:val="none"/>
        </w:rPr>
      </w:pPr>
      <w:bookmarkStart w:id="523" w:name="_Toc247514025"/>
      <w:bookmarkStart w:id="524" w:name="_Toc152045601"/>
      <w:bookmarkStart w:id="525" w:name="_Toc144974568"/>
      <w:bookmarkStart w:id="526" w:name="_Toc152042378"/>
      <w:bookmarkStart w:id="527" w:name="_Toc247527626"/>
      <w:r>
        <w:rPr>
          <w:rFonts w:hint="eastAsia" w:ascii="宋体" w:hAnsi="宋体" w:cs="宋体"/>
          <w:color w:val="auto"/>
          <w:kern w:val="1"/>
          <w:szCs w:val="21"/>
        </w:rPr>
        <w:t>本次评标采用综合评估法。评标委员会对满足招标文件实质性要求的投标文件，按照本章第2.2款规定的评分标准进行打分，并按得分由高到低顺序推荐中标候选人，但投标报价低于其成本的除外。</w:t>
      </w:r>
      <w:r>
        <w:rPr>
          <w:rFonts w:hint="eastAsia" w:ascii="宋体" w:hAnsi="宋体" w:cs="宋体"/>
          <w:color w:val="auto"/>
          <w:kern w:val="1"/>
          <w:szCs w:val="21"/>
          <w:u w:val="single"/>
        </w:rPr>
        <w:t>总分相等时，以工程总承包实施方案技术部分得分高的排前；总分与工程总承包实施方案技术部分得分均相同的投标文件，以投标报价较低的排前；如仍存在相同情况，则对具有相同情况的投标人，按中标候选人数量规定，由评标委员会采用记名投票方式，确定中标候选人的排序。</w:t>
      </w:r>
    </w:p>
    <w:p w14:paraId="14F2E2B7">
      <w:pPr>
        <w:pStyle w:val="3"/>
        <w:shd w:val="clear"/>
        <w:rPr>
          <w:rFonts w:hint="eastAsia" w:ascii="宋体" w:hAnsi="宋体" w:eastAsia="宋体" w:cs="宋体"/>
          <w:color w:val="auto"/>
          <w:highlight w:val="none"/>
        </w:rPr>
      </w:pPr>
      <w:bookmarkStart w:id="528" w:name="_Toc18218"/>
      <w:bookmarkStart w:id="529" w:name="_Toc22612"/>
      <w:bookmarkStart w:id="530" w:name="_Toc14448"/>
      <w:r>
        <w:rPr>
          <w:rFonts w:hint="eastAsia" w:ascii="宋体" w:hAnsi="宋体" w:eastAsia="宋体" w:cs="宋体"/>
          <w:color w:val="auto"/>
          <w:highlight w:val="none"/>
        </w:rPr>
        <w:t>2. 评审标准</w:t>
      </w:r>
      <w:bookmarkEnd w:id="523"/>
      <w:bookmarkEnd w:id="524"/>
      <w:bookmarkEnd w:id="525"/>
      <w:bookmarkEnd w:id="526"/>
      <w:bookmarkEnd w:id="527"/>
      <w:bookmarkEnd w:id="528"/>
      <w:bookmarkEnd w:id="529"/>
      <w:bookmarkEnd w:id="530"/>
    </w:p>
    <w:p w14:paraId="3199DAD3">
      <w:pPr>
        <w:pStyle w:val="4"/>
        <w:shd w:val="clear"/>
        <w:rPr>
          <w:rFonts w:hint="eastAsia" w:ascii="宋体" w:hAnsi="宋体" w:eastAsia="宋体" w:cs="宋体"/>
          <w:color w:val="auto"/>
          <w:highlight w:val="none"/>
        </w:rPr>
      </w:pPr>
      <w:bookmarkStart w:id="531" w:name="_Toc18349"/>
      <w:bookmarkStart w:id="532" w:name="_Toc247514026"/>
      <w:bookmarkStart w:id="533" w:name="_Toc152042379"/>
      <w:bookmarkStart w:id="534" w:name="_Toc24698"/>
      <w:bookmarkStart w:id="535" w:name="_Toc152045602"/>
      <w:bookmarkStart w:id="536" w:name="_Toc247527627"/>
      <w:bookmarkStart w:id="537" w:name="_Toc27038"/>
      <w:bookmarkStart w:id="538" w:name="_Toc144974569"/>
      <w:r>
        <w:rPr>
          <w:rFonts w:hint="eastAsia" w:ascii="宋体" w:hAnsi="宋体" w:eastAsia="宋体" w:cs="宋体"/>
          <w:color w:val="auto"/>
          <w:highlight w:val="none"/>
        </w:rPr>
        <w:t>2.1 初步评审标准</w:t>
      </w:r>
      <w:bookmarkEnd w:id="531"/>
      <w:bookmarkEnd w:id="532"/>
      <w:bookmarkEnd w:id="533"/>
      <w:bookmarkEnd w:id="534"/>
      <w:bookmarkEnd w:id="535"/>
      <w:bookmarkEnd w:id="536"/>
      <w:bookmarkEnd w:id="537"/>
      <w:bookmarkEnd w:id="538"/>
    </w:p>
    <w:p w14:paraId="39CBD77E">
      <w:pPr>
        <w:spacing w:line="360" w:lineRule="auto"/>
        <w:ind w:firstLine="420" w:firstLineChars="200"/>
        <w:rPr>
          <w:rFonts w:hint="eastAsia" w:ascii="宋体" w:hAnsi="宋体" w:cs="宋体"/>
          <w:color w:val="auto"/>
          <w:kern w:val="1"/>
          <w:szCs w:val="21"/>
        </w:rPr>
      </w:pPr>
      <w:bookmarkStart w:id="539" w:name="_Toc247514027"/>
      <w:bookmarkStart w:id="540" w:name="_Toc144974570"/>
      <w:bookmarkStart w:id="541" w:name="_Toc152045603"/>
      <w:bookmarkStart w:id="542" w:name="_Toc152042380"/>
      <w:bookmarkStart w:id="543" w:name="_Toc247527628"/>
      <w:r>
        <w:rPr>
          <w:rFonts w:hint="eastAsia" w:ascii="宋体" w:hAnsi="宋体" w:cs="宋体"/>
          <w:color w:val="auto"/>
          <w:kern w:val="1"/>
          <w:szCs w:val="21"/>
        </w:rPr>
        <w:t>2.1.1 形式评审标准：见评标办法前附表。</w:t>
      </w:r>
    </w:p>
    <w:p w14:paraId="5C16DAE2">
      <w:pPr>
        <w:spacing w:line="360" w:lineRule="auto"/>
        <w:ind w:firstLine="420" w:firstLineChars="200"/>
        <w:rPr>
          <w:rFonts w:hint="eastAsia" w:ascii="宋体" w:hAnsi="宋体" w:cs="宋体"/>
          <w:color w:val="auto"/>
          <w:kern w:val="1"/>
          <w:szCs w:val="21"/>
        </w:rPr>
      </w:pPr>
      <w:r>
        <w:rPr>
          <w:rFonts w:ascii="宋体" w:hAnsi="宋体" w:cs="宋体"/>
          <w:color w:val="auto"/>
          <w:kern w:val="1"/>
          <w:szCs w:val="21"/>
        </w:rPr>
        <w:t xml:space="preserve">2.1.2 </w:t>
      </w:r>
      <w:r>
        <w:rPr>
          <w:rFonts w:hint="eastAsia" w:ascii="宋体" w:hAnsi="宋体" w:cs="宋体"/>
          <w:color w:val="auto"/>
          <w:kern w:val="1"/>
          <w:szCs w:val="21"/>
        </w:rPr>
        <w:t>资格评审标准：见评标办法前附表。</w:t>
      </w:r>
    </w:p>
    <w:p w14:paraId="73D7EF55">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2.1.3</w:t>
      </w:r>
      <w:r>
        <w:rPr>
          <w:rFonts w:ascii="宋体" w:hAnsi="宋体" w:cs="宋体"/>
          <w:color w:val="auto"/>
          <w:kern w:val="1"/>
          <w:szCs w:val="21"/>
        </w:rPr>
        <w:t xml:space="preserve"> </w:t>
      </w:r>
      <w:r>
        <w:rPr>
          <w:rFonts w:hint="eastAsia" w:ascii="宋体" w:hAnsi="宋体" w:cs="宋体"/>
          <w:color w:val="auto"/>
          <w:kern w:val="1"/>
          <w:szCs w:val="21"/>
        </w:rPr>
        <w:t>设计方案响应性评审标准：见评标办法前附表。</w:t>
      </w:r>
    </w:p>
    <w:p w14:paraId="3E058AE9">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2.1.</w:t>
      </w:r>
      <w:r>
        <w:rPr>
          <w:rFonts w:ascii="宋体" w:hAnsi="宋体" w:cs="宋体"/>
          <w:color w:val="auto"/>
          <w:kern w:val="1"/>
          <w:szCs w:val="21"/>
        </w:rPr>
        <w:t xml:space="preserve">4 </w:t>
      </w:r>
      <w:r>
        <w:rPr>
          <w:rFonts w:hint="eastAsia" w:ascii="宋体" w:hAnsi="宋体" w:cs="宋体"/>
          <w:color w:val="auto"/>
          <w:kern w:val="1"/>
          <w:szCs w:val="21"/>
        </w:rPr>
        <w:t>工程总承包实施方案响应性评审标准：见评标办法前附表。</w:t>
      </w:r>
    </w:p>
    <w:p w14:paraId="720C7007">
      <w:pPr>
        <w:shd w:val="clea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1"/>
          <w:szCs w:val="21"/>
        </w:rPr>
        <w:t>注：</w:t>
      </w:r>
      <w:r>
        <w:rPr>
          <w:rFonts w:ascii="宋体" w:hAnsi="宋体" w:cs="宋体"/>
          <w:color w:val="auto"/>
          <w:kern w:val="1"/>
          <w:szCs w:val="21"/>
        </w:rPr>
        <w:t>不得将文件顺序、明显的文字错误等列为否决投标的情形。评委发现</w:t>
      </w:r>
      <w:r>
        <w:rPr>
          <w:rFonts w:hint="eastAsia" w:ascii="宋体" w:hAnsi="宋体" w:cs="宋体"/>
          <w:color w:val="auto"/>
          <w:kern w:val="1"/>
          <w:szCs w:val="21"/>
        </w:rPr>
        <w:t>投标文件</w:t>
      </w:r>
      <w:r>
        <w:rPr>
          <w:rFonts w:ascii="宋体" w:hAnsi="宋体" w:cs="宋体"/>
          <w:color w:val="auto"/>
          <w:kern w:val="1"/>
          <w:szCs w:val="21"/>
        </w:rPr>
        <w:t>中含义不明确、对同类问题表述不一致、有明显文字和计算错误的，应当要求投标人作必要的澄清、说明后再判定投标人是否通过</w:t>
      </w:r>
      <w:r>
        <w:rPr>
          <w:rFonts w:hint="eastAsia" w:ascii="宋体" w:hAnsi="宋体" w:cs="宋体"/>
          <w:color w:val="auto"/>
          <w:kern w:val="1"/>
          <w:szCs w:val="21"/>
        </w:rPr>
        <w:t>初步评审</w:t>
      </w:r>
      <w:r>
        <w:rPr>
          <w:rFonts w:ascii="宋体" w:hAnsi="宋体" w:cs="宋体"/>
          <w:color w:val="auto"/>
          <w:kern w:val="1"/>
          <w:szCs w:val="21"/>
        </w:rPr>
        <w:t>，不得直接认定其不通过</w:t>
      </w:r>
      <w:r>
        <w:rPr>
          <w:rFonts w:hint="eastAsia" w:ascii="宋体" w:hAnsi="宋体" w:cs="宋体"/>
          <w:color w:val="auto"/>
          <w:kern w:val="1"/>
          <w:szCs w:val="21"/>
        </w:rPr>
        <w:t>初步评审</w:t>
      </w:r>
      <w:r>
        <w:rPr>
          <w:rFonts w:ascii="宋体" w:hAnsi="宋体" w:cs="宋体"/>
          <w:color w:val="auto"/>
          <w:kern w:val="1"/>
          <w:szCs w:val="21"/>
        </w:rPr>
        <w:t>。</w:t>
      </w:r>
    </w:p>
    <w:p w14:paraId="00F460E2">
      <w:pPr>
        <w:pStyle w:val="4"/>
        <w:shd w:val="clear"/>
        <w:rPr>
          <w:rFonts w:hint="eastAsia" w:ascii="宋体" w:hAnsi="宋体" w:eastAsia="宋体" w:cs="宋体"/>
          <w:color w:val="auto"/>
          <w:highlight w:val="none"/>
        </w:rPr>
      </w:pPr>
      <w:bookmarkStart w:id="544" w:name="_Toc29854"/>
      <w:bookmarkStart w:id="545" w:name="_Toc4204"/>
      <w:bookmarkStart w:id="546" w:name="_Toc2683"/>
      <w:r>
        <w:rPr>
          <w:rFonts w:hint="eastAsia" w:ascii="宋体" w:hAnsi="宋体" w:eastAsia="宋体" w:cs="宋体"/>
          <w:color w:val="auto"/>
          <w:highlight w:val="none"/>
        </w:rPr>
        <w:t>2.2 分值构成与评分标准</w:t>
      </w:r>
      <w:bookmarkEnd w:id="539"/>
      <w:bookmarkEnd w:id="540"/>
      <w:bookmarkEnd w:id="541"/>
      <w:bookmarkEnd w:id="542"/>
      <w:bookmarkEnd w:id="543"/>
      <w:bookmarkEnd w:id="544"/>
      <w:bookmarkEnd w:id="545"/>
      <w:bookmarkEnd w:id="546"/>
    </w:p>
    <w:p w14:paraId="6680A0B1">
      <w:pPr>
        <w:spacing w:line="360" w:lineRule="auto"/>
        <w:ind w:firstLine="420" w:firstLineChars="200"/>
        <w:rPr>
          <w:rFonts w:hint="eastAsia" w:ascii="宋体" w:hAnsi="宋体" w:cs="宋体"/>
          <w:color w:val="auto"/>
          <w:kern w:val="1"/>
          <w:szCs w:val="21"/>
        </w:rPr>
      </w:pPr>
      <w:bookmarkStart w:id="547" w:name="_Toc144974571"/>
      <w:bookmarkStart w:id="548" w:name="_Toc247514028"/>
      <w:bookmarkStart w:id="549" w:name="_Toc26445"/>
      <w:bookmarkStart w:id="550" w:name="_Toc455"/>
      <w:bookmarkStart w:id="551" w:name="_Toc152045604"/>
      <w:bookmarkStart w:id="552" w:name="_Toc152042381"/>
      <w:bookmarkStart w:id="553" w:name="_Toc247527629"/>
      <w:r>
        <w:rPr>
          <w:rFonts w:hint="eastAsia" w:ascii="宋体" w:hAnsi="宋体" w:cs="宋体"/>
          <w:color w:val="auto"/>
          <w:kern w:val="1"/>
          <w:szCs w:val="21"/>
        </w:rPr>
        <w:t>2.2.1 分值构成及权重：见评标办法前附表。</w:t>
      </w:r>
    </w:p>
    <w:p w14:paraId="65B48852">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2.2.2 评标基准价计算</w:t>
      </w:r>
    </w:p>
    <w:p w14:paraId="50D21E1E">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评标基准价计算方法：见评标办法前附表。</w:t>
      </w:r>
    </w:p>
    <w:p w14:paraId="52387765">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2.2.3 投标人评标报价的偏差率计算</w:t>
      </w:r>
    </w:p>
    <w:p w14:paraId="0FEB83E0">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投标人评标报价的偏差率计算公式：见评标办法前附表。</w:t>
      </w:r>
    </w:p>
    <w:p w14:paraId="0DC6FF5E">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2.2.</w:t>
      </w:r>
      <w:r>
        <w:rPr>
          <w:rFonts w:ascii="宋体" w:hAnsi="宋体" w:cs="宋体"/>
          <w:color w:val="auto"/>
          <w:kern w:val="1"/>
          <w:szCs w:val="21"/>
        </w:rPr>
        <w:t>4</w:t>
      </w:r>
      <w:r>
        <w:rPr>
          <w:rFonts w:hint="eastAsia" w:ascii="宋体" w:hAnsi="宋体" w:cs="宋体"/>
          <w:color w:val="auto"/>
          <w:kern w:val="1"/>
          <w:szCs w:val="21"/>
        </w:rPr>
        <w:t>评分标准</w:t>
      </w:r>
    </w:p>
    <w:p w14:paraId="5207C6C2">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（1）设计方案部分：见评标办法前附表。</w:t>
      </w:r>
    </w:p>
    <w:p w14:paraId="2721FF50">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w:t>
      </w:r>
      <w:r>
        <w:rPr>
          <w:rFonts w:ascii="宋体" w:hAnsi="宋体" w:cs="宋体"/>
          <w:color w:val="auto"/>
          <w:kern w:val="1"/>
          <w:szCs w:val="21"/>
          <w:u w:val="single"/>
        </w:rPr>
        <w:t>2</w:t>
      </w:r>
      <w:r>
        <w:rPr>
          <w:rFonts w:hint="eastAsia" w:ascii="宋体" w:hAnsi="宋体" w:cs="宋体"/>
          <w:color w:val="auto"/>
          <w:kern w:val="1"/>
          <w:szCs w:val="21"/>
          <w:u w:val="single"/>
        </w:rPr>
        <w:t>）工程总承包实施方案技术部分：见评标办法前附表。</w:t>
      </w:r>
    </w:p>
    <w:p w14:paraId="1002E92C">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w:t>
      </w:r>
      <w:r>
        <w:rPr>
          <w:rFonts w:ascii="宋体" w:hAnsi="宋体" w:cs="宋体"/>
          <w:color w:val="auto"/>
          <w:kern w:val="1"/>
          <w:szCs w:val="21"/>
          <w:u w:val="single"/>
        </w:rPr>
        <w:t>3</w:t>
      </w:r>
      <w:r>
        <w:rPr>
          <w:rFonts w:hint="eastAsia" w:ascii="宋体" w:hAnsi="宋体" w:cs="宋体"/>
          <w:color w:val="auto"/>
          <w:kern w:val="1"/>
          <w:szCs w:val="21"/>
          <w:u w:val="single"/>
        </w:rPr>
        <w:t>）工程总承包实施方案经济部分：见评标办法前附表。</w:t>
      </w:r>
    </w:p>
    <w:p w14:paraId="01E3DF6B">
      <w:pPr>
        <w:pStyle w:val="3"/>
        <w:shd w:val="clear"/>
        <w:rPr>
          <w:rFonts w:hint="eastAsia" w:ascii="宋体" w:hAnsi="宋体" w:eastAsia="宋体" w:cs="宋体"/>
          <w:color w:val="auto"/>
          <w:highlight w:val="none"/>
        </w:rPr>
      </w:pPr>
      <w:bookmarkStart w:id="554" w:name="_Toc22579"/>
      <w:r>
        <w:rPr>
          <w:rFonts w:hint="eastAsia" w:ascii="宋体" w:hAnsi="宋体" w:eastAsia="宋体" w:cs="宋体"/>
          <w:color w:val="auto"/>
          <w:highlight w:val="none"/>
        </w:rPr>
        <w:t>3. 评标程序</w:t>
      </w:r>
      <w:bookmarkEnd w:id="547"/>
      <w:bookmarkEnd w:id="548"/>
      <w:bookmarkEnd w:id="549"/>
      <w:bookmarkEnd w:id="550"/>
      <w:bookmarkEnd w:id="551"/>
      <w:bookmarkEnd w:id="552"/>
      <w:bookmarkEnd w:id="553"/>
      <w:bookmarkEnd w:id="554"/>
    </w:p>
    <w:p w14:paraId="4D26914B">
      <w:pPr>
        <w:spacing w:line="360" w:lineRule="auto"/>
        <w:ind w:firstLine="420" w:firstLineChars="200"/>
        <w:rPr>
          <w:color w:val="auto"/>
          <w:u w:val="single"/>
          <w:lang w:val="zh-CN"/>
        </w:rPr>
      </w:pPr>
      <w:r>
        <w:rPr>
          <w:rFonts w:hint="eastAsia"/>
          <w:color w:val="auto"/>
          <w:u w:val="single"/>
          <w:lang w:val="zh-CN"/>
        </w:rPr>
        <w:t>本项目采取电子评标。形式评审、资格评审、设计方案文件响应性评审、工程总承包实施方案响应性评审、设计方案评审、工程总承包实施方案评审及评审汇总由评标委员会负责。</w:t>
      </w:r>
    </w:p>
    <w:p w14:paraId="1268B225">
      <w:pPr>
        <w:pStyle w:val="4"/>
        <w:spacing w:before="0" w:after="0" w:line="360" w:lineRule="auto"/>
        <w:ind w:firstLine="422" w:firstLineChars="200"/>
        <w:rPr>
          <w:rFonts w:hint="eastAsia" w:ascii="宋体" w:eastAsia="宋体"/>
          <w:color w:val="auto"/>
          <w:sz w:val="21"/>
          <w:szCs w:val="21"/>
          <w:u w:val="single"/>
        </w:rPr>
      </w:pPr>
      <w:bookmarkStart w:id="555" w:name="_Toc22121"/>
      <w:bookmarkStart w:id="556" w:name="_Toc23718"/>
      <w:bookmarkStart w:id="557" w:name="_Toc7208"/>
      <w:bookmarkStart w:id="558" w:name="_Toc5620356"/>
      <w:bookmarkStart w:id="559" w:name="_Toc31590"/>
      <w:bookmarkStart w:id="560" w:name="_Toc247527633"/>
      <w:bookmarkStart w:id="561" w:name="_Toc78788122"/>
      <w:bookmarkStart w:id="562" w:name="_Toc247514032"/>
      <w:bookmarkStart w:id="563" w:name="_Toc144974576"/>
      <w:bookmarkStart w:id="564" w:name="_Toc2723"/>
      <w:bookmarkStart w:id="565" w:name="_Toc152045608"/>
      <w:bookmarkStart w:id="566" w:name="_Toc152042386"/>
      <w:r>
        <w:rPr>
          <w:rFonts w:hint="eastAsia" w:ascii="宋体" w:eastAsia="宋体"/>
          <w:b/>
          <w:color w:val="auto"/>
          <w:sz w:val="21"/>
          <w:szCs w:val="21"/>
          <w:u w:val="single"/>
        </w:rPr>
        <w:t>3.</w:t>
      </w:r>
      <w:r>
        <w:rPr>
          <w:rFonts w:hint="eastAsia" w:ascii="宋体" w:eastAsia="宋体"/>
          <w:b/>
          <w:color w:val="auto"/>
          <w:sz w:val="21"/>
          <w:szCs w:val="21"/>
          <w:u w:val="single"/>
          <w:lang w:val="en-US" w:eastAsia="zh-CN"/>
        </w:rPr>
        <w:t>1</w:t>
      </w:r>
      <w:r>
        <w:rPr>
          <w:rFonts w:hint="eastAsia" w:ascii="宋体" w:eastAsia="宋体"/>
          <w:b/>
          <w:color w:val="auto"/>
          <w:sz w:val="21"/>
          <w:szCs w:val="21"/>
          <w:u w:val="single"/>
        </w:rPr>
        <w:t>形式评审及资格评审</w:t>
      </w:r>
    </w:p>
    <w:p w14:paraId="3E17722D">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1</w:t>
      </w:r>
      <w:r>
        <w:rPr>
          <w:rFonts w:hint="eastAsia" w:ascii="宋体" w:hAnsi="宋体" w:cs="宋体"/>
          <w:color w:val="auto"/>
          <w:kern w:val="1"/>
          <w:szCs w:val="21"/>
          <w:u w:val="single"/>
        </w:rPr>
        <w:t>.1形式评审中全部符合形式评审标准（详见前附表）中规定情形的，为形式评审合格。否则为形式评审不合格，经评标委员会评委共同认定后，其投标文件将被拒绝。如评标委员会评委的评审意见不一致时，则评标委员会成员共同表决，按照少数服从多数的原则决定否决其投标。</w:t>
      </w:r>
    </w:p>
    <w:p w14:paraId="7D5276A1">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1</w:t>
      </w:r>
      <w:r>
        <w:rPr>
          <w:rFonts w:hint="eastAsia" w:ascii="宋体" w:hAnsi="宋体" w:cs="宋体"/>
          <w:color w:val="auto"/>
          <w:kern w:val="1"/>
          <w:szCs w:val="21"/>
          <w:u w:val="single"/>
        </w:rPr>
        <w:t>.2汇总形式评审情况，只有通过形式评审的投标人方可进入下一阶段的评审。形式评审合格的投标人少于3名的，则本项目招标失败。</w:t>
      </w:r>
    </w:p>
    <w:p w14:paraId="1BBA4F17">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1</w:t>
      </w:r>
      <w:r>
        <w:rPr>
          <w:rFonts w:hint="eastAsia" w:ascii="宋体" w:hAnsi="宋体" w:cs="宋体"/>
          <w:color w:val="auto"/>
          <w:kern w:val="1"/>
          <w:szCs w:val="21"/>
          <w:u w:val="single"/>
        </w:rPr>
        <w:t>.3评标委员会评委对所有通过形式评审的投标人进行资格评审。资格审查文件中全部符合资格评审标准（详见前附表）中规定情形的，为资格评审合格。否则为资格评审不合格，经评标委员会评委共同认定后，其投标将被拒绝。如评标委员会评委的评审意见不一致时，则评标委员会成员共同表决，按照少数服从多数的原则决定否决其投标。</w:t>
      </w:r>
    </w:p>
    <w:p w14:paraId="4CE46629">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1</w:t>
      </w:r>
      <w:r>
        <w:rPr>
          <w:rFonts w:hint="eastAsia" w:ascii="宋体" w:hAnsi="宋体" w:cs="宋体"/>
          <w:color w:val="auto"/>
          <w:kern w:val="1"/>
          <w:szCs w:val="21"/>
          <w:u w:val="single"/>
        </w:rPr>
        <w:t>.4汇总资格评审情况，只有通过资格评审的投标人方可进入下一阶段的评审。编写资格审查报告。资格评审合格的投标人少于3名的，则本项目招标失败。</w:t>
      </w:r>
    </w:p>
    <w:p w14:paraId="1A70E171">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1</w:t>
      </w:r>
      <w:r>
        <w:rPr>
          <w:rFonts w:hint="eastAsia" w:ascii="宋体" w:hAnsi="宋体" w:cs="宋体"/>
          <w:color w:val="auto"/>
          <w:kern w:val="1"/>
          <w:szCs w:val="21"/>
          <w:u w:val="single"/>
        </w:rPr>
        <w:t>.5形式评审及资格评审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55DCCCE8">
      <w:pPr>
        <w:spacing w:line="360" w:lineRule="auto"/>
        <w:ind w:firstLine="422" w:firstLineChars="200"/>
        <w:rPr>
          <w:rFonts w:hint="eastAsia" w:ascii="宋体" w:hAnsi="宋体" w:cs="宋体"/>
          <w:b/>
          <w:bCs/>
          <w:color w:val="auto"/>
          <w:kern w:val="1"/>
          <w:szCs w:val="21"/>
          <w:u w:val="single"/>
        </w:rPr>
      </w:pPr>
      <w:r>
        <w:rPr>
          <w:rFonts w:hint="eastAsia" w:ascii="宋体" w:hAnsi="宋体" w:cs="宋体"/>
          <w:b/>
          <w:color w:val="auto"/>
          <w:kern w:val="1"/>
          <w:szCs w:val="21"/>
          <w:u w:val="single"/>
        </w:rPr>
        <w:t>特别声明：资审合格后，投标人的资格发生变化而不满足投标人合格条件，在发出中标通知书前，资格问题仍未解决的，招标人将取消其中标资格。</w:t>
      </w:r>
    </w:p>
    <w:p w14:paraId="5BA0C821">
      <w:pPr>
        <w:pStyle w:val="4"/>
        <w:spacing w:before="0" w:after="0" w:line="360" w:lineRule="auto"/>
        <w:ind w:firstLine="422" w:firstLineChars="200"/>
        <w:rPr>
          <w:rFonts w:hint="eastAsia" w:ascii="宋体"/>
          <w:color w:val="auto"/>
          <w:kern w:val="1"/>
          <w:szCs w:val="21"/>
        </w:rPr>
      </w:pPr>
      <w:r>
        <w:rPr>
          <w:rFonts w:hint="eastAsia" w:ascii="宋体" w:eastAsia="宋体"/>
          <w:b/>
          <w:color w:val="auto"/>
          <w:sz w:val="21"/>
          <w:szCs w:val="21"/>
          <w:u w:val="single"/>
        </w:rPr>
        <w:t>3.</w:t>
      </w:r>
      <w:bookmarkEnd w:id="555"/>
      <w:r>
        <w:rPr>
          <w:rFonts w:hint="eastAsia" w:ascii="宋体" w:eastAsia="宋体"/>
          <w:b/>
          <w:color w:val="auto"/>
          <w:sz w:val="21"/>
          <w:szCs w:val="21"/>
          <w:u w:val="single"/>
          <w:lang w:val="en-US" w:eastAsia="zh-CN"/>
        </w:rPr>
        <w:t>2</w:t>
      </w:r>
      <w:r>
        <w:rPr>
          <w:rFonts w:hint="eastAsia" w:ascii="宋体" w:eastAsia="宋体"/>
          <w:b/>
          <w:color w:val="auto"/>
          <w:sz w:val="21"/>
          <w:szCs w:val="21"/>
          <w:u w:val="single"/>
        </w:rPr>
        <w:t>设计方案评审</w:t>
      </w:r>
      <w:bookmarkEnd w:id="556"/>
      <w:bookmarkEnd w:id="557"/>
    </w:p>
    <w:p w14:paraId="0D11C3A8">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2</w:t>
      </w:r>
      <w:r>
        <w:rPr>
          <w:rFonts w:hint="eastAsia" w:ascii="宋体" w:hAnsi="宋体" w:cs="宋体"/>
          <w:color w:val="auto"/>
          <w:kern w:val="1"/>
          <w:szCs w:val="21"/>
          <w:u w:val="single"/>
        </w:rPr>
        <w:t>.1评标委员会评委对所有通过形式评审</w:t>
      </w:r>
      <w:r>
        <w:rPr>
          <w:rFonts w:hint="eastAsia" w:ascii="宋体" w:hAnsi="宋体" w:cs="宋体"/>
          <w:color w:val="auto"/>
          <w:kern w:val="1"/>
          <w:szCs w:val="21"/>
          <w:u w:val="single"/>
          <w:lang w:val="en-US" w:eastAsia="zh-CN"/>
        </w:rPr>
        <w:t>和资格评审</w:t>
      </w:r>
      <w:r>
        <w:rPr>
          <w:rFonts w:hint="eastAsia" w:ascii="宋体" w:hAnsi="宋体" w:cs="宋体"/>
          <w:color w:val="auto"/>
          <w:kern w:val="1"/>
          <w:szCs w:val="21"/>
          <w:u w:val="single"/>
        </w:rPr>
        <w:t>的投标人进行设计方案响应性评审（暗标）。设计方案响应性评审中全部符合设计方案响应性评审（暗标）标准（详见前附表）中规定情形的，</w:t>
      </w:r>
      <w:r>
        <w:rPr>
          <w:rFonts w:hint="eastAsia" w:ascii="宋体" w:hAnsi="宋体" w:cs="宋体"/>
          <w:color w:val="auto"/>
          <w:kern w:val="1"/>
          <w:szCs w:val="21"/>
          <w:u w:val="single"/>
          <w:lang w:val="en-US" w:eastAsia="zh-CN"/>
        </w:rPr>
        <w:t>为</w:t>
      </w:r>
      <w:r>
        <w:rPr>
          <w:rFonts w:hint="eastAsia" w:ascii="宋体" w:hAnsi="宋体" w:cs="宋体"/>
          <w:color w:val="auto"/>
          <w:kern w:val="1"/>
          <w:szCs w:val="21"/>
          <w:u w:val="single"/>
        </w:rPr>
        <w:t>设计方案响应性评审</w:t>
      </w:r>
      <w:r>
        <w:rPr>
          <w:rFonts w:hint="eastAsia" w:ascii="宋体" w:hAnsi="宋体" w:cs="宋体"/>
          <w:color w:val="auto"/>
          <w:kern w:val="1"/>
          <w:szCs w:val="21"/>
          <w:u w:val="single"/>
          <w:lang w:val="en-US" w:eastAsia="zh-CN"/>
        </w:rPr>
        <w:t>合格。否则为</w:t>
      </w:r>
      <w:r>
        <w:rPr>
          <w:rFonts w:hint="eastAsia" w:ascii="宋体" w:hAnsi="宋体" w:cs="宋体"/>
          <w:color w:val="auto"/>
          <w:kern w:val="1"/>
          <w:szCs w:val="21"/>
          <w:u w:val="single"/>
        </w:rPr>
        <w:t>设计方案响应性评审</w:t>
      </w:r>
      <w:r>
        <w:rPr>
          <w:rFonts w:hint="eastAsia" w:ascii="宋体" w:hAnsi="宋体" w:cs="宋体"/>
          <w:color w:val="auto"/>
          <w:kern w:val="1"/>
          <w:szCs w:val="21"/>
          <w:u w:val="single"/>
          <w:lang w:val="en-US" w:eastAsia="zh-CN"/>
        </w:rPr>
        <w:t>不合格，</w:t>
      </w:r>
      <w:r>
        <w:rPr>
          <w:rFonts w:hint="eastAsia" w:ascii="宋体" w:hAnsi="宋体" w:cs="宋体"/>
          <w:color w:val="auto"/>
          <w:kern w:val="1"/>
          <w:szCs w:val="21"/>
          <w:u w:val="single"/>
        </w:rPr>
        <w:t>经评标委员会评委共同认定后，其投标文件将被拒绝。如评标委员会评委的评审意见不一致时，则评标委员会成员共同表决，按照少数服从多数的原则决定否决其投标。</w:t>
      </w:r>
    </w:p>
    <w:p w14:paraId="0C28939A">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lang w:val="en-US" w:eastAsia="zh-CN"/>
        </w:rPr>
        <w:t>3.2.2汇总</w:t>
      </w:r>
      <w:r>
        <w:rPr>
          <w:rFonts w:hint="eastAsia" w:ascii="宋体" w:hAnsi="宋体" w:cs="宋体"/>
          <w:color w:val="auto"/>
          <w:kern w:val="1"/>
          <w:szCs w:val="21"/>
          <w:u w:val="single"/>
        </w:rPr>
        <w:t>设计方案响应性评审</w:t>
      </w:r>
      <w:r>
        <w:rPr>
          <w:rFonts w:hint="eastAsia" w:ascii="宋体" w:hAnsi="宋体" w:cs="宋体"/>
          <w:color w:val="auto"/>
          <w:kern w:val="1"/>
          <w:szCs w:val="21"/>
          <w:u w:val="single"/>
          <w:lang w:val="en-US" w:eastAsia="zh-CN"/>
        </w:rPr>
        <w:t>情况，只有通过</w:t>
      </w:r>
      <w:r>
        <w:rPr>
          <w:rFonts w:hint="eastAsia" w:ascii="宋体" w:hAnsi="宋体" w:cs="宋体"/>
          <w:color w:val="auto"/>
          <w:kern w:val="1"/>
          <w:szCs w:val="21"/>
          <w:u w:val="single"/>
        </w:rPr>
        <w:t>设计方案响应性评审的投标人方可进入下一阶段的评审。设计方案响应性评审合格的投标人少于3名的，则本项目招标失败。</w:t>
      </w:r>
    </w:p>
    <w:p w14:paraId="7517163D">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2</w:t>
      </w:r>
      <w:r>
        <w:rPr>
          <w:rFonts w:hint="eastAsia" w:ascii="宋体" w:hAnsi="宋体" w:cs="宋体"/>
          <w:color w:val="auto"/>
          <w:kern w:val="1"/>
          <w:szCs w:val="21"/>
          <w:u w:val="single"/>
        </w:rPr>
        <w:t>.</w:t>
      </w:r>
      <w:r>
        <w:rPr>
          <w:rFonts w:hint="eastAsia" w:ascii="宋体" w:hAnsi="宋体" w:cs="宋体"/>
          <w:color w:val="auto"/>
          <w:kern w:val="1"/>
          <w:szCs w:val="21"/>
          <w:u w:val="single"/>
          <w:lang w:val="en-US" w:eastAsia="zh-CN"/>
        </w:rPr>
        <w:t>3</w:t>
      </w:r>
      <w:r>
        <w:rPr>
          <w:rFonts w:hint="eastAsia" w:ascii="宋体" w:hAnsi="宋体" w:cs="宋体"/>
          <w:color w:val="auto"/>
          <w:kern w:val="1"/>
          <w:szCs w:val="21"/>
          <w:u w:val="single"/>
        </w:rPr>
        <w:t xml:space="preserve"> 评标委员会评委按设计方案部分（详见前附表）对通过设计方案响应性评审的设计方案投标文件进行评分。</w:t>
      </w:r>
    </w:p>
    <w:p w14:paraId="11BD2AFB">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hint="eastAsia" w:ascii="宋体" w:hAnsi="宋体" w:cs="宋体"/>
          <w:color w:val="auto"/>
          <w:kern w:val="1"/>
          <w:szCs w:val="21"/>
          <w:u w:val="single"/>
          <w:lang w:val="en-US" w:eastAsia="zh-CN"/>
        </w:rPr>
        <w:t>2</w:t>
      </w:r>
      <w:r>
        <w:rPr>
          <w:rFonts w:hint="eastAsia" w:ascii="宋体" w:hAnsi="宋体" w:cs="宋体"/>
          <w:color w:val="auto"/>
          <w:kern w:val="1"/>
          <w:szCs w:val="21"/>
          <w:u w:val="single"/>
        </w:rPr>
        <w:t>.</w:t>
      </w:r>
      <w:r>
        <w:rPr>
          <w:rFonts w:hint="eastAsia" w:ascii="宋体" w:hAnsi="宋体" w:cs="宋体"/>
          <w:color w:val="auto"/>
          <w:kern w:val="1"/>
          <w:szCs w:val="21"/>
          <w:u w:val="single"/>
          <w:lang w:val="en-US" w:eastAsia="zh-CN"/>
        </w:rPr>
        <w:t>4</w:t>
      </w:r>
      <w:r>
        <w:rPr>
          <w:rFonts w:hint="eastAsia" w:ascii="宋体" w:hAnsi="宋体" w:cs="宋体"/>
          <w:color w:val="auto"/>
          <w:kern w:val="1"/>
          <w:szCs w:val="21"/>
          <w:u w:val="single"/>
        </w:rPr>
        <w:t>算术平均各评标委员会评委评分，得出每个投标人设计方案部分得分，分数出现小数点，保留小数点后二位，第三位小数四舍五入。</w:t>
      </w:r>
    </w:p>
    <w:p w14:paraId="2126ACBD">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ascii="宋体" w:hAnsi="宋体" w:cs="宋体"/>
          <w:color w:val="auto"/>
          <w:kern w:val="1"/>
          <w:szCs w:val="21"/>
          <w:u w:val="single"/>
        </w:rPr>
        <w:t>.</w:t>
      </w:r>
      <w:r>
        <w:rPr>
          <w:rFonts w:hint="eastAsia" w:ascii="宋体" w:hAnsi="宋体" w:cs="宋体"/>
          <w:color w:val="auto"/>
          <w:kern w:val="1"/>
          <w:szCs w:val="21"/>
          <w:u w:val="single"/>
          <w:lang w:val="en-US" w:eastAsia="zh-CN"/>
        </w:rPr>
        <w:t>2</w:t>
      </w:r>
      <w:r>
        <w:rPr>
          <w:rFonts w:ascii="宋体" w:hAnsi="宋体" w:cs="宋体"/>
          <w:color w:val="auto"/>
          <w:kern w:val="1"/>
          <w:szCs w:val="21"/>
          <w:u w:val="single"/>
        </w:rPr>
        <w:t>.</w:t>
      </w:r>
      <w:r>
        <w:rPr>
          <w:rFonts w:hint="eastAsia" w:ascii="宋体" w:hAnsi="宋体" w:cs="宋体"/>
          <w:color w:val="auto"/>
          <w:kern w:val="1"/>
          <w:szCs w:val="21"/>
          <w:u w:val="single"/>
          <w:lang w:val="en-US" w:eastAsia="zh-CN"/>
        </w:rPr>
        <w:t>5</w:t>
      </w:r>
      <w:r>
        <w:rPr>
          <w:rFonts w:ascii="宋体" w:hAnsi="宋体" w:cs="宋体"/>
          <w:color w:val="auto"/>
          <w:kern w:val="1"/>
          <w:szCs w:val="21"/>
          <w:u w:val="single"/>
        </w:rPr>
        <w:t xml:space="preserve"> </w:t>
      </w:r>
      <w:r>
        <w:rPr>
          <w:rFonts w:hint="eastAsia" w:ascii="宋体" w:hAnsi="宋体" w:cs="宋体"/>
          <w:color w:val="auto"/>
          <w:kern w:val="1"/>
          <w:szCs w:val="21"/>
          <w:u w:val="single"/>
        </w:rPr>
        <w:t>评标委员会评委揭晓投标人身份。</w:t>
      </w:r>
    </w:p>
    <w:p w14:paraId="63BD820F">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ascii="宋体" w:hAnsi="宋体" w:cs="宋体"/>
          <w:color w:val="auto"/>
          <w:kern w:val="1"/>
          <w:szCs w:val="21"/>
          <w:u w:val="single"/>
        </w:rPr>
        <w:t>.</w:t>
      </w:r>
      <w:r>
        <w:rPr>
          <w:rFonts w:hint="eastAsia" w:ascii="宋体" w:hAnsi="宋体" w:cs="宋体"/>
          <w:color w:val="auto"/>
          <w:kern w:val="1"/>
          <w:szCs w:val="21"/>
          <w:u w:val="single"/>
          <w:lang w:val="en-US" w:eastAsia="zh-CN"/>
        </w:rPr>
        <w:t>2</w:t>
      </w:r>
      <w:r>
        <w:rPr>
          <w:rFonts w:ascii="宋体" w:hAnsi="宋体" w:cs="宋体"/>
          <w:color w:val="auto"/>
          <w:kern w:val="1"/>
          <w:szCs w:val="21"/>
          <w:u w:val="single"/>
        </w:rPr>
        <w:t>.</w:t>
      </w:r>
      <w:r>
        <w:rPr>
          <w:rFonts w:hint="eastAsia" w:ascii="宋体" w:hAnsi="宋体" w:cs="宋体"/>
          <w:color w:val="auto"/>
          <w:kern w:val="1"/>
          <w:szCs w:val="21"/>
          <w:u w:val="single"/>
          <w:lang w:val="en-US" w:eastAsia="zh-CN"/>
        </w:rPr>
        <w:t>6</w:t>
      </w:r>
      <w:r>
        <w:rPr>
          <w:rFonts w:hint="eastAsia" w:ascii="宋体" w:hAnsi="宋体" w:cs="宋体"/>
          <w:color w:val="auto"/>
          <w:kern w:val="1"/>
          <w:szCs w:val="21"/>
          <w:u w:val="single"/>
        </w:rPr>
        <w:t>评标委员会评委汇总各投标人设计方案部分得分、编写、签署设计方案评标报告，评标报告由评标委员会评委全体成员签名，对评标结论持有异议的评标委员会成员可以书面方式阐述其不同意见和理由。</w:t>
      </w:r>
    </w:p>
    <w:p w14:paraId="3FD0DB4A">
      <w:pPr>
        <w:pStyle w:val="4"/>
        <w:spacing w:before="0" w:after="0" w:line="360" w:lineRule="auto"/>
        <w:ind w:firstLine="422" w:firstLineChars="200"/>
        <w:rPr>
          <w:rFonts w:hint="eastAsia" w:ascii="宋体" w:eastAsia="宋体"/>
          <w:color w:val="auto"/>
          <w:sz w:val="21"/>
          <w:szCs w:val="21"/>
          <w:u w:val="single"/>
        </w:rPr>
      </w:pPr>
      <w:bookmarkStart w:id="567" w:name="_Toc31095"/>
      <w:bookmarkStart w:id="568" w:name="_Toc6888"/>
      <w:bookmarkStart w:id="569" w:name="_Toc18106"/>
      <w:r>
        <w:rPr>
          <w:rFonts w:hint="eastAsia" w:ascii="宋体" w:eastAsia="宋体"/>
          <w:b/>
          <w:color w:val="auto"/>
          <w:sz w:val="21"/>
          <w:szCs w:val="21"/>
          <w:u w:val="single"/>
        </w:rPr>
        <w:t>3.</w:t>
      </w:r>
      <w:r>
        <w:rPr>
          <w:rFonts w:ascii="宋体" w:eastAsia="宋体"/>
          <w:b/>
          <w:color w:val="auto"/>
          <w:sz w:val="21"/>
          <w:szCs w:val="21"/>
          <w:u w:val="single"/>
        </w:rPr>
        <w:t>3</w:t>
      </w:r>
      <w:bookmarkEnd w:id="558"/>
      <w:bookmarkEnd w:id="567"/>
      <w:r>
        <w:rPr>
          <w:rFonts w:hint="eastAsia" w:ascii="宋体" w:eastAsia="宋体"/>
          <w:b/>
          <w:color w:val="auto"/>
          <w:sz w:val="21"/>
          <w:szCs w:val="21"/>
          <w:u w:val="single"/>
        </w:rPr>
        <w:t>工程总承包实施方案技术部分评审</w:t>
      </w:r>
      <w:bookmarkEnd w:id="568"/>
      <w:bookmarkEnd w:id="569"/>
    </w:p>
    <w:p w14:paraId="0D488ECD">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3.3.1评标委员会评委对所有通过形式评审</w:t>
      </w:r>
      <w:r>
        <w:rPr>
          <w:rFonts w:hint="eastAsia" w:ascii="宋体" w:hAnsi="宋体" w:cs="宋体"/>
          <w:color w:val="auto"/>
          <w:kern w:val="1"/>
          <w:szCs w:val="21"/>
          <w:u w:val="single"/>
          <w:lang w:eastAsia="zh-CN"/>
        </w:rPr>
        <w:t>、</w:t>
      </w:r>
      <w:r>
        <w:rPr>
          <w:rFonts w:hint="eastAsia" w:ascii="宋体" w:hAnsi="宋体" w:cs="宋体"/>
          <w:color w:val="auto"/>
          <w:kern w:val="1"/>
          <w:szCs w:val="21"/>
          <w:u w:val="single"/>
          <w:lang w:val="en-US" w:eastAsia="zh-CN"/>
        </w:rPr>
        <w:t>资格评审、</w:t>
      </w:r>
      <w:r>
        <w:rPr>
          <w:rFonts w:hint="eastAsia" w:ascii="宋体" w:hAnsi="宋体" w:cs="宋体"/>
          <w:color w:val="auto"/>
          <w:kern w:val="1"/>
          <w:szCs w:val="21"/>
          <w:u w:val="single"/>
        </w:rPr>
        <w:t>设计方案响应性评审（暗标）的投标人进行工程总承包实施方案响应性评审</w:t>
      </w:r>
      <w:r>
        <w:rPr>
          <w:rFonts w:hint="eastAsia" w:ascii="宋体" w:hAnsi="宋体" w:cs="宋体"/>
          <w:color w:val="auto"/>
          <w:kern w:val="1"/>
          <w:szCs w:val="21"/>
          <w:u w:val="single"/>
          <w:lang w:eastAsia="zh-CN"/>
        </w:rPr>
        <w:t>。工程总承包实施方案响应性评审</w:t>
      </w:r>
      <w:r>
        <w:rPr>
          <w:rFonts w:hint="eastAsia" w:ascii="宋体" w:hAnsi="宋体" w:cs="宋体"/>
          <w:color w:val="auto"/>
          <w:kern w:val="1"/>
          <w:szCs w:val="21"/>
          <w:u w:val="single"/>
        </w:rPr>
        <w:t>全部符合工程总承包实施方案响应性评审标准（详见前附表）中</w:t>
      </w:r>
      <w:r>
        <w:rPr>
          <w:rFonts w:hint="eastAsia" w:ascii="宋体" w:hAnsi="宋体" w:cs="宋体"/>
          <w:color w:val="auto"/>
          <w:kern w:val="1"/>
          <w:szCs w:val="21"/>
          <w:u w:val="single"/>
          <w:lang w:val="en-US" w:eastAsia="zh-CN"/>
        </w:rPr>
        <w:t>规定</w:t>
      </w:r>
      <w:r>
        <w:rPr>
          <w:rFonts w:hint="eastAsia" w:ascii="宋体" w:hAnsi="宋体" w:cs="宋体"/>
          <w:color w:val="auto"/>
          <w:kern w:val="1"/>
          <w:szCs w:val="21"/>
          <w:u w:val="single"/>
        </w:rPr>
        <w:t>情形的，为工程总承包实施方案响应性评审</w:t>
      </w:r>
      <w:r>
        <w:rPr>
          <w:rFonts w:hint="eastAsia" w:ascii="宋体" w:hAnsi="宋体" w:cs="宋体"/>
          <w:color w:val="auto"/>
          <w:kern w:val="1"/>
          <w:szCs w:val="21"/>
          <w:u w:val="single"/>
          <w:lang w:val="en-US" w:eastAsia="zh-CN"/>
        </w:rPr>
        <w:t>合格</w:t>
      </w:r>
      <w:r>
        <w:rPr>
          <w:rFonts w:hint="eastAsia" w:ascii="宋体" w:hAnsi="宋体" w:cs="宋体"/>
          <w:color w:val="auto"/>
          <w:kern w:val="1"/>
          <w:szCs w:val="21"/>
          <w:u w:val="single"/>
        </w:rPr>
        <w:t>。</w:t>
      </w:r>
      <w:r>
        <w:rPr>
          <w:rFonts w:hint="eastAsia" w:ascii="宋体" w:hAnsi="宋体" w:cs="宋体"/>
          <w:color w:val="auto"/>
          <w:kern w:val="1"/>
          <w:szCs w:val="21"/>
          <w:u w:val="single"/>
          <w:lang w:val="en-US" w:eastAsia="zh-CN"/>
        </w:rPr>
        <w:t>否则为</w:t>
      </w:r>
      <w:r>
        <w:rPr>
          <w:rFonts w:hint="eastAsia" w:ascii="宋体" w:hAnsi="宋体" w:cs="宋体"/>
          <w:color w:val="auto"/>
          <w:kern w:val="1"/>
          <w:szCs w:val="21"/>
          <w:u w:val="single"/>
        </w:rPr>
        <w:t>工程总承包实施方案响应性评审</w:t>
      </w:r>
      <w:r>
        <w:rPr>
          <w:rFonts w:hint="eastAsia" w:ascii="宋体" w:hAnsi="宋体" w:cs="宋体"/>
          <w:color w:val="auto"/>
          <w:kern w:val="1"/>
          <w:szCs w:val="21"/>
          <w:u w:val="single"/>
          <w:lang w:val="en-US" w:eastAsia="zh-CN"/>
        </w:rPr>
        <w:t>不合格，</w:t>
      </w:r>
      <w:r>
        <w:rPr>
          <w:rFonts w:hint="eastAsia" w:ascii="宋体" w:hAnsi="宋体" w:cs="宋体"/>
          <w:color w:val="auto"/>
          <w:kern w:val="1"/>
          <w:szCs w:val="21"/>
          <w:u w:val="single"/>
        </w:rPr>
        <w:t>经评标委员会评委共同认定后，其投标文件将被拒绝。如评标委员会评委的评审意见不一致时，则评标委员会成员共同表决，按照少数服从多数的原则决定否决其投标。</w:t>
      </w:r>
    </w:p>
    <w:p w14:paraId="4A798B43">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lang w:val="en-US" w:eastAsia="zh-CN"/>
        </w:rPr>
        <w:t>3.3.2汇总</w:t>
      </w:r>
      <w:r>
        <w:rPr>
          <w:rFonts w:hint="eastAsia" w:ascii="宋体" w:hAnsi="宋体" w:cs="宋体"/>
          <w:color w:val="auto"/>
          <w:kern w:val="1"/>
          <w:szCs w:val="21"/>
          <w:u w:val="single"/>
        </w:rPr>
        <w:t>工程总承包实施方案响应性评审</w:t>
      </w:r>
      <w:r>
        <w:rPr>
          <w:rFonts w:hint="eastAsia" w:ascii="宋体" w:hAnsi="宋体" w:cs="宋体"/>
          <w:color w:val="auto"/>
          <w:kern w:val="1"/>
          <w:szCs w:val="21"/>
          <w:u w:val="single"/>
          <w:lang w:val="en-US" w:eastAsia="zh-CN"/>
        </w:rPr>
        <w:t>情况，只有通过</w:t>
      </w:r>
      <w:r>
        <w:rPr>
          <w:rFonts w:hint="eastAsia" w:ascii="宋体" w:hAnsi="宋体" w:cs="宋体"/>
          <w:color w:val="auto"/>
          <w:kern w:val="1"/>
          <w:szCs w:val="21"/>
          <w:u w:val="single"/>
        </w:rPr>
        <w:t>工程总承包实施方案响应性评审的投标人方可进入下一阶段的评审。工程总承包实施方案响应性评审合格的投标人少于3名的，则本项目招标失败。</w:t>
      </w:r>
    </w:p>
    <w:p w14:paraId="33E059F7">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3.3.</w:t>
      </w:r>
      <w:r>
        <w:rPr>
          <w:rFonts w:hint="eastAsia" w:ascii="宋体" w:hAnsi="宋体" w:cs="宋体"/>
          <w:color w:val="auto"/>
          <w:kern w:val="1"/>
          <w:szCs w:val="21"/>
          <w:u w:val="single"/>
          <w:lang w:val="en-US" w:eastAsia="zh-CN"/>
        </w:rPr>
        <w:t>3</w:t>
      </w:r>
      <w:r>
        <w:rPr>
          <w:rFonts w:hint="eastAsia" w:ascii="宋体" w:hAnsi="宋体" w:cs="宋体"/>
          <w:color w:val="auto"/>
          <w:kern w:val="1"/>
          <w:szCs w:val="21"/>
          <w:u w:val="single"/>
        </w:rPr>
        <w:t>工程总承包实施方案技术部分详细审查：评标委员会评委按照工程总承包实施方案技术部分评分标准（详见前附表），对通过工程总承包实施方案响应性评审的投标文件进行详细评审，评分。</w:t>
      </w:r>
    </w:p>
    <w:p w14:paraId="40E81D4A">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3.3.</w:t>
      </w:r>
      <w:r>
        <w:rPr>
          <w:rFonts w:hint="eastAsia" w:ascii="宋体" w:hAnsi="宋体" w:cs="宋体"/>
          <w:color w:val="auto"/>
          <w:kern w:val="1"/>
          <w:szCs w:val="21"/>
          <w:u w:val="single"/>
          <w:lang w:val="en-US" w:eastAsia="zh-CN"/>
        </w:rPr>
        <w:t>4</w:t>
      </w:r>
      <w:r>
        <w:rPr>
          <w:rFonts w:hint="eastAsia" w:ascii="宋体" w:hAnsi="宋体" w:cs="宋体"/>
          <w:color w:val="auto"/>
          <w:kern w:val="1"/>
          <w:szCs w:val="21"/>
          <w:u w:val="single"/>
        </w:rPr>
        <w:t>各投标人工程总承包实施方案技术部分得分为所有评委每个分项的分数汇总后的算术平均值，评标委员会评委按此汇总每个投标人工程总承包实施方案技术部分详细评审得分，分数出现小数点，保留小数点后二位，第三位小数四舍五入。</w:t>
      </w:r>
    </w:p>
    <w:p w14:paraId="23B88171">
      <w:pPr>
        <w:pStyle w:val="4"/>
        <w:spacing w:before="0" w:after="0" w:line="360" w:lineRule="auto"/>
        <w:ind w:firstLine="422" w:firstLineChars="200"/>
        <w:rPr>
          <w:rFonts w:hint="eastAsia" w:ascii="宋体" w:eastAsia="宋体"/>
          <w:b/>
          <w:color w:val="auto"/>
          <w:sz w:val="21"/>
          <w:szCs w:val="21"/>
          <w:u w:val="single"/>
        </w:rPr>
      </w:pPr>
      <w:bookmarkStart w:id="570" w:name="_Toc32366"/>
      <w:bookmarkStart w:id="571" w:name="_Toc10876"/>
      <w:r>
        <w:rPr>
          <w:rFonts w:hint="eastAsia" w:ascii="宋体" w:eastAsia="宋体"/>
          <w:b/>
          <w:color w:val="auto"/>
          <w:sz w:val="21"/>
          <w:szCs w:val="21"/>
          <w:u w:val="single"/>
        </w:rPr>
        <w:t>3.</w:t>
      </w:r>
      <w:r>
        <w:rPr>
          <w:rFonts w:ascii="宋体" w:eastAsia="宋体"/>
          <w:b/>
          <w:color w:val="auto"/>
          <w:sz w:val="21"/>
          <w:szCs w:val="21"/>
          <w:u w:val="single"/>
        </w:rPr>
        <w:t>4</w:t>
      </w:r>
      <w:r>
        <w:rPr>
          <w:rFonts w:hint="eastAsia" w:ascii="宋体" w:eastAsia="宋体"/>
          <w:b/>
          <w:color w:val="auto"/>
          <w:sz w:val="21"/>
          <w:szCs w:val="21"/>
          <w:u w:val="single"/>
        </w:rPr>
        <w:t>工程总承包实施方案经济部分评审</w:t>
      </w:r>
      <w:bookmarkEnd w:id="570"/>
      <w:bookmarkEnd w:id="571"/>
    </w:p>
    <w:p w14:paraId="784A928E">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3.4.1评标委员会评委汇总各投标人的初步评审结果，未通过初步评审的投标人的投标报价，不再进行工程总承包实施方案经济部分评审，也不参与评标基准价的计算。</w:t>
      </w:r>
    </w:p>
    <w:p w14:paraId="5FE54EDD">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w:t>
      </w:r>
      <w:r>
        <w:rPr>
          <w:rFonts w:ascii="宋体" w:hAnsi="宋体" w:cs="宋体"/>
          <w:color w:val="auto"/>
          <w:kern w:val="1"/>
          <w:szCs w:val="21"/>
          <w:u w:val="single"/>
        </w:rPr>
        <w:t>4.2</w:t>
      </w:r>
      <w:r>
        <w:rPr>
          <w:rFonts w:hint="eastAsia" w:ascii="宋体" w:hAnsi="宋体" w:cs="宋体"/>
          <w:color w:val="auto"/>
          <w:kern w:val="1"/>
          <w:szCs w:val="21"/>
          <w:u w:val="single"/>
        </w:rPr>
        <w:t xml:space="preserve"> 投标报价有算术错误的，评标委员会评委按以下原则对投标报价进行修正，修正的价格经投标人书面确认后具有约束力。投标人不接受修正价格的，评标委员会应当否决其投标。</w:t>
      </w:r>
    </w:p>
    <w:p w14:paraId="7B0F6918">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1）如果设计部分限价减投标人设计部分投标下浮率乘以设计部分限价不等于设计部分投标报价时，以投标人设计部分投标下浮率为准修正设计部分投标报价（投标人设计部分投标下浮率有明显的小数点错误的除外，此时应修正投标人设计部分投标下浮率），若修正后的设计部分投标报价超过设计部分限价的，作否决投标处理；施工部分投标报价同理修正。</w:t>
      </w:r>
    </w:p>
    <w:p w14:paraId="193FC4BE">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（2）如果数字表示的金额和用文字表示的金额不一致时，应以文字表示的金额为准（有以下算术性错误需要修正的除外）；</w:t>
      </w:r>
    </w:p>
    <w:p w14:paraId="3E6B6CCA">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（3）如果分项报价累加不等总价的，以分项报价累加为准，修正总价；</w:t>
      </w:r>
    </w:p>
    <w:p w14:paraId="3A394AF7">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（4）投标文件存在其他计算性错误的，按就低不就高计算并修正；</w:t>
      </w:r>
    </w:p>
    <w:p w14:paraId="42FDA771">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（5）按上述修正错误的原则及方法调整或修正投标文件的投标报价，调整后的投标报价对投标人起约束作用。如果投标人不接受修正后的报价，则取消其投标资格。</w:t>
      </w:r>
    </w:p>
    <w:p w14:paraId="180D7F5B">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3.4.3工程总承包实施方案经济部分评分（仅对施工部分投标报价进行评分）</w:t>
      </w:r>
    </w:p>
    <w:p w14:paraId="58DB8FB6">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（1）评标委员会评委按照评标基准价计算方法（详见前附表），计算出评标基准价。</w:t>
      </w:r>
    </w:p>
    <w:p w14:paraId="7A252828">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（2）评标委员会评委按照工程总承包实施方案经济部分评分标准（详见前附表），对通过初步评审的投标文件的投标人评标报价进行评分，评出工程总承包实施方案经济部分详细审查得分。</w:t>
      </w:r>
    </w:p>
    <w:p w14:paraId="470E2426">
      <w:pPr>
        <w:pStyle w:val="14"/>
        <w:spacing w:line="360" w:lineRule="auto"/>
        <w:ind w:firstLine="420" w:firstLineChars="200"/>
        <w:rPr>
          <w:rFonts w:hint="default" w:ascii="宋体" w:hAnsi="宋体" w:eastAsia="宋体" w:cs="宋体"/>
          <w:color w:val="auto"/>
          <w:kern w:val="1"/>
          <w:szCs w:val="21"/>
          <w:u w:val="single"/>
          <w:lang w:val="en-US" w:eastAsia="zh-CN"/>
        </w:rPr>
      </w:pPr>
      <w:r>
        <w:rPr>
          <w:rFonts w:hint="eastAsia" w:ascii="宋体" w:hAnsi="宋体" w:cs="宋体"/>
          <w:color w:val="auto"/>
          <w:kern w:val="1"/>
          <w:szCs w:val="21"/>
          <w:u w:val="single"/>
          <w:lang w:val="en-US" w:eastAsia="zh-CN"/>
        </w:rPr>
        <w:t>3.4.4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14:paraId="7E828E13">
      <w:pPr>
        <w:pStyle w:val="4"/>
        <w:spacing w:before="0" w:after="0" w:line="360" w:lineRule="auto"/>
        <w:ind w:firstLine="422" w:firstLineChars="200"/>
        <w:rPr>
          <w:rFonts w:hint="eastAsia" w:ascii="宋体" w:eastAsia="宋体"/>
          <w:b/>
          <w:color w:val="auto"/>
          <w:sz w:val="21"/>
          <w:szCs w:val="21"/>
          <w:u w:val="single"/>
        </w:rPr>
      </w:pPr>
      <w:bookmarkStart w:id="572" w:name="_Toc28"/>
      <w:bookmarkStart w:id="573" w:name="_Toc6390"/>
      <w:r>
        <w:rPr>
          <w:rFonts w:hint="eastAsia" w:ascii="宋体" w:eastAsia="宋体"/>
          <w:b/>
          <w:color w:val="auto"/>
          <w:sz w:val="21"/>
          <w:szCs w:val="21"/>
          <w:u w:val="single"/>
        </w:rPr>
        <w:t>3</w:t>
      </w:r>
      <w:r>
        <w:rPr>
          <w:rFonts w:ascii="宋体" w:eastAsia="宋体"/>
          <w:b/>
          <w:color w:val="auto"/>
          <w:sz w:val="21"/>
          <w:szCs w:val="21"/>
          <w:u w:val="single"/>
        </w:rPr>
        <w:t xml:space="preserve">.5 </w:t>
      </w:r>
      <w:r>
        <w:rPr>
          <w:rFonts w:hint="eastAsia" w:ascii="宋体" w:eastAsia="宋体"/>
          <w:b/>
          <w:color w:val="auto"/>
          <w:sz w:val="21"/>
          <w:szCs w:val="21"/>
          <w:u w:val="single"/>
        </w:rPr>
        <w:t>评审汇总</w:t>
      </w:r>
      <w:bookmarkEnd w:id="572"/>
      <w:bookmarkEnd w:id="573"/>
    </w:p>
    <w:p w14:paraId="71915F5E">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3.5.1投标人总得分满分为100分，各部分分值分配详见评标办法前附表。</w:t>
      </w:r>
    </w:p>
    <w:p w14:paraId="71048BB6">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3.5.2评标委员会汇总各有效投标文件的总分，并按照总分从高到低排列先后次序，只有通过初步评审的投标文件方可计算总分。总分相等时，按照中标候选人排序方法（详见前附表），确定中标候选人的排序。评标委员会应按排序先后，向招标人推荐前3名投标人依次为第一中标候选人至第三中标候选人，并编写评标报告。</w:t>
      </w:r>
    </w:p>
    <w:p w14:paraId="5670BAFA">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3.5.3有效投标单位不足三家，应当依法重新组织招标。</w:t>
      </w:r>
    </w:p>
    <w:bookmarkEnd w:id="559"/>
    <w:bookmarkEnd w:id="560"/>
    <w:bookmarkEnd w:id="561"/>
    <w:bookmarkEnd w:id="562"/>
    <w:bookmarkEnd w:id="563"/>
    <w:bookmarkEnd w:id="564"/>
    <w:bookmarkEnd w:id="565"/>
    <w:bookmarkEnd w:id="566"/>
    <w:p w14:paraId="3DC1FE62">
      <w:pPr>
        <w:pStyle w:val="4"/>
        <w:spacing w:before="0" w:after="0" w:line="360" w:lineRule="auto"/>
        <w:ind w:firstLine="422" w:firstLineChars="200"/>
        <w:rPr>
          <w:rFonts w:hint="eastAsia" w:ascii="宋体" w:eastAsia="宋体"/>
          <w:b/>
          <w:color w:val="auto"/>
          <w:sz w:val="21"/>
          <w:szCs w:val="21"/>
          <w:u w:val="single"/>
        </w:rPr>
      </w:pPr>
      <w:bookmarkStart w:id="574" w:name="_Toc5078"/>
      <w:bookmarkStart w:id="575" w:name="_Toc31328"/>
      <w:r>
        <w:rPr>
          <w:rFonts w:hint="eastAsia" w:ascii="宋体" w:eastAsia="宋体"/>
          <w:b/>
          <w:color w:val="auto"/>
          <w:sz w:val="21"/>
          <w:szCs w:val="21"/>
          <w:u w:val="single"/>
        </w:rPr>
        <w:t>3</w:t>
      </w:r>
      <w:r>
        <w:rPr>
          <w:rFonts w:ascii="宋体" w:eastAsia="宋体"/>
          <w:b/>
          <w:color w:val="auto"/>
          <w:sz w:val="21"/>
          <w:szCs w:val="21"/>
          <w:u w:val="single"/>
        </w:rPr>
        <w:t>.6</w:t>
      </w:r>
      <w:r>
        <w:rPr>
          <w:rFonts w:hint="eastAsia" w:ascii="宋体" w:eastAsia="宋体"/>
          <w:b/>
          <w:color w:val="auto"/>
          <w:sz w:val="21"/>
          <w:szCs w:val="21"/>
          <w:u w:val="single"/>
        </w:rPr>
        <w:t>投标文件的澄清和补正</w:t>
      </w:r>
      <w:bookmarkEnd w:id="574"/>
      <w:bookmarkEnd w:id="575"/>
    </w:p>
    <w:p w14:paraId="5648CF37">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3.6.1为有助于投标文件的审查、评价和比较，评标期间，经评标委员会中两人以上（含两人）的成员以书面形式提出动议，评标委员会应当书面发出澄清通知，要求投标人对投标文件含义不明确的内容作出澄清。</w:t>
      </w:r>
    </w:p>
    <w:p w14:paraId="4242541C">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3.6.2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05A19BEE">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3.6.3 评标委员会成员均应当阅读投标人的澄清，但应独立参考澄清对投标文件进行评审。</w:t>
      </w:r>
    </w:p>
    <w:p w14:paraId="23E7A033">
      <w:pPr>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3.6.4如果投标文件实质上不响应招标文件的各项要求，评标委员会相应评审将按照响应性审查标准予以拒绝，不接受投标人通过修改或撤销其不符合要求的差异或保留，使之成为具有响应性的投标。</w:t>
      </w:r>
    </w:p>
    <w:p w14:paraId="07F99AD9">
      <w:pPr>
        <w:pStyle w:val="4"/>
        <w:spacing w:before="0" w:after="0" w:line="360" w:lineRule="auto"/>
        <w:ind w:firstLine="422" w:firstLineChars="200"/>
        <w:rPr>
          <w:rFonts w:hint="eastAsia" w:ascii="宋体" w:eastAsia="宋体"/>
          <w:b/>
          <w:color w:val="auto"/>
          <w:sz w:val="21"/>
          <w:szCs w:val="21"/>
          <w:u w:val="single"/>
        </w:rPr>
      </w:pPr>
      <w:bookmarkStart w:id="576" w:name="_Toc8524"/>
      <w:bookmarkStart w:id="577" w:name="_Toc30154"/>
      <w:r>
        <w:rPr>
          <w:rFonts w:hint="eastAsia" w:ascii="宋体" w:eastAsia="宋体"/>
          <w:b/>
          <w:color w:val="auto"/>
          <w:sz w:val="21"/>
          <w:szCs w:val="21"/>
          <w:u w:val="single"/>
        </w:rPr>
        <w:t>3</w:t>
      </w:r>
      <w:r>
        <w:rPr>
          <w:rFonts w:ascii="宋体" w:eastAsia="宋体"/>
          <w:b/>
          <w:color w:val="auto"/>
          <w:sz w:val="21"/>
          <w:szCs w:val="21"/>
          <w:u w:val="single"/>
        </w:rPr>
        <w:t>.7</w:t>
      </w:r>
      <w:r>
        <w:rPr>
          <w:rFonts w:hint="eastAsia" w:ascii="宋体" w:eastAsia="宋体"/>
          <w:b/>
          <w:color w:val="auto"/>
          <w:sz w:val="21"/>
          <w:szCs w:val="21"/>
          <w:u w:val="single"/>
        </w:rPr>
        <w:t>评标结果</w:t>
      </w:r>
      <w:bookmarkEnd w:id="576"/>
      <w:bookmarkEnd w:id="577"/>
    </w:p>
    <w:p w14:paraId="0DB633E7">
      <w:pPr>
        <w:pStyle w:val="14"/>
        <w:spacing w:line="360" w:lineRule="auto"/>
        <w:ind w:firstLine="420" w:firstLineChars="200"/>
        <w:rPr>
          <w:rFonts w:hint="eastAsia" w:ascii="宋体" w:hAnsi="宋体" w:cs="宋体"/>
          <w:color w:val="auto"/>
          <w:kern w:val="1"/>
          <w:szCs w:val="21"/>
          <w:u w:val="single"/>
        </w:rPr>
      </w:pPr>
      <w:bookmarkStart w:id="578" w:name="_Toc11283"/>
      <w:r>
        <w:rPr>
          <w:rFonts w:hint="eastAsia" w:ascii="宋体" w:hAnsi="宋体" w:cs="宋体"/>
          <w:color w:val="auto"/>
          <w:kern w:val="1"/>
          <w:szCs w:val="21"/>
          <w:u w:val="single"/>
        </w:rPr>
        <w:t>3.7.1 除第二章“投标人须知”前附表授权直接确定中标人外，评标委员会按照得分由高到低的顺序推荐中标候选人。</w:t>
      </w:r>
    </w:p>
    <w:p w14:paraId="21F1D9D2">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3.7.2 评标委员会完成评标后，应当向招标人提交书面评标报告。</w:t>
      </w:r>
    </w:p>
    <w:p w14:paraId="563E09E8">
      <w:pPr>
        <w:pStyle w:val="14"/>
        <w:spacing w:line="360" w:lineRule="auto"/>
        <w:ind w:firstLine="420" w:firstLineChars="200"/>
        <w:rPr>
          <w:rFonts w:hint="eastAsia" w:ascii="宋体" w:hAnsi="宋体" w:cs="宋体"/>
          <w:color w:val="auto"/>
          <w:kern w:val="1"/>
          <w:szCs w:val="21"/>
          <w:u w:val="single"/>
        </w:rPr>
      </w:pPr>
      <w:r>
        <w:rPr>
          <w:rFonts w:hint="eastAsia" w:ascii="宋体" w:hAnsi="宋体" w:cs="宋体"/>
          <w:color w:val="auto"/>
          <w:kern w:val="1"/>
          <w:szCs w:val="21"/>
          <w:u w:val="single"/>
        </w:rPr>
        <w:t>3.7.3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250EE119">
      <w:pPr>
        <w:pStyle w:val="3"/>
        <w:numPr>
          <w:ilvl w:val="255"/>
          <w:numId w:val="0"/>
        </w:numPr>
        <w:spacing w:before="0" w:after="0" w:line="360" w:lineRule="auto"/>
        <w:ind w:firstLine="422" w:firstLineChars="200"/>
        <w:rPr>
          <w:rFonts w:hint="eastAsia" w:ascii="宋体" w:hAnsi="宋体" w:eastAsia="宋体" w:cs="宋体"/>
          <w:color w:val="auto"/>
          <w:sz w:val="21"/>
          <w:szCs w:val="21"/>
          <w:lang w:val="zh-CN"/>
        </w:rPr>
      </w:pPr>
      <w:bookmarkStart w:id="579" w:name="_Toc28793"/>
      <w:bookmarkStart w:id="580" w:name="_Toc10167"/>
      <w:bookmarkStart w:id="581" w:name="_Toc179281933"/>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否决性条款（详见附件：否决性条款汇总）</w:t>
      </w:r>
      <w:bookmarkEnd w:id="578"/>
      <w:bookmarkEnd w:id="579"/>
      <w:bookmarkEnd w:id="580"/>
      <w:bookmarkEnd w:id="581"/>
    </w:p>
    <w:p w14:paraId="46DE516D">
      <w:pPr>
        <w:pStyle w:val="3"/>
        <w:spacing w:before="0" w:after="0" w:line="360" w:lineRule="auto"/>
        <w:ind w:firstLine="422" w:firstLineChars="200"/>
        <w:rPr>
          <w:rFonts w:hint="eastAsia" w:ascii="宋体" w:hAnsi="宋体" w:eastAsia="宋体" w:cs="宋体"/>
          <w:color w:val="auto"/>
          <w:sz w:val="21"/>
          <w:szCs w:val="21"/>
          <w:lang w:val="zh-CN"/>
        </w:rPr>
      </w:pPr>
      <w:bookmarkStart w:id="582" w:name="_Toc29974"/>
      <w:bookmarkEnd w:id="582"/>
      <w:bookmarkStart w:id="583" w:name="_Toc14390"/>
      <w:bookmarkEnd w:id="583"/>
      <w:bookmarkStart w:id="584" w:name="_Toc5620358"/>
      <w:bookmarkStart w:id="585" w:name="_Toc1748"/>
      <w:bookmarkStart w:id="586" w:name="_Toc15619"/>
      <w:bookmarkStart w:id="587" w:name="_Toc179281934"/>
      <w:bookmarkStart w:id="588" w:name="_Toc30449"/>
      <w:r>
        <w:rPr>
          <w:rFonts w:hint="eastAsia" w:ascii="宋体" w:hAnsi="宋体" w:eastAsia="宋体" w:cs="宋体"/>
          <w:color w:val="auto"/>
          <w:sz w:val="21"/>
          <w:szCs w:val="21"/>
          <w:lang w:val="zh-CN"/>
        </w:rPr>
        <w:t>5.评标表格</w:t>
      </w:r>
      <w:bookmarkEnd w:id="584"/>
      <w:bookmarkEnd w:id="585"/>
      <w:bookmarkEnd w:id="586"/>
      <w:bookmarkEnd w:id="587"/>
      <w:bookmarkEnd w:id="588"/>
    </w:p>
    <w:p w14:paraId="59E6982A">
      <w:pPr>
        <w:spacing w:line="360" w:lineRule="auto"/>
        <w:ind w:firstLine="420" w:firstLineChars="200"/>
        <w:rPr>
          <w:rFonts w:hint="eastAsia" w:ascii="宋体" w:hAnsi="宋体" w:cs="宋体"/>
          <w:color w:val="auto"/>
          <w:kern w:val="1"/>
          <w:szCs w:val="21"/>
        </w:rPr>
      </w:pPr>
      <w:r>
        <w:rPr>
          <w:rFonts w:hint="eastAsia" w:ascii="宋体" w:hAnsi="宋体" w:cs="宋体"/>
          <w:color w:val="auto"/>
          <w:kern w:val="1"/>
          <w:szCs w:val="21"/>
        </w:rPr>
        <w:t>见附表。</w:t>
      </w:r>
    </w:p>
    <w:p w14:paraId="74CE9D56">
      <w:pPr>
        <w:rPr>
          <w:rFonts w:hint="eastAsia"/>
          <w:color w:val="auto"/>
        </w:rPr>
      </w:pPr>
      <w:r>
        <w:rPr>
          <w:rFonts w:hint="eastAsia" w:ascii="宋体" w:hAnsi="宋体" w:cs="宋体"/>
          <w:color w:val="auto"/>
          <w:szCs w:val="21"/>
        </w:rPr>
        <w:br w:type="page"/>
      </w:r>
    </w:p>
    <w:p w14:paraId="49DBE6D0">
      <w:pPr>
        <w:pStyle w:val="12"/>
        <w:rPr>
          <w:rFonts w:hint="eastAsia"/>
          <w:color w:val="auto"/>
        </w:rPr>
        <w:sectPr>
          <w:footerReference r:id="rId5" w:type="first"/>
          <w:footerReference r:id="rId4" w:type="default"/>
          <w:pgSz w:w="11906" w:h="16838"/>
          <w:pgMar w:top="1440" w:right="1800" w:bottom="1440" w:left="1800" w:header="851" w:footer="992" w:gutter="0"/>
          <w:cols w:space="720" w:num="1"/>
          <w:docGrid w:type="lines" w:linePitch="312" w:charSpace="0"/>
        </w:sectPr>
      </w:pPr>
    </w:p>
    <w:p w14:paraId="0A84E5CE">
      <w:pPr>
        <w:shd w:val="clea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07467D0C">
      <w:pPr>
        <w:jc w:val="left"/>
        <w:outlineLvl w:val="3"/>
        <w:rPr>
          <w:rFonts w:hint="eastAsia" w:ascii="宋体" w:hAnsi="宋体" w:cs="宋体"/>
          <w:b/>
          <w:color w:val="auto"/>
          <w:sz w:val="28"/>
          <w:szCs w:val="28"/>
        </w:rPr>
      </w:pPr>
      <w:bookmarkStart w:id="589" w:name="_Toc152045609"/>
      <w:bookmarkStart w:id="590" w:name="_Toc30231"/>
      <w:bookmarkStart w:id="591" w:name="_Toc144974577"/>
      <w:bookmarkStart w:id="592" w:name="_Toc247514033"/>
      <w:bookmarkStart w:id="593" w:name="_Toc152042387"/>
      <w:bookmarkStart w:id="594" w:name="_Toc247527634"/>
      <w:bookmarkStart w:id="595" w:name="_Toc24223"/>
      <w:r>
        <w:rPr>
          <w:rFonts w:hint="eastAsia" w:ascii="宋体" w:hAnsi="宋体" w:cs="宋体"/>
          <w:b/>
          <w:color w:val="auto"/>
          <w:sz w:val="28"/>
          <w:szCs w:val="28"/>
        </w:rPr>
        <w:t>附表1  设计方案评分表</w:t>
      </w:r>
    </w:p>
    <w:p w14:paraId="3637EE3B">
      <w:pPr>
        <w:wordWrap w:val="0"/>
        <w:topLinePunct/>
        <w:spacing w:line="360" w:lineRule="auto"/>
        <w:rPr>
          <w:rFonts w:hint="eastAsia" w:ascii="宋体" w:hAnsi="宋体" w:cs="宋体"/>
          <w:color w:val="auto"/>
          <w:szCs w:val="22"/>
        </w:rPr>
      </w:pPr>
      <w:r>
        <w:rPr>
          <w:rFonts w:hint="eastAsia" w:ascii="宋体" w:hAnsi="宋体" w:cs="宋体"/>
          <w:color w:val="auto"/>
          <w:szCs w:val="22"/>
        </w:rPr>
        <w:t>项目名称：</w:t>
      </w:r>
      <w:r>
        <w:rPr>
          <w:rFonts w:hint="eastAsia" w:ascii="宋体" w:hAnsi="宋体" w:cs="宋体"/>
          <w:color w:val="auto"/>
          <w:szCs w:val="22"/>
          <w:u w:val="single"/>
        </w:rPr>
        <w:t xml:space="preserve">                                      </w:t>
      </w:r>
      <w:r>
        <w:rPr>
          <w:rFonts w:hint="eastAsia" w:ascii="宋体" w:hAnsi="宋体" w:cs="宋体"/>
          <w:color w:val="auto"/>
          <w:szCs w:val="22"/>
        </w:rPr>
        <w:t xml:space="preserve">    </w:t>
      </w:r>
      <w:r>
        <w:rPr>
          <w:rFonts w:hint="eastAsia" w:ascii="宋体" w:hAnsi="宋体" w:cs="宋体"/>
          <w:color w:val="auto"/>
          <w:szCs w:val="21"/>
          <w:lang w:val="zh-CN"/>
        </w:rPr>
        <w:t>投标方案编号</w:t>
      </w:r>
      <w:r>
        <w:rPr>
          <w:rFonts w:hint="eastAsia" w:ascii="宋体" w:hAnsi="宋体" w:cs="宋体"/>
          <w:color w:val="auto"/>
          <w:szCs w:val="22"/>
        </w:rPr>
        <w:t>：</w:t>
      </w:r>
      <w:r>
        <w:rPr>
          <w:rFonts w:hint="eastAsia" w:ascii="宋体" w:hAnsi="宋体" w:cs="宋体"/>
          <w:color w:val="auto"/>
          <w:szCs w:val="22"/>
          <w:u w:val="single"/>
        </w:rPr>
        <w:t xml:space="preserve">                                  </w:t>
      </w:r>
      <w:r>
        <w:rPr>
          <w:rFonts w:hint="eastAsia" w:ascii="宋体" w:hAnsi="宋体" w:cs="宋体"/>
          <w:color w:val="auto"/>
          <w:szCs w:val="22"/>
        </w:rPr>
        <w:t xml:space="preserve">     </w:t>
      </w:r>
    </w:p>
    <w:tbl>
      <w:tblPr>
        <w:tblStyle w:val="40"/>
        <w:tblW w:w="1487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7"/>
        <w:gridCol w:w="1392"/>
        <w:gridCol w:w="1134"/>
        <w:gridCol w:w="11623"/>
      </w:tblGrid>
      <w:tr w14:paraId="12527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7" w:type="dxa"/>
            <w:vAlign w:val="center"/>
          </w:tcPr>
          <w:p w14:paraId="1ABB221B">
            <w:pPr>
              <w:topLinePunct/>
              <w:jc w:val="center"/>
              <w:rPr>
                <w:rFonts w:hint="eastAsia" w:ascii="宋体" w:hAnsi="宋体" w:cs="宋体"/>
                <w:color w:val="auto"/>
                <w:szCs w:val="21"/>
              </w:rPr>
            </w:pPr>
            <w:r>
              <w:rPr>
                <w:rFonts w:hint="eastAsia" w:ascii="宋体" w:hAnsi="宋体" w:cs="宋体"/>
                <w:color w:val="auto"/>
                <w:szCs w:val="21"/>
                <w:lang w:val="zh-CN"/>
              </w:rPr>
              <w:t>序号</w:t>
            </w:r>
          </w:p>
        </w:tc>
        <w:tc>
          <w:tcPr>
            <w:tcW w:w="1392" w:type="dxa"/>
            <w:vAlign w:val="center"/>
          </w:tcPr>
          <w:p w14:paraId="18182307">
            <w:pPr>
              <w:wordWrap w:val="0"/>
              <w:topLinePunct/>
              <w:jc w:val="center"/>
              <w:rPr>
                <w:rFonts w:hint="eastAsia" w:ascii="宋体" w:hAnsi="宋体" w:cs="宋体"/>
                <w:color w:val="auto"/>
                <w:szCs w:val="21"/>
              </w:rPr>
            </w:pPr>
            <w:r>
              <w:rPr>
                <w:rFonts w:hint="eastAsia" w:ascii="宋体" w:hAnsi="宋体" w:cs="宋体"/>
                <w:color w:val="auto"/>
                <w:szCs w:val="21"/>
                <w:lang w:val="zh-CN"/>
              </w:rPr>
              <w:t>项目</w:t>
            </w:r>
          </w:p>
        </w:tc>
        <w:tc>
          <w:tcPr>
            <w:tcW w:w="1134" w:type="dxa"/>
            <w:vAlign w:val="center"/>
          </w:tcPr>
          <w:p w14:paraId="71048660">
            <w:pPr>
              <w:wordWrap w:val="0"/>
              <w:topLinePunct/>
              <w:jc w:val="center"/>
              <w:rPr>
                <w:rFonts w:hint="eastAsia" w:ascii="宋体" w:hAnsi="宋体" w:cs="宋体"/>
                <w:color w:val="auto"/>
                <w:szCs w:val="21"/>
              </w:rPr>
            </w:pPr>
            <w:r>
              <w:rPr>
                <w:rFonts w:hint="eastAsia" w:ascii="宋体" w:hAnsi="宋体" w:cs="宋体"/>
                <w:color w:val="auto"/>
                <w:szCs w:val="21"/>
                <w:lang w:val="zh-CN"/>
              </w:rPr>
              <w:t>分值分配</w:t>
            </w:r>
          </w:p>
        </w:tc>
        <w:tc>
          <w:tcPr>
            <w:tcW w:w="11623" w:type="dxa"/>
            <w:vAlign w:val="center"/>
          </w:tcPr>
          <w:p w14:paraId="55A411FA">
            <w:pPr>
              <w:wordWrap w:val="0"/>
              <w:topLinePunct/>
              <w:jc w:val="center"/>
              <w:rPr>
                <w:rFonts w:hint="eastAsia" w:ascii="宋体" w:hAnsi="宋体" w:cs="宋体"/>
                <w:color w:val="auto"/>
                <w:szCs w:val="21"/>
              </w:rPr>
            </w:pPr>
            <w:r>
              <w:rPr>
                <w:rFonts w:hint="eastAsia" w:ascii="宋体" w:hAnsi="宋体" w:cs="宋体"/>
                <w:color w:val="auto"/>
                <w:szCs w:val="21"/>
                <w:lang w:val="zh-CN"/>
              </w:rPr>
              <w:t>内</w:t>
            </w:r>
            <w:r>
              <w:rPr>
                <w:rFonts w:hint="eastAsia" w:ascii="宋体" w:hAnsi="宋体" w:cs="宋体"/>
                <w:color w:val="auto"/>
                <w:szCs w:val="21"/>
              </w:rPr>
              <w:t xml:space="preserve">    </w:t>
            </w:r>
            <w:r>
              <w:rPr>
                <w:rFonts w:hint="eastAsia" w:ascii="宋体" w:hAnsi="宋体" w:cs="宋体"/>
                <w:color w:val="auto"/>
                <w:szCs w:val="21"/>
                <w:lang w:val="zh-CN"/>
              </w:rPr>
              <w:t>容</w:t>
            </w:r>
          </w:p>
        </w:tc>
      </w:tr>
      <w:tr w14:paraId="2790E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727" w:type="dxa"/>
            <w:vAlign w:val="center"/>
          </w:tcPr>
          <w:p w14:paraId="017D9024">
            <w:pPr>
              <w:wordWrap w:val="0"/>
              <w:topLinePunct/>
              <w:jc w:val="center"/>
              <w:rPr>
                <w:rFonts w:hint="eastAsia" w:ascii="宋体" w:hAnsi="宋体" w:cs="宋体"/>
                <w:color w:val="auto"/>
                <w:szCs w:val="21"/>
              </w:rPr>
            </w:pPr>
            <w:r>
              <w:rPr>
                <w:rFonts w:hint="eastAsia" w:ascii="宋体" w:hAnsi="宋体" w:cs="宋体"/>
                <w:color w:val="auto"/>
                <w:szCs w:val="21"/>
                <w:lang w:val="zh-CN"/>
              </w:rPr>
              <w:t>一</w:t>
            </w:r>
          </w:p>
        </w:tc>
        <w:tc>
          <w:tcPr>
            <w:tcW w:w="1392" w:type="dxa"/>
            <w:vAlign w:val="center"/>
          </w:tcPr>
          <w:p w14:paraId="490F5D50">
            <w:pPr>
              <w:wordWrap w:val="0"/>
              <w:topLinePunct/>
              <w:jc w:val="center"/>
              <w:rPr>
                <w:rFonts w:hint="eastAsia" w:ascii="宋体" w:hAnsi="宋体" w:cs="宋体"/>
                <w:color w:val="auto"/>
                <w:szCs w:val="21"/>
              </w:rPr>
            </w:pPr>
            <w:r>
              <w:rPr>
                <w:rFonts w:hint="eastAsia" w:ascii="宋体" w:hAnsi="宋体" w:cs="宋体"/>
                <w:color w:val="auto"/>
                <w:szCs w:val="21"/>
                <w:lang w:val="zh-CN"/>
              </w:rPr>
              <w:t>投标文件的符合性</w:t>
            </w:r>
          </w:p>
        </w:tc>
        <w:tc>
          <w:tcPr>
            <w:tcW w:w="1134" w:type="dxa"/>
            <w:vAlign w:val="center"/>
          </w:tcPr>
          <w:p w14:paraId="6D7BB4A8">
            <w:pPr>
              <w:wordWrap w:val="0"/>
              <w:topLinePunct/>
              <w:jc w:val="center"/>
              <w:rPr>
                <w:rFonts w:hint="eastAsia" w:ascii="宋体" w:hAnsi="宋体" w:cs="宋体"/>
                <w:color w:val="auto"/>
                <w:szCs w:val="21"/>
              </w:rPr>
            </w:pPr>
            <w:r>
              <w:rPr>
                <w:rFonts w:hint="eastAsia" w:ascii="宋体" w:hAnsi="宋体" w:cs="宋体"/>
                <w:color w:val="auto"/>
                <w:szCs w:val="21"/>
                <w:lang w:val="zh-CN"/>
              </w:rPr>
              <w:t>[</w:t>
            </w:r>
            <w:r>
              <w:rPr>
                <w:rFonts w:hint="eastAsia" w:ascii="宋体" w:hAnsi="宋体" w:cs="宋体"/>
                <w:color w:val="auto"/>
                <w:szCs w:val="21"/>
              </w:rPr>
              <w:t>10</w:t>
            </w:r>
            <w:r>
              <w:rPr>
                <w:rFonts w:hint="eastAsia" w:ascii="宋体" w:hAnsi="宋体" w:cs="宋体"/>
                <w:color w:val="auto"/>
                <w:szCs w:val="21"/>
                <w:lang w:val="zh-CN"/>
              </w:rPr>
              <w:t>]</w:t>
            </w:r>
          </w:p>
        </w:tc>
        <w:tc>
          <w:tcPr>
            <w:tcW w:w="11623" w:type="dxa"/>
            <w:vAlign w:val="center"/>
          </w:tcPr>
          <w:p w14:paraId="3DCE7A3B">
            <w:pPr>
              <w:wordWrap w:val="0"/>
              <w:topLinePunct/>
              <w:rPr>
                <w:rFonts w:hint="eastAsia" w:ascii="宋体" w:hAnsi="宋体" w:cs="宋体"/>
                <w:color w:val="auto"/>
                <w:szCs w:val="21"/>
              </w:rPr>
            </w:pPr>
            <w:r>
              <w:rPr>
                <w:rFonts w:hint="eastAsia" w:ascii="宋体" w:hAnsi="宋体" w:cs="宋体"/>
                <w:color w:val="auto"/>
                <w:szCs w:val="21"/>
                <w:lang w:val="zh-CN"/>
              </w:rPr>
              <w:t>设计内容符合招标文件要求，</w:t>
            </w:r>
            <w:r>
              <w:rPr>
                <w:rFonts w:hint="eastAsia" w:ascii="宋体" w:hAnsi="宋体" w:cs="宋体"/>
                <w:color w:val="auto"/>
                <w:szCs w:val="21"/>
              </w:rPr>
              <w:t>文件包含文本和附图（10分）。</w:t>
            </w:r>
          </w:p>
          <w:p w14:paraId="3534042C">
            <w:pPr>
              <w:pStyle w:val="12"/>
              <w:ind w:firstLine="0" w:firstLineChars="0"/>
              <w:rPr>
                <w:rFonts w:hint="eastAsia" w:ascii="宋体" w:hAnsi="宋体" w:cs="宋体"/>
                <w:color w:val="auto"/>
              </w:rPr>
            </w:pPr>
            <w:r>
              <w:rPr>
                <w:rFonts w:hint="eastAsia" w:ascii="宋体" w:hAnsi="宋体" w:cs="宋体"/>
                <w:color w:val="auto"/>
                <w:szCs w:val="21"/>
              </w:rPr>
              <w:t>优</w:t>
            </w:r>
            <w:r>
              <w:rPr>
                <w:rFonts w:hint="eastAsia" w:ascii="宋体" w:hAnsi="宋体" w:cs="宋体"/>
                <w:color w:val="auto"/>
                <w:szCs w:val="21"/>
                <w:lang w:val="zh-CN"/>
              </w:rPr>
              <w:t>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10</w:t>
            </w:r>
            <w:r>
              <w:rPr>
                <w:rFonts w:hint="eastAsia" w:ascii="宋体" w:hAnsi="宋体" w:cs="宋体"/>
                <w:b w:val="0"/>
                <w:bCs/>
                <w:color w:val="auto"/>
                <w:szCs w:val="21"/>
                <w:highlight w:val="none"/>
              </w:rPr>
              <w:t>]</w:t>
            </w:r>
            <w:r>
              <w:rPr>
                <w:rFonts w:hint="eastAsia" w:ascii="宋体" w:hAnsi="宋体" w:cs="宋体"/>
                <w:color w:val="auto"/>
                <w:szCs w:val="21"/>
                <w:lang w:val="zh-CN"/>
              </w:rPr>
              <w:t>分</w:t>
            </w:r>
            <w:r>
              <w:rPr>
                <w:rFonts w:hint="eastAsia" w:ascii="宋体" w:hAnsi="宋体" w:cs="宋体"/>
                <w:color w:val="auto"/>
                <w:szCs w:val="21"/>
              </w:rPr>
              <w:t>，良得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w:t>
            </w:r>
            <w:r>
              <w:rPr>
                <w:rFonts w:hint="eastAsia" w:ascii="宋体" w:hAnsi="宋体" w:cs="宋体"/>
                <w:color w:val="auto"/>
                <w:szCs w:val="21"/>
                <w:lang w:val="zh-CN"/>
              </w:rPr>
              <w:t>分</w:t>
            </w:r>
            <w:r>
              <w:rPr>
                <w:rFonts w:hint="eastAsia" w:ascii="宋体" w:hAnsi="宋体" w:cs="宋体"/>
                <w:color w:val="auto"/>
                <w:szCs w:val="21"/>
              </w:rPr>
              <w:t>，中</w:t>
            </w:r>
            <w:r>
              <w:rPr>
                <w:rFonts w:hint="eastAsia" w:ascii="宋体" w:hAnsi="宋体" w:cs="宋体"/>
                <w:color w:val="auto"/>
                <w:szCs w:val="21"/>
                <w:lang w:val="zh-CN"/>
              </w:rPr>
              <w:t>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w:t>
            </w:r>
            <w:r>
              <w:rPr>
                <w:rFonts w:hint="eastAsia" w:ascii="宋体" w:hAnsi="宋体" w:cs="宋体"/>
                <w:color w:val="auto"/>
                <w:szCs w:val="21"/>
                <w:lang w:val="zh-CN"/>
              </w:rPr>
              <w:t>分。</w:t>
            </w:r>
            <w:r>
              <w:rPr>
                <w:rFonts w:hint="eastAsia" w:ascii="宋体" w:hAnsi="宋体" w:cs="宋体"/>
                <w:color w:val="auto"/>
              </w:rPr>
              <w:t>没有提供相关资料或描述的得0分。</w:t>
            </w:r>
          </w:p>
        </w:tc>
      </w:tr>
      <w:tr w14:paraId="21F32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2" w:hRule="atLeast"/>
          <w:jc w:val="center"/>
        </w:trPr>
        <w:tc>
          <w:tcPr>
            <w:tcW w:w="727" w:type="dxa"/>
            <w:vMerge w:val="restart"/>
            <w:vAlign w:val="center"/>
          </w:tcPr>
          <w:p w14:paraId="7C9CC385">
            <w:pPr>
              <w:wordWrap w:val="0"/>
              <w:topLinePunct/>
              <w:jc w:val="center"/>
              <w:rPr>
                <w:rFonts w:hint="eastAsia" w:ascii="宋体" w:hAnsi="宋体" w:cs="宋体"/>
                <w:color w:val="auto"/>
                <w:szCs w:val="21"/>
                <w:lang w:val="zh-CN"/>
              </w:rPr>
            </w:pPr>
            <w:r>
              <w:rPr>
                <w:rFonts w:hint="eastAsia" w:ascii="宋体" w:hAnsi="宋体" w:cs="宋体"/>
                <w:color w:val="auto"/>
                <w:szCs w:val="21"/>
                <w:lang w:val="zh-CN"/>
              </w:rPr>
              <w:t>二</w:t>
            </w:r>
          </w:p>
        </w:tc>
        <w:tc>
          <w:tcPr>
            <w:tcW w:w="1392" w:type="dxa"/>
            <w:vMerge w:val="restart"/>
            <w:vAlign w:val="center"/>
          </w:tcPr>
          <w:p w14:paraId="2505BE67">
            <w:pPr>
              <w:wordWrap w:val="0"/>
              <w:topLinePunct/>
              <w:jc w:val="center"/>
              <w:rPr>
                <w:rFonts w:hint="eastAsia" w:ascii="宋体" w:hAnsi="宋体" w:cs="宋体"/>
                <w:color w:val="auto"/>
                <w:szCs w:val="21"/>
                <w:lang w:val="zh-CN"/>
              </w:rPr>
            </w:pPr>
            <w:r>
              <w:rPr>
                <w:rFonts w:hint="eastAsia" w:ascii="宋体" w:hAnsi="宋体" w:cs="宋体"/>
                <w:color w:val="auto"/>
                <w:szCs w:val="21"/>
                <w:lang w:val="zh-CN"/>
              </w:rPr>
              <w:t>设计方案</w:t>
            </w:r>
          </w:p>
        </w:tc>
        <w:tc>
          <w:tcPr>
            <w:tcW w:w="1134" w:type="dxa"/>
            <w:vMerge w:val="restart"/>
            <w:vAlign w:val="center"/>
          </w:tcPr>
          <w:p w14:paraId="68663D46">
            <w:pPr>
              <w:wordWrap w:val="0"/>
              <w:topLinePunct/>
              <w:jc w:val="center"/>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lang w:val="en-US" w:eastAsia="zh-CN"/>
              </w:rPr>
              <w:t>80</w:t>
            </w:r>
            <w:r>
              <w:rPr>
                <w:rFonts w:hint="eastAsia" w:ascii="宋体" w:hAnsi="宋体" w:cs="宋体"/>
                <w:color w:val="auto"/>
                <w:szCs w:val="21"/>
                <w:lang w:val="zh-CN"/>
              </w:rPr>
              <w:t>]</w:t>
            </w:r>
          </w:p>
        </w:tc>
        <w:tc>
          <w:tcPr>
            <w:tcW w:w="11623" w:type="dxa"/>
            <w:vAlign w:val="center"/>
          </w:tcPr>
          <w:p w14:paraId="040433C0">
            <w:pPr>
              <w:numPr>
                <w:ilvl w:val="0"/>
                <w:numId w:val="3"/>
              </w:numPr>
              <w:snapToGrid w:val="0"/>
              <w:jc w:val="left"/>
              <w:rPr>
                <w:rFonts w:hint="eastAsia" w:ascii="宋体" w:hAnsi="宋体" w:cs="宋体"/>
                <w:color w:val="auto"/>
                <w:kern w:val="21"/>
                <w:lang w:eastAsia="zh-CN"/>
              </w:rPr>
            </w:pPr>
            <w:r>
              <w:rPr>
                <w:rFonts w:hint="eastAsia" w:ascii="宋体" w:hAnsi="宋体" w:cs="宋体"/>
                <w:color w:val="auto"/>
                <w:kern w:val="21"/>
              </w:rPr>
              <w:t>对项目整体理解及项目必要性的认识</w:t>
            </w:r>
            <w:r>
              <w:rPr>
                <w:rFonts w:hint="eastAsia" w:ascii="宋体" w:hAnsi="宋体" w:cs="宋体"/>
                <w:color w:val="auto"/>
                <w:kern w:val="21"/>
                <w:lang w:eastAsia="zh-CN"/>
              </w:rPr>
              <w:t>：</w:t>
            </w:r>
          </w:p>
          <w:p w14:paraId="634C5D88">
            <w:pPr>
              <w:pStyle w:val="12"/>
              <w:numPr>
                <w:ilvl w:val="0"/>
                <w:numId w:val="4"/>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对本次招标项目工作范围、任务、建设必要性和相关规划等描述较差的，得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0A87F26A">
            <w:pPr>
              <w:pStyle w:val="12"/>
              <w:numPr>
                <w:ilvl w:val="0"/>
                <w:numId w:val="4"/>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对本次招标项目工作范围、任务、建设必要性和相关规划等描述比较准确、具体的，得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4-12</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3A483470">
            <w:pPr>
              <w:pStyle w:val="12"/>
              <w:numPr>
                <w:ilvl w:val="0"/>
                <w:numId w:val="4"/>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对本次招标项目工作范围、任务、建设必要性和相关规划等描述准确、具体的得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12-20</w:t>
            </w:r>
            <w:r>
              <w:rPr>
                <w:rFonts w:hint="eastAsia" w:ascii="宋体" w:hAnsi="宋体" w:cs="宋体"/>
                <w:bCs/>
                <w:color w:val="auto"/>
                <w:szCs w:val="21"/>
                <w:highlight w:val="none"/>
              </w:rPr>
              <w:t>]</w:t>
            </w:r>
            <w:r>
              <w:rPr>
                <w:rFonts w:hint="eastAsia" w:ascii="宋体" w:hAnsi="宋体" w:cs="宋体"/>
                <w:color w:val="auto"/>
                <w:kern w:val="21"/>
                <w:sz w:val="21"/>
                <w:szCs w:val="21"/>
              </w:rPr>
              <w:t>分。</w:t>
            </w:r>
          </w:p>
          <w:p w14:paraId="15F3A875">
            <w:pPr>
              <w:pStyle w:val="12"/>
              <w:snapToGrid w:val="0"/>
              <w:ind w:firstLine="0"/>
              <w:jc w:val="left"/>
              <w:rPr>
                <w:rFonts w:hint="eastAsia" w:ascii="宋体" w:hAnsi="宋体" w:cs="宋体"/>
                <w:color w:val="auto"/>
                <w:kern w:val="21"/>
                <w:sz w:val="21"/>
                <w:szCs w:val="21"/>
              </w:rPr>
            </w:pPr>
            <w:r>
              <w:rPr>
                <w:rFonts w:hint="eastAsia" w:ascii="宋体" w:hAnsi="宋体" w:cs="宋体"/>
                <w:color w:val="auto"/>
                <w:kern w:val="21"/>
                <w:sz w:val="21"/>
                <w:szCs w:val="21"/>
              </w:rPr>
              <w:t>如对本项无任何描述，则得0分。</w:t>
            </w:r>
          </w:p>
          <w:p w14:paraId="31CA9C43">
            <w:pPr>
              <w:pStyle w:val="12"/>
              <w:numPr>
                <w:ilvl w:val="0"/>
                <w:numId w:val="0"/>
              </w:numPr>
              <w:ind w:firstLine="420" w:firstLineChars="200"/>
              <w:rPr>
                <w:rFonts w:hint="default" w:eastAsia="宋体"/>
                <w:color w:val="auto"/>
                <w:lang w:val="en-US" w:eastAsia="zh-CN"/>
              </w:rPr>
            </w:pPr>
            <w:r>
              <w:rPr>
                <w:rFonts w:hint="eastAsia" w:ascii="宋体" w:hAnsi="宋体" w:cs="宋体"/>
                <w:color w:val="auto"/>
                <w:kern w:val="21"/>
                <w:sz w:val="21"/>
                <w:szCs w:val="21"/>
              </w:rPr>
              <w:t>【本项最高得</w:t>
            </w:r>
            <w:r>
              <w:rPr>
                <w:rFonts w:hint="eastAsia" w:ascii="宋体" w:hAnsi="宋体" w:cs="宋体"/>
                <w:color w:val="auto"/>
                <w:kern w:val="21"/>
                <w:sz w:val="21"/>
                <w:szCs w:val="21"/>
                <w:lang w:val="en-US" w:eastAsia="zh-CN"/>
              </w:rPr>
              <w:t>20</w:t>
            </w:r>
            <w:r>
              <w:rPr>
                <w:rFonts w:hint="eastAsia" w:ascii="宋体" w:hAnsi="宋体" w:cs="宋体"/>
                <w:color w:val="auto"/>
                <w:kern w:val="21"/>
                <w:sz w:val="21"/>
                <w:szCs w:val="21"/>
              </w:rPr>
              <w:t>分】</w:t>
            </w:r>
          </w:p>
        </w:tc>
      </w:tr>
      <w:tr w14:paraId="54688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7" w:type="dxa"/>
            <w:vMerge w:val="continue"/>
            <w:vAlign w:val="center"/>
          </w:tcPr>
          <w:p w14:paraId="0834A907">
            <w:pPr>
              <w:wordWrap w:val="0"/>
              <w:topLinePunct/>
              <w:jc w:val="center"/>
              <w:rPr>
                <w:rFonts w:hint="eastAsia" w:ascii="宋体" w:hAnsi="宋体" w:cs="宋体"/>
                <w:color w:val="auto"/>
                <w:szCs w:val="21"/>
                <w:lang w:val="zh-CN"/>
              </w:rPr>
            </w:pPr>
          </w:p>
        </w:tc>
        <w:tc>
          <w:tcPr>
            <w:tcW w:w="1392" w:type="dxa"/>
            <w:vMerge w:val="continue"/>
            <w:vAlign w:val="center"/>
          </w:tcPr>
          <w:p w14:paraId="6745138F">
            <w:pPr>
              <w:wordWrap w:val="0"/>
              <w:topLinePunct/>
              <w:jc w:val="center"/>
              <w:rPr>
                <w:rFonts w:hint="eastAsia" w:ascii="宋体" w:hAnsi="宋体" w:cs="宋体"/>
                <w:color w:val="auto"/>
                <w:szCs w:val="21"/>
                <w:lang w:val="zh-CN"/>
              </w:rPr>
            </w:pPr>
          </w:p>
        </w:tc>
        <w:tc>
          <w:tcPr>
            <w:tcW w:w="1134" w:type="dxa"/>
            <w:vMerge w:val="continue"/>
            <w:vAlign w:val="center"/>
          </w:tcPr>
          <w:p w14:paraId="600C409F">
            <w:pPr>
              <w:wordWrap w:val="0"/>
              <w:topLinePunct/>
              <w:jc w:val="center"/>
              <w:rPr>
                <w:rFonts w:hint="eastAsia" w:ascii="宋体" w:hAnsi="宋体" w:cs="宋体"/>
                <w:color w:val="auto"/>
                <w:szCs w:val="21"/>
                <w:lang w:val="zh-CN"/>
              </w:rPr>
            </w:pPr>
          </w:p>
        </w:tc>
        <w:tc>
          <w:tcPr>
            <w:tcW w:w="11623" w:type="dxa"/>
            <w:vAlign w:val="center"/>
          </w:tcPr>
          <w:p w14:paraId="327B82A2">
            <w:pPr>
              <w:snapToGrid w:val="0"/>
              <w:jc w:val="left"/>
              <w:rPr>
                <w:rFonts w:hint="eastAsia" w:ascii="宋体" w:hAnsi="宋体" w:eastAsia="宋体" w:cs="宋体"/>
                <w:color w:val="auto"/>
                <w:kern w:val="21"/>
                <w:lang w:eastAsia="zh-CN"/>
              </w:rPr>
            </w:pPr>
            <w:r>
              <w:rPr>
                <w:rFonts w:hint="eastAsia" w:ascii="宋体" w:hAnsi="宋体" w:cs="宋体"/>
                <w:color w:val="auto"/>
                <w:lang w:val="en-US" w:eastAsia="zh-CN"/>
              </w:rPr>
              <w:t>2、</w:t>
            </w:r>
            <w:r>
              <w:rPr>
                <w:rFonts w:hint="eastAsia" w:ascii="宋体" w:hAnsi="宋体" w:cs="宋体"/>
                <w:color w:val="auto"/>
                <w:kern w:val="21"/>
              </w:rPr>
              <w:t>对招标项目的理解和总体设计思路</w:t>
            </w:r>
            <w:r>
              <w:rPr>
                <w:rFonts w:hint="eastAsia" w:ascii="宋体" w:hAnsi="宋体" w:cs="宋体"/>
                <w:color w:val="auto"/>
                <w:kern w:val="21"/>
                <w:lang w:eastAsia="zh-CN"/>
              </w:rPr>
              <w:t>：</w:t>
            </w:r>
          </w:p>
          <w:p w14:paraId="4A01F4B1">
            <w:pPr>
              <w:pStyle w:val="12"/>
              <w:numPr>
                <w:ilvl w:val="0"/>
                <w:numId w:val="5"/>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对本项目的理解和总体设计思路清晰，得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36731E20">
            <w:pPr>
              <w:pStyle w:val="12"/>
              <w:numPr>
                <w:ilvl w:val="0"/>
                <w:numId w:val="5"/>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对本项目的理解及总体设计思路较透彻、清晰，得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4-12</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7E5EDBA8">
            <w:pPr>
              <w:pStyle w:val="12"/>
              <w:numPr>
                <w:ilvl w:val="0"/>
                <w:numId w:val="5"/>
              </w:numPr>
              <w:snapToGrid w:val="0"/>
              <w:ind w:left="425" w:leftChars="0" w:hanging="425" w:firstLineChars="0"/>
              <w:jc w:val="left"/>
              <w:rPr>
                <w:rFonts w:hint="eastAsia" w:ascii="宋体" w:hAnsi="宋体" w:cs="宋体"/>
                <w:color w:val="auto"/>
                <w:kern w:val="21"/>
                <w:sz w:val="21"/>
                <w:szCs w:val="21"/>
                <w:lang w:val="zh-CN"/>
              </w:rPr>
            </w:pPr>
            <w:r>
              <w:rPr>
                <w:rFonts w:hint="eastAsia" w:ascii="宋体" w:hAnsi="宋体" w:cs="宋体"/>
                <w:color w:val="auto"/>
                <w:kern w:val="21"/>
                <w:sz w:val="21"/>
                <w:szCs w:val="21"/>
              </w:rPr>
              <w:t>对本项目的理解及总体设计思路非常透彻、清晰,得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12-20</w:t>
            </w:r>
            <w:r>
              <w:rPr>
                <w:rFonts w:hint="eastAsia" w:ascii="宋体" w:hAnsi="宋体" w:cs="宋体"/>
                <w:bCs/>
                <w:color w:val="auto"/>
                <w:szCs w:val="21"/>
                <w:highlight w:val="none"/>
              </w:rPr>
              <w:t>]</w:t>
            </w:r>
            <w:r>
              <w:rPr>
                <w:rFonts w:hint="eastAsia" w:ascii="宋体" w:hAnsi="宋体" w:cs="宋体"/>
                <w:color w:val="auto"/>
                <w:kern w:val="21"/>
                <w:sz w:val="21"/>
                <w:szCs w:val="21"/>
              </w:rPr>
              <w:t>分。</w:t>
            </w:r>
          </w:p>
          <w:p w14:paraId="4BC94EC8">
            <w:pPr>
              <w:pStyle w:val="12"/>
              <w:numPr>
                <w:ilvl w:val="0"/>
                <w:numId w:val="0"/>
              </w:numPr>
              <w:snapToGrid w:val="0"/>
              <w:ind w:leftChars="0" w:firstLine="420" w:firstLineChars="200"/>
              <w:jc w:val="left"/>
              <w:rPr>
                <w:rFonts w:hint="eastAsia" w:ascii="宋体" w:hAnsi="宋体" w:cs="宋体"/>
                <w:color w:val="auto"/>
                <w:kern w:val="21"/>
                <w:sz w:val="21"/>
                <w:szCs w:val="21"/>
              </w:rPr>
            </w:pPr>
            <w:r>
              <w:rPr>
                <w:rFonts w:hint="eastAsia" w:ascii="宋体" w:hAnsi="宋体" w:cs="宋体"/>
                <w:color w:val="auto"/>
                <w:kern w:val="21"/>
                <w:sz w:val="21"/>
                <w:szCs w:val="21"/>
              </w:rPr>
              <w:t>如对本项无任何描述，则得0分。</w:t>
            </w:r>
          </w:p>
          <w:p w14:paraId="0ABF3608">
            <w:pPr>
              <w:pStyle w:val="12"/>
              <w:ind w:firstLine="0" w:firstLineChars="0"/>
              <w:rPr>
                <w:rFonts w:hint="default" w:ascii="宋体" w:hAnsi="宋体" w:eastAsia="宋体" w:cs="宋体"/>
                <w:color w:val="auto"/>
                <w:lang w:val="en-US" w:eastAsia="zh-CN"/>
              </w:rPr>
            </w:pPr>
            <w:r>
              <w:rPr>
                <w:rFonts w:hint="eastAsia" w:ascii="宋体" w:hAnsi="宋体" w:cs="宋体"/>
                <w:color w:val="auto"/>
                <w:kern w:val="21"/>
                <w:sz w:val="21"/>
                <w:szCs w:val="21"/>
                <w:lang w:val="en-US" w:eastAsia="zh-CN"/>
              </w:rPr>
              <w:t xml:space="preserve">   </w:t>
            </w:r>
            <w:r>
              <w:rPr>
                <w:rFonts w:hint="eastAsia" w:ascii="宋体" w:hAnsi="宋体" w:cs="宋体"/>
                <w:color w:val="auto"/>
                <w:kern w:val="21"/>
                <w:sz w:val="21"/>
                <w:szCs w:val="21"/>
              </w:rPr>
              <w:t>【本项最高得</w:t>
            </w:r>
            <w:r>
              <w:rPr>
                <w:rFonts w:hint="eastAsia" w:ascii="宋体" w:hAnsi="宋体" w:cs="宋体"/>
                <w:color w:val="auto"/>
                <w:kern w:val="21"/>
                <w:sz w:val="21"/>
                <w:szCs w:val="21"/>
                <w:lang w:val="en-US" w:eastAsia="zh-CN"/>
              </w:rPr>
              <w:t>20</w:t>
            </w:r>
            <w:r>
              <w:rPr>
                <w:rFonts w:hint="eastAsia" w:ascii="宋体" w:hAnsi="宋体" w:cs="宋体"/>
                <w:color w:val="auto"/>
                <w:kern w:val="21"/>
                <w:sz w:val="21"/>
                <w:szCs w:val="21"/>
              </w:rPr>
              <w:t>分】</w:t>
            </w:r>
          </w:p>
        </w:tc>
      </w:tr>
      <w:tr w14:paraId="3A5F3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7" w:type="dxa"/>
            <w:vMerge w:val="continue"/>
            <w:vAlign w:val="center"/>
          </w:tcPr>
          <w:p w14:paraId="48E2016F">
            <w:pPr>
              <w:wordWrap w:val="0"/>
              <w:topLinePunct/>
              <w:jc w:val="center"/>
              <w:rPr>
                <w:rFonts w:hint="eastAsia" w:ascii="宋体" w:hAnsi="宋体" w:cs="宋体"/>
                <w:color w:val="auto"/>
                <w:szCs w:val="21"/>
                <w:lang w:val="zh-CN"/>
              </w:rPr>
            </w:pPr>
          </w:p>
        </w:tc>
        <w:tc>
          <w:tcPr>
            <w:tcW w:w="1392" w:type="dxa"/>
            <w:vMerge w:val="continue"/>
            <w:vAlign w:val="center"/>
          </w:tcPr>
          <w:p w14:paraId="215DD1BF">
            <w:pPr>
              <w:wordWrap w:val="0"/>
              <w:topLinePunct/>
              <w:jc w:val="center"/>
              <w:rPr>
                <w:rFonts w:hint="eastAsia" w:ascii="宋体" w:hAnsi="宋体" w:cs="宋体"/>
                <w:color w:val="auto"/>
                <w:szCs w:val="21"/>
                <w:lang w:val="zh-CN"/>
              </w:rPr>
            </w:pPr>
          </w:p>
        </w:tc>
        <w:tc>
          <w:tcPr>
            <w:tcW w:w="1134" w:type="dxa"/>
            <w:vMerge w:val="continue"/>
            <w:vAlign w:val="center"/>
          </w:tcPr>
          <w:p w14:paraId="27445EBC">
            <w:pPr>
              <w:wordWrap w:val="0"/>
              <w:topLinePunct/>
              <w:jc w:val="center"/>
              <w:rPr>
                <w:rFonts w:hint="eastAsia" w:ascii="宋体" w:hAnsi="宋体" w:cs="宋体"/>
                <w:color w:val="auto"/>
                <w:szCs w:val="21"/>
                <w:lang w:val="zh-CN"/>
              </w:rPr>
            </w:pPr>
          </w:p>
        </w:tc>
        <w:tc>
          <w:tcPr>
            <w:tcW w:w="11623" w:type="dxa"/>
            <w:vAlign w:val="center"/>
          </w:tcPr>
          <w:p w14:paraId="613439F3">
            <w:pPr>
              <w:snapToGrid w:val="0"/>
              <w:jc w:val="left"/>
              <w:rPr>
                <w:rFonts w:hint="eastAsia" w:ascii="宋体" w:hAnsi="宋体" w:eastAsia="宋体" w:cs="宋体"/>
                <w:color w:val="auto"/>
                <w:kern w:val="21"/>
                <w:lang w:eastAsia="zh-CN"/>
              </w:rPr>
            </w:pPr>
            <w:r>
              <w:rPr>
                <w:rFonts w:hint="eastAsia" w:ascii="宋体" w:hAnsi="宋体" w:cs="宋体"/>
                <w:color w:val="auto"/>
                <w:lang w:val="en-US" w:eastAsia="zh-CN"/>
              </w:rPr>
              <w:t>3、</w:t>
            </w:r>
            <w:r>
              <w:rPr>
                <w:rFonts w:hint="eastAsia" w:ascii="宋体" w:hAnsi="宋体" w:cs="宋体"/>
                <w:color w:val="auto"/>
                <w:kern w:val="21"/>
              </w:rPr>
              <w:t>对项目设计重点、难点、关键性技术问题的认识应对策措施</w:t>
            </w:r>
            <w:r>
              <w:rPr>
                <w:rFonts w:hint="eastAsia" w:ascii="宋体" w:hAnsi="宋体" w:cs="宋体"/>
                <w:color w:val="auto"/>
                <w:kern w:val="21"/>
                <w:lang w:eastAsia="zh-CN"/>
              </w:rPr>
              <w:t>：</w:t>
            </w:r>
          </w:p>
          <w:p w14:paraId="239A1721">
            <w:pPr>
              <w:pStyle w:val="12"/>
              <w:numPr>
                <w:ilvl w:val="0"/>
                <w:numId w:val="6"/>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对项目设计重点、难点、关键性技术问题有阐述的，得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5C7D767B">
            <w:pPr>
              <w:pStyle w:val="12"/>
              <w:numPr>
                <w:ilvl w:val="0"/>
                <w:numId w:val="6"/>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对招标项目设计重点、难点、关键性技术问题的认识及应对策描述一般的，得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4-12</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040DA073">
            <w:pPr>
              <w:pStyle w:val="12"/>
              <w:numPr>
                <w:ilvl w:val="0"/>
                <w:numId w:val="6"/>
              </w:numPr>
              <w:snapToGrid w:val="0"/>
              <w:ind w:left="425" w:leftChars="0" w:hanging="425" w:firstLineChars="0"/>
              <w:jc w:val="left"/>
              <w:rPr>
                <w:rFonts w:hint="eastAsia" w:ascii="宋体" w:hAnsi="宋体" w:cs="宋体"/>
                <w:color w:val="auto"/>
                <w:kern w:val="21"/>
                <w:sz w:val="21"/>
                <w:szCs w:val="21"/>
                <w:lang w:val="zh-CN"/>
              </w:rPr>
            </w:pPr>
            <w:r>
              <w:rPr>
                <w:rFonts w:hint="eastAsia" w:ascii="宋体" w:hAnsi="宋体" w:cs="宋体"/>
                <w:color w:val="auto"/>
                <w:kern w:val="21"/>
                <w:sz w:val="21"/>
                <w:szCs w:val="21"/>
              </w:rPr>
              <w:t>对招标项目设计重点、难点、关键性技术问题的认识及应对策措施描述准确、符合实际的，得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12-20</w:t>
            </w:r>
            <w:r>
              <w:rPr>
                <w:rFonts w:hint="eastAsia" w:ascii="宋体" w:hAnsi="宋体" w:cs="宋体"/>
                <w:bCs/>
                <w:color w:val="auto"/>
                <w:szCs w:val="21"/>
                <w:highlight w:val="none"/>
              </w:rPr>
              <w:t>]</w:t>
            </w:r>
            <w:r>
              <w:rPr>
                <w:rFonts w:hint="eastAsia" w:ascii="宋体" w:hAnsi="宋体" w:cs="宋体"/>
                <w:color w:val="auto"/>
                <w:kern w:val="21"/>
                <w:sz w:val="21"/>
                <w:szCs w:val="21"/>
              </w:rPr>
              <w:t>分。</w:t>
            </w:r>
          </w:p>
          <w:p w14:paraId="5A6863BB">
            <w:pPr>
              <w:pStyle w:val="12"/>
              <w:snapToGrid w:val="0"/>
              <w:ind w:firstLine="0"/>
              <w:jc w:val="left"/>
              <w:rPr>
                <w:rFonts w:hint="eastAsia" w:ascii="宋体" w:hAnsi="宋体" w:cs="宋体"/>
                <w:color w:val="auto"/>
                <w:kern w:val="21"/>
                <w:sz w:val="21"/>
                <w:szCs w:val="21"/>
              </w:rPr>
            </w:pPr>
            <w:r>
              <w:rPr>
                <w:rFonts w:hint="eastAsia" w:ascii="宋体" w:hAnsi="宋体" w:cs="宋体"/>
                <w:color w:val="auto"/>
                <w:kern w:val="21"/>
                <w:sz w:val="21"/>
                <w:szCs w:val="21"/>
              </w:rPr>
              <w:t>如对本项无任何描述，则得0分。</w:t>
            </w:r>
          </w:p>
          <w:p w14:paraId="3735AD97">
            <w:pPr>
              <w:pStyle w:val="12"/>
              <w:ind w:firstLine="0" w:firstLineChars="0"/>
              <w:rPr>
                <w:rFonts w:hint="eastAsia" w:ascii="宋体" w:hAnsi="宋体" w:eastAsia="宋体" w:cs="宋体"/>
                <w:color w:val="auto"/>
                <w:lang w:val="en-US" w:eastAsia="zh-CN"/>
              </w:rPr>
            </w:pPr>
            <w:r>
              <w:rPr>
                <w:rFonts w:hint="eastAsia" w:ascii="宋体" w:hAnsi="宋体" w:cs="宋体"/>
                <w:color w:val="auto"/>
                <w:kern w:val="21"/>
                <w:sz w:val="21"/>
                <w:szCs w:val="21"/>
                <w:lang w:val="en-US" w:eastAsia="zh-CN"/>
              </w:rPr>
              <w:t xml:space="preserve">   </w:t>
            </w:r>
            <w:r>
              <w:rPr>
                <w:rFonts w:hint="eastAsia" w:ascii="宋体" w:hAnsi="宋体" w:cs="宋体"/>
                <w:color w:val="auto"/>
                <w:kern w:val="21"/>
                <w:sz w:val="21"/>
                <w:szCs w:val="21"/>
              </w:rPr>
              <w:t>【本项最高得</w:t>
            </w:r>
            <w:r>
              <w:rPr>
                <w:rFonts w:hint="eastAsia" w:ascii="宋体" w:hAnsi="宋体" w:cs="宋体"/>
                <w:color w:val="auto"/>
                <w:kern w:val="21"/>
                <w:sz w:val="21"/>
                <w:szCs w:val="21"/>
                <w:lang w:val="en-US" w:eastAsia="zh-CN"/>
              </w:rPr>
              <w:t>20</w:t>
            </w:r>
            <w:r>
              <w:rPr>
                <w:rFonts w:hint="eastAsia" w:ascii="宋体" w:hAnsi="宋体" w:cs="宋体"/>
                <w:color w:val="auto"/>
                <w:kern w:val="21"/>
                <w:sz w:val="21"/>
                <w:szCs w:val="21"/>
              </w:rPr>
              <w:t>分】</w:t>
            </w:r>
          </w:p>
        </w:tc>
      </w:tr>
      <w:tr w14:paraId="75F16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7" w:type="dxa"/>
            <w:vMerge w:val="continue"/>
            <w:vAlign w:val="center"/>
          </w:tcPr>
          <w:p w14:paraId="71B8F926">
            <w:pPr>
              <w:wordWrap w:val="0"/>
              <w:topLinePunct/>
              <w:jc w:val="center"/>
              <w:rPr>
                <w:rFonts w:hint="eastAsia" w:ascii="宋体" w:hAnsi="宋体" w:cs="宋体"/>
                <w:color w:val="auto"/>
                <w:szCs w:val="21"/>
              </w:rPr>
            </w:pPr>
          </w:p>
        </w:tc>
        <w:tc>
          <w:tcPr>
            <w:tcW w:w="1392" w:type="dxa"/>
            <w:vMerge w:val="continue"/>
            <w:vAlign w:val="center"/>
          </w:tcPr>
          <w:p w14:paraId="603B0E0E">
            <w:pPr>
              <w:wordWrap w:val="0"/>
              <w:topLinePunct/>
              <w:jc w:val="center"/>
              <w:rPr>
                <w:rFonts w:hint="eastAsia" w:ascii="宋体" w:hAnsi="宋体" w:cs="宋体"/>
                <w:color w:val="auto"/>
                <w:szCs w:val="21"/>
              </w:rPr>
            </w:pPr>
          </w:p>
        </w:tc>
        <w:tc>
          <w:tcPr>
            <w:tcW w:w="1134" w:type="dxa"/>
            <w:vMerge w:val="continue"/>
            <w:vAlign w:val="center"/>
          </w:tcPr>
          <w:p w14:paraId="5497149D">
            <w:pPr>
              <w:wordWrap w:val="0"/>
              <w:topLinePunct/>
              <w:jc w:val="center"/>
              <w:rPr>
                <w:rFonts w:hint="eastAsia" w:ascii="宋体" w:hAnsi="宋体" w:cs="宋体"/>
                <w:color w:val="auto"/>
                <w:szCs w:val="21"/>
              </w:rPr>
            </w:pPr>
          </w:p>
        </w:tc>
        <w:tc>
          <w:tcPr>
            <w:tcW w:w="11623" w:type="dxa"/>
            <w:vAlign w:val="center"/>
          </w:tcPr>
          <w:p w14:paraId="65B9CCFF">
            <w:pPr>
              <w:snapToGrid w:val="0"/>
              <w:jc w:val="left"/>
              <w:rPr>
                <w:rFonts w:hint="eastAsia" w:ascii="宋体" w:hAnsi="宋体" w:eastAsia="宋体" w:cs="宋体"/>
                <w:color w:val="auto"/>
                <w:kern w:val="21"/>
                <w:lang w:eastAsia="zh-CN"/>
              </w:rPr>
            </w:pPr>
            <w:r>
              <w:rPr>
                <w:rFonts w:hint="eastAsia" w:ascii="宋体" w:hAnsi="宋体"/>
                <w:color w:val="auto"/>
                <w:szCs w:val="21"/>
              </w:rPr>
              <w:t>4、</w:t>
            </w:r>
            <w:r>
              <w:rPr>
                <w:rFonts w:hint="eastAsia" w:ascii="宋体" w:hAnsi="宋体" w:cs="宋体"/>
                <w:color w:val="auto"/>
                <w:kern w:val="21"/>
              </w:rPr>
              <w:t>设计的质量及保证措施</w:t>
            </w:r>
            <w:r>
              <w:rPr>
                <w:rFonts w:hint="eastAsia" w:ascii="宋体" w:hAnsi="宋体" w:cs="宋体"/>
                <w:color w:val="auto"/>
                <w:kern w:val="21"/>
                <w:lang w:eastAsia="zh-CN"/>
              </w:rPr>
              <w:t>：</w:t>
            </w:r>
          </w:p>
          <w:p w14:paraId="61D35CC4">
            <w:pPr>
              <w:pStyle w:val="12"/>
              <w:numPr>
                <w:ilvl w:val="0"/>
                <w:numId w:val="7"/>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对项目质量保证措施、工作进度计划有阐述的，得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41544956">
            <w:pPr>
              <w:pStyle w:val="12"/>
              <w:numPr>
                <w:ilvl w:val="0"/>
                <w:numId w:val="7"/>
              </w:numPr>
              <w:snapToGrid w:val="0"/>
              <w:ind w:left="425" w:leftChars="0" w:hanging="425" w:firstLineChars="0"/>
              <w:jc w:val="left"/>
              <w:rPr>
                <w:rFonts w:hint="eastAsia" w:ascii="宋体" w:hAnsi="宋体" w:cs="宋体"/>
                <w:color w:val="auto"/>
                <w:kern w:val="21"/>
                <w:sz w:val="21"/>
                <w:szCs w:val="21"/>
              </w:rPr>
            </w:pPr>
            <w:r>
              <w:rPr>
                <w:rFonts w:hint="eastAsia" w:ascii="宋体" w:hAnsi="宋体" w:cs="宋体"/>
                <w:color w:val="auto"/>
                <w:kern w:val="21"/>
                <w:sz w:val="21"/>
                <w:szCs w:val="21"/>
              </w:rPr>
              <w:t>对项目质量保证措施、工作进度计划针对性一般、工作进度计划一般的，得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4-12</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36247CCE">
            <w:pPr>
              <w:pStyle w:val="12"/>
              <w:numPr>
                <w:ilvl w:val="0"/>
                <w:numId w:val="7"/>
              </w:numPr>
              <w:snapToGrid w:val="0"/>
              <w:ind w:left="425" w:leftChars="0" w:hanging="425" w:firstLineChars="0"/>
              <w:jc w:val="left"/>
              <w:rPr>
                <w:rFonts w:hint="eastAsia" w:ascii="宋体" w:hAnsi="宋体" w:cs="宋体"/>
                <w:color w:val="auto"/>
                <w:kern w:val="21"/>
                <w:sz w:val="21"/>
                <w:szCs w:val="21"/>
                <w:lang w:val="zh-CN"/>
              </w:rPr>
            </w:pPr>
            <w:r>
              <w:rPr>
                <w:rFonts w:hint="eastAsia" w:ascii="宋体" w:hAnsi="宋体" w:cs="宋体"/>
                <w:color w:val="auto"/>
                <w:kern w:val="21"/>
                <w:sz w:val="21"/>
                <w:szCs w:val="21"/>
              </w:rPr>
              <w:t>对项目质量保证措施、工作进度计划针对性突出、体系严密，工作计划合理可靠的，得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12-20</w:t>
            </w:r>
            <w:r>
              <w:rPr>
                <w:rFonts w:hint="eastAsia" w:ascii="宋体" w:hAnsi="宋体" w:cs="宋体"/>
                <w:bCs/>
                <w:color w:val="auto"/>
                <w:szCs w:val="21"/>
                <w:highlight w:val="none"/>
              </w:rPr>
              <w:t>]</w:t>
            </w:r>
            <w:r>
              <w:rPr>
                <w:rFonts w:hint="eastAsia" w:ascii="宋体" w:hAnsi="宋体" w:cs="宋体"/>
                <w:color w:val="auto"/>
                <w:kern w:val="21"/>
                <w:sz w:val="21"/>
                <w:szCs w:val="21"/>
              </w:rPr>
              <w:t>分</w:t>
            </w:r>
            <w:r>
              <w:rPr>
                <w:rFonts w:hint="eastAsia" w:ascii="宋体" w:hAnsi="宋体" w:cs="宋体"/>
                <w:color w:val="auto"/>
                <w:kern w:val="21"/>
                <w:sz w:val="21"/>
                <w:szCs w:val="21"/>
                <w:lang w:eastAsia="zh-CN"/>
              </w:rPr>
              <w:t>。</w:t>
            </w:r>
          </w:p>
          <w:p w14:paraId="26DA3765">
            <w:pPr>
              <w:pStyle w:val="12"/>
              <w:snapToGrid w:val="0"/>
              <w:ind w:firstLine="0"/>
              <w:jc w:val="left"/>
              <w:rPr>
                <w:rFonts w:hint="eastAsia" w:ascii="宋体" w:hAnsi="宋体" w:cs="宋体"/>
                <w:color w:val="auto"/>
                <w:kern w:val="21"/>
                <w:sz w:val="21"/>
                <w:szCs w:val="21"/>
              </w:rPr>
            </w:pPr>
            <w:r>
              <w:rPr>
                <w:rFonts w:hint="eastAsia" w:ascii="宋体" w:hAnsi="宋体" w:cs="宋体"/>
                <w:color w:val="auto"/>
                <w:kern w:val="21"/>
                <w:sz w:val="21"/>
                <w:szCs w:val="21"/>
              </w:rPr>
              <w:t>如对本项无任何描述，则得0分。</w:t>
            </w:r>
          </w:p>
          <w:p w14:paraId="6331DE68">
            <w:pPr>
              <w:wordWrap w:val="0"/>
              <w:topLinePunct/>
              <w:rPr>
                <w:rFonts w:hint="eastAsia" w:ascii="宋体" w:hAnsi="宋体" w:cs="宋体"/>
                <w:color w:val="auto"/>
                <w:szCs w:val="21"/>
                <w:lang w:val="zh-CN"/>
              </w:rPr>
            </w:pPr>
            <w:r>
              <w:rPr>
                <w:rFonts w:hint="eastAsia" w:ascii="宋体" w:hAnsi="宋体" w:cs="宋体"/>
                <w:color w:val="auto"/>
                <w:kern w:val="21"/>
                <w:sz w:val="21"/>
                <w:szCs w:val="21"/>
                <w:lang w:val="en-US" w:eastAsia="zh-CN"/>
              </w:rPr>
              <w:t xml:space="preserve">   </w:t>
            </w:r>
            <w:r>
              <w:rPr>
                <w:rFonts w:hint="eastAsia" w:ascii="宋体" w:hAnsi="宋体" w:cs="宋体"/>
                <w:color w:val="auto"/>
                <w:kern w:val="21"/>
                <w:sz w:val="21"/>
                <w:szCs w:val="21"/>
              </w:rPr>
              <w:t>【本项最高得</w:t>
            </w:r>
            <w:r>
              <w:rPr>
                <w:rFonts w:hint="eastAsia" w:ascii="宋体" w:hAnsi="宋体" w:cs="宋体"/>
                <w:color w:val="auto"/>
                <w:kern w:val="21"/>
                <w:sz w:val="21"/>
                <w:szCs w:val="21"/>
                <w:lang w:val="en-US" w:eastAsia="zh-CN"/>
              </w:rPr>
              <w:t>20</w:t>
            </w:r>
            <w:r>
              <w:rPr>
                <w:rFonts w:hint="eastAsia" w:ascii="宋体" w:hAnsi="宋体" w:cs="宋体"/>
                <w:color w:val="auto"/>
                <w:kern w:val="21"/>
                <w:sz w:val="21"/>
                <w:szCs w:val="21"/>
              </w:rPr>
              <w:t>分】</w:t>
            </w:r>
          </w:p>
        </w:tc>
      </w:tr>
      <w:tr w14:paraId="36AB6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27" w:type="dxa"/>
            <w:vAlign w:val="center"/>
          </w:tcPr>
          <w:p w14:paraId="01EDA7DD">
            <w:pPr>
              <w:wordWrap w:val="0"/>
              <w:topLinePunct/>
              <w:jc w:val="center"/>
              <w:rPr>
                <w:rFonts w:hint="eastAsia" w:ascii="宋体" w:hAnsi="宋体" w:cs="宋体"/>
                <w:color w:val="auto"/>
                <w:szCs w:val="21"/>
              </w:rPr>
            </w:pPr>
            <w:r>
              <w:rPr>
                <w:rFonts w:hint="eastAsia" w:ascii="宋体" w:hAnsi="宋体" w:cs="宋体"/>
                <w:color w:val="auto"/>
                <w:szCs w:val="21"/>
                <w:lang w:val="zh-CN"/>
              </w:rPr>
              <w:t>三</w:t>
            </w:r>
          </w:p>
        </w:tc>
        <w:tc>
          <w:tcPr>
            <w:tcW w:w="1392" w:type="dxa"/>
            <w:vAlign w:val="center"/>
          </w:tcPr>
          <w:p w14:paraId="154D7E43">
            <w:pPr>
              <w:wordWrap w:val="0"/>
              <w:topLinePunct/>
              <w:jc w:val="center"/>
              <w:rPr>
                <w:rFonts w:hint="eastAsia" w:ascii="宋体" w:hAnsi="宋体" w:cs="宋体"/>
                <w:color w:val="auto"/>
                <w:szCs w:val="21"/>
              </w:rPr>
            </w:pPr>
            <w:r>
              <w:rPr>
                <w:rFonts w:hint="eastAsia" w:ascii="宋体" w:hAnsi="宋体" w:cs="宋体"/>
                <w:color w:val="auto"/>
                <w:szCs w:val="21"/>
                <w:lang w:val="zh-CN"/>
              </w:rPr>
              <w:t>投资控制</w:t>
            </w:r>
          </w:p>
        </w:tc>
        <w:tc>
          <w:tcPr>
            <w:tcW w:w="1134" w:type="dxa"/>
            <w:vAlign w:val="center"/>
          </w:tcPr>
          <w:p w14:paraId="58F193ED">
            <w:pPr>
              <w:wordWrap w:val="0"/>
              <w:topLinePunct/>
              <w:jc w:val="center"/>
              <w:rPr>
                <w:rFonts w:hint="eastAsia" w:ascii="宋体" w:hAnsi="宋体" w:cs="宋体"/>
                <w:color w:val="auto"/>
                <w:szCs w:val="21"/>
              </w:rPr>
            </w:pPr>
            <w:r>
              <w:rPr>
                <w:rFonts w:hint="eastAsia" w:ascii="宋体" w:hAnsi="宋体" w:cs="宋体"/>
                <w:color w:val="auto"/>
                <w:szCs w:val="21"/>
                <w:lang w:val="zh-CN"/>
              </w:rPr>
              <w:t>[</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lang w:val="zh-CN"/>
              </w:rPr>
              <w:t>]</w:t>
            </w:r>
          </w:p>
        </w:tc>
        <w:tc>
          <w:tcPr>
            <w:tcW w:w="11623" w:type="dxa"/>
            <w:vAlign w:val="center"/>
          </w:tcPr>
          <w:p w14:paraId="46C4D5CC">
            <w:pPr>
              <w:tabs>
                <w:tab w:val="left" w:pos="1"/>
              </w:tabs>
              <w:wordWrap w:val="0"/>
              <w:topLinePunct/>
              <w:ind w:left="315" w:hanging="315"/>
              <w:rPr>
                <w:rFonts w:hint="eastAsia" w:ascii="宋体" w:hAnsi="宋体" w:cs="宋体"/>
                <w:color w:val="auto"/>
                <w:szCs w:val="21"/>
                <w:lang w:val="zh-CN"/>
              </w:rPr>
            </w:pPr>
            <w:r>
              <w:rPr>
                <w:rFonts w:hint="eastAsia" w:ascii="宋体" w:hAnsi="宋体" w:cs="宋体"/>
                <w:color w:val="auto"/>
                <w:szCs w:val="21"/>
                <w:lang w:val="zh-CN"/>
              </w:rPr>
              <w:t>投资估算编制依据</w:t>
            </w:r>
            <w:r>
              <w:rPr>
                <w:rFonts w:hint="eastAsia" w:ascii="宋体" w:hAnsi="宋体" w:cs="宋体"/>
                <w:color w:val="auto"/>
                <w:szCs w:val="21"/>
              </w:rPr>
              <w:t>合理</w:t>
            </w:r>
            <w:r>
              <w:rPr>
                <w:rFonts w:hint="eastAsia" w:ascii="宋体" w:hAnsi="宋体" w:cs="宋体"/>
                <w:color w:val="auto"/>
                <w:szCs w:val="21"/>
                <w:lang w:val="zh-CN"/>
              </w:rPr>
              <w:t>，</w:t>
            </w:r>
            <w:r>
              <w:rPr>
                <w:rFonts w:hint="eastAsia" w:ascii="宋体" w:hAnsi="宋体" w:cs="宋体"/>
                <w:color w:val="auto"/>
                <w:szCs w:val="21"/>
              </w:rPr>
              <w:t>编制</w:t>
            </w:r>
            <w:r>
              <w:rPr>
                <w:rFonts w:hint="eastAsia" w:ascii="宋体" w:hAnsi="宋体" w:cs="宋体"/>
                <w:color w:val="auto"/>
                <w:szCs w:val="21"/>
                <w:lang w:val="zh-CN"/>
              </w:rPr>
              <w:t>深度</w:t>
            </w:r>
            <w:r>
              <w:rPr>
                <w:rFonts w:hint="eastAsia" w:ascii="宋体" w:hAnsi="宋体" w:cs="宋体"/>
                <w:color w:val="auto"/>
                <w:szCs w:val="21"/>
              </w:rPr>
              <w:t>符合要求（</w:t>
            </w:r>
            <w:r>
              <w:rPr>
                <w:rFonts w:hint="eastAsia" w:ascii="宋体" w:hAnsi="宋体" w:cs="宋体"/>
                <w:color w:val="auto"/>
                <w:szCs w:val="21"/>
                <w:lang w:val="en-US" w:eastAsia="zh-CN"/>
              </w:rPr>
              <w:t>10</w:t>
            </w:r>
            <w:r>
              <w:rPr>
                <w:rFonts w:hint="eastAsia" w:ascii="宋体" w:hAnsi="宋体" w:cs="宋体"/>
                <w:color w:val="auto"/>
                <w:szCs w:val="21"/>
              </w:rPr>
              <w:t>分）。</w:t>
            </w:r>
          </w:p>
          <w:p w14:paraId="084ABFC4">
            <w:pPr>
              <w:wordWrap w:val="0"/>
              <w:topLinePunct/>
              <w:rPr>
                <w:rFonts w:hint="eastAsia" w:ascii="宋体" w:hAnsi="宋体" w:cs="宋体"/>
                <w:color w:val="auto"/>
                <w:szCs w:val="21"/>
                <w:lang w:val="zh-CN"/>
              </w:rPr>
            </w:pPr>
            <w:r>
              <w:rPr>
                <w:rFonts w:hint="eastAsia" w:ascii="宋体" w:hAnsi="宋体" w:cs="宋体"/>
                <w:color w:val="auto"/>
                <w:szCs w:val="21"/>
              </w:rPr>
              <w:t>优</w:t>
            </w:r>
            <w:r>
              <w:rPr>
                <w:rFonts w:hint="eastAsia" w:ascii="宋体" w:hAnsi="宋体" w:cs="宋体"/>
                <w:color w:val="auto"/>
                <w:szCs w:val="21"/>
                <w:lang w:val="zh-CN"/>
              </w:rPr>
              <w:t>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10</w:t>
            </w:r>
            <w:r>
              <w:rPr>
                <w:rFonts w:hint="eastAsia" w:ascii="宋体" w:hAnsi="宋体" w:cs="宋体"/>
                <w:b w:val="0"/>
                <w:bCs/>
                <w:color w:val="auto"/>
                <w:szCs w:val="21"/>
                <w:highlight w:val="none"/>
              </w:rPr>
              <w:t>]</w:t>
            </w:r>
            <w:r>
              <w:rPr>
                <w:rFonts w:hint="eastAsia" w:ascii="宋体" w:hAnsi="宋体" w:cs="宋体"/>
                <w:color w:val="auto"/>
                <w:szCs w:val="21"/>
                <w:lang w:val="zh-CN"/>
              </w:rPr>
              <w:t>分，</w:t>
            </w:r>
            <w:r>
              <w:rPr>
                <w:rFonts w:hint="eastAsia" w:ascii="宋体" w:hAnsi="宋体" w:cs="宋体"/>
                <w:color w:val="auto"/>
                <w:szCs w:val="21"/>
                <w:lang w:val="en-US" w:eastAsia="zh-CN"/>
              </w:rPr>
              <w:t>良</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w:t>
            </w:r>
            <w:r>
              <w:rPr>
                <w:rFonts w:hint="eastAsia" w:ascii="宋体" w:hAnsi="宋体" w:cs="宋体"/>
                <w:color w:val="auto"/>
                <w:szCs w:val="21"/>
                <w:lang w:val="zh-CN"/>
              </w:rPr>
              <w:t>分，</w:t>
            </w:r>
            <w:r>
              <w:rPr>
                <w:rFonts w:hint="eastAsia" w:ascii="宋体" w:hAnsi="宋体" w:cs="宋体"/>
                <w:color w:val="auto"/>
                <w:szCs w:val="21"/>
                <w:lang w:val="en-US" w:eastAsia="zh-CN"/>
              </w:rPr>
              <w:t>中</w:t>
            </w:r>
            <w:r>
              <w:rPr>
                <w:rFonts w:hint="eastAsia" w:ascii="宋体" w:hAnsi="宋体" w:cs="宋体"/>
                <w:color w:val="auto"/>
                <w:szCs w:val="21"/>
                <w:lang w:val="zh-CN"/>
              </w:rPr>
              <w:t>得</w:t>
            </w:r>
            <w:r>
              <w:rPr>
                <w:rFonts w:hint="eastAsia" w:ascii="宋体" w:hAnsi="宋体" w:cs="宋体"/>
                <w:b w:val="0"/>
                <w:bCs/>
                <w:color w:val="auto"/>
                <w:szCs w:val="21"/>
                <w:highlight w:val="none"/>
              </w:rPr>
              <w:t>(</w:t>
            </w:r>
            <w:r>
              <w:rPr>
                <w:rFonts w:hint="eastAsia" w:ascii="宋体" w:hAnsi="宋体" w:cs="宋体"/>
                <w:bCs/>
                <w:color w:val="auto"/>
                <w:szCs w:val="21"/>
                <w:highlight w:val="none"/>
                <w:lang w:val="en-US" w:eastAsia="zh-CN"/>
              </w:rPr>
              <w:t>0-4</w:t>
            </w:r>
            <w:r>
              <w:rPr>
                <w:rFonts w:hint="eastAsia" w:ascii="宋体" w:hAnsi="宋体" w:cs="宋体"/>
                <w:bCs/>
                <w:color w:val="auto"/>
                <w:szCs w:val="21"/>
                <w:highlight w:val="none"/>
              </w:rPr>
              <w:t>]</w:t>
            </w:r>
            <w:r>
              <w:rPr>
                <w:rFonts w:hint="eastAsia" w:ascii="宋体" w:hAnsi="宋体" w:cs="宋体"/>
                <w:color w:val="auto"/>
                <w:szCs w:val="21"/>
                <w:lang w:val="zh-CN"/>
              </w:rPr>
              <w:t>分。</w:t>
            </w:r>
            <w:r>
              <w:rPr>
                <w:rFonts w:hint="eastAsia" w:ascii="宋体" w:hAnsi="宋体" w:cs="宋体"/>
                <w:color w:val="auto"/>
              </w:rPr>
              <w:t>没有提供相关资料或描述的得0分。</w:t>
            </w:r>
          </w:p>
        </w:tc>
      </w:tr>
      <w:tr w14:paraId="32FA2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119" w:type="dxa"/>
            <w:gridSpan w:val="2"/>
            <w:vAlign w:val="center"/>
          </w:tcPr>
          <w:p w14:paraId="69C311E8">
            <w:pPr>
              <w:wordWrap w:val="0"/>
              <w:topLinePunct/>
              <w:jc w:val="center"/>
              <w:rPr>
                <w:rFonts w:hint="eastAsia" w:ascii="宋体" w:hAnsi="宋体" w:cs="宋体"/>
                <w:color w:val="auto"/>
                <w:szCs w:val="21"/>
              </w:rPr>
            </w:pPr>
            <w:r>
              <w:rPr>
                <w:rFonts w:hint="eastAsia" w:ascii="宋体" w:hAnsi="宋体" w:cs="宋体"/>
                <w:color w:val="auto"/>
                <w:szCs w:val="21"/>
                <w:lang w:val="zh-CN"/>
              </w:rPr>
              <w:t>总计</w:t>
            </w:r>
          </w:p>
        </w:tc>
        <w:tc>
          <w:tcPr>
            <w:tcW w:w="1134" w:type="dxa"/>
            <w:vAlign w:val="center"/>
          </w:tcPr>
          <w:p w14:paraId="7B92F0A8">
            <w:pPr>
              <w:wordWrap w:val="0"/>
              <w:topLinePunct/>
              <w:jc w:val="center"/>
              <w:rPr>
                <w:rFonts w:hint="eastAsia" w:ascii="宋体" w:hAnsi="宋体" w:cs="宋体"/>
                <w:color w:val="auto"/>
                <w:szCs w:val="21"/>
              </w:rPr>
            </w:pPr>
            <w:r>
              <w:rPr>
                <w:rFonts w:hint="eastAsia" w:ascii="宋体" w:hAnsi="宋体" w:cs="宋体"/>
                <w:color w:val="auto"/>
                <w:szCs w:val="21"/>
              </w:rPr>
              <w:t>100</w:t>
            </w:r>
          </w:p>
        </w:tc>
        <w:tc>
          <w:tcPr>
            <w:tcW w:w="11623" w:type="dxa"/>
            <w:vAlign w:val="center"/>
          </w:tcPr>
          <w:p w14:paraId="4F275524">
            <w:pPr>
              <w:wordWrap w:val="0"/>
              <w:topLinePunct/>
              <w:jc w:val="center"/>
              <w:rPr>
                <w:rFonts w:hint="eastAsia" w:ascii="宋体" w:hAnsi="宋体" w:cs="宋体"/>
                <w:color w:val="auto"/>
                <w:szCs w:val="21"/>
              </w:rPr>
            </w:pPr>
          </w:p>
        </w:tc>
      </w:tr>
    </w:tbl>
    <w:p w14:paraId="44884F59">
      <w:pPr>
        <w:wordWrap w:val="0"/>
        <w:topLinePunct/>
        <w:rPr>
          <w:rFonts w:hint="eastAsia" w:ascii="宋体" w:hAnsi="宋体" w:cs="宋体"/>
          <w:color w:val="auto"/>
          <w:szCs w:val="21"/>
        </w:rPr>
      </w:pPr>
      <w:r>
        <w:rPr>
          <w:rFonts w:hint="eastAsia" w:ascii="宋体" w:hAnsi="宋体" w:cs="宋体"/>
          <w:color w:val="auto"/>
          <w:szCs w:val="21"/>
        </w:rPr>
        <w:t xml:space="preserve">评委签名：                     日期：     </w:t>
      </w:r>
    </w:p>
    <w:p w14:paraId="41A440AA">
      <w:pPr>
        <w:wordWrap w:val="0"/>
        <w:topLinePun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注：</w:t>
      </w:r>
      <w:r>
        <w:rPr>
          <w:rFonts w:hint="eastAsia" w:ascii="宋体" w:hAnsi="宋体" w:cs="宋体"/>
          <w:color w:val="auto"/>
          <w:szCs w:val="21"/>
          <w:highlight w:val="none"/>
        </w:rPr>
        <w:t>评分范围“[ ]”表示包含区间边界数值，“（）”表示不包含区间边界数值。</w:t>
      </w:r>
    </w:p>
    <w:p w14:paraId="555181C3">
      <w:pPr>
        <w:jc w:val="left"/>
        <w:outlineLvl w:val="3"/>
        <w:rPr>
          <w:rFonts w:hint="eastAsia"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rPr>
        <w:t>附表2  工程总承包实施方案技术部分评分表</w:t>
      </w:r>
    </w:p>
    <w:p w14:paraId="32EC0509">
      <w:pPr>
        <w:wordWrap w:val="0"/>
        <w:topLinePunct/>
        <w:rPr>
          <w:rFonts w:hint="eastAsia" w:ascii="宋体" w:hAnsi="宋体" w:cs="宋体"/>
          <w:color w:val="auto"/>
          <w:szCs w:val="22"/>
          <w:u w:val="single"/>
        </w:rPr>
      </w:pPr>
      <w:r>
        <w:rPr>
          <w:rFonts w:hint="eastAsia" w:ascii="宋体" w:hAnsi="宋体" w:cs="宋体"/>
          <w:color w:val="auto"/>
          <w:szCs w:val="22"/>
        </w:rPr>
        <w:t>项目名称：</w:t>
      </w:r>
      <w:r>
        <w:rPr>
          <w:rFonts w:hint="eastAsia" w:ascii="宋体" w:hAnsi="宋体" w:cs="宋体"/>
          <w:color w:val="auto"/>
          <w:szCs w:val="22"/>
          <w:u w:val="single"/>
        </w:rPr>
        <w:t xml:space="preserve">                                      </w:t>
      </w:r>
    </w:p>
    <w:tbl>
      <w:tblPr>
        <w:tblStyle w:val="40"/>
        <w:tblW w:w="15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904"/>
        <w:gridCol w:w="704"/>
        <w:gridCol w:w="11582"/>
      </w:tblGrid>
      <w:tr w14:paraId="75EB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1" w:type="dxa"/>
            <w:tcBorders>
              <w:top w:val="single" w:color="auto" w:sz="4" w:space="0"/>
              <w:left w:val="single" w:color="auto" w:sz="4" w:space="0"/>
              <w:bottom w:val="single" w:color="auto" w:sz="4" w:space="0"/>
              <w:right w:val="single" w:color="auto" w:sz="4" w:space="0"/>
            </w:tcBorders>
            <w:vAlign w:val="center"/>
          </w:tcPr>
          <w:p w14:paraId="2389F307">
            <w:pPr>
              <w:widowControl/>
              <w:jc w:val="center"/>
              <w:rPr>
                <w:rFonts w:hint="eastAsia" w:ascii="宋体" w:hAnsi="宋体" w:cs="宋体"/>
                <w:b/>
                <w:snapToGrid w:val="0"/>
                <w:color w:val="auto"/>
                <w:spacing w:val="-10"/>
                <w:kern w:val="0"/>
                <w:szCs w:val="21"/>
              </w:rPr>
            </w:pPr>
            <w:r>
              <w:rPr>
                <w:rFonts w:hint="eastAsia" w:ascii="宋体" w:hAnsi="宋体" w:cs="宋体"/>
                <w:b/>
                <w:snapToGrid w:val="0"/>
                <w:color w:val="auto"/>
                <w:spacing w:val="-10"/>
                <w:kern w:val="0"/>
                <w:szCs w:val="21"/>
              </w:rPr>
              <w:t>序号</w:t>
            </w:r>
          </w:p>
        </w:tc>
        <w:tc>
          <w:tcPr>
            <w:tcW w:w="1904" w:type="dxa"/>
            <w:tcBorders>
              <w:top w:val="single" w:color="auto" w:sz="4" w:space="0"/>
              <w:left w:val="nil"/>
              <w:bottom w:val="single" w:color="auto" w:sz="4" w:space="0"/>
              <w:right w:val="single" w:color="auto" w:sz="4" w:space="0"/>
            </w:tcBorders>
            <w:vAlign w:val="center"/>
          </w:tcPr>
          <w:p w14:paraId="7E3D1554">
            <w:pPr>
              <w:widowControl/>
              <w:jc w:val="center"/>
              <w:rPr>
                <w:rFonts w:hint="eastAsia" w:ascii="宋体" w:hAnsi="宋体" w:cs="宋体"/>
                <w:b/>
                <w:snapToGrid w:val="0"/>
                <w:color w:val="auto"/>
                <w:spacing w:val="-10"/>
                <w:kern w:val="0"/>
                <w:szCs w:val="21"/>
              </w:rPr>
            </w:pPr>
            <w:r>
              <w:rPr>
                <w:rFonts w:hint="eastAsia" w:ascii="宋体" w:hAnsi="宋体" w:cs="宋体"/>
                <w:b/>
                <w:snapToGrid w:val="0"/>
                <w:color w:val="auto"/>
                <w:spacing w:val="-10"/>
                <w:kern w:val="0"/>
                <w:szCs w:val="21"/>
              </w:rPr>
              <w:t>评分内容</w:t>
            </w:r>
          </w:p>
        </w:tc>
        <w:tc>
          <w:tcPr>
            <w:tcW w:w="704" w:type="dxa"/>
            <w:tcBorders>
              <w:top w:val="single" w:color="auto" w:sz="4" w:space="0"/>
              <w:left w:val="nil"/>
              <w:bottom w:val="single" w:color="auto" w:sz="4" w:space="0"/>
              <w:right w:val="single" w:color="auto" w:sz="4" w:space="0"/>
            </w:tcBorders>
            <w:vAlign w:val="center"/>
          </w:tcPr>
          <w:p w14:paraId="086823CA">
            <w:pPr>
              <w:widowControl/>
              <w:jc w:val="center"/>
              <w:rPr>
                <w:rFonts w:hint="eastAsia" w:ascii="宋体" w:hAnsi="宋体" w:cs="宋体"/>
                <w:b/>
                <w:bCs/>
                <w:snapToGrid w:val="0"/>
                <w:color w:val="auto"/>
                <w:spacing w:val="-10"/>
                <w:kern w:val="0"/>
                <w:szCs w:val="21"/>
              </w:rPr>
            </w:pPr>
            <w:r>
              <w:rPr>
                <w:rFonts w:hint="eastAsia" w:ascii="宋体" w:hAnsi="宋体" w:cs="宋体"/>
                <w:b/>
                <w:bCs/>
                <w:snapToGrid w:val="0"/>
                <w:color w:val="auto"/>
                <w:spacing w:val="-10"/>
                <w:kern w:val="0"/>
                <w:szCs w:val="21"/>
              </w:rPr>
              <w:t>分值</w:t>
            </w:r>
          </w:p>
        </w:tc>
        <w:tc>
          <w:tcPr>
            <w:tcW w:w="11582" w:type="dxa"/>
            <w:tcBorders>
              <w:top w:val="single" w:color="auto" w:sz="4" w:space="0"/>
              <w:left w:val="nil"/>
              <w:bottom w:val="single" w:color="auto" w:sz="4" w:space="0"/>
              <w:right w:val="single" w:color="auto" w:sz="4" w:space="0"/>
            </w:tcBorders>
            <w:vAlign w:val="center"/>
          </w:tcPr>
          <w:p w14:paraId="1E31C1FE">
            <w:pPr>
              <w:widowControl/>
              <w:jc w:val="center"/>
              <w:rPr>
                <w:rFonts w:hint="eastAsia" w:ascii="宋体" w:hAnsi="宋体" w:cs="宋体"/>
                <w:b/>
                <w:bCs/>
                <w:color w:val="auto"/>
                <w:spacing w:val="-10"/>
                <w:szCs w:val="21"/>
              </w:rPr>
            </w:pPr>
            <w:r>
              <w:rPr>
                <w:rFonts w:hint="eastAsia" w:ascii="宋体" w:hAnsi="宋体" w:cs="宋体"/>
                <w:b/>
                <w:bCs/>
                <w:color w:val="auto"/>
                <w:spacing w:val="-10"/>
                <w:szCs w:val="21"/>
              </w:rPr>
              <w:t>评审标准</w:t>
            </w:r>
          </w:p>
        </w:tc>
      </w:tr>
      <w:tr w14:paraId="1F0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1" w:type="dxa"/>
            <w:gridSpan w:val="4"/>
            <w:tcBorders>
              <w:top w:val="single" w:color="auto" w:sz="4" w:space="0"/>
              <w:left w:val="single" w:color="auto" w:sz="4" w:space="0"/>
              <w:bottom w:val="single" w:color="auto" w:sz="4" w:space="0"/>
              <w:right w:val="single" w:color="auto" w:sz="4" w:space="0"/>
            </w:tcBorders>
            <w:vAlign w:val="center"/>
          </w:tcPr>
          <w:p w14:paraId="79612625">
            <w:pPr>
              <w:adjustRightInd w:val="0"/>
              <w:snapToGrid w:val="0"/>
              <w:rPr>
                <w:rFonts w:hint="eastAsia" w:ascii="宋体" w:hAnsi="宋体" w:cs="宋体"/>
                <w:b/>
                <w:bCs/>
                <w:snapToGrid w:val="0"/>
                <w:color w:val="auto"/>
                <w:spacing w:val="-10"/>
                <w:kern w:val="0"/>
                <w:szCs w:val="21"/>
              </w:rPr>
            </w:pPr>
            <w:r>
              <w:rPr>
                <w:rFonts w:hint="eastAsia" w:ascii="宋体" w:hAnsi="宋体" w:cs="宋体"/>
                <w:b/>
                <w:bCs/>
                <w:snapToGrid w:val="0"/>
                <w:color w:val="auto"/>
                <w:spacing w:val="-10"/>
                <w:kern w:val="0"/>
                <w:szCs w:val="21"/>
              </w:rPr>
              <w:t>1.资信部分（36分）</w:t>
            </w:r>
          </w:p>
        </w:tc>
      </w:tr>
      <w:tr w14:paraId="0D96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1234DC8E">
            <w:pPr>
              <w:widowControl/>
              <w:adjustRightInd w:val="0"/>
              <w:snapToGrid w:val="0"/>
              <w:jc w:val="center"/>
              <w:rPr>
                <w:rFonts w:hint="eastAsia" w:ascii="宋体" w:hAnsi="宋体" w:cs="宋体"/>
                <w:bCs/>
                <w:snapToGrid w:val="0"/>
                <w:color w:val="auto"/>
                <w:spacing w:val="-10"/>
                <w:kern w:val="0"/>
                <w:szCs w:val="21"/>
              </w:rPr>
            </w:pPr>
            <w:r>
              <w:rPr>
                <w:rFonts w:hint="eastAsia" w:ascii="宋体" w:hAnsi="宋体" w:cs="宋体"/>
                <w:bCs/>
                <w:snapToGrid w:val="0"/>
                <w:color w:val="auto"/>
                <w:spacing w:val="-10"/>
                <w:kern w:val="0"/>
                <w:szCs w:val="21"/>
              </w:rPr>
              <w:t>1.1</w:t>
            </w:r>
          </w:p>
        </w:tc>
        <w:tc>
          <w:tcPr>
            <w:tcW w:w="1904" w:type="dxa"/>
            <w:tcBorders>
              <w:top w:val="single" w:color="auto" w:sz="4" w:space="0"/>
              <w:left w:val="nil"/>
              <w:bottom w:val="single" w:color="auto" w:sz="4" w:space="0"/>
              <w:right w:val="single" w:color="auto" w:sz="4" w:space="0"/>
            </w:tcBorders>
            <w:vAlign w:val="center"/>
          </w:tcPr>
          <w:p w14:paraId="10FDDCCD">
            <w:pPr>
              <w:jc w:val="center"/>
              <w:rPr>
                <w:rFonts w:hint="eastAsia" w:ascii="宋体" w:hAnsi="宋体"/>
                <w:color w:val="auto"/>
                <w:szCs w:val="21"/>
              </w:rPr>
            </w:pPr>
            <w:r>
              <w:rPr>
                <w:rFonts w:hint="eastAsia" w:ascii="宋体" w:hAnsi="宋体" w:cs="宋体"/>
                <w:color w:val="auto"/>
                <w:szCs w:val="21"/>
              </w:rPr>
              <w:t>类似业绩</w:t>
            </w:r>
          </w:p>
        </w:tc>
        <w:tc>
          <w:tcPr>
            <w:tcW w:w="704" w:type="dxa"/>
            <w:tcBorders>
              <w:top w:val="single" w:color="auto" w:sz="4" w:space="0"/>
              <w:left w:val="nil"/>
              <w:bottom w:val="single" w:color="auto" w:sz="4" w:space="0"/>
              <w:right w:val="single" w:color="auto" w:sz="4" w:space="0"/>
            </w:tcBorders>
            <w:vAlign w:val="center"/>
          </w:tcPr>
          <w:p w14:paraId="760C5433">
            <w:pPr>
              <w:jc w:val="center"/>
              <w:rPr>
                <w:rFonts w:hint="eastAsia" w:ascii="宋体" w:hAnsi="宋体" w:eastAsia="宋体"/>
                <w:color w:val="auto"/>
                <w:szCs w:val="21"/>
                <w:lang w:eastAsia="zh-CN"/>
              </w:rPr>
            </w:pPr>
            <w:r>
              <w:rPr>
                <w:rFonts w:hint="eastAsia" w:ascii="宋体" w:hAnsi="宋体" w:cs="宋体"/>
                <w:color w:val="auto"/>
                <w:kern w:val="0"/>
                <w:szCs w:val="21"/>
                <w:lang w:val="en-US" w:eastAsia="zh-CN"/>
              </w:rPr>
              <w:t>6</w:t>
            </w:r>
          </w:p>
        </w:tc>
        <w:tc>
          <w:tcPr>
            <w:tcW w:w="11582" w:type="dxa"/>
            <w:tcBorders>
              <w:top w:val="single" w:color="auto" w:sz="4" w:space="0"/>
              <w:left w:val="nil"/>
              <w:bottom w:val="single" w:color="auto" w:sz="4" w:space="0"/>
              <w:right w:val="single" w:color="auto" w:sz="4" w:space="0"/>
            </w:tcBorders>
            <w:vAlign w:val="center"/>
          </w:tcPr>
          <w:p w14:paraId="4BC2B332">
            <w:pPr>
              <w:keepNext w:val="0"/>
              <w:keepLines w:val="0"/>
              <w:suppressLineNumbers w:val="0"/>
              <w:spacing w:before="0" w:beforeAutospacing="0" w:after="0" w:afterAutospacing="0"/>
              <w:ind w:left="0" w:right="0"/>
              <w:rPr>
                <w:rFonts w:hint="eastAsia" w:ascii="宋体" w:hAnsi="宋体"/>
                <w:color w:val="auto"/>
                <w:szCs w:val="21"/>
                <w:lang w:val="zh-CN"/>
              </w:rPr>
            </w:pPr>
            <w:r>
              <w:rPr>
                <w:rFonts w:hint="eastAsia" w:ascii="宋体" w:hAnsi="宋体"/>
                <w:color w:val="auto"/>
                <w:szCs w:val="21"/>
                <w:lang w:val="en-US" w:eastAsia="zh-CN"/>
              </w:rPr>
              <w:t>1.</w:t>
            </w:r>
            <w:r>
              <w:rPr>
                <w:rFonts w:hint="eastAsia" w:ascii="宋体" w:hAnsi="宋体"/>
                <w:color w:val="auto"/>
                <w:szCs w:val="21"/>
              </w:rPr>
              <w:t>投标人（若为联合体，指联合体牵头方）</w:t>
            </w:r>
            <w:r>
              <w:rPr>
                <w:rFonts w:hint="eastAsia" w:ascii="宋体" w:hAnsi="宋体"/>
                <w:color w:val="auto"/>
                <w:szCs w:val="21"/>
                <w:lang w:val="zh-CN"/>
              </w:rPr>
              <w:t>2021年1月1日至今</w:t>
            </w:r>
            <w:r>
              <w:rPr>
                <w:rFonts w:hint="eastAsia" w:ascii="宋体" w:hAnsi="宋体"/>
                <w:color w:val="auto"/>
                <w:szCs w:val="21"/>
              </w:rPr>
              <w:t>完成</w:t>
            </w:r>
            <w:r>
              <w:rPr>
                <w:rFonts w:hint="eastAsia" w:ascii="宋体" w:hAnsi="宋体"/>
                <w:color w:val="auto"/>
                <w:szCs w:val="21"/>
                <w:lang w:val="zh-CN"/>
              </w:rPr>
              <w:t>过建安费合同金额</w:t>
            </w:r>
            <w:r>
              <w:rPr>
                <w:rFonts w:hint="eastAsia" w:ascii="宋体" w:hAnsi="宋体"/>
                <w:color w:val="auto"/>
                <w:szCs w:val="21"/>
                <w:lang w:val="en-US" w:eastAsia="zh-CN"/>
              </w:rPr>
              <w:t>500</w:t>
            </w:r>
            <w:r>
              <w:rPr>
                <w:rFonts w:hint="eastAsia" w:ascii="宋体" w:hAnsi="宋体"/>
                <w:color w:val="auto"/>
                <w:szCs w:val="21"/>
                <w:lang w:val="zh-CN"/>
              </w:rPr>
              <w:t>万元</w:t>
            </w:r>
            <w:r>
              <w:rPr>
                <w:rFonts w:hint="eastAsia" w:ascii="宋体" w:hAnsi="宋体"/>
                <w:color w:val="auto"/>
                <w:szCs w:val="21"/>
              </w:rPr>
              <w:t>或以上市政公用工程施工业绩</w:t>
            </w:r>
            <w:r>
              <w:rPr>
                <w:rFonts w:hint="eastAsia" w:ascii="宋体" w:hAnsi="宋体"/>
                <w:color w:val="auto"/>
                <w:szCs w:val="21"/>
                <w:lang w:val="zh-CN"/>
              </w:rPr>
              <w:t>(含</w:t>
            </w:r>
            <w:r>
              <w:rPr>
                <w:rFonts w:hint="eastAsia" w:ascii="宋体" w:hAnsi="宋体"/>
                <w:color w:val="auto"/>
                <w:szCs w:val="21"/>
              </w:rPr>
              <w:t>施工总承包、工程总承包、</w:t>
            </w:r>
            <w:r>
              <w:rPr>
                <w:rFonts w:hint="eastAsia" w:ascii="宋体" w:hAnsi="宋体"/>
                <w:color w:val="auto"/>
                <w:szCs w:val="21"/>
                <w:lang w:val="zh-CN"/>
              </w:rPr>
              <w:t>勘察设计施工总承包、设计施工总承包、EPC等)，每项得</w:t>
            </w:r>
            <w:r>
              <w:rPr>
                <w:rFonts w:hint="eastAsia" w:ascii="宋体" w:hAnsi="宋体"/>
                <w:color w:val="auto"/>
                <w:szCs w:val="21"/>
              </w:rPr>
              <w:t>1</w:t>
            </w:r>
            <w:r>
              <w:rPr>
                <w:rFonts w:hint="eastAsia" w:ascii="宋体" w:hAnsi="宋体"/>
                <w:color w:val="auto"/>
                <w:szCs w:val="21"/>
                <w:lang w:val="zh-CN"/>
              </w:rPr>
              <w:t>分，本项最多得</w:t>
            </w:r>
            <w:r>
              <w:rPr>
                <w:rFonts w:hint="eastAsia" w:ascii="宋体" w:hAnsi="宋体"/>
                <w:color w:val="auto"/>
                <w:szCs w:val="21"/>
                <w:lang w:val="en-US" w:eastAsia="zh-CN"/>
              </w:rPr>
              <w:t>2</w:t>
            </w:r>
            <w:r>
              <w:rPr>
                <w:rFonts w:hint="eastAsia" w:ascii="宋体" w:hAnsi="宋体"/>
                <w:color w:val="auto"/>
                <w:szCs w:val="21"/>
                <w:lang w:val="zh-CN"/>
              </w:rPr>
              <w:t>分。</w:t>
            </w:r>
          </w:p>
          <w:p w14:paraId="1B605FAF">
            <w:pPr>
              <w:keepNext w:val="0"/>
              <w:keepLines w:val="0"/>
              <w:suppressLineNumbers w:val="0"/>
              <w:spacing w:before="0" w:beforeAutospacing="0" w:after="0" w:afterAutospacing="0"/>
              <w:ind w:left="0" w:right="0"/>
              <w:rPr>
                <w:rFonts w:hint="default"/>
                <w:color w:val="auto"/>
              </w:rPr>
            </w:pPr>
            <w:r>
              <w:rPr>
                <w:rFonts w:hint="eastAsia" w:ascii="宋体" w:hAnsi="宋体" w:cs="宋体"/>
                <w:color w:val="auto"/>
                <w:szCs w:val="21"/>
              </w:rPr>
              <w:t>注：</w:t>
            </w:r>
            <w:r>
              <w:rPr>
                <w:rFonts w:hint="default" w:ascii="宋体" w:hAnsi="宋体" w:cs="宋体"/>
                <w:color w:val="auto"/>
                <w:kern w:val="1"/>
                <w:szCs w:val="21"/>
              </w:rPr>
              <w:t>类似业绩工程是指市政公用工程类设计施工总承包业绩(设计施工总承包业绩包含但不限于以下任一种:勘察设计施工总承包、设计施工总承包、 EPC、EPC+0、EPC+F、PPP、BT、BOT等)。业绩须提供合同文本关键页，</w:t>
            </w:r>
            <w:r>
              <w:rPr>
                <w:rFonts w:hint="eastAsia" w:ascii="宋体" w:hAnsi="宋体" w:cs="宋体"/>
                <w:color w:val="auto"/>
                <w:kern w:val="1"/>
                <w:szCs w:val="21"/>
              </w:rPr>
              <w:t>中标通知书</w:t>
            </w:r>
            <w:r>
              <w:rPr>
                <w:rFonts w:hint="eastAsia" w:ascii="宋体" w:hAnsi="宋体" w:cs="宋体"/>
                <w:color w:val="auto"/>
                <w:kern w:val="1"/>
                <w:szCs w:val="21"/>
                <w:lang w:val="en-US" w:eastAsia="zh-CN"/>
              </w:rPr>
              <w:t>及</w:t>
            </w:r>
            <w:r>
              <w:rPr>
                <w:rFonts w:hint="eastAsia" w:ascii="宋体" w:hAnsi="宋体" w:cs="宋体"/>
                <w:color w:val="auto"/>
                <w:kern w:val="1"/>
                <w:szCs w:val="21"/>
              </w:rPr>
              <w:t>验收报告</w:t>
            </w:r>
            <w:r>
              <w:rPr>
                <w:rFonts w:hint="eastAsia" w:ascii="宋体" w:hAnsi="宋体" w:cs="宋体"/>
                <w:color w:val="auto"/>
                <w:kern w:val="1"/>
                <w:szCs w:val="21"/>
                <w:lang w:eastAsia="zh-CN"/>
              </w:rPr>
              <w:t>，</w:t>
            </w:r>
            <w:r>
              <w:rPr>
                <w:rFonts w:hint="eastAsia" w:ascii="宋体" w:hAnsi="宋体" w:cs="宋体"/>
                <w:color w:val="auto"/>
                <w:kern w:val="1"/>
                <w:szCs w:val="21"/>
                <w:lang w:val="en-US" w:eastAsia="zh-CN"/>
              </w:rPr>
              <w:t>业绩认定的</w:t>
            </w:r>
            <w:r>
              <w:rPr>
                <w:rFonts w:hint="default" w:ascii="宋体" w:hAnsi="宋体" w:cs="宋体"/>
                <w:color w:val="auto"/>
                <w:kern w:val="1"/>
                <w:szCs w:val="21"/>
              </w:rPr>
              <w:t>时间以合同签订时间为准，如合同无法体现时间则以中标通知书为准</w:t>
            </w:r>
            <w:r>
              <w:rPr>
                <w:rFonts w:hint="eastAsia" w:ascii="宋体" w:hAnsi="宋体" w:cs="宋体"/>
                <w:color w:val="auto"/>
                <w:szCs w:val="21"/>
              </w:rPr>
              <w:t>。</w:t>
            </w:r>
          </w:p>
          <w:p w14:paraId="3502537C">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2、投标人（若为联合体，指承担设计任务的成员）自2021年1月1日至今承接过投资额或建安费≥</w:t>
            </w:r>
            <w:r>
              <w:rPr>
                <w:rFonts w:hint="eastAsia" w:ascii="宋体" w:hAnsi="宋体" w:cs="宋体"/>
                <w:color w:val="auto"/>
                <w:szCs w:val="21"/>
                <w:lang w:val="en-US" w:eastAsia="zh-CN"/>
              </w:rPr>
              <w:t>500</w:t>
            </w:r>
            <w:r>
              <w:rPr>
                <w:rFonts w:hint="eastAsia" w:ascii="宋体" w:hAnsi="宋体" w:cs="宋体"/>
                <w:color w:val="auto"/>
                <w:szCs w:val="21"/>
              </w:rPr>
              <w:t>万元类似业绩的，每项得</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ascii="宋体" w:hAnsi="宋体"/>
                <w:color w:val="auto"/>
                <w:szCs w:val="21"/>
              </w:rPr>
              <w:t>本项</w:t>
            </w:r>
            <w:r>
              <w:rPr>
                <w:rFonts w:hint="eastAsia" w:ascii="宋体" w:hAnsi="宋体"/>
                <w:color w:val="auto"/>
                <w:szCs w:val="21"/>
                <w:lang w:val="zh-CN"/>
              </w:rPr>
              <w:t>最多得</w:t>
            </w:r>
            <w:r>
              <w:rPr>
                <w:rFonts w:hint="eastAsia" w:ascii="宋体" w:hAnsi="宋体"/>
                <w:color w:val="auto"/>
                <w:szCs w:val="21"/>
                <w:lang w:val="en-US" w:eastAsia="zh-CN"/>
              </w:rPr>
              <w:t>4</w:t>
            </w:r>
            <w:r>
              <w:rPr>
                <w:rFonts w:hint="eastAsia" w:ascii="宋体" w:hAnsi="宋体" w:cs="宋体"/>
                <w:color w:val="auto"/>
                <w:szCs w:val="21"/>
              </w:rPr>
              <w:t>分。</w:t>
            </w:r>
          </w:p>
          <w:p w14:paraId="71888A0A">
            <w:pPr>
              <w:rPr>
                <w:color w:val="auto"/>
              </w:rPr>
            </w:pPr>
            <w:r>
              <w:rPr>
                <w:rFonts w:hint="eastAsia" w:ascii="宋体" w:hAnsi="宋体" w:cs="宋体"/>
                <w:color w:val="auto"/>
                <w:szCs w:val="21"/>
              </w:rPr>
              <w:t>注：类似业绩工程是指市政公用工程类</w:t>
            </w:r>
            <w:r>
              <w:rPr>
                <w:rFonts w:hint="eastAsia" w:ascii="宋体" w:hAnsi="宋体"/>
                <w:color w:val="auto"/>
              </w:rPr>
              <w:t>设计业绩或勘察设计业绩或</w:t>
            </w:r>
            <w:r>
              <w:rPr>
                <w:rFonts w:hint="eastAsia" w:ascii="宋体" w:hAnsi="宋体" w:cs="宋体"/>
                <w:color w:val="auto"/>
                <w:szCs w:val="21"/>
              </w:rPr>
              <w:t>设计施工总承包业绩(设计施工总承包业绩包含但不限于以下任一种:勘察设计施工总承包、设计施工总承包、EPC、EPC+0、EPC+F、PPP、BT、BOT等)。</w:t>
            </w:r>
            <w:r>
              <w:rPr>
                <w:rFonts w:hint="default" w:ascii="宋体" w:hAnsi="宋体" w:cs="宋体"/>
                <w:color w:val="auto"/>
                <w:kern w:val="1"/>
                <w:szCs w:val="21"/>
              </w:rPr>
              <w:t>业绩须提供合同文本关键页，</w:t>
            </w:r>
            <w:r>
              <w:rPr>
                <w:rFonts w:hint="eastAsia" w:ascii="宋体" w:hAnsi="宋体" w:cs="宋体"/>
                <w:color w:val="auto"/>
                <w:kern w:val="1"/>
                <w:szCs w:val="21"/>
              </w:rPr>
              <w:t>中标通知书</w:t>
            </w:r>
            <w:r>
              <w:rPr>
                <w:rFonts w:hint="eastAsia" w:ascii="宋体" w:hAnsi="宋体" w:cs="宋体"/>
                <w:color w:val="auto"/>
                <w:kern w:val="1"/>
                <w:szCs w:val="21"/>
                <w:lang w:eastAsia="zh-CN"/>
              </w:rPr>
              <w:t>，</w:t>
            </w:r>
            <w:r>
              <w:rPr>
                <w:rFonts w:hint="eastAsia" w:ascii="宋体" w:hAnsi="宋体" w:cs="宋体"/>
                <w:color w:val="auto"/>
                <w:kern w:val="1"/>
                <w:szCs w:val="21"/>
                <w:lang w:val="en-US" w:eastAsia="zh-CN"/>
              </w:rPr>
              <w:t>业绩认定的</w:t>
            </w:r>
            <w:r>
              <w:rPr>
                <w:rFonts w:hint="default" w:ascii="宋体" w:hAnsi="宋体" w:cs="宋体"/>
                <w:color w:val="auto"/>
                <w:kern w:val="1"/>
                <w:szCs w:val="21"/>
              </w:rPr>
              <w:t>时间以合同签订时间为准，如合同无法体现时间则以中标通知书为准</w:t>
            </w:r>
            <w:r>
              <w:rPr>
                <w:rFonts w:hint="eastAsia" w:ascii="宋体" w:hAnsi="宋体" w:cs="宋体"/>
                <w:color w:val="auto"/>
                <w:szCs w:val="21"/>
              </w:rPr>
              <w:t>。</w:t>
            </w:r>
          </w:p>
        </w:tc>
      </w:tr>
      <w:tr w14:paraId="594E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623B5B2F">
            <w:pPr>
              <w:widowControl/>
              <w:adjustRightInd w:val="0"/>
              <w:snapToGrid w:val="0"/>
              <w:jc w:val="center"/>
              <w:rPr>
                <w:rFonts w:hint="eastAsia" w:ascii="宋体" w:hAnsi="宋体" w:cs="宋体"/>
                <w:bCs/>
                <w:snapToGrid w:val="0"/>
                <w:color w:val="auto"/>
                <w:spacing w:val="-10"/>
                <w:kern w:val="0"/>
                <w:szCs w:val="21"/>
              </w:rPr>
            </w:pPr>
            <w:r>
              <w:rPr>
                <w:rFonts w:hint="eastAsia" w:ascii="宋体" w:hAnsi="宋体" w:cs="宋体"/>
                <w:bCs/>
                <w:snapToGrid w:val="0"/>
                <w:color w:val="auto"/>
                <w:spacing w:val="-10"/>
                <w:kern w:val="0"/>
                <w:szCs w:val="21"/>
              </w:rPr>
              <w:t>1.2</w:t>
            </w:r>
          </w:p>
        </w:tc>
        <w:tc>
          <w:tcPr>
            <w:tcW w:w="1904" w:type="dxa"/>
            <w:tcBorders>
              <w:top w:val="single" w:color="auto" w:sz="4" w:space="0"/>
              <w:left w:val="nil"/>
              <w:bottom w:val="single" w:color="auto" w:sz="4" w:space="0"/>
              <w:right w:val="single" w:color="auto" w:sz="4" w:space="0"/>
            </w:tcBorders>
            <w:vAlign w:val="center"/>
          </w:tcPr>
          <w:p w14:paraId="1A25FB55">
            <w:pPr>
              <w:widowControl/>
              <w:jc w:val="center"/>
              <w:rPr>
                <w:rFonts w:hint="eastAsia" w:ascii="宋体" w:hAnsi="宋体"/>
                <w:color w:val="auto"/>
                <w:szCs w:val="21"/>
              </w:rPr>
            </w:pPr>
            <w:r>
              <w:rPr>
                <w:rFonts w:hint="eastAsia" w:ascii="宋体" w:hAnsi="宋体"/>
                <w:color w:val="auto"/>
                <w:szCs w:val="21"/>
              </w:rPr>
              <w:t>企业获奖</w:t>
            </w:r>
          </w:p>
        </w:tc>
        <w:tc>
          <w:tcPr>
            <w:tcW w:w="704" w:type="dxa"/>
            <w:tcBorders>
              <w:top w:val="single" w:color="auto" w:sz="4" w:space="0"/>
              <w:left w:val="nil"/>
              <w:bottom w:val="single" w:color="auto" w:sz="4" w:space="0"/>
              <w:right w:val="single" w:color="auto" w:sz="4" w:space="0"/>
            </w:tcBorders>
            <w:vAlign w:val="center"/>
          </w:tcPr>
          <w:p w14:paraId="3E27BCE0">
            <w:pPr>
              <w:widowControl/>
              <w:jc w:val="center"/>
              <w:rPr>
                <w:rFonts w:hint="default" w:ascii="宋体" w:hAnsi="宋体" w:eastAsia="宋体"/>
                <w:color w:val="auto"/>
                <w:szCs w:val="21"/>
                <w:lang w:val="en-US" w:eastAsia="zh-CN"/>
              </w:rPr>
            </w:pPr>
            <w:r>
              <w:rPr>
                <w:rFonts w:hint="eastAsia" w:ascii="宋体" w:hAnsi="宋体" w:cs="宋体"/>
                <w:color w:val="auto"/>
                <w:kern w:val="0"/>
                <w:szCs w:val="21"/>
                <w:lang w:val="en-US" w:eastAsia="zh-CN"/>
              </w:rPr>
              <w:t>5</w:t>
            </w:r>
          </w:p>
        </w:tc>
        <w:tc>
          <w:tcPr>
            <w:tcW w:w="11582" w:type="dxa"/>
            <w:tcBorders>
              <w:top w:val="single" w:color="auto" w:sz="4" w:space="0"/>
              <w:left w:val="nil"/>
              <w:bottom w:val="single" w:color="auto" w:sz="4" w:space="0"/>
              <w:right w:val="single" w:color="auto" w:sz="4" w:space="0"/>
            </w:tcBorders>
            <w:vAlign w:val="center"/>
          </w:tcPr>
          <w:p w14:paraId="0E331B72">
            <w:pPr>
              <w:keepNext w:val="0"/>
              <w:keepLines w:val="0"/>
              <w:suppressLineNumbers w:val="0"/>
              <w:snapToGrid w:val="0"/>
              <w:spacing w:before="0" w:beforeAutospacing="0" w:after="0" w:afterAutospacing="0"/>
              <w:ind w:left="0" w:right="0"/>
              <w:rPr>
                <w:rFonts w:hint="default" w:ascii="宋体" w:hAnsi="宋体" w:eastAsia="宋体"/>
                <w:color w:val="auto"/>
                <w:lang w:val="en-US" w:eastAsia="zh-CN"/>
              </w:rPr>
            </w:pPr>
            <w:r>
              <w:rPr>
                <w:rFonts w:hint="eastAsia" w:ascii="宋体" w:hAnsi="宋体"/>
                <w:color w:val="auto"/>
                <w:lang w:val="en-US" w:eastAsia="zh-CN"/>
              </w:rPr>
              <w:t>1.</w:t>
            </w:r>
            <w:r>
              <w:rPr>
                <w:rFonts w:hint="eastAsia" w:ascii="宋体" w:hAnsi="宋体"/>
                <w:color w:val="auto"/>
              </w:rPr>
              <w:t>投标人（</w:t>
            </w:r>
            <w:r>
              <w:rPr>
                <w:rFonts w:hint="eastAsia" w:ascii="宋体" w:hAnsi="宋体"/>
                <w:color w:val="auto"/>
                <w:szCs w:val="21"/>
              </w:rPr>
              <w:t>若为联合体，指联合体牵头方</w:t>
            </w:r>
            <w:r>
              <w:rPr>
                <w:rFonts w:hint="eastAsia" w:ascii="宋体" w:hAnsi="宋体"/>
                <w:color w:val="auto"/>
              </w:rPr>
              <w:t>）2021年1月1日至今，承担的市政项目获奖情况：获市级或以上</w:t>
            </w:r>
            <w:r>
              <w:rPr>
                <w:rFonts w:hint="eastAsia" w:ascii="宋体" w:hAnsi="宋体"/>
                <w:color w:val="auto"/>
                <w:lang w:val="en-US" w:eastAsia="zh-CN"/>
              </w:rPr>
              <w:t>质量</w:t>
            </w:r>
            <w:r>
              <w:rPr>
                <w:rFonts w:hint="eastAsia" w:ascii="宋体" w:hAnsi="宋体"/>
                <w:color w:val="auto"/>
              </w:rPr>
              <w:t>奖项，每项得</w:t>
            </w:r>
            <w:r>
              <w:rPr>
                <w:rFonts w:hint="eastAsia" w:ascii="宋体" w:hAnsi="宋体"/>
                <w:color w:val="auto"/>
                <w:lang w:val="en-US" w:eastAsia="zh-CN"/>
              </w:rPr>
              <w:t>0.5</w:t>
            </w:r>
            <w:r>
              <w:rPr>
                <w:rFonts w:hint="eastAsia" w:ascii="宋体" w:hAnsi="宋体"/>
                <w:color w:val="auto"/>
              </w:rPr>
              <w:t>分。本项合计最多得</w:t>
            </w:r>
            <w:r>
              <w:rPr>
                <w:rFonts w:hint="eastAsia" w:ascii="宋体" w:hAnsi="宋体"/>
                <w:color w:val="auto"/>
                <w:lang w:val="en-US" w:eastAsia="zh-CN"/>
              </w:rPr>
              <w:t>0.5</w:t>
            </w:r>
            <w:r>
              <w:rPr>
                <w:rFonts w:hint="eastAsia" w:ascii="宋体" w:hAnsi="宋体"/>
                <w:color w:val="auto"/>
              </w:rPr>
              <w:t>分。</w:t>
            </w:r>
          </w:p>
          <w:p w14:paraId="24B84A5B">
            <w:pPr>
              <w:keepNext w:val="0"/>
              <w:keepLines w:val="0"/>
              <w:suppressLineNumbers w:val="0"/>
              <w:snapToGrid w:val="0"/>
              <w:spacing w:before="0" w:beforeAutospacing="0" w:after="0" w:afterAutospacing="0"/>
              <w:ind w:left="0" w:right="0"/>
              <w:rPr>
                <w:rFonts w:hint="eastAsia" w:ascii="宋体" w:hAnsi="宋体"/>
                <w:color w:val="auto"/>
              </w:rPr>
            </w:pPr>
            <w:r>
              <w:rPr>
                <w:rFonts w:hint="eastAsia" w:ascii="宋体" w:hAnsi="宋体"/>
                <w:color w:val="auto"/>
              </w:rPr>
              <w:t>注：①</w:t>
            </w:r>
            <w:r>
              <w:rPr>
                <w:rFonts w:hint="eastAsia" w:ascii="宋体" w:hAnsi="宋体" w:cs="宋体"/>
                <w:color w:val="auto"/>
                <w:szCs w:val="21"/>
                <w:highlight w:val="none"/>
              </w:rPr>
              <w:t>国家级质量奖包括：中国建设工程鲁班奖、中国土木工程詹天佑奖、国家优质工程金质奖（金奖）、国家优质工程银质奖（银奖）、国家优质工程奖</w:t>
            </w:r>
            <w:r>
              <w:rPr>
                <w:rFonts w:hint="eastAsia" w:ascii="宋体" w:hAnsi="宋体" w:cs="宋体"/>
                <w:color w:val="auto"/>
                <w:szCs w:val="21"/>
                <w:highlight w:val="none"/>
                <w:lang w:eastAsia="zh-CN"/>
              </w:rPr>
              <w:t>、</w:t>
            </w:r>
            <w:r>
              <w:rPr>
                <w:rFonts w:hint="eastAsia" w:ascii="宋体" w:hAnsi="宋体" w:cs="宋体"/>
                <w:color w:val="auto"/>
                <w:szCs w:val="21"/>
                <w:highlight w:val="none"/>
              </w:rPr>
              <w:t>市政工程最高质量水平评价；省级、市级</w:t>
            </w:r>
            <w:r>
              <w:rPr>
                <w:rFonts w:hint="eastAsia" w:ascii="宋体" w:hAnsi="宋体" w:cs="宋体"/>
                <w:color w:val="auto"/>
                <w:szCs w:val="21"/>
                <w:highlight w:val="none"/>
                <w:lang w:eastAsia="zh"/>
              </w:rPr>
              <w:t>（副省级）</w:t>
            </w:r>
            <w:r>
              <w:rPr>
                <w:rFonts w:hint="eastAsia" w:ascii="宋体" w:hAnsi="宋体" w:cs="宋体"/>
                <w:color w:val="auto"/>
                <w:szCs w:val="21"/>
                <w:highlight w:val="none"/>
              </w:rPr>
              <w:t>工程质量奖项是指由省级、市级</w:t>
            </w:r>
            <w:r>
              <w:rPr>
                <w:rFonts w:hint="eastAsia" w:ascii="宋体" w:hAnsi="宋体" w:cs="宋体"/>
                <w:color w:val="auto"/>
                <w:szCs w:val="21"/>
                <w:highlight w:val="none"/>
                <w:lang w:eastAsia="zh"/>
              </w:rPr>
              <w:t>（副省级）</w:t>
            </w:r>
            <w:r>
              <w:rPr>
                <w:rFonts w:hint="eastAsia" w:ascii="宋体" w:hAnsi="宋体" w:cs="宋体"/>
                <w:color w:val="auto"/>
                <w:szCs w:val="21"/>
                <w:highlight w:val="none"/>
              </w:rPr>
              <w:t>建设行政主管部门或行业协会颁发的工程质量奖项（</w:t>
            </w:r>
            <w:r>
              <w:rPr>
                <w:rFonts w:hint="eastAsia" w:ascii="宋体" w:hAnsi="宋体" w:cs="宋体"/>
                <w:color w:val="auto"/>
                <w:kern w:val="2"/>
                <w:szCs w:val="21"/>
                <w:highlight w:val="none"/>
                <w:shd w:val="clear" w:color="auto" w:fill="auto"/>
                <w:lang w:bidi="ar"/>
              </w:rPr>
              <w:t>其它如</w:t>
            </w:r>
            <w:r>
              <w:rPr>
                <w:rFonts w:hint="eastAsia" w:ascii="宋体" w:hAnsi="宋体" w:cs="宋体"/>
                <w:color w:val="auto"/>
                <w:szCs w:val="21"/>
                <w:highlight w:val="none"/>
              </w:rPr>
              <w:t>装饰装修、钢结构、安全文明、</w:t>
            </w:r>
            <w:r>
              <w:rPr>
                <w:rFonts w:hint="eastAsia" w:ascii="宋体" w:hAnsi="宋体" w:cs="宋体"/>
                <w:color w:val="auto"/>
                <w:kern w:val="2"/>
                <w:szCs w:val="21"/>
                <w:highlight w:val="none"/>
                <w:shd w:val="clear" w:color="auto" w:fill="auto"/>
                <w:lang w:bidi="ar"/>
              </w:rPr>
              <w:t>绿色施工、</w:t>
            </w:r>
            <w:r>
              <w:rPr>
                <w:rFonts w:hint="eastAsia" w:ascii="宋体" w:hAnsi="宋体" w:cs="宋体"/>
                <w:color w:val="auto"/>
                <w:szCs w:val="21"/>
                <w:highlight w:val="none"/>
              </w:rPr>
              <w:t>技术创新、QC成果、机电类、科技进步及技术应用类等奖项</w:t>
            </w:r>
            <w:r>
              <w:rPr>
                <w:rFonts w:hint="eastAsia" w:ascii="宋体" w:hAnsi="宋体" w:cs="宋体"/>
                <w:color w:val="auto"/>
                <w:kern w:val="2"/>
                <w:szCs w:val="21"/>
                <w:highlight w:val="none"/>
                <w:shd w:val="clear" w:color="auto" w:fill="auto"/>
                <w:lang w:bidi="ar"/>
              </w:rPr>
              <w:t>不参与计分</w:t>
            </w:r>
            <w:r>
              <w:rPr>
                <w:rFonts w:hint="eastAsia" w:ascii="宋体" w:hAnsi="宋体" w:cs="宋体"/>
                <w:color w:val="auto"/>
                <w:szCs w:val="21"/>
                <w:highlight w:val="none"/>
              </w:rPr>
              <w:t>。）。</w:t>
            </w:r>
            <w:r>
              <w:rPr>
                <w:rFonts w:hint="eastAsia" w:ascii="宋体" w:hAnsi="宋体"/>
                <w:color w:val="auto"/>
              </w:rPr>
              <w:t>②工程项目获奖处于公示阶段的不</w:t>
            </w:r>
            <w:r>
              <w:rPr>
                <w:rFonts w:hint="eastAsia"/>
                <w:color w:val="auto"/>
                <w:sz w:val="21"/>
                <w:szCs w:val="21"/>
              </w:rPr>
              <w:t>得分。③须提供获奖证书（或获奖文件）并加盖单位公章，不提供者不得分。④同一项目获奖按最高级别计分一次。</w:t>
            </w:r>
          </w:p>
          <w:p w14:paraId="28C5B064">
            <w:pPr>
              <w:keepNext w:val="0"/>
              <w:keepLines w:val="0"/>
              <w:suppressLineNumbers w:val="0"/>
              <w:snapToGrid w:val="0"/>
              <w:spacing w:before="0" w:beforeAutospacing="0" w:after="0" w:afterAutospacing="0"/>
              <w:ind w:left="0" w:right="0"/>
              <w:rPr>
                <w:rFonts w:hint="eastAsia" w:ascii="宋体" w:hAnsi="宋体"/>
                <w:color w:val="auto"/>
              </w:rPr>
            </w:pPr>
            <w:r>
              <w:rPr>
                <w:rFonts w:hint="eastAsia" w:ascii="宋体" w:hAnsi="宋体"/>
                <w:color w:val="auto"/>
                <w:lang w:val="en-US" w:eastAsia="zh-CN"/>
              </w:rPr>
              <w:t>2.</w:t>
            </w:r>
            <w:r>
              <w:rPr>
                <w:rFonts w:hint="eastAsia" w:ascii="宋体" w:hAnsi="宋体"/>
                <w:color w:val="auto"/>
              </w:rPr>
              <w:t>投标人（若为联合体，指承担设计任务的成员）2021年1月1日至今，承担的市政类设计项目获奖情况：获市级或以上奖项，每项得</w:t>
            </w:r>
            <w:r>
              <w:rPr>
                <w:rFonts w:hint="eastAsia" w:ascii="宋体" w:hAnsi="宋体"/>
                <w:color w:val="auto"/>
                <w:lang w:val="en-US" w:eastAsia="zh-CN"/>
              </w:rPr>
              <w:t>0.5</w:t>
            </w:r>
            <w:r>
              <w:rPr>
                <w:rFonts w:hint="eastAsia" w:ascii="宋体" w:hAnsi="宋体"/>
                <w:color w:val="auto"/>
              </w:rPr>
              <w:t>分。本项合计最多得</w:t>
            </w:r>
            <w:r>
              <w:rPr>
                <w:rFonts w:hint="eastAsia" w:ascii="宋体" w:hAnsi="宋体"/>
                <w:color w:val="auto"/>
                <w:lang w:val="en-US" w:eastAsia="zh-CN"/>
              </w:rPr>
              <w:t>4.5</w:t>
            </w:r>
            <w:r>
              <w:rPr>
                <w:rFonts w:hint="eastAsia" w:ascii="宋体" w:hAnsi="宋体"/>
                <w:color w:val="auto"/>
              </w:rPr>
              <w:t>分。</w:t>
            </w:r>
          </w:p>
          <w:p w14:paraId="5D4C3137">
            <w:pPr>
              <w:snapToGrid w:val="0"/>
              <w:rPr>
                <w:rFonts w:hint="eastAsia"/>
                <w:color w:val="auto"/>
                <w:sz w:val="21"/>
                <w:szCs w:val="21"/>
              </w:rPr>
            </w:pPr>
            <w:r>
              <w:rPr>
                <w:rFonts w:hint="eastAsia" w:ascii="宋体" w:hAnsi="宋体"/>
                <w:color w:val="auto"/>
              </w:rPr>
              <w:t>注：①获奖奖项为住建部颁发的全国优秀工程勘察设计奖、中国勘察设计协会颁发的行业优秀勘察设计奖等、省级或市级（含副省级）勘察设计协会</w:t>
            </w:r>
            <w:r>
              <w:rPr>
                <w:rFonts w:hint="eastAsia" w:ascii="宋体" w:hAnsi="宋体"/>
                <w:color w:val="auto"/>
                <w:lang w:eastAsia="zh-CN"/>
              </w:rPr>
              <w:t>、工程勘察设计行业协会</w:t>
            </w:r>
            <w:r>
              <w:rPr>
                <w:rFonts w:hint="eastAsia" w:ascii="宋体" w:hAnsi="宋体"/>
                <w:color w:val="auto"/>
              </w:rPr>
              <w:t>或建设行业主管部门颁发的省级或市级（含副省级）优秀工程勘察设计奖或优秀勘察设计奖。②工程项目获奖处于公示阶段的不</w:t>
            </w:r>
            <w:r>
              <w:rPr>
                <w:rFonts w:hint="eastAsia"/>
                <w:color w:val="auto"/>
                <w:sz w:val="21"/>
                <w:szCs w:val="21"/>
              </w:rPr>
              <w:t>得分。③须提供获奖证书（或获奖文件）并加盖单位公章，不提供者不得分。④同一项目获奖按最高级别计分一次。</w:t>
            </w:r>
          </w:p>
        </w:tc>
      </w:tr>
      <w:tr w14:paraId="2908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2B6244FD">
            <w:pPr>
              <w:widowControl/>
              <w:adjustRightInd w:val="0"/>
              <w:snapToGrid w:val="0"/>
              <w:jc w:val="center"/>
              <w:rPr>
                <w:rFonts w:hint="eastAsia" w:ascii="宋体" w:hAnsi="宋体" w:cs="宋体"/>
                <w:bCs/>
                <w:snapToGrid w:val="0"/>
                <w:color w:val="auto"/>
                <w:spacing w:val="-10"/>
                <w:kern w:val="0"/>
                <w:szCs w:val="21"/>
              </w:rPr>
            </w:pPr>
            <w:r>
              <w:rPr>
                <w:rFonts w:hint="eastAsia" w:ascii="宋体" w:hAnsi="宋体" w:cs="宋体"/>
                <w:bCs/>
                <w:snapToGrid w:val="0"/>
                <w:color w:val="auto"/>
                <w:spacing w:val="-10"/>
                <w:kern w:val="0"/>
                <w:szCs w:val="21"/>
              </w:rPr>
              <w:t>1.3</w:t>
            </w:r>
          </w:p>
        </w:tc>
        <w:tc>
          <w:tcPr>
            <w:tcW w:w="1904" w:type="dxa"/>
            <w:tcBorders>
              <w:top w:val="single" w:color="auto" w:sz="4" w:space="0"/>
              <w:left w:val="nil"/>
              <w:bottom w:val="single" w:color="auto" w:sz="4" w:space="0"/>
              <w:right w:val="single" w:color="auto" w:sz="4" w:space="0"/>
            </w:tcBorders>
            <w:vAlign w:val="center"/>
          </w:tcPr>
          <w:p w14:paraId="73FD7892">
            <w:pPr>
              <w:widowControl/>
              <w:autoSpaceDE w:val="0"/>
              <w:autoSpaceDN w:val="0"/>
              <w:adjustRightInd w:val="0"/>
              <w:jc w:val="center"/>
              <w:rPr>
                <w:rFonts w:hint="eastAsia" w:ascii="宋体" w:hAnsi="宋体" w:cs="宋体"/>
                <w:color w:val="auto"/>
                <w:szCs w:val="21"/>
              </w:rPr>
            </w:pPr>
            <w:r>
              <w:rPr>
                <w:rFonts w:hint="eastAsia" w:ascii="宋体" w:hAnsi="宋体"/>
                <w:color w:val="auto"/>
                <w:szCs w:val="21"/>
              </w:rPr>
              <w:t>人员配备及</w:t>
            </w:r>
          </w:p>
          <w:p w14:paraId="5E0770FF">
            <w:pPr>
              <w:widowControl/>
              <w:autoSpaceDE w:val="0"/>
              <w:autoSpaceDN w:val="0"/>
              <w:adjustRightInd w:val="0"/>
              <w:jc w:val="center"/>
              <w:rPr>
                <w:rFonts w:hint="eastAsia" w:ascii="宋体" w:hAnsi="宋体" w:cs="宋体"/>
                <w:bCs/>
                <w:snapToGrid w:val="0"/>
                <w:color w:val="auto"/>
                <w:spacing w:val="-10"/>
                <w:kern w:val="0"/>
                <w:szCs w:val="21"/>
              </w:rPr>
            </w:pPr>
            <w:r>
              <w:rPr>
                <w:rFonts w:hint="eastAsia" w:ascii="宋体" w:hAnsi="宋体"/>
                <w:color w:val="auto"/>
                <w:szCs w:val="21"/>
              </w:rPr>
              <w:t>技术水平</w:t>
            </w:r>
          </w:p>
        </w:tc>
        <w:tc>
          <w:tcPr>
            <w:tcW w:w="704" w:type="dxa"/>
            <w:tcBorders>
              <w:top w:val="single" w:color="auto" w:sz="4" w:space="0"/>
              <w:left w:val="nil"/>
              <w:bottom w:val="single" w:color="auto" w:sz="4" w:space="0"/>
              <w:right w:val="single" w:color="auto" w:sz="4" w:space="0"/>
            </w:tcBorders>
            <w:vAlign w:val="center"/>
          </w:tcPr>
          <w:p w14:paraId="5E86DF7F">
            <w:pPr>
              <w:widowControl/>
              <w:jc w:val="center"/>
              <w:rPr>
                <w:rFonts w:hint="eastAsia" w:ascii="宋体" w:hAnsi="宋体"/>
                <w:color w:val="auto"/>
                <w:szCs w:val="21"/>
              </w:rPr>
            </w:pPr>
            <w:r>
              <w:rPr>
                <w:rFonts w:hint="eastAsia" w:ascii="宋体" w:hAnsi="宋体" w:cs="宋体"/>
                <w:color w:val="auto"/>
                <w:szCs w:val="21"/>
              </w:rPr>
              <w:t>15</w:t>
            </w:r>
          </w:p>
        </w:tc>
        <w:tc>
          <w:tcPr>
            <w:tcW w:w="11582" w:type="dxa"/>
            <w:tcBorders>
              <w:top w:val="single" w:color="auto" w:sz="4" w:space="0"/>
              <w:left w:val="nil"/>
              <w:bottom w:val="single" w:color="auto" w:sz="4" w:space="0"/>
              <w:right w:val="single" w:color="auto" w:sz="4" w:space="0"/>
            </w:tcBorders>
            <w:vAlign w:val="center"/>
          </w:tcPr>
          <w:p w14:paraId="5B5D9083">
            <w:pPr>
              <w:pStyle w:val="92"/>
              <w:keepNext w:val="0"/>
              <w:keepLines w:val="0"/>
              <w:numPr>
                <w:ilvl w:val="0"/>
                <w:numId w:val="8"/>
              </w:numPr>
              <w:suppressLineNumbers w:val="0"/>
              <w:spacing w:before="0" w:beforeAutospacing="0" w:after="0" w:afterAutospacing="0"/>
              <w:ind w:left="0" w:right="0" w:firstLine="0"/>
              <w:rPr>
                <w:rFonts w:hint="eastAsia" w:ascii="宋体" w:hAnsi="宋体" w:cs="宋体"/>
                <w:color w:val="auto"/>
                <w:szCs w:val="21"/>
              </w:rPr>
            </w:pPr>
            <w:r>
              <w:rPr>
                <w:rFonts w:hint="eastAsia" w:ascii="宋体" w:hAnsi="宋体" w:cs="宋体"/>
                <w:color w:val="auto"/>
                <w:szCs w:val="21"/>
              </w:rPr>
              <w:t>投标人（若为联合体，</w:t>
            </w:r>
            <w:r>
              <w:rPr>
                <w:rFonts w:hint="eastAsia" w:ascii="宋体" w:hAnsi="宋体"/>
                <w:color w:val="auto"/>
                <w:szCs w:val="21"/>
              </w:rPr>
              <w:t>指联合体牵头方</w:t>
            </w:r>
            <w:r>
              <w:rPr>
                <w:rFonts w:hint="eastAsia" w:ascii="宋体" w:hAnsi="宋体" w:cs="宋体"/>
                <w:color w:val="auto"/>
                <w:szCs w:val="21"/>
              </w:rPr>
              <w:t>）</w:t>
            </w:r>
          </w:p>
          <w:p w14:paraId="7BDA0DDC">
            <w:pPr>
              <w:pStyle w:val="92"/>
              <w:keepNext w:val="0"/>
              <w:keepLines w:val="0"/>
              <w:numPr>
                <w:ilvl w:val="0"/>
                <w:numId w:val="9"/>
              </w:numPr>
              <w:suppressLineNumbers w:val="0"/>
              <w:spacing w:before="0" w:beforeAutospacing="0" w:after="0" w:afterAutospacing="0"/>
              <w:ind w:left="0" w:right="0" w:firstLine="0"/>
              <w:rPr>
                <w:rFonts w:hint="eastAsia" w:ascii="宋体" w:hAnsi="宋体" w:cs="宋体"/>
                <w:color w:val="auto"/>
                <w:szCs w:val="21"/>
              </w:rPr>
            </w:pPr>
            <w:r>
              <w:rPr>
                <w:rFonts w:hint="eastAsia" w:ascii="宋体" w:hAnsi="宋体" w:cs="宋体"/>
                <w:color w:val="auto"/>
                <w:szCs w:val="21"/>
              </w:rPr>
              <w:t>施工项目负责人（</w:t>
            </w:r>
            <w:r>
              <w:rPr>
                <w:rFonts w:hint="eastAsia" w:ascii="宋体" w:hAnsi="宋体" w:cs="宋体"/>
                <w:color w:val="auto"/>
                <w:szCs w:val="21"/>
                <w:lang w:val="en-US" w:eastAsia="zh-CN"/>
              </w:rPr>
              <w:t>1</w:t>
            </w:r>
            <w:r>
              <w:rPr>
                <w:rFonts w:hint="eastAsia" w:ascii="宋体" w:hAnsi="宋体" w:cs="宋体"/>
                <w:color w:val="auto"/>
                <w:szCs w:val="21"/>
              </w:rPr>
              <w:t>分）</w:t>
            </w:r>
          </w:p>
          <w:p w14:paraId="56A130F0">
            <w:pPr>
              <w:keepNext w:val="0"/>
              <w:keepLines w:val="0"/>
              <w:suppressLineNumbers w:val="0"/>
              <w:spacing w:before="0" w:beforeAutospacing="0" w:after="0" w:afterAutospacing="0"/>
              <w:ind w:left="0" w:right="0" w:firstLine="210" w:firstLineChars="100"/>
              <w:rPr>
                <w:rFonts w:hint="eastAsia" w:ascii="宋体" w:hAnsi="宋体" w:cs="宋体"/>
                <w:color w:val="auto"/>
                <w:szCs w:val="21"/>
              </w:rPr>
            </w:pPr>
            <w:r>
              <w:rPr>
                <w:rFonts w:hint="eastAsia" w:ascii="宋体" w:hAnsi="宋体" w:cs="宋体"/>
                <w:color w:val="auto"/>
                <w:szCs w:val="21"/>
              </w:rPr>
              <w:t>（</w:t>
            </w:r>
            <w:r>
              <w:rPr>
                <w:rFonts w:hint="default" w:ascii="宋体" w:hAnsi="宋体" w:cs="宋体"/>
                <w:color w:val="auto"/>
                <w:szCs w:val="21"/>
              </w:rPr>
              <w:t>1</w:t>
            </w:r>
            <w:r>
              <w:rPr>
                <w:rFonts w:hint="eastAsia" w:ascii="宋体" w:hAnsi="宋体" w:cs="宋体"/>
                <w:color w:val="auto"/>
                <w:szCs w:val="21"/>
              </w:rPr>
              <w:t>）具备管理经验10年(不含)以上的，得</w:t>
            </w:r>
            <w:r>
              <w:rPr>
                <w:rFonts w:hint="eastAsia" w:ascii="宋体" w:hAnsi="宋体" w:cs="宋体"/>
                <w:color w:val="auto"/>
                <w:szCs w:val="21"/>
                <w:lang w:val="en-US" w:eastAsia="zh-CN"/>
              </w:rPr>
              <w:t>1</w:t>
            </w:r>
            <w:r>
              <w:rPr>
                <w:rFonts w:hint="eastAsia" w:ascii="宋体" w:hAnsi="宋体" w:cs="宋体"/>
                <w:color w:val="auto"/>
                <w:szCs w:val="21"/>
              </w:rPr>
              <w:t>分；5年＜管理经验≤10年，得</w:t>
            </w:r>
            <w:r>
              <w:rPr>
                <w:rFonts w:hint="eastAsia" w:ascii="宋体" w:hAnsi="宋体" w:cs="宋体"/>
                <w:color w:val="auto"/>
                <w:szCs w:val="21"/>
                <w:lang w:val="en-US" w:eastAsia="zh-CN"/>
              </w:rPr>
              <w:t>0.5</w:t>
            </w:r>
            <w:r>
              <w:rPr>
                <w:rFonts w:hint="eastAsia" w:ascii="宋体" w:hAnsi="宋体" w:cs="宋体"/>
                <w:color w:val="auto"/>
                <w:szCs w:val="21"/>
              </w:rPr>
              <w:t>分</w:t>
            </w:r>
            <w:r>
              <w:rPr>
                <w:rFonts w:hint="eastAsia" w:ascii="宋体" w:hAnsi="宋体"/>
                <w:color w:val="auto"/>
                <w:szCs w:val="21"/>
                <w:lang w:val="zh-CN"/>
              </w:rPr>
              <w:t>；管理经验≤5年，得</w:t>
            </w:r>
            <w:r>
              <w:rPr>
                <w:rFonts w:hint="eastAsia" w:ascii="宋体" w:hAnsi="宋体"/>
                <w:color w:val="auto"/>
                <w:szCs w:val="21"/>
              </w:rPr>
              <w:t>0.</w:t>
            </w:r>
            <w:r>
              <w:rPr>
                <w:rFonts w:hint="eastAsia" w:ascii="宋体" w:hAnsi="宋体"/>
                <w:color w:val="auto"/>
                <w:szCs w:val="21"/>
                <w:lang w:val="en-US" w:eastAsia="zh-CN"/>
              </w:rPr>
              <w:t>2</w:t>
            </w:r>
            <w:r>
              <w:rPr>
                <w:rFonts w:hint="eastAsia" w:ascii="宋体" w:hAnsi="宋体"/>
                <w:color w:val="auto"/>
                <w:szCs w:val="21"/>
                <w:lang w:val="zh-CN"/>
              </w:rPr>
              <w:t>分</w:t>
            </w:r>
            <w:r>
              <w:rPr>
                <w:rFonts w:hint="eastAsia" w:ascii="宋体" w:hAnsi="宋体"/>
                <w:color w:val="auto"/>
                <w:szCs w:val="21"/>
              </w:rPr>
              <w:t>。</w:t>
            </w:r>
          </w:p>
          <w:p w14:paraId="61BF1F5B">
            <w:pPr>
              <w:keepNext w:val="0"/>
              <w:keepLines w:val="0"/>
              <w:suppressLineNumbers w:val="0"/>
              <w:spacing w:before="0" w:beforeAutospacing="0" w:after="0" w:afterAutospacing="0"/>
              <w:ind w:left="0" w:right="0" w:firstLine="420" w:firstLineChars="200"/>
              <w:rPr>
                <w:rFonts w:hint="eastAsia" w:ascii="宋体" w:hAnsi="宋体"/>
                <w:color w:val="auto"/>
                <w:szCs w:val="21"/>
              </w:rPr>
            </w:pPr>
            <w:r>
              <w:rPr>
                <w:rFonts w:hint="eastAsia" w:ascii="宋体" w:hAnsi="宋体" w:eastAsia="宋体" w:cs="宋体"/>
                <w:color w:val="auto"/>
                <w:kern w:val="2"/>
                <w:sz w:val="21"/>
                <w:szCs w:val="21"/>
                <w:lang w:val="en-US" w:eastAsia="zh-CN" w:bidi="ar-SA"/>
              </w:rPr>
              <w:t>2）</w:t>
            </w:r>
            <w:r>
              <w:rPr>
                <w:rFonts w:hint="eastAsia" w:ascii="宋体" w:hAnsi="宋体"/>
                <w:color w:val="auto"/>
                <w:szCs w:val="21"/>
              </w:rPr>
              <w:t>施工</w:t>
            </w:r>
            <w:r>
              <w:rPr>
                <w:rFonts w:hint="eastAsia" w:ascii="宋体" w:hAnsi="宋体"/>
                <w:color w:val="auto"/>
                <w:szCs w:val="21"/>
                <w:lang w:val="zh-CN"/>
              </w:rPr>
              <w:t>技术负责人</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分）</w:t>
            </w:r>
            <w:r>
              <w:rPr>
                <w:rFonts w:hint="eastAsia" w:ascii="宋体" w:hAnsi="宋体"/>
                <w:color w:val="auto"/>
                <w:szCs w:val="21"/>
                <w:lang w:val="zh-CN"/>
              </w:rPr>
              <w:t>：</w:t>
            </w:r>
          </w:p>
          <w:p w14:paraId="032C87B3">
            <w:pPr>
              <w:keepNext w:val="0"/>
              <w:keepLines w:val="0"/>
              <w:suppressLineNumbers w:val="0"/>
              <w:spacing w:before="0" w:beforeAutospacing="0" w:after="0" w:afterAutospacing="0"/>
              <w:ind w:left="0" w:right="0" w:firstLine="210" w:firstLineChars="100"/>
              <w:rPr>
                <w:rFonts w:hint="eastAsia" w:ascii="宋体" w:hAnsi="宋体"/>
                <w:color w:val="auto"/>
                <w:szCs w:val="21"/>
              </w:rPr>
            </w:pPr>
            <w:r>
              <w:rPr>
                <w:rFonts w:hint="eastAsia" w:ascii="宋体" w:hAnsi="宋体"/>
                <w:color w:val="auto"/>
                <w:szCs w:val="21"/>
              </w:rPr>
              <w:t>（1）具有工程类高级技术职称的，得</w:t>
            </w:r>
            <w:r>
              <w:rPr>
                <w:rFonts w:hint="eastAsia" w:ascii="宋体" w:hAnsi="宋体"/>
                <w:color w:val="auto"/>
                <w:szCs w:val="21"/>
                <w:lang w:val="en-US" w:eastAsia="zh-CN"/>
              </w:rPr>
              <w:t>0.5</w:t>
            </w:r>
            <w:r>
              <w:rPr>
                <w:rFonts w:hint="eastAsia" w:ascii="宋体" w:hAnsi="宋体"/>
                <w:color w:val="auto"/>
                <w:szCs w:val="21"/>
              </w:rPr>
              <w:t>分。</w:t>
            </w:r>
          </w:p>
          <w:p w14:paraId="7DB4901D">
            <w:pPr>
              <w:keepNext w:val="0"/>
              <w:keepLines w:val="0"/>
              <w:suppressLineNumbers w:val="0"/>
              <w:spacing w:before="0" w:beforeAutospacing="0" w:after="0" w:afterAutospacing="0"/>
              <w:ind w:left="0" w:right="0" w:firstLine="210" w:firstLineChars="100"/>
              <w:rPr>
                <w:rFonts w:hint="eastAsia" w:ascii="宋体" w:hAnsi="宋体"/>
                <w:color w:val="auto"/>
                <w:szCs w:val="21"/>
              </w:rPr>
            </w:pPr>
            <w:r>
              <w:rPr>
                <w:rFonts w:hint="eastAsia" w:ascii="宋体" w:hAnsi="宋体"/>
                <w:color w:val="auto"/>
                <w:szCs w:val="21"/>
              </w:rPr>
              <w:t>（2）具备管理经验10年（不含）以上的，得</w:t>
            </w:r>
            <w:r>
              <w:rPr>
                <w:rFonts w:hint="eastAsia" w:ascii="宋体" w:hAnsi="宋体"/>
                <w:color w:val="auto"/>
                <w:szCs w:val="21"/>
                <w:lang w:val="en-US" w:eastAsia="zh-CN"/>
              </w:rPr>
              <w:t>0.5</w:t>
            </w:r>
            <w:r>
              <w:rPr>
                <w:rFonts w:hint="eastAsia" w:ascii="宋体" w:hAnsi="宋体"/>
                <w:color w:val="auto"/>
                <w:szCs w:val="21"/>
              </w:rPr>
              <w:t>分；5年＜管理经验≤10年</w:t>
            </w:r>
            <w:r>
              <w:rPr>
                <w:rFonts w:hint="eastAsia" w:ascii="宋体" w:hAnsi="宋体" w:cs="宋体"/>
                <w:color w:val="auto"/>
                <w:szCs w:val="21"/>
              </w:rPr>
              <w:t>，得</w:t>
            </w:r>
            <w:r>
              <w:rPr>
                <w:rFonts w:hint="eastAsia" w:ascii="宋体" w:hAnsi="宋体" w:cs="宋体"/>
                <w:color w:val="auto"/>
                <w:szCs w:val="21"/>
                <w:lang w:val="en-US" w:eastAsia="zh-CN"/>
              </w:rPr>
              <w:t>0.2</w:t>
            </w:r>
            <w:r>
              <w:rPr>
                <w:rFonts w:hint="eastAsia" w:ascii="宋体" w:hAnsi="宋体" w:cs="宋体"/>
                <w:color w:val="auto"/>
                <w:szCs w:val="21"/>
              </w:rPr>
              <w:t>分</w:t>
            </w:r>
            <w:r>
              <w:rPr>
                <w:rFonts w:hint="eastAsia" w:ascii="宋体" w:hAnsi="宋体"/>
                <w:color w:val="auto"/>
                <w:szCs w:val="21"/>
                <w:lang w:val="zh-CN"/>
              </w:rPr>
              <w:t>；管理经验≤5年，得</w:t>
            </w:r>
            <w:r>
              <w:rPr>
                <w:rFonts w:hint="eastAsia" w:ascii="宋体" w:hAnsi="宋体"/>
                <w:color w:val="auto"/>
                <w:szCs w:val="21"/>
              </w:rPr>
              <w:t>0.</w:t>
            </w:r>
            <w:r>
              <w:rPr>
                <w:rFonts w:hint="eastAsia" w:ascii="宋体" w:hAnsi="宋体"/>
                <w:color w:val="auto"/>
                <w:szCs w:val="21"/>
                <w:lang w:val="en-US" w:eastAsia="zh-CN"/>
              </w:rPr>
              <w:t>1</w:t>
            </w:r>
            <w:r>
              <w:rPr>
                <w:rFonts w:hint="eastAsia" w:ascii="宋体" w:hAnsi="宋体"/>
                <w:color w:val="auto"/>
                <w:szCs w:val="21"/>
                <w:lang w:val="zh-CN"/>
              </w:rPr>
              <w:t>分</w:t>
            </w:r>
            <w:r>
              <w:rPr>
                <w:rFonts w:hint="eastAsia" w:ascii="宋体" w:hAnsi="宋体"/>
                <w:color w:val="auto"/>
                <w:szCs w:val="21"/>
              </w:rPr>
              <w:t>。</w:t>
            </w:r>
          </w:p>
          <w:p w14:paraId="174322D6">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s="宋体"/>
                <w:color w:val="auto"/>
                <w:szCs w:val="21"/>
              </w:rPr>
              <w:t>3</w:t>
            </w:r>
            <w:r>
              <w:rPr>
                <w:rFonts w:hint="eastAsia" w:ascii="宋体" w:hAnsi="宋体" w:cs="宋体"/>
                <w:color w:val="auto"/>
                <w:szCs w:val="21"/>
              </w:rPr>
              <w:t>）</w:t>
            </w:r>
            <w:r>
              <w:rPr>
                <w:rFonts w:hint="eastAsia" w:ascii="宋体" w:hAnsi="宋体"/>
                <w:color w:val="auto"/>
                <w:szCs w:val="21"/>
              </w:rPr>
              <w:t>安全负责人（</w:t>
            </w:r>
            <w:r>
              <w:rPr>
                <w:rFonts w:hint="eastAsia" w:ascii="宋体" w:hAnsi="宋体"/>
                <w:color w:val="auto"/>
                <w:szCs w:val="21"/>
                <w:lang w:val="en-US" w:eastAsia="zh-CN"/>
              </w:rPr>
              <w:t>1</w:t>
            </w:r>
            <w:r>
              <w:rPr>
                <w:rFonts w:hint="eastAsia" w:ascii="宋体" w:hAnsi="宋体"/>
                <w:color w:val="auto"/>
                <w:szCs w:val="21"/>
              </w:rPr>
              <w:t>分）：</w:t>
            </w:r>
          </w:p>
          <w:p w14:paraId="20F03498">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（1）具有建设行政主管部门颁发的安全生产考核C级证书的，得</w:t>
            </w:r>
            <w:r>
              <w:rPr>
                <w:rFonts w:hint="eastAsia" w:ascii="宋体" w:hAnsi="宋体"/>
                <w:color w:val="auto"/>
                <w:szCs w:val="21"/>
                <w:lang w:val="en-US" w:eastAsia="zh-CN"/>
              </w:rPr>
              <w:t>0.2</w:t>
            </w:r>
            <w:r>
              <w:rPr>
                <w:rFonts w:hint="eastAsia" w:ascii="宋体" w:hAnsi="宋体"/>
                <w:color w:val="auto"/>
                <w:szCs w:val="21"/>
              </w:rPr>
              <w:t>分。</w:t>
            </w:r>
          </w:p>
          <w:p w14:paraId="22F67A8A">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（2）具有工程类中级（或以上）技术职称的，得</w:t>
            </w:r>
            <w:r>
              <w:rPr>
                <w:rFonts w:hint="eastAsia" w:ascii="宋体" w:hAnsi="宋体"/>
                <w:color w:val="auto"/>
                <w:szCs w:val="21"/>
                <w:lang w:val="en-US" w:eastAsia="zh-CN"/>
              </w:rPr>
              <w:t>0.3</w:t>
            </w:r>
            <w:r>
              <w:rPr>
                <w:rFonts w:hint="eastAsia" w:ascii="宋体" w:hAnsi="宋体"/>
                <w:color w:val="auto"/>
                <w:szCs w:val="21"/>
              </w:rPr>
              <w:t>分。</w:t>
            </w:r>
          </w:p>
          <w:p w14:paraId="3E08B6A2">
            <w:pPr>
              <w:pStyle w:val="122"/>
              <w:keepNext w:val="0"/>
              <w:keepLines w:val="0"/>
              <w:suppressLineNumbers w:val="0"/>
              <w:spacing w:before="0" w:beforeAutospacing="0" w:after="0" w:afterAutospacing="0" w:line="240" w:lineRule="auto"/>
              <w:ind w:left="0" w:right="0"/>
              <w:jc w:val="both"/>
              <w:rPr>
                <w:rFonts w:hint="eastAsia" w:ascii="宋体" w:hAnsi="宋体"/>
                <w:b w:val="0"/>
                <w:color w:val="auto"/>
                <w:kern w:val="0"/>
                <w:sz w:val="21"/>
              </w:rPr>
            </w:pPr>
            <w:r>
              <w:rPr>
                <w:rFonts w:hint="eastAsia" w:ascii="宋体" w:hAnsi="宋体"/>
                <w:b w:val="0"/>
                <w:color w:val="auto"/>
                <w:kern w:val="0"/>
                <w:sz w:val="21"/>
              </w:rPr>
              <w:t>（3）具备管理经验10年（不含）以上的，得</w:t>
            </w:r>
            <w:r>
              <w:rPr>
                <w:rFonts w:hint="eastAsia" w:ascii="宋体" w:hAnsi="宋体"/>
                <w:b w:val="0"/>
                <w:color w:val="auto"/>
                <w:kern w:val="0"/>
                <w:sz w:val="21"/>
                <w:lang w:val="en-US" w:eastAsia="zh-CN"/>
              </w:rPr>
              <w:t>0.5</w:t>
            </w:r>
            <w:r>
              <w:rPr>
                <w:rFonts w:hint="eastAsia" w:ascii="宋体" w:hAnsi="宋体"/>
                <w:b w:val="0"/>
                <w:color w:val="auto"/>
                <w:kern w:val="0"/>
                <w:sz w:val="21"/>
              </w:rPr>
              <w:t>分；</w:t>
            </w:r>
            <w:r>
              <w:rPr>
                <w:rFonts w:hint="eastAsia" w:ascii="宋体" w:hAnsi="宋体"/>
                <w:b w:val="0"/>
                <w:color w:val="auto"/>
                <w:sz w:val="21"/>
              </w:rPr>
              <w:t>5年＜管理经验≤10年</w:t>
            </w:r>
            <w:r>
              <w:rPr>
                <w:rFonts w:hint="eastAsia" w:ascii="宋体" w:hAnsi="宋体" w:cs="宋体"/>
                <w:b w:val="0"/>
                <w:color w:val="auto"/>
                <w:sz w:val="21"/>
              </w:rPr>
              <w:t>，得</w:t>
            </w:r>
            <w:r>
              <w:rPr>
                <w:rFonts w:hint="eastAsia" w:ascii="宋体" w:hAnsi="宋体" w:cs="宋体"/>
                <w:b w:val="0"/>
                <w:color w:val="auto"/>
                <w:sz w:val="21"/>
                <w:lang w:val="en-US" w:eastAsia="zh-CN"/>
              </w:rPr>
              <w:t>0.2</w:t>
            </w:r>
            <w:r>
              <w:rPr>
                <w:rFonts w:hint="eastAsia" w:ascii="宋体" w:hAnsi="宋体" w:cs="宋体"/>
                <w:b w:val="0"/>
                <w:color w:val="auto"/>
                <w:sz w:val="21"/>
              </w:rPr>
              <w:t>分</w:t>
            </w:r>
            <w:r>
              <w:rPr>
                <w:rFonts w:hint="eastAsia" w:ascii="宋体" w:hAnsi="宋体"/>
                <w:b w:val="0"/>
                <w:color w:val="auto"/>
                <w:sz w:val="21"/>
                <w:lang w:val="zh-CN"/>
              </w:rPr>
              <w:t>；管理经验≤5年，得</w:t>
            </w:r>
            <w:r>
              <w:rPr>
                <w:rFonts w:hint="eastAsia" w:ascii="宋体" w:hAnsi="宋体"/>
                <w:b w:val="0"/>
                <w:color w:val="auto"/>
                <w:sz w:val="21"/>
              </w:rPr>
              <w:t>0.</w:t>
            </w:r>
            <w:r>
              <w:rPr>
                <w:rFonts w:hint="eastAsia" w:ascii="宋体" w:hAnsi="宋体"/>
                <w:b w:val="0"/>
                <w:color w:val="auto"/>
                <w:sz w:val="21"/>
                <w:lang w:val="en-US" w:eastAsia="zh-CN"/>
              </w:rPr>
              <w:t>1</w:t>
            </w:r>
            <w:r>
              <w:rPr>
                <w:rFonts w:hint="eastAsia" w:ascii="宋体" w:hAnsi="宋体"/>
                <w:b w:val="0"/>
                <w:color w:val="auto"/>
                <w:sz w:val="21"/>
                <w:lang w:val="zh-CN"/>
              </w:rPr>
              <w:t>分</w:t>
            </w:r>
            <w:r>
              <w:rPr>
                <w:rFonts w:hint="eastAsia" w:ascii="宋体" w:hAnsi="宋体"/>
                <w:b w:val="0"/>
                <w:color w:val="auto"/>
                <w:sz w:val="21"/>
              </w:rPr>
              <w:t>。</w:t>
            </w:r>
          </w:p>
          <w:p w14:paraId="38E37A20">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4</w:t>
            </w:r>
            <w:r>
              <w:rPr>
                <w:rFonts w:hint="eastAsia" w:ascii="宋体" w:hAnsi="宋体"/>
                <w:color w:val="auto"/>
                <w:szCs w:val="21"/>
              </w:rPr>
              <w:t>）质量负责人（</w:t>
            </w:r>
            <w:r>
              <w:rPr>
                <w:rFonts w:hint="eastAsia" w:ascii="宋体" w:hAnsi="宋体"/>
                <w:color w:val="auto"/>
                <w:szCs w:val="21"/>
                <w:lang w:val="en-US" w:eastAsia="zh-CN"/>
              </w:rPr>
              <w:t>1</w:t>
            </w:r>
            <w:r>
              <w:rPr>
                <w:rFonts w:hint="eastAsia" w:ascii="宋体" w:hAnsi="宋体"/>
                <w:color w:val="auto"/>
                <w:szCs w:val="21"/>
              </w:rPr>
              <w:t>分）：</w:t>
            </w:r>
          </w:p>
          <w:p w14:paraId="178E9C27">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（1）具有工程类高级技术职称的，得</w:t>
            </w:r>
            <w:r>
              <w:rPr>
                <w:rFonts w:hint="eastAsia" w:ascii="宋体" w:hAnsi="宋体"/>
                <w:color w:val="auto"/>
                <w:szCs w:val="21"/>
                <w:lang w:val="en-US" w:eastAsia="zh-CN"/>
              </w:rPr>
              <w:t>0.5</w:t>
            </w:r>
            <w:r>
              <w:rPr>
                <w:rFonts w:hint="eastAsia" w:ascii="宋体" w:hAnsi="宋体"/>
                <w:color w:val="auto"/>
                <w:szCs w:val="21"/>
              </w:rPr>
              <w:t>分；工程类中级技术职称的，得</w:t>
            </w:r>
            <w:r>
              <w:rPr>
                <w:rFonts w:hint="eastAsia" w:ascii="宋体" w:hAnsi="宋体"/>
                <w:color w:val="auto"/>
                <w:szCs w:val="21"/>
                <w:lang w:val="en-US" w:eastAsia="zh-CN"/>
              </w:rPr>
              <w:t>0.2</w:t>
            </w:r>
            <w:r>
              <w:rPr>
                <w:rFonts w:hint="eastAsia" w:ascii="宋体" w:hAnsi="宋体"/>
                <w:color w:val="auto"/>
                <w:szCs w:val="21"/>
              </w:rPr>
              <w:t>分。</w:t>
            </w:r>
          </w:p>
          <w:p w14:paraId="7781B243">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（2）具备管理经验10年（不含）以上的，得</w:t>
            </w:r>
            <w:r>
              <w:rPr>
                <w:rFonts w:hint="eastAsia" w:ascii="宋体" w:hAnsi="宋体"/>
                <w:color w:val="auto"/>
                <w:szCs w:val="21"/>
                <w:lang w:val="en-US" w:eastAsia="zh-CN"/>
              </w:rPr>
              <w:t>0.5</w:t>
            </w:r>
            <w:r>
              <w:rPr>
                <w:rFonts w:hint="eastAsia" w:ascii="宋体" w:hAnsi="宋体"/>
                <w:color w:val="auto"/>
                <w:szCs w:val="21"/>
              </w:rPr>
              <w:t>分；5年＜管理经验≤10年</w:t>
            </w:r>
            <w:r>
              <w:rPr>
                <w:rFonts w:hint="eastAsia" w:ascii="宋体" w:hAnsi="宋体" w:cs="宋体"/>
                <w:color w:val="auto"/>
                <w:szCs w:val="21"/>
              </w:rPr>
              <w:t>，得</w:t>
            </w:r>
            <w:r>
              <w:rPr>
                <w:rFonts w:hint="eastAsia" w:ascii="宋体" w:hAnsi="宋体" w:cs="宋体"/>
                <w:color w:val="auto"/>
                <w:szCs w:val="21"/>
                <w:lang w:val="en-US" w:eastAsia="zh-CN"/>
              </w:rPr>
              <w:t>0.2</w:t>
            </w:r>
            <w:r>
              <w:rPr>
                <w:rFonts w:hint="eastAsia" w:ascii="宋体" w:hAnsi="宋体" w:cs="宋体"/>
                <w:color w:val="auto"/>
                <w:szCs w:val="21"/>
              </w:rPr>
              <w:t>分</w:t>
            </w:r>
            <w:r>
              <w:rPr>
                <w:rFonts w:hint="eastAsia" w:ascii="宋体" w:hAnsi="宋体"/>
                <w:color w:val="auto"/>
                <w:szCs w:val="21"/>
                <w:lang w:val="zh-CN"/>
              </w:rPr>
              <w:t>；管理经验≤5年，得</w:t>
            </w:r>
            <w:r>
              <w:rPr>
                <w:rFonts w:hint="eastAsia" w:ascii="宋体" w:hAnsi="宋体"/>
                <w:color w:val="auto"/>
                <w:szCs w:val="21"/>
              </w:rPr>
              <w:t>0.</w:t>
            </w:r>
            <w:r>
              <w:rPr>
                <w:rFonts w:hint="eastAsia" w:ascii="宋体" w:hAnsi="宋体"/>
                <w:color w:val="auto"/>
                <w:szCs w:val="21"/>
                <w:lang w:val="en-US" w:eastAsia="zh-CN"/>
              </w:rPr>
              <w:t>1</w:t>
            </w:r>
            <w:r>
              <w:rPr>
                <w:rFonts w:hint="eastAsia" w:ascii="宋体" w:hAnsi="宋体"/>
                <w:color w:val="auto"/>
                <w:szCs w:val="21"/>
                <w:lang w:val="zh-CN"/>
              </w:rPr>
              <w:t>分</w:t>
            </w:r>
            <w:r>
              <w:rPr>
                <w:rFonts w:hint="eastAsia" w:ascii="宋体" w:hAnsi="宋体"/>
                <w:color w:val="auto"/>
                <w:szCs w:val="21"/>
              </w:rPr>
              <w:t>。</w:t>
            </w:r>
          </w:p>
          <w:p w14:paraId="5A77014E">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5</w:t>
            </w:r>
            <w:r>
              <w:rPr>
                <w:rFonts w:hint="eastAsia" w:ascii="宋体" w:hAnsi="宋体"/>
                <w:color w:val="auto"/>
                <w:szCs w:val="21"/>
              </w:rPr>
              <w:t>）造价负责人（</w:t>
            </w:r>
            <w:r>
              <w:rPr>
                <w:rFonts w:hint="eastAsia" w:ascii="宋体" w:hAnsi="宋体"/>
                <w:color w:val="auto"/>
                <w:szCs w:val="21"/>
                <w:lang w:val="en-US" w:eastAsia="zh-CN"/>
              </w:rPr>
              <w:t>1</w:t>
            </w:r>
            <w:r>
              <w:rPr>
                <w:rFonts w:hint="eastAsia" w:ascii="宋体" w:hAnsi="宋体"/>
                <w:color w:val="auto"/>
                <w:szCs w:val="21"/>
              </w:rPr>
              <w:t>分）：</w:t>
            </w:r>
          </w:p>
          <w:p w14:paraId="529D2609">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（1）持有有效期内的一级注册造价工程师证书，得</w:t>
            </w:r>
            <w:r>
              <w:rPr>
                <w:rFonts w:hint="eastAsia" w:ascii="宋体" w:hAnsi="宋体"/>
                <w:color w:val="auto"/>
                <w:szCs w:val="21"/>
                <w:lang w:val="en-US" w:eastAsia="zh-CN"/>
              </w:rPr>
              <w:t>0.5</w:t>
            </w:r>
            <w:r>
              <w:rPr>
                <w:rFonts w:hint="eastAsia" w:ascii="宋体" w:hAnsi="宋体"/>
                <w:color w:val="auto"/>
                <w:szCs w:val="21"/>
              </w:rPr>
              <w:t>分；</w:t>
            </w:r>
          </w:p>
          <w:p w14:paraId="160F8AFA">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（2）具备管理经验10年（不含）以上的，得</w:t>
            </w:r>
            <w:r>
              <w:rPr>
                <w:rFonts w:hint="eastAsia" w:ascii="宋体" w:hAnsi="宋体"/>
                <w:color w:val="auto"/>
                <w:szCs w:val="21"/>
                <w:lang w:val="en-US" w:eastAsia="zh-CN"/>
              </w:rPr>
              <w:t>0.5</w:t>
            </w:r>
            <w:r>
              <w:rPr>
                <w:rFonts w:hint="eastAsia" w:ascii="宋体" w:hAnsi="宋体"/>
                <w:color w:val="auto"/>
                <w:szCs w:val="21"/>
              </w:rPr>
              <w:t>分；5年＜管理经验≤10年</w:t>
            </w:r>
            <w:r>
              <w:rPr>
                <w:rFonts w:hint="eastAsia" w:ascii="宋体" w:hAnsi="宋体" w:cs="宋体"/>
                <w:color w:val="auto"/>
                <w:szCs w:val="21"/>
              </w:rPr>
              <w:t>，得</w:t>
            </w:r>
            <w:r>
              <w:rPr>
                <w:rFonts w:hint="eastAsia" w:ascii="宋体" w:hAnsi="宋体" w:cs="宋体"/>
                <w:color w:val="auto"/>
                <w:szCs w:val="21"/>
                <w:lang w:val="en-US" w:eastAsia="zh-CN"/>
              </w:rPr>
              <w:t>0.2</w:t>
            </w:r>
            <w:r>
              <w:rPr>
                <w:rFonts w:hint="eastAsia" w:ascii="宋体" w:hAnsi="宋体" w:cs="宋体"/>
                <w:color w:val="auto"/>
                <w:szCs w:val="21"/>
              </w:rPr>
              <w:t>分</w:t>
            </w:r>
            <w:r>
              <w:rPr>
                <w:rFonts w:hint="eastAsia" w:ascii="宋体" w:hAnsi="宋体"/>
                <w:color w:val="auto"/>
                <w:szCs w:val="21"/>
                <w:lang w:val="zh-CN"/>
              </w:rPr>
              <w:t>；管理经验≤5年，得</w:t>
            </w:r>
            <w:r>
              <w:rPr>
                <w:rFonts w:hint="eastAsia" w:ascii="宋体" w:hAnsi="宋体"/>
                <w:color w:val="auto"/>
                <w:szCs w:val="21"/>
              </w:rPr>
              <w:t>0.</w:t>
            </w:r>
            <w:r>
              <w:rPr>
                <w:rFonts w:hint="eastAsia" w:ascii="宋体" w:hAnsi="宋体"/>
                <w:color w:val="auto"/>
                <w:szCs w:val="21"/>
                <w:lang w:val="en-US" w:eastAsia="zh-CN"/>
              </w:rPr>
              <w:t>1</w:t>
            </w:r>
            <w:r>
              <w:rPr>
                <w:rFonts w:hint="eastAsia" w:ascii="宋体" w:hAnsi="宋体"/>
                <w:color w:val="auto"/>
                <w:szCs w:val="21"/>
                <w:lang w:val="zh-CN"/>
              </w:rPr>
              <w:t>分</w:t>
            </w:r>
            <w:r>
              <w:rPr>
                <w:rFonts w:hint="eastAsia" w:ascii="宋体" w:hAnsi="宋体"/>
                <w:color w:val="auto"/>
                <w:szCs w:val="21"/>
              </w:rPr>
              <w:t>。</w:t>
            </w:r>
          </w:p>
          <w:p w14:paraId="455B0E49">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注：1.本项最多得</w:t>
            </w:r>
            <w:r>
              <w:rPr>
                <w:rFonts w:hint="eastAsia" w:ascii="宋体" w:hAnsi="宋体"/>
                <w:color w:val="auto"/>
                <w:szCs w:val="21"/>
                <w:lang w:val="en-US" w:eastAsia="zh-CN"/>
              </w:rPr>
              <w:t>5</w:t>
            </w:r>
            <w:r>
              <w:rPr>
                <w:rFonts w:hint="eastAsia" w:ascii="宋体" w:hAnsi="宋体"/>
                <w:color w:val="auto"/>
                <w:szCs w:val="21"/>
              </w:rPr>
              <w:t>分。2.须按上述各项要求提供相关职称证、大学专科或以上学历毕业证等扫描件。3.管理经验年限以大学专科或以上学历毕业证的颁发日期开始计算至投标截止时间止。</w:t>
            </w:r>
          </w:p>
          <w:p w14:paraId="600B49C5">
            <w:pPr>
              <w:pStyle w:val="16"/>
              <w:keepNext w:val="0"/>
              <w:keepLines w:val="0"/>
              <w:suppressLineNumbers w:val="0"/>
              <w:spacing w:before="0" w:beforeAutospacing="0" w:after="0" w:afterAutospacing="0"/>
              <w:ind w:left="0" w:right="0"/>
              <w:rPr>
                <w:rFonts w:hint="eastAsia" w:ascii="宋体" w:hAnsi="宋体" w:cs="宋体"/>
                <w:color w:val="auto"/>
                <w:szCs w:val="21"/>
                <w:lang w:val="zh-CN"/>
              </w:rPr>
            </w:pPr>
            <w:r>
              <w:rPr>
                <w:rFonts w:hint="eastAsia" w:ascii="宋体" w:hAnsi="宋体" w:cs="宋体"/>
                <w:color w:val="auto"/>
                <w:szCs w:val="21"/>
              </w:rPr>
              <w:t>2、投标人（若为联合体，指承担设计任务的成员）</w:t>
            </w:r>
          </w:p>
          <w:p w14:paraId="2E32F945">
            <w:pPr>
              <w:pStyle w:val="16"/>
              <w:keepNext w:val="0"/>
              <w:keepLines w:val="0"/>
              <w:suppressLineNumbers w:val="0"/>
              <w:spacing w:before="0" w:beforeAutospacing="0" w:after="0" w:afterAutospacing="0"/>
              <w:ind w:left="0" w:right="0"/>
              <w:rPr>
                <w:rFonts w:hint="eastAsia" w:ascii="宋体" w:hAnsi="宋体" w:cs="宋体"/>
                <w:color w:val="auto"/>
                <w:szCs w:val="21"/>
                <w:lang w:val="zh-CN"/>
              </w:rPr>
            </w:pPr>
            <w:r>
              <w:rPr>
                <w:rFonts w:hint="eastAsia" w:ascii="宋体" w:hAnsi="宋体" w:cs="宋体"/>
                <w:color w:val="auto"/>
                <w:szCs w:val="21"/>
                <w:lang w:val="zh-CN"/>
              </w:rPr>
              <w:t>1）1.设计负责人设计经历及业务能力：</w:t>
            </w:r>
          </w:p>
          <w:p w14:paraId="34A2F806">
            <w:pPr>
              <w:pStyle w:val="16"/>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lang w:val="zh-CN"/>
              </w:rPr>
              <w:t>（1）</w:t>
            </w:r>
            <w:r>
              <w:rPr>
                <w:rFonts w:hint="eastAsia" w:ascii="宋体" w:hAnsi="宋体" w:cs="宋体"/>
                <w:color w:val="auto"/>
                <w:szCs w:val="21"/>
              </w:rPr>
              <w:t>设计经历在</w:t>
            </w:r>
            <w:r>
              <w:rPr>
                <w:rFonts w:hint="eastAsia" w:ascii="宋体" w:hAnsi="宋体" w:cs="宋体"/>
                <w:color w:val="auto"/>
                <w:szCs w:val="21"/>
                <w:lang w:val="en-US" w:eastAsia="zh-CN"/>
              </w:rPr>
              <w:t>10</w:t>
            </w:r>
            <w:r>
              <w:rPr>
                <w:rFonts w:hint="eastAsia" w:ascii="宋体" w:hAnsi="宋体" w:cs="宋体"/>
                <w:color w:val="auto"/>
                <w:szCs w:val="21"/>
              </w:rPr>
              <w:t>年</w:t>
            </w:r>
            <w:r>
              <w:rPr>
                <w:rFonts w:hint="eastAsia" w:ascii="宋体" w:hAnsi="宋体"/>
                <w:color w:val="auto"/>
                <w:szCs w:val="21"/>
              </w:rPr>
              <w:t>（不含）</w:t>
            </w:r>
            <w:r>
              <w:rPr>
                <w:rFonts w:hint="eastAsia" w:ascii="宋体" w:hAnsi="宋体" w:cs="宋体"/>
                <w:color w:val="auto"/>
                <w:szCs w:val="21"/>
              </w:rPr>
              <w:t>以上的，</w:t>
            </w:r>
            <w:r>
              <w:rPr>
                <w:rFonts w:hint="eastAsia" w:ascii="宋体" w:hAnsi="宋体" w:cs="宋体"/>
                <w:color w:val="auto"/>
                <w:szCs w:val="21"/>
                <w:lang w:val="zh-CN"/>
              </w:rPr>
              <w:t>得</w:t>
            </w:r>
            <w:r>
              <w:rPr>
                <w:rFonts w:hint="eastAsia" w:ascii="宋体" w:hAnsi="宋体" w:cs="宋体"/>
                <w:color w:val="auto"/>
                <w:szCs w:val="21"/>
                <w:lang w:val="en-US" w:eastAsia="zh-CN"/>
              </w:rPr>
              <w:t>2</w:t>
            </w:r>
            <w:r>
              <w:rPr>
                <w:rFonts w:hint="eastAsia" w:ascii="宋体" w:hAnsi="宋体" w:cs="宋体"/>
                <w:color w:val="auto"/>
                <w:szCs w:val="21"/>
                <w:lang w:val="zh-CN"/>
              </w:rPr>
              <w:t>分；</w:t>
            </w:r>
            <w:r>
              <w:rPr>
                <w:rFonts w:hint="eastAsia" w:ascii="宋体" w:hAnsi="宋体"/>
                <w:color w:val="auto"/>
                <w:szCs w:val="21"/>
              </w:rPr>
              <w:t>5年＜</w:t>
            </w:r>
            <w:r>
              <w:rPr>
                <w:rFonts w:hint="eastAsia" w:ascii="宋体" w:hAnsi="宋体" w:cs="宋体"/>
                <w:color w:val="auto"/>
                <w:szCs w:val="21"/>
              </w:rPr>
              <w:t>设计经历</w:t>
            </w:r>
            <w:r>
              <w:rPr>
                <w:rFonts w:hint="eastAsia" w:ascii="宋体" w:hAnsi="宋体"/>
                <w:color w:val="auto"/>
                <w:szCs w:val="21"/>
              </w:rPr>
              <w:t>≤10年</w:t>
            </w:r>
            <w:r>
              <w:rPr>
                <w:rFonts w:hint="eastAsia" w:ascii="宋体" w:hAnsi="宋体" w:cs="宋体"/>
                <w:color w:val="auto"/>
                <w:szCs w:val="21"/>
              </w:rPr>
              <w:t>，</w:t>
            </w:r>
            <w:r>
              <w:rPr>
                <w:rFonts w:hint="eastAsia" w:ascii="宋体" w:hAnsi="宋体" w:cs="宋体"/>
                <w:color w:val="auto"/>
                <w:szCs w:val="21"/>
                <w:lang w:val="zh-CN"/>
              </w:rPr>
              <w:t>得</w:t>
            </w:r>
            <w:r>
              <w:rPr>
                <w:rFonts w:hint="eastAsia" w:ascii="宋体" w:hAnsi="宋体" w:cs="宋体"/>
                <w:color w:val="auto"/>
                <w:szCs w:val="21"/>
                <w:lang w:val="en-US" w:eastAsia="zh-CN"/>
              </w:rPr>
              <w:t>1</w:t>
            </w:r>
            <w:r>
              <w:rPr>
                <w:rFonts w:hint="eastAsia" w:ascii="宋体" w:hAnsi="宋体" w:cs="宋体"/>
                <w:color w:val="auto"/>
                <w:szCs w:val="21"/>
                <w:lang w:val="zh-CN"/>
              </w:rPr>
              <w:t>分；</w:t>
            </w:r>
            <w:r>
              <w:rPr>
                <w:rFonts w:hint="eastAsia" w:ascii="宋体" w:hAnsi="宋体" w:cs="宋体"/>
                <w:color w:val="auto"/>
                <w:szCs w:val="21"/>
              </w:rPr>
              <w:t>设计经历</w:t>
            </w:r>
            <w:r>
              <w:rPr>
                <w:rFonts w:hint="eastAsia" w:ascii="宋体" w:hAnsi="宋体"/>
                <w:color w:val="auto"/>
                <w:szCs w:val="21"/>
                <w:lang w:val="zh-CN"/>
              </w:rPr>
              <w:t>≤5年</w:t>
            </w:r>
            <w:r>
              <w:rPr>
                <w:rFonts w:hint="eastAsia" w:ascii="宋体" w:hAnsi="宋体" w:cs="宋体"/>
                <w:color w:val="auto"/>
                <w:szCs w:val="21"/>
              </w:rPr>
              <w:t>的，</w:t>
            </w:r>
            <w:r>
              <w:rPr>
                <w:rFonts w:hint="eastAsia" w:ascii="宋体" w:hAnsi="宋体" w:cs="宋体"/>
                <w:color w:val="auto"/>
                <w:szCs w:val="21"/>
                <w:lang w:val="zh-CN"/>
              </w:rPr>
              <w:t>得</w:t>
            </w:r>
            <w:r>
              <w:rPr>
                <w:rFonts w:hint="eastAsia" w:ascii="宋体" w:hAnsi="宋体" w:cs="宋体"/>
                <w:color w:val="auto"/>
                <w:szCs w:val="21"/>
              </w:rPr>
              <w:t>0</w:t>
            </w:r>
            <w:r>
              <w:rPr>
                <w:rFonts w:hint="eastAsia" w:ascii="宋体" w:hAnsi="宋体" w:cs="宋体"/>
                <w:color w:val="auto"/>
                <w:szCs w:val="21"/>
                <w:lang w:val="en-US" w:eastAsia="zh-CN"/>
              </w:rPr>
              <w:t>.5</w:t>
            </w:r>
            <w:r>
              <w:rPr>
                <w:rFonts w:hint="eastAsia" w:ascii="宋体" w:hAnsi="宋体" w:cs="宋体"/>
                <w:color w:val="auto"/>
                <w:szCs w:val="21"/>
                <w:lang w:val="zh-CN"/>
              </w:rPr>
              <w:t>分。</w:t>
            </w:r>
          </w:p>
          <w:p w14:paraId="64716413">
            <w:pPr>
              <w:pStyle w:val="16"/>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lang w:val="zh-CN"/>
              </w:rPr>
              <w:t>（</w:t>
            </w:r>
            <w:r>
              <w:rPr>
                <w:rFonts w:hint="eastAsia" w:ascii="宋体" w:hAnsi="宋体" w:cs="宋体"/>
                <w:color w:val="auto"/>
                <w:szCs w:val="21"/>
                <w:lang w:val="en-US" w:eastAsia="zh-CN"/>
              </w:rPr>
              <w:t>2</w:t>
            </w:r>
            <w:r>
              <w:rPr>
                <w:rFonts w:hint="eastAsia" w:ascii="宋体" w:hAnsi="宋体" w:cs="宋体"/>
                <w:color w:val="auto"/>
                <w:szCs w:val="21"/>
                <w:lang w:val="zh-CN"/>
              </w:rPr>
              <w:t>）</w:t>
            </w:r>
            <w:r>
              <w:rPr>
                <w:rFonts w:hint="eastAsia" w:ascii="宋体" w:hAnsi="宋体" w:cs="宋体"/>
                <w:color w:val="auto"/>
                <w:lang w:val="zh-CN"/>
              </w:rPr>
              <w:t>2021年1月1日至今，参与的市政类设计项目获得过市级或以上奖项的，每项得</w:t>
            </w:r>
            <w:r>
              <w:rPr>
                <w:rFonts w:hint="eastAsia" w:ascii="宋体" w:hAnsi="宋体" w:cs="宋体"/>
                <w:color w:val="auto"/>
                <w:lang w:val="en-US" w:eastAsia="zh-CN"/>
              </w:rPr>
              <w:t>0.5</w:t>
            </w:r>
            <w:r>
              <w:rPr>
                <w:rFonts w:hint="eastAsia" w:ascii="宋体" w:hAnsi="宋体" w:cs="宋体"/>
                <w:color w:val="auto"/>
                <w:lang w:val="zh-CN"/>
              </w:rPr>
              <w:t>分；其他不得分。本小项合计最多得</w:t>
            </w:r>
            <w:r>
              <w:rPr>
                <w:rFonts w:hint="eastAsia" w:ascii="宋体" w:hAnsi="宋体" w:cs="宋体"/>
                <w:color w:val="auto"/>
                <w:lang w:val="en-US" w:eastAsia="zh-CN"/>
              </w:rPr>
              <w:t>2</w:t>
            </w:r>
            <w:r>
              <w:rPr>
                <w:rFonts w:hint="eastAsia" w:ascii="宋体" w:hAnsi="宋体" w:cs="宋体"/>
                <w:color w:val="auto"/>
                <w:lang w:val="zh-CN"/>
              </w:rPr>
              <w:t>分。</w:t>
            </w:r>
          </w:p>
          <w:p w14:paraId="095D903E">
            <w:pPr>
              <w:pStyle w:val="16"/>
              <w:keepNext w:val="0"/>
              <w:keepLines w:val="0"/>
              <w:suppressLineNumbers w:val="0"/>
              <w:spacing w:before="0" w:beforeAutospacing="0" w:after="0" w:afterAutospacing="0"/>
              <w:ind w:left="0" w:right="0"/>
              <w:rPr>
                <w:rFonts w:hint="eastAsia" w:ascii="宋体" w:hAnsi="宋体" w:cs="宋体"/>
                <w:color w:val="auto"/>
                <w:szCs w:val="21"/>
                <w:lang w:val="zh-CN"/>
              </w:rPr>
            </w:pPr>
            <w:r>
              <w:rPr>
                <w:rFonts w:hint="eastAsia" w:ascii="宋体" w:hAnsi="宋体"/>
                <w:color w:val="auto"/>
                <w:szCs w:val="21"/>
              </w:rPr>
              <w:t>本小项</w:t>
            </w:r>
            <w:r>
              <w:rPr>
                <w:rFonts w:hint="eastAsia" w:ascii="宋体" w:hAnsi="宋体"/>
                <w:color w:val="auto"/>
                <w:szCs w:val="21"/>
                <w:lang w:val="zh-CN"/>
              </w:rPr>
              <w:t>最多得</w:t>
            </w:r>
            <w:r>
              <w:rPr>
                <w:rFonts w:hint="eastAsia" w:ascii="宋体" w:hAnsi="宋体" w:cs="宋体"/>
                <w:color w:val="auto"/>
                <w:szCs w:val="21"/>
                <w:lang w:val="en-US" w:eastAsia="zh-CN"/>
              </w:rPr>
              <w:t>4</w:t>
            </w:r>
            <w:r>
              <w:rPr>
                <w:rFonts w:hint="eastAsia" w:ascii="宋体" w:hAnsi="宋体" w:cs="宋体"/>
                <w:color w:val="auto"/>
                <w:szCs w:val="21"/>
                <w:lang w:val="zh-CN"/>
              </w:rPr>
              <w:t>分。</w:t>
            </w:r>
          </w:p>
          <w:p w14:paraId="2684D90A">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注：①提供设计负责人毕业证书、职称证书、注册证书、获奖证书（或获奖文件）、投标截止时间最近3个月任一月在本单位（含分支机构）交纳的社保证明原件扫描件，不提供不得分；</w:t>
            </w:r>
          </w:p>
          <w:p w14:paraId="12A6E69E">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②设计经历年限证明材料需同时提供毕业证书复印件。</w:t>
            </w:r>
          </w:p>
          <w:p w14:paraId="2A0A6590">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rPr>
              <w:t>③同一项目获奖</w:t>
            </w:r>
            <w:r>
              <w:rPr>
                <w:rFonts w:hint="eastAsia" w:ascii="宋体" w:hAnsi="宋体"/>
                <w:color w:val="auto"/>
                <w:szCs w:val="21"/>
                <w:highlight w:val="none"/>
              </w:rPr>
              <w:t>按最高级别计分一次。</w:t>
            </w:r>
          </w:p>
          <w:p w14:paraId="7734630E">
            <w:pPr>
              <w:keepNext w:val="0"/>
              <w:keepLines w:val="0"/>
              <w:suppressLineNumbers w:val="0"/>
              <w:spacing w:before="0" w:beforeAutospacing="0" w:after="0" w:afterAutospacing="0"/>
              <w:ind w:left="0" w:right="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highlight w:val="none"/>
                <w:lang w:val="zh-CN"/>
              </w:rPr>
              <w:t>各专业负责人及业务能力（若为联合体，指承担设计任务的成员，专业不齐全的，该项不得分）：</w:t>
            </w:r>
          </w:p>
          <w:p w14:paraId="49E3F9DA">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 xml:space="preserve">（1）给排水专业负责人（1分）： </w:t>
            </w:r>
          </w:p>
          <w:p w14:paraId="5AFB4A64">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具有注册公用设备工程师（给水排水）注册执业资格证书的或具备给排水相关专业高级工程师（或以上）职称的，得1分。</w:t>
            </w:r>
          </w:p>
          <w:p w14:paraId="2A4ACDB8">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 xml:space="preserve">（2）结构专业负责人（1分）： </w:t>
            </w:r>
          </w:p>
          <w:p w14:paraId="435F940A">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具有一级注册结构工程师注册执业资格证书的或结构相关专业高级工程师（或以上）职称的，得1分。</w:t>
            </w:r>
          </w:p>
          <w:p w14:paraId="5DC319AA">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 xml:space="preserve">（3）电气专业负责人（1分）： </w:t>
            </w:r>
          </w:p>
          <w:p w14:paraId="44CDC307">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具有注册电气工程师（供配电）注册执业资格证书或具备电气相关专业高级工程师（或以上）职称的，得1分。</w:t>
            </w:r>
          </w:p>
          <w:p w14:paraId="35A6C385">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 xml:space="preserve">（4）造价专业负责人（1分）： </w:t>
            </w:r>
          </w:p>
          <w:p w14:paraId="348984FD">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具有一级注册造价工程师（原注册造价工程师证书）注册证书或具备工程类高级（或以上）职称的，得1分。</w:t>
            </w:r>
          </w:p>
          <w:p w14:paraId="4C238AE3">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（5）2021年1月1日至今，上述各专业负责人员中参与设计的项目获得获市级（或以上）优秀工程勘察设计奖项的，每个项目项得0.5分；此项最多得2分。</w:t>
            </w:r>
          </w:p>
          <w:p w14:paraId="2B8BD6F8">
            <w:pPr>
              <w:keepNext w:val="0"/>
              <w:keepLines w:val="0"/>
              <w:suppressLineNumbers w:val="0"/>
              <w:snapToGrid w:val="0"/>
              <w:spacing w:before="0" w:beforeAutospacing="0" w:after="0" w:afterAutospacing="0"/>
              <w:ind w:left="0" w:right="0"/>
              <w:rPr>
                <w:rFonts w:hint="eastAsia" w:ascii="宋体" w:hAnsi="宋体" w:cs="宋体"/>
                <w:color w:val="auto"/>
                <w:highlight w:val="none"/>
                <w:lang w:val="zh-CN"/>
              </w:rPr>
            </w:pPr>
            <w:r>
              <w:rPr>
                <w:rFonts w:hint="eastAsia" w:ascii="宋体" w:hAnsi="宋体" w:cs="宋体"/>
                <w:color w:val="auto"/>
                <w:highlight w:val="none"/>
                <w:lang w:val="zh-CN"/>
              </w:rPr>
              <w:t>以上各项合计最多得</w:t>
            </w:r>
            <w:r>
              <w:rPr>
                <w:rFonts w:hint="eastAsia" w:ascii="宋体" w:hAnsi="宋体" w:cs="宋体"/>
                <w:color w:val="auto"/>
                <w:highlight w:val="none"/>
                <w:lang w:val="en-US" w:eastAsia="zh-CN"/>
              </w:rPr>
              <w:t>15</w:t>
            </w:r>
            <w:r>
              <w:rPr>
                <w:rFonts w:hint="eastAsia" w:ascii="宋体" w:hAnsi="宋体" w:cs="宋体"/>
                <w:color w:val="auto"/>
                <w:highlight w:val="none"/>
                <w:lang w:val="zh-CN"/>
              </w:rPr>
              <w:t>分。</w:t>
            </w:r>
          </w:p>
          <w:p w14:paraId="775F0AA9">
            <w:pPr>
              <w:pStyle w:val="12"/>
              <w:ind w:firstLine="0" w:firstLineChars="0"/>
              <w:rPr>
                <w:rFonts w:hint="eastAsia" w:ascii="宋体" w:hAnsi="宋体"/>
                <w:color w:val="auto"/>
                <w:szCs w:val="21"/>
                <w:lang w:val="zh-CN"/>
              </w:rPr>
            </w:pPr>
            <w:r>
              <w:rPr>
                <w:rFonts w:hint="eastAsia" w:ascii="宋体" w:hAnsi="宋体"/>
                <w:color w:val="auto"/>
                <w:sz w:val="21"/>
                <w:szCs w:val="21"/>
                <w:highlight w:val="none"/>
              </w:rPr>
              <w:t>注：①所提供的投入人员必须为投标单位人员，并提供近1个月（20</w:t>
            </w:r>
            <w:r>
              <w:rPr>
                <w:rFonts w:hint="eastAsia" w:ascii="宋体" w:hAnsi="宋体"/>
                <w:color w:val="auto"/>
                <w:sz w:val="21"/>
                <w:szCs w:val="21"/>
                <w:highlight w:val="none"/>
                <w:lang w:val="en-US" w:eastAsia="zh-CN"/>
              </w:rPr>
              <w:t>25</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月）有效的参保的社保证明</w:t>
            </w:r>
            <w:r>
              <w:rPr>
                <w:rFonts w:hint="eastAsia" w:ascii="宋体" w:hAnsi="宋体"/>
                <w:color w:val="auto"/>
                <w:sz w:val="21"/>
                <w:szCs w:val="21"/>
                <w:highlight w:val="none"/>
                <w:lang w:eastAsia="zh-CN"/>
              </w:rPr>
              <w:t>（由非独立法人分支机构出具的社保证明予以认可）</w:t>
            </w:r>
            <w:r>
              <w:rPr>
                <w:rFonts w:hint="eastAsia" w:ascii="宋体" w:hAnsi="宋体"/>
                <w:color w:val="auto"/>
                <w:sz w:val="21"/>
                <w:szCs w:val="21"/>
                <w:highlight w:val="none"/>
              </w:rPr>
              <w:t>。②拟投入本项目的人员需根据上述评分要求提供相应的注册证书</w:t>
            </w:r>
            <w:r>
              <w:rPr>
                <w:rFonts w:hint="eastAsia" w:ascii="宋体" w:hAnsi="宋体"/>
                <w:color w:val="auto"/>
                <w:sz w:val="21"/>
                <w:szCs w:val="21"/>
                <w:highlight w:val="none"/>
                <w:lang w:eastAsia="zh-CN"/>
              </w:rPr>
              <w:t>或</w:t>
            </w:r>
            <w:r>
              <w:rPr>
                <w:rFonts w:hint="eastAsia" w:ascii="宋体" w:hAnsi="宋体"/>
                <w:color w:val="auto"/>
                <w:sz w:val="21"/>
                <w:szCs w:val="21"/>
                <w:highlight w:val="none"/>
              </w:rPr>
              <w:t>职称证书的原件彩色扫描件（如电子证照则提供彩色打印件）。</w:t>
            </w:r>
          </w:p>
        </w:tc>
      </w:tr>
      <w:tr w14:paraId="1B4F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719E022">
            <w:pPr>
              <w:widowControl/>
              <w:adjustRightInd w:val="0"/>
              <w:snapToGrid w:val="0"/>
              <w:jc w:val="center"/>
              <w:rPr>
                <w:rFonts w:hint="eastAsia" w:ascii="宋体" w:hAnsi="宋体" w:cs="宋体"/>
                <w:bCs/>
                <w:snapToGrid w:val="0"/>
                <w:color w:val="auto"/>
                <w:spacing w:val="-10"/>
                <w:kern w:val="0"/>
                <w:szCs w:val="21"/>
              </w:rPr>
            </w:pPr>
            <w:r>
              <w:rPr>
                <w:rFonts w:hint="eastAsia" w:ascii="宋体" w:hAnsi="宋体" w:cs="宋体"/>
                <w:bCs/>
                <w:snapToGrid w:val="0"/>
                <w:color w:val="auto"/>
                <w:spacing w:val="-10"/>
                <w:kern w:val="0"/>
                <w:szCs w:val="21"/>
              </w:rPr>
              <w:t>1.4</w:t>
            </w:r>
          </w:p>
        </w:tc>
        <w:tc>
          <w:tcPr>
            <w:tcW w:w="1904" w:type="dxa"/>
            <w:tcBorders>
              <w:top w:val="single" w:color="auto" w:sz="4" w:space="0"/>
              <w:left w:val="nil"/>
              <w:bottom w:val="single" w:color="auto" w:sz="4" w:space="0"/>
              <w:right w:val="single" w:color="auto" w:sz="4" w:space="0"/>
            </w:tcBorders>
            <w:vAlign w:val="center"/>
          </w:tcPr>
          <w:p w14:paraId="16B85172">
            <w:pPr>
              <w:autoSpaceDE w:val="0"/>
              <w:autoSpaceDN w:val="0"/>
              <w:adjustRightInd w:val="0"/>
              <w:jc w:val="center"/>
              <w:rPr>
                <w:rFonts w:hint="eastAsia" w:ascii="宋体" w:hAnsi="宋体"/>
                <w:color w:val="auto"/>
                <w:szCs w:val="21"/>
              </w:rPr>
            </w:pPr>
            <w:r>
              <w:rPr>
                <w:rFonts w:hint="eastAsia" w:ascii="宋体" w:hAnsi="宋体" w:cs="宋体"/>
                <w:color w:val="auto"/>
                <w:szCs w:val="21"/>
              </w:rPr>
              <w:t>企业资信</w:t>
            </w:r>
          </w:p>
        </w:tc>
        <w:tc>
          <w:tcPr>
            <w:tcW w:w="704" w:type="dxa"/>
            <w:tcBorders>
              <w:top w:val="single" w:color="auto" w:sz="4" w:space="0"/>
              <w:left w:val="nil"/>
              <w:bottom w:val="single" w:color="auto" w:sz="4" w:space="0"/>
              <w:right w:val="single" w:color="auto" w:sz="4" w:space="0"/>
            </w:tcBorders>
            <w:vAlign w:val="center"/>
          </w:tcPr>
          <w:p w14:paraId="381934C4">
            <w:pPr>
              <w:jc w:val="center"/>
              <w:rPr>
                <w:rFonts w:hint="eastAsia" w:ascii="宋体" w:hAnsi="宋体"/>
                <w:color w:val="auto"/>
                <w:szCs w:val="21"/>
              </w:rPr>
            </w:pPr>
            <w:r>
              <w:rPr>
                <w:rFonts w:hint="eastAsia" w:ascii="宋体" w:hAnsi="宋体" w:cs="宋体"/>
                <w:color w:val="auto"/>
                <w:szCs w:val="21"/>
              </w:rPr>
              <w:t>2</w:t>
            </w:r>
          </w:p>
        </w:tc>
        <w:tc>
          <w:tcPr>
            <w:tcW w:w="11582" w:type="dxa"/>
            <w:tcBorders>
              <w:top w:val="single" w:color="auto" w:sz="4" w:space="0"/>
              <w:left w:val="nil"/>
              <w:bottom w:val="single" w:color="auto" w:sz="4" w:space="0"/>
              <w:right w:val="single" w:color="auto" w:sz="4" w:space="0"/>
            </w:tcBorders>
            <w:vAlign w:val="center"/>
          </w:tcPr>
          <w:p w14:paraId="5DF32B40">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投标人（若为联合体，指联合体牵头方）截止202</w:t>
            </w:r>
            <w:r>
              <w:rPr>
                <w:rFonts w:hint="eastAsia" w:ascii="宋体" w:hAnsi="宋体" w:cs="宋体"/>
                <w:color w:val="auto"/>
                <w:szCs w:val="21"/>
                <w:lang w:val="en-US" w:eastAsia="zh-CN"/>
              </w:rPr>
              <w:t>5</w:t>
            </w:r>
            <w:r>
              <w:rPr>
                <w:rFonts w:hint="eastAsia" w:ascii="宋体" w:hAnsi="宋体" w:cs="宋体"/>
                <w:color w:val="auto"/>
                <w:szCs w:val="21"/>
              </w:rPr>
              <w:t>年（含202</w:t>
            </w:r>
            <w:r>
              <w:rPr>
                <w:rFonts w:hint="eastAsia" w:ascii="宋体" w:hAnsi="宋体" w:cs="宋体"/>
                <w:color w:val="auto"/>
                <w:szCs w:val="21"/>
                <w:lang w:val="en-US" w:eastAsia="zh-CN"/>
              </w:rPr>
              <w:t>5</w:t>
            </w:r>
            <w:r>
              <w:rPr>
                <w:rFonts w:hint="eastAsia" w:ascii="宋体" w:hAnsi="宋体" w:cs="宋体"/>
                <w:color w:val="auto"/>
                <w:szCs w:val="21"/>
              </w:rPr>
              <w:t>年）</w:t>
            </w:r>
          </w:p>
          <w:p w14:paraId="258F9775">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连续5年或以上获得税务部门评定的“纳税信用A级纳税人”称号，得</w:t>
            </w:r>
            <w:r>
              <w:rPr>
                <w:rFonts w:hint="eastAsia" w:ascii="宋体" w:hAnsi="宋体" w:cs="宋体"/>
                <w:color w:val="auto"/>
                <w:szCs w:val="21"/>
                <w:lang w:val="en-US" w:eastAsia="zh-CN"/>
              </w:rPr>
              <w:t>2</w:t>
            </w:r>
            <w:r>
              <w:rPr>
                <w:rFonts w:hint="eastAsia" w:ascii="宋体" w:hAnsi="宋体" w:cs="宋体"/>
                <w:color w:val="auto"/>
                <w:szCs w:val="21"/>
              </w:rPr>
              <w:t>分；</w:t>
            </w:r>
          </w:p>
          <w:p w14:paraId="0E86E4F1">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连续3年至4年获得税务部门评定的“纳税信用A级纳税人”称号，得</w:t>
            </w:r>
            <w:r>
              <w:rPr>
                <w:rFonts w:hint="eastAsia" w:ascii="宋体" w:hAnsi="宋体" w:cs="宋体"/>
                <w:color w:val="auto"/>
                <w:szCs w:val="21"/>
                <w:lang w:val="en-US" w:eastAsia="zh-CN"/>
              </w:rPr>
              <w:t>0.5</w:t>
            </w:r>
            <w:r>
              <w:rPr>
                <w:rFonts w:hint="eastAsia" w:ascii="宋体" w:hAnsi="宋体" w:cs="宋体"/>
                <w:color w:val="auto"/>
                <w:szCs w:val="21"/>
              </w:rPr>
              <w:t>分；</w:t>
            </w:r>
          </w:p>
          <w:p w14:paraId="17CAAE44">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连续2年或以下得</w:t>
            </w:r>
            <w:r>
              <w:rPr>
                <w:rFonts w:hint="eastAsia" w:ascii="宋体" w:hAnsi="宋体" w:cs="宋体"/>
                <w:color w:val="auto"/>
                <w:szCs w:val="21"/>
                <w:lang w:val="en-US" w:eastAsia="zh-CN"/>
              </w:rPr>
              <w:t>0.2</w:t>
            </w:r>
            <w:r>
              <w:rPr>
                <w:rFonts w:hint="eastAsia" w:ascii="宋体" w:hAnsi="宋体" w:cs="宋体"/>
                <w:color w:val="auto"/>
                <w:szCs w:val="21"/>
              </w:rPr>
              <w:t>分。</w:t>
            </w:r>
          </w:p>
          <w:p w14:paraId="32E23DCA">
            <w:pPr>
              <w:widowControl/>
              <w:jc w:val="left"/>
              <w:rPr>
                <w:rFonts w:hint="eastAsia" w:ascii="宋体" w:hAnsi="宋体" w:cs="宋体"/>
                <w:color w:val="auto"/>
                <w:kern w:val="0"/>
                <w:szCs w:val="21"/>
              </w:rPr>
            </w:pPr>
            <w:r>
              <w:rPr>
                <w:rFonts w:hint="eastAsia" w:ascii="宋体" w:hAnsi="宋体" w:cs="宋体"/>
                <w:color w:val="auto"/>
                <w:szCs w:val="21"/>
              </w:rPr>
              <w:t>注：本小项最高得2分</w:t>
            </w:r>
            <w:r>
              <w:rPr>
                <w:rFonts w:hint="eastAsia" w:ascii="宋体" w:hAnsi="宋体" w:cs="宋体"/>
                <w:color w:val="auto"/>
                <w:szCs w:val="21"/>
                <w:lang w:eastAsia="zh-CN"/>
              </w:rPr>
              <w:t>。须</w:t>
            </w:r>
            <w:r>
              <w:rPr>
                <w:rFonts w:hint="eastAsia" w:ascii="宋体" w:hAnsi="宋体"/>
                <w:color w:val="auto"/>
                <w:szCs w:val="21"/>
              </w:rPr>
              <w:t>提供</w:t>
            </w:r>
            <w:r>
              <w:rPr>
                <w:rFonts w:hint="eastAsia" w:ascii="宋体" w:hAnsi="宋体"/>
                <w:color w:val="auto"/>
                <w:szCs w:val="21"/>
                <w:lang w:eastAsia="zh-CN"/>
              </w:rPr>
              <w:t>相关证明材料扫描件</w:t>
            </w:r>
            <w:r>
              <w:rPr>
                <w:rFonts w:hint="eastAsia" w:ascii="宋体" w:hAnsi="宋体" w:cs="宋体"/>
                <w:color w:val="auto"/>
                <w:kern w:val="0"/>
                <w:szCs w:val="21"/>
              </w:rPr>
              <w:t>，未提供不得分</w:t>
            </w:r>
            <w:r>
              <w:rPr>
                <w:rFonts w:hint="eastAsia" w:ascii="宋体" w:hAnsi="宋体"/>
                <w:color w:val="auto"/>
                <w:szCs w:val="21"/>
              </w:rPr>
              <w:t>。</w:t>
            </w:r>
          </w:p>
        </w:tc>
      </w:tr>
      <w:tr w14:paraId="4DA1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BB7D343">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bCs/>
                <w:snapToGrid w:val="0"/>
                <w:color w:val="auto"/>
                <w:spacing w:val="-10"/>
                <w:kern w:val="0"/>
                <w:szCs w:val="21"/>
              </w:rPr>
            </w:pPr>
            <w:r>
              <w:rPr>
                <w:rFonts w:hint="eastAsia" w:ascii="宋体" w:hAnsi="宋体" w:cs="宋体"/>
                <w:bCs/>
                <w:snapToGrid w:val="0"/>
                <w:color w:val="auto"/>
                <w:spacing w:val="-10"/>
                <w:kern w:val="0"/>
                <w:szCs w:val="21"/>
              </w:rPr>
              <w:t>1.5</w:t>
            </w:r>
          </w:p>
        </w:tc>
        <w:tc>
          <w:tcPr>
            <w:tcW w:w="1904" w:type="dxa"/>
            <w:tcBorders>
              <w:top w:val="single" w:color="auto" w:sz="4" w:space="0"/>
              <w:left w:val="nil"/>
              <w:bottom w:val="single" w:color="auto" w:sz="4" w:space="0"/>
              <w:right w:val="single" w:color="auto" w:sz="4" w:space="0"/>
            </w:tcBorders>
            <w:vAlign w:val="center"/>
          </w:tcPr>
          <w:p w14:paraId="663091D8">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olor w:val="auto"/>
                <w:szCs w:val="21"/>
                <w:lang w:val="en-US" w:eastAsia="zh-CN"/>
              </w:rPr>
            </w:pPr>
            <w:r>
              <w:rPr>
                <w:rFonts w:hint="eastAsia" w:ascii="宋体" w:hAnsi="宋体"/>
                <w:color w:val="auto"/>
                <w:szCs w:val="21"/>
              </w:rPr>
              <w:t>管理体系认证</w:t>
            </w:r>
          </w:p>
        </w:tc>
        <w:tc>
          <w:tcPr>
            <w:tcW w:w="704" w:type="dxa"/>
            <w:tcBorders>
              <w:top w:val="single" w:color="auto" w:sz="4" w:space="0"/>
              <w:left w:val="nil"/>
              <w:bottom w:val="single" w:color="auto" w:sz="4" w:space="0"/>
              <w:right w:val="single" w:color="auto" w:sz="4" w:space="0"/>
            </w:tcBorders>
            <w:vAlign w:val="center"/>
          </w:tcPr>
          <w:p w14:paraId="705809DF">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olor w:val="auto"/>
                <w:szCs w:val="21"/>
              </w:rPr>
            </w:pPr>
            <w:r>
              <w:rPr>
                <w:rFonts w:hint="eastAsia" w:ascii="宋体" w:hAnsi="宋体"/>
                <w:color w:val="auto"/>
                <w:szCs w:val="21"/>
                <w:lang w:val="en-US" w:eastAsia="zh-CN"/>
              </w:rPr>
              <w:t>6</w:t>
            </w:r>
          </w:p>
        </w:tc>
        <w:tc>
          <w:tcPr>
            <w:tcW w:w="11582" w:type="dxa"/>
            <w:tcBorders>
              <w:top w:val="single" w:color="auto" w:sz="4" w:space="0"/>
              <w:left w:val="nil"/>
              <w:bottom w:val="single" w:color="auto" w:sz="4" w:space="0"/>
              <w:right w:val="single" w:color="auto" w:sz="4" w:space="0"/>
            </w:tcBorders>
            <w:vAlign w:val="center"/>
          </w:tcPr>
          <w:p w14:paraId="35911579">
            <w:pPr>
              <w:pStyle w:val="12"/>
              <w:keepNext w:val="0"/>
              <w:keepLines w:val="0"/>
              <w:numPr>
                <w:ilvl w:val="0"/>
                <w:numId w:val="0"/>
              </w:numPr>
              <w:suppressLineNumbers w:val="0"/>
              <w:spacing w:before="0" w:beforeAutospacing="0" w:after="0" w:afterAutospacing="0"/>
              <w:ind w:left="0" w:right="0" w:firstLine="0" w:firstLineChars="0"/>
              <w:rPr>
                <w:rFonts w:hint="eastAsia" w:ascii="宋体" w:hAnsi="宋体" w:cs="宋体"/>
                <w:color w:val="auto"/>
                <w:kern w:val="0"/>
                <w:szCs w:val="21"/>
              </w:rPr>
            </w:pPr>
            <w:r>
              <w:rPr>
                <w:rFonts w:hint="eastAsia" w:ascii="宋体" w:hAnsi="宋体" w:cs="宋体"/>
                <w:color w:val="auto"/>
                <w:kern w:val="0"/>
                <w:szCs w:val="21"/>
                <w:lang w:val="en-US" w:eastAsia="zh-CN"/>
              </w:rPr>
              <w:t>1.</w:t>
            </w:r>
            <w:r>
              <w:rPr>
                <w:rFonts w:hint="eastAsia" w:ascii="宋体" w:hAnsi="宋体" w:cs="宋体"/>
                <w:color w:val="auto"/>
                <w:kern w:val="0"/>
                <w:szCs w:val="21"/>
              </w:rPr>
              <w:t>投标人</w:t>
            </w:r>
            <w:r>
              <w:rPr>
                <w:rFonts w:hint="default" w:ascii="宋体" w:hAnsi="宋体" w:cs="宋体"/>
                <w:color w:val="auto"/>
                <w:kern w:val="0"/>
                <w:szCs w:val="21"/>
              </w:rPr>
              <w:t>(</w:t>
            </w:r>
            <w:r>
              <w:rPr>
                <w:rFonts w:hint="eastAsia" w:ascii="宋体" w:hAnsi="宋体" w:cs="宋体"/>
                <w:color w:val="auto"/>
                <w:kern w:val="0"/>
                <w:szCs w:val="21"/>
              </w:rPr>
              <w:t>若为联合体，指联合体牵头方</w:t>
            </w:r>
            <w:r>
              <w:rPr>
                <w:rFonts w:hint="default" w:ascii="宋体" w:hAnsi="宋体" w:cs="宋体"/>
                <w:color w:val="auto"/>
                <w:kern w:val="0"/>
                <w:szCs w:val="21"/>
              </w:rPr>
              <w:t>)</w:t>
            </w:r>
            <w:r>
              <w:rPr>
                <w:rFonts w:hint="eastAsia" w:ascii="宋体" w:hAnsi="宋体" w:cs="宋体"/>
                <w:color w:val="auto"/>
                <w:kern w:val="0"/>
                <w:szCs w:val="21"/>
              </w:rPr>
              <w:t>投标人具有效期的</w:t>
            </w:r>
            <w:r>
              <w:rPr>
                <w:rFonts w:hint="eastAsia" w:ascii="宋体" w:hAnsi="宋体"/>
                <w:color w:val="auto"/>
              </w:rPr>
              <w:t>环境管理体系认证证书、职业健康安全管理体系认证证书、质量管理体系认证证书</w:t>
            </w:r>
            <w:r>
              <w:rPr>
                <w:rFonts w:hint="eastAsia" w:ascii="宋体" w:hAnsi="宋体" w:cs="宋体"/>
                <w:color w:val="auto"/>
                <w:kern w:val="0"/>
                <w:szCs w:val="21"/>
              </w:rPr>
              <w:t>，</w:t>
            </w:r>
            <w:r>
              <w:rPr>
                <w:rFonts w:hint="eastAsia" w:ascii="宋体" w:hAnsi="宋体"/>
                <w:color w:val="auto"/>
              </w:rPr>
              <w:t>每个得</w:t>
            </w:r>
            <w:r>
              <w:rPr>
                <w:rFonts w:hint="eastAsia" w:ascii="宋体" w:hAnsi="宋体"/>
                <w:color w:val="auto"/>
                <w:lang w:val="en-US" w:eastAsia="zh-CN"/>
              </w:rPr>
              <w:t>1</w:t>
            </w:r>
            <w:r>
              <w:rPr>
                <w:rFonts w:hint="eastAsia" w:ascii="宋体" w:hAnsi="宋体"/>
                <w:color w:val="auto"/>
              </w:rPr>
              <w:t>分，本小项最高得</w:t>
            </w:r>
            <w:r>
              <w:rPr>
                <w:rFonts w:hint="eastAsia" w:ascii="宋体" w:hAnsi="宋体"/>
                <w:color w:val="auto"/>
                <w:lang w:val="en-US" w:eastAsia="zh-CN"/>
              </w:rPr>
              <w:t>3</w:t>
            </w:r>
            <w:r>
              <w:rPr>
                <w:rFonts w:hint="eastAsia" w:ascii="宋体" w:hAnsi="宋体"/>
                <w:color w:val="auto"/>
              </w:rPr>
              <w:t>分</w:t>
            </w:r>
            <w:r>
              <w:rPr>
                <w:rFonts w:hint="eastAsia" w:ascii="宋体" w:hAnsi="宋体" w:cs="宋体"/>
                <w:color w:val="auto"/>
                <w:kern w:val="0"/>
                <w:szCs w:val="21"/>
              </w:rPr>
              <w:t>。</w:t>
            </w:r>
          </w:p>
          <w:p w14:paraId="08670148">
            <w:pPr>
              <w:pStyle w:val="12"/>
              <w:keepNext w:val="0"/>
              <w:keepLines w:val="0"/>
              <w:numPr>
                <w:ilvl w:val="0"/>
                <w:numId w:val="0"/>
              </w:numPr>
              <w:suppressLineNumbers w:val="0"/>
              <w:spacing w:before="0" w:beforeAutospacing="0" w:after="0" w:afterAutospacing="0"/>
              <w:ind w:left="0" w:right="0" w:firstLine="0" w:firstLineChars="0"/>
              <w:rPr>
                <w:rFonts w:hint="default"/>
                <w:color w:val="auto"/>
              </w:rPr>
            </w:pPr>
            <w:r>
              <w:rPr>
                <w:rFonts w:hint="eastAsia" w:ascii="宋体" w:hAnsi="宋体" w:cs="宋体"/>
                <w:color w:val="auto"/>
                <w:szCs w:val="21"/>
              </w:rPr>
              <w:t>注：提供</w:t>
            </w:r>
            <w:r>
              <w:rPr>
                <w:rFonts w:hint="eastAsia" w:ascii="宋体" w:hAnsi="宋体" w:cs="宋体"/>
                <w:color w:val="auto"/>
                <w:szCs w:val="21"/>
                <w:lang w:val="en-US" w:eastAsia="zh-CN"/>
              </w:rPr>
              <w:t>证书</w:t>
            </w:r>
            <w:r>
              <w:rPr>
                <w:rFonts w:hint="eastAsia" w:ascii="宋体" w:hAnsi="宋体" w:cs="宋体"/>
                <w:color w:val="auto"/>
                <w:szCs w:val="21"/>
              </w:rPr>
              <w:t>复印件。</w:t>
            </w:r>
          </w:p>
          <w:p w14:paraId="6A75A95F">
            <w:pPr>
              <w:pStyle w:val="12"/>
              <w:keepNext w:val="0"/>
              <w:keepLines w:val="0"/>
              <w:numPr>
                <w:ilvl w:val="0"/>
                <w:numId w:val="10"/>
              </w:numPr>
              <w:suppressLineNumbers w:val="0"/>
              <w:spacing w:before="0" w:beforeAutospacing="0" w:after="0" w:afterAutospacing="0"/>
              <w:ind w:left="0" w:right="0" w:firstLine="0" w:firstLineChars="0"/>
              <w:rPr>
                <w:rFonts w:hint="eastAsia" w:ascii="宋体" w:hAnsi="宋体" w:cs="宋体"/>
                <w:color w:val="auto"/>
                <w:kern w:val="0"/>
                <w:szCs w:val="21"/>
              </w:rPr>
            </w:pPr>
            <w:r>
              <w:rPr>
                <w:rFonts w:hint="eastAsia" w:ascii="宋体" w:hAnsi="宋体" w:cs="宋体"/>
                <w:color w:val="auto"/>
                <w:kern w:val="0"/>
                <w:szCs w:val="21"/>
              </w:rPr>
              <w:t>投标人</w:t>
            </w:r>
            <w:r>
              <w:rPr>
                <w:rFonts w:hint="eastAsia" w:ascii="宋体" w:hAnsi="宋体"/>
                <w:color w:val="auto"/>
                <w:szCs w:val="21"/>
              </w:rPr>
              <w:t>（若为联合体，指承担设计任务的成员）</w:t>
            </w:r>
            <w:r>
              <w:rPr>
                <w:rFonts w:hint="eastAsia" w:ascii="宋体" w:hAnsi="宋体" w:cs="宋体"/>
                <w:color w:val="auto"/>
                <w:kern w:val="0"/>
                <w:szCs w:val="21"/>
              </w:rPr>
              <w:t>投标人具有效期的</w:t>
            </w:r>
            <w:r>
              <w:rPr>
                <w:rFonts w:hint="eastAsia" w:ascii="宋体" w:hAnsi="宋体"/>
                <w:color w:val="auto"/>
              </w:rPr>
              <w:t>环境管理体系认证证书、职业健康安全管理体系认证证书、质量管理体系认证证书</w:t>
            </w:r>
            <w:r>
              <w:rPr>
                <w:rFonts w:hint="eastAsia" w:ascii="宋体" w:hAnsi="宋体" w:cs="宋体"/>
                <w:color w:val="auto"/>
                <w:kern w:val="0"/>
                <w:szCs w:val="21"/>
              </w:rPr>
              <w:t>，</w:t>
            </w:r>
            <w:r>
              <w:rPr>
                <w:rFonts w:hint="eastAsia" w:ascii="宋体" w:hAnsi="宋体"/>
                <w:color w:val="auto"/>
              </w:rPr>
              <w:t>每个得</w:t>
            </w:r>
            <w:r>
              <w:rPr>
                <w:rFonts w:hint="eastAsia" w:ascii="宋体" w:hAnsi="宋体"/>
                <w:color w:val="auto"/>
                <w:lang w:val="en-US" w:eastAsia="zh-CN"/>
              </w:rPr>
              <w:t>1</w:t>
            </w:r>
            <w:r>
              <w:rPr>
                <w:rFonts w:hint="eastAsia" w:ascii="宋体" w:hAnsi="宋体"/>
                <w:color w:val="auto"/>
              </w:rPr>
              <w:t>分，本小项最高得</w:t>
            </w:r>
            <w:r>
              <w:rPr>
                <w:rFonts w:hint="eastAsia" w:ascii="宋体" w:hAnsi="宋体"/>
                <w:color w:val="auto"/>
                <w:lang w:val="en-US" w:eastAsia="zh-CN"/>
              </w:rPr>
              <w:t>3</w:t>
            </w:r>
            <w:r>
              <w:rPr>
                <w:rFonts w:hint="eastAsia" w:ascii="宋体" w:hAnsi="宋体"/>
                <w:color w:val="auto"/>
              </w:rPr>
              <w:t>分</w:t>
            </w:r>
            <w:r>
              <w:rPr>
                <w:rFonts w:hint="eastAsia" w:ascii="宋体" w:hAnsi="宋体" w:cs="宋体"/>
                <w:color w:val="auto"/>
                <w:kern w:val="0"/>
                <w:szCs w:val="21"/>
              </w:rPr>
              <w:t>。</w:t>
            </w:r>
          </w:p>
          <w:p w14:paraId="63062973">
            <w:pPr>
              <w:rPr>
                <w:color w:val="auto"/>
              </w:rPr>
            </w:pPr>
          </w:p>
          <w:p w14:paraId="7CA127C3">
            <w:pPr>
              <w:rPr>
                <w:color w:val="auto"/>
              </w:rPr>
            </w:pPr>
            <w:r>
              <w:rPr>
                <w:rFonts w:hint="eastAsia" w:ascii="宋体" w:hAnsi="宋体"/>
                <w:color w:val="auto"/>
                <w:szCs w:val="21"/>
              </w:rPr>
              <w:t>注：提供</w:t>
            </w:r>
            <w:r>
              <w:rPr>
                <w:rFonts w:hint="eastAsia" w:ascii="宋体" w:hAnsi="宋体" w:cs="宋体"/>
                <w:color w:val="auto"/>
                <w:szCs w:val="21"/>
                <w:lang w:val="en-US" w:eastAsia="zh-CN"/>
              </w:rPr>
              <w:t>证书</w:t>
            </w:r>
            <w:r>
              <w:rPr>
                <w:rFonts w:hint="eastAsia" w:ascii="宋体" w:hAnsi="宋体" w:cs="宋体"/>
                <w:color w:val="auto"/>
                <w:szCs w:val="21"/>
              </w:rPr>
              <w:t>复印件</w:t>
            </w:r>
            <w:r>
              <w:rPr>
                <w:rFonts w:hint="eastAsia" w:ascii="宋体" w:hAnsi="宋体" w:cs="宋体"/>
                <w:color w:val="auto"/>
                <w:szCs w:val="21"/>
                <w:lang w:val="en-US" w:eastAsia="zh-CN"/>
              </w:rPr>
              <w:t>和</w:t>
            </w:r>
            <w:r>
              <w:rPr>
                <w:rFonts w:hint="eastAsia" w:ascii="宋体" w:hAnsi="宋体"/>
                <w:color w:val="auto"/>
                <w:szCs w:val="21"/>
              </w:rPr>
              <w:t>“全国认证认可信息公共服务平台”</w:t>
            </w:r>
            <w:r>
              <w:rPr>
                <w:rFonts w:hint="eastAsia" w:ascii="宋体" w:hAnsi="宋体"/>
                <w:color w:val="auto"/>
                <w:szCs w:val="21"/>
                <w:lang w:val="en-US" w:eastAsia="zh-CN"/>
              </w:rPr>
              <w:t>查询</w:t>
            </w:r>
            <w:r>
              <w:rPr>
                <w:rFonts w:hint="eastAsia" w:ascii="宋体" w:hAnsi="宋体"/>
                <w:color w:val="auto"/>
                <w:szCs w:val="21"/>
              </w:rPr>
              <w:t>网上截图</w:t>
            </w:r>
            <w:r>
              <w:rPr>
                <w:rFonts w:hint="eastAsia" w:ascii="宋体" w:hAnsi="宋体" w:cs="宋体"/>
                <w:color w:val="auto"/>
                <w:kern w:val="0"/>
                <w:szCs w:val="21"/>
              </w:rPr>
              <w:t>，未提供不得分</w:t>
            </w:r>
            <w:r>
              <w:rPr>
                <w:rFonts w:hint="eastAsia" w:ascii="宋体" w:hAnsi="宋体"/>
                <w:color w:val="auto"/>
                <w:szCs w:val="21"/>
              </w:rPr>
              <w:t>。</w:t>
            </w:r>
          </w:p>
          <w:p w14:paraId="73742812">
            <w:pPr>
              <w:rPr>
                <w:color w:val="auto"/>
              </w:rPr>
            </w:pPr>
          </w:p>
          <w:p w14:paraId="40090CF7">
            <w:pPr>
              <w:pStyle w:val="12"/>
              <w:keepNext w:val="0"/>
              <w:keepLines w:val="0"/>
              <w:numPr>
                <w:ilvl w:val="0"/>
                <w:numId w:val="0"/>
              </w:numPr>
              <w:suppressLineNumbers w:val="0"/>
              <w:spacing w:before="0" w:beforeAutospacing="0" w:after="0" w:afterAutospacing="0"/>
              <w:ind w:left="0" w:leftChars="0" w:right="0" w:rightChars="0" w:firstLine="0" w:firstLineChars="0"/>
              <w:rPr>
                <w:rFonts w:hint="default" w:eastAsia="宋体"/>
                <w:color w:val="auto"/>
                <w:lang w:val="en-US" w:eastAsia="zh-CN"/>
              </w:rPr>
            </w:pPr>
          </w:p>
        </w:tc>
      </w:tr>
      <w:tr w14:paraId="7A75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2F2EAD28">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bCs/>
                <w:snapToGrid w:val="0"/>
                <w:color w:val="auto"/>
                <w:spacing w:val="-10"/>
                <w:kern w:val="0"/>
                <w:szCs w:val="21"/>
              </w:rPr>
            </w:pPr>
            <w:r>
              <w:rPr>
                <w:rFonts w:hint="eastAsia" w:ascii="宋体" w:hAnsi="宋体" w:cs="宋体"/>
                <w:bCs/>
                <w:snapToGrid w:val="0"/>
                <w:color w:val="auto"/>
                <w:spacing w:val="-10"/>
                <w:kern w:val="0"/>
                <w:szCs w:val="21"/>
                <w:lang w:val="en-US" w:eastAsia="zh-CN"/>
              </w:rPr>
              <w:t>1.6</w:t>
            </w:r>
          </w:p>
        </w:tc>
        <w:tc>
          <w:tcPr>
            <w:tcW w:w="1904" w:type="dxa"/>
            <w:tcBorders>
              <w:top w:val="single" w:color="auto" w:sz="4" w:space="0"/>
              <w:left w:val="nil"/>
              <w:bottom w:val="single" w:color="auto" w:sz="4" w:space="0"/>
              <w:right w:val="single" w:color="auto" w:sz="4" w:space="0"/>
            </w:tcBorders>
            <w:vAlign w:val="center"/>
          </w:tcPr>
          <w:p w14:paraId="0EFF1D06">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olor w:val="auto"/>
                <w:szCs w:val="21"/>
                <w:lang w:val="en-US" w:eastAsia="zh-CN"/>
              </w:rPr>
            </w:pPr>
            <w:r>
              <w:rPr>
                <w:rFonts w:hint="eastAsia" w:ascii="宋体" w:hAnsi="宋体"/>
                <w:color w:val="auto"/>
                <w:szCs w:val="21"/>
                <w:lang w:val="en-US" w:eastAsia="zh-CN"/>
              </w:rPr>
              <w:t>企业信誉</w:t>
            </w:r>
          </w:p>
        </w:tc>
        <w:tc>
          <w:tcPr>
            <w:tcW w:w="704" w:type="dxa"/>
            <w:tcBorders>
              <w:top w:val="single" w:color="auto" w:sz="4" w:space="0"/>
              <w:left w:val="nil"/>
              <w:bottom w:val="single" w:color="auto" w:sz="4" w:space="0"/>
              <w:right w:val="single" w:color="auto" w:sz="4" w:space="0"/>
            </w:tcBorders>
            <w:vAlign w:val="center"/>
          </w:tcPr>
          <w:p w14:paraId="0A2052D0">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olor w:val="auto"/>
                <w:szCs w:val="21"/>
              </w:rPr>
            </w:pPr>
            <w:r>
              <w:rPr>
                <w:rFonts w:hint="eastAsia" w:ascii="宋体" w:hAnsi="宋体"/>
                <w:color w:val="auto"/>
                <w:szCs w:val="21"/>
                <w:lang w:val="en-US" w:eastAsia="zh-CN"/>
              </w:rPr>
              <w:t>2</w:t>
            </w:r>
          </w:p>
        </w:tc>
        <w:tc>
          <w:tcPr>
            <w:tcW w:w="11582" w:type="dxa"/>
            <w:tcBorders>
              <w:top w:val="single" w:color="auto" w:sz="4" w:space="0"/>
              <w:left w:val="nil"/>
              <w:bottom w:val="single" w:color="auto" w:sz="4" w:space="0"/>
              <w:right w:val="single" w:color="auto" w:sz="4" w:space="0"/>
            </w:tcBorders>
            <w:vAlign w:val="center"/>
          </w:tcPr>
          <w:p w14:paraId="67133955">
            <w:pPr>
              <w:keepNext w:val="0"/>
              <w:keepLines w:val="0"/>
              <w:suppressLineNumbers w:val="0"/>
              <w:wordWrap w:val="0"/>
              <w:topLinePunct/>
              <w:adjustRightInd w:val="0"/>
              <w:snapToGrid w:val="0"/>
              <w:spacing w:before="0" w:beforeAutospacing="0" w:after="0" w:afterAutospacing="0"/>
              <w:ind w:left="0" w:right="0"/>
              <w:rPr>
                <w:rFonts w:hint="eastAsia" w:ascii="宋体" w:hAnsi="宋体"/>
                <w:color w:val="auto"/>
              </w:rPr>
            </w:pPr>
            <w:r>
              <w:rPr>
                <w:rFonts w:hint="eastAsia" w:ascii="宋体" w:hAnsi="宋体"/>
                <w:color w:val="auto"/>
                <w:lang w:val="en-US" w:eastAsia="zh-CN"/>
              </w:rPr>
              <w:t>1.</w:t>
            </w:r>
            <w:r>
              <w:rPr>
                <w:rFonts w:hint="eastAsia" w:ascii="宋体" w:hAnsi="宋体"/>
                <w:color w:val="auto"/>
              </w:rPr>
              <w:t>投标人（若为联合体，指承担设计任务的成员）</w:t>
            </w:r>
            <w:r>
              <w:rPr>
                <w:rFonts w:hint="eastAsia" w:ascii="宋体" w:hAnsi="宋体"/>
                <w:color w:val="auto"/>
                <w:lang w:eastAsia="zh-CN"/>
              </w:rPr>
              <w:t>自</w:t>
            </w:r>
            <w:r>
              <w:rPr>
                <w:rFonts w:hint="eastAsia" w:ascii="宋体" w:hAnsi="宋体"/>
                <w:color w:val="auto"/>
                <w:lang w:val="en-US" w:eastAsia="zh-CN"/>
              </w:rPr>
              <w:t>2021</w:t>
            </w:r>
            <w:r>
              <w:rPr>
                <w:rFonts w:hint="default" w:ascii="宋体" w:hAnsi="宋体" w:eastAsia="宋体" w:cs="宋体"/>
                <w:color w:val="auto"/>
                <w:kern w:val="2"/>
                <w:szCs w:val="21"/>
                <w:highlight w:val="none"/>
              </w:rPr>
              <w:t>年1月1日至投标截止时间止</w:t>
            </w:r>
            <w:r>
              <w:rPr>
                <w:rFonts w:hint="eastAsia" w:ascii="宋体" w:hAnsi="宋体"/>
                <w:color w:val="auto"/>
              </w:rPr>
              <w:t>，</w:t>
            </w:r>
            <w:r>
              <w:rPr>
                <w:rFonts w:hint="eastAsia" w:ascii="宋体" w:hAnsi="宋体" w:eastAsia="宋体" w:cs="宋体"/>
                <w:color w:val="auto"/>
                <w:kern w:val="2"/>
                <w:sz w:val="21"/>
                <w:szCs w:val="21"/>
                <w:highlight w:val="none"/>
                <w:lang w:val="zh-CN" w:eastAsia="zh-CN" w:bidi="ar-SA"/>
              </w:rPr>
              <w:t>获得“</w:t>
            </w:r>
            <w:r>
              <w:rPr>
                <w:rFonts w:hint="eastAsia" w:ascii="宋体" w:hAnsi="宋体" w:cs="宋体"/>
                <w:color w:val="auto"/>
                <w:kern w:val="2"/>
                <w:sz w:val="21"/>
                <w:szCs w:val="21"/>
                <w:highlight w:val="none"/>
                <w:lang w:val="zh-CN" w:eastAsia="zh-CN" w:bidi="ar-SA"/>
              </w:rPr>
              <w:t>高新技术企业</w:t>
            </w:r>
            <w:r>
              <w:rPr>
                <w:rFonts w:hint="eastAsia" w:ascii="宋体" w:hAnsi="宋体" w:eastAsia="宋体" w:cs="宋体"/>
                <w:color w:val="auto"/>
                <w:kern w:val="2"/>
                <w:sz w:val="21"/>
                <w:szCs w:val="21"/>
                <w:highlight w:val="none"/>
                <w:lang w:val="zh-CN" w:eastAsia="zh-CN" w:bidi="ar-SA"/>
              </w:rPr>
              <w:t>”证书</w:t>
            </w:r>
            <w:r>
              <w:rPr>
                <w:rFonts w:hint="eastAsia" w:ascii="宋体" w:hAnsi="宋体" w:cs="宋体"/>
                <w:color w:val="auto"/>
                <w:kern w:val="2"/>
                <w:sz w:val="21"/>
                <w:szCs w:val="21"/>
                <w:highlight w:val="none"/>
                <w:lang w:val="zh-CN" w:eastAsia="zh-CN" w:bidi="ar-SA"/>
              </w:rPr>
              <w:t>，</w:t>
            </w:r>
            <w:r>
              <w:rPr>
                <w:rFonts w:hint="eastAsia" w:ascii="宋体" w:hAnsi="宋体"/>
                <w:color w:val="auto"/>
              </w:rPr>
              <w:t>得</w:t>
            </w:r>
            <w:r>
              <w:rPr>
                <w:rFonts w:hint="eastAsia" w:ascii="宋体" w:hAnsi="宋体"/>
                <w:color w:val="auto"/>
                <w:lang w:val="en-US" w:eastAsia="zh-CN"/>
              </w:rPr>
              <w:t>2</w:t>
            </w:r>
            <w:r>
              <w:rPr>
                <w:rFonts w:hint="eastAsia" w:ascii="宋体" w:hAnsi="宋体"/>
                <w:color w:val="auto"/>
              </w:rPr>
              <w:t>分；</w:t>
            </w:r>
          </w:p>
          <w:p w14:paraId="53103F3F">
            <w:pPr>
              <w:keepNext w:val="0"/>
              <w:keepLines w:val="0"/>
              <w:suppressLineNumbers w:val="0"/>
              <w:spacing w:before="0" w:beforeAutospacing="0" w:after="0" w:afterAutospacing="0"/>
              <w:ind w:left="0" w:leftChars="0" w:right="0" w:rightChars="0"/>
              <w:rPr>
                <w:rFonts w:hint="eastAsia" w:ascii="宋体" w:hAnsi="宋体"/>
                <w:color w:val="auto"/>
              </w:rPr>
            </w:pPr>
            <w:r>
              <w:rPr>
                <w:rFonts w:hint="eastAsia" w:ascii="宋体" w:hAnsi="宋体"/>
                <w:color w:val="auto"/>
              </w:rPr>
              <w:t>注:</w:t>
            </w:r>
            <w:r>
              <w:rPr>
                <w:rFonts w:hint="eastAsia" w:eastAsia="宋体" w:cs="Times New Roman"/>
                <w:color w:val="auto"/>
                <w:kern w:val="2"/>
                <w:szCs w:val="24"/>
                <w:highlight w:val="none"/>
              </w:rPr>
              <w:t>高新技术企业证书</w:t>
            </w:r>
            <w:r>
              <w:rPr>
                <w:rFonts w:hint="eastAsia" w:eastAsia="宋体" w:cs="Times New Roman"/>
                <w:color w:val="auto"/>
                <w:kern w:val="2"/>
                <w:szCs w:val="24"/>
                <w:highlight w:val="none"/>
                <w:lang w:eastAsia="zh-CN"/>
              </w:rPr>
              <w:t>：</w:t>
            </w:r>
            <w:r>
              <w:rPr>
                <w:rFonts w:hint="eastAsia" w:ascii="宋体" w:hAnsi="宋体" w:cs="Times New Roman"/>
                <w:color w:val="auto"/>
                <w:kern w:val="2"/>
                <w:szCs w:val="24"/>
                <w:highlight w:val="none"/>
                <w:lang w:eastAsia="zh-CN"/>
              </w:rPr>
              <w:t>提供在</w:t>
            </w:r>
            <w:r>
              <w:rPr>
                <w:rFonts w:hint="eastAsia" w:ascii="宋体" w:hAnsi="宋体" w:eastAsia="宋体" w:cs="Times New Roman"/>
                <w:color w:val="auto"/>
                <w:kern w:val="2"/>
                <w:szCs w:val="24"/>
                <w:highlight w:val="none"/>
              </w:rPr>
              <w:t>有效期内的高新技术企业证书扫描件，并加盖投标人</w:t>
            </w:r>
            <w:r>
              <w:rPr>
                <w:rFonts w:hint="eastAsia" w:ascii="宋体" w:hAnsi="宋体"/>
                <w:color w:val="auto"/>
              </w:rPr>
              <w:t>电子印章</w:t>
            </w:r>
            <w:r>
              <w:rPr>
                <w:rFonts w:hint="eastAsia" w:ascii="宋体" w:hAnsi="宋体" w:cs="Times New Roman"/>
                <w:color w:val="auto"/>
                <w:kern w:val="2"/>
                <w:szCs w:val="24"/>
                <w:highlight w:val="none"/>
                <w:lang w:eastAsia="zh-CN"/>
              </w:rPr>
              <w:t>。</w:t>
            </w:r>
          </w:p>
        </w:tc>
      </w:tr>
      <w:tr w14:paraId="2CBB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21" w:type="dxa"/>
            <w:gridSpan w:val="4"/>
            <w:tcBorders>
              <w:top w:val="single" w:color="auto" w:sz="4" w:space="0"/>
              <w:left w:val="single" w:color="auto" w:sz="4" w:space="0"/>
              <w:bottom w:val="single" w:color="auto" w:sz="4" w:space="0"/>
              <w:right w:val="single" w:color="auto" w:sz="4" w:space="0"/>
            </w:tcBorders>
            <w:vAlign w:val="center"/>
          </w:tcPr>
          <w:p w14:paraId="54DFE75A">
            <w:pPr>
              <w:adjustRightInd w:val="0"/>
              <w:snapToGrid w:val="0"/>
              <w:rPr>
                <w:rFonts w:hint="eastAsia" w:ascii="宋体" w:hAnsi="宋体" w:cs="宋体"/>
                <w:b/>
                <w:bCs/>
                <w:snapToGrid w:val="0"/>
                <w:color w:val="auto"/>
                <w:kern w:val="0"/>
                <w:szCs w:val="21"/>
              </w:rPr>
            </w:pPr>
            <w:r>
              <w:rPr>
                <w:rFonts w:hint="eastAsia" w:ascii="宋体" w:hAnsi="宋体" w:cs="宋体"/>
                <w:b/>
                <w:bCs/>
                <w:snapToGrid w:val="0"/>
                <w:color w:val="auto"/>
                <w:kern w:val="0"/>
                <w:szCs w:val="21"/>
              </w:rPr>
              <w:t>2.工程实施方案（64分）</w:t>
            </w:r>
          </w:p>
        </w:tc>
      </w:tr>
      <w:tr w14:paraId="10FD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right w:val="single" w:color="auto" w:sz="4" w:space="0"/>
            </w:tcBorders>
            <w:vAlign w:val="center"/>
          </w:tcPr>
          <w:p w14:paraId="262FDD8E">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2.1</w:t>
            </w:r>
          </w:p>
        </w:tc>
        <w:tc>
          <w:tcPr>
            <w:tcW w:w="1904" w:type="dxa"/>
            <w:tcBorders>
              <w:top w:val="single" w:color="auto" w:sz="4" w:space="0"/>
              <w:left w:val="nil"/>
              <w:right w:val="single" w:color="auto" w:sz="4" w:space="0"/>
            </w:tcBorders>
            <w:vAlign w:val="center"/>
          </w:tcPr>
          <w:p w14:paraId="15536675">
            <w:pPr>
              <w:jc w:val="center"/>
              <w:rPr>
                <w:rFonts w:hint="eastAsia" w:ascii="宋体" w:hAnsi="宋体"/>
                <w:color w:val="auto"/>
                <w:szCs w:val="21"/>
              </w:rPr>
            </w:pPr>
            <w:r>
              <w:rPr>
                <w:rFonts w:hint="eastAsia" w:ascii="宋体" w:hAnsi="宋体"/>
                <w:color w:val="auto"/>
              </w:rPr>
              <w:t>施工组织设计内容完整性和编制水平</w:t>
            </w:r>
          </w:p>
        </w:tc>
        <w:tc>
          <w:tcPr>
            <w:tcW w:w="704" w:type="dxa"/>
            <w:tcBorders>
              <w:top w:val="single" w:color="auto" w:sz="4" w:space="0"/>
              <w:left w:val="nil"/>
              <w:right w:val="single" w:color="auto" w:sz="4" w:space="0"/>
            </w:tcBorders>
            <w:vAlign w:val="center"/>
          </w:tcPr>
          <w:p w14:paraId="3B8E5020">
            <w:pPr>
              <w:adjustRightInd w:val="0"/>
              <w:snapToGrid w:val="0"/>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5DA4A940">
            <w:pPr>
              <w:jc w:val="left"/>
              <w:rPr>
                <w:rFonts w:hint="eastAsia" w:ascii="宋体" w:hAnsi="宋体"/>
                <w:color w:val="auto"/>
                <w:szCs w:val="21"/>
              </w:rPr>
            </w:pPr>
            <w:r>
              <w:rPr>
                <w:rFonts w:hint="eastAsia" w:ascii="宋体" w:hAnsi="宋体"/>
                <w:color w:val="auto"/>
              </w:rPr>
              <w:t>施工组织设计结构完整、措施详细，编制思路清晰、层次清楚，内容严谨全面，能图文结合。有指导性、针对性、可操作性，符合规范，各投标人横向评比按等级打分。优得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olor w:val="auto"/>
              </w:rPr>
              <w:t>分，良得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分，一般得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olor w:val="auto"/>
              </w:rPr>
              <w:t>分，未提供相关内容不得分。</w:t>
            </w:r>
          </w:p>
        </w:tc>
      </w:tr>
      <w:tr w14:paraId="4F3C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right w:val="single" w:color="auto" w:sz="4" w:space="0"/>
            </w:tcBorders>
            <w:vAlign w:val="center"/>
          </w:tcPr>
          <w:p w14:paraId="76137620">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2.2</w:t>
            </w:r>
          </w:p>
        </w:tc>
        <w:tc>
          <w:tcPr>
            <w:tcW w:w="1904" w:type="dxa"/>
            <w:tcBorders>
              <w:top w:val="single" w:color="auto" w:sz="4" w:space="0"/>
              <w:left w:val="nil"/>
              <w:right w:val="single" w:color="auto" w:sz="4" w:space="0"/>
            </w:tcBorders>
            <w:vAlign w:val="center"/>
          </w:tcPr>
          <w:p w14:paraId="57FD8F69">
            <w:pPr>
              <w:jc w:val="center"/>
              <w:rPr>
                <w:rFonts w:hint="eastAsia" w:ascii="宋体" w:hAnsi="宋体"/>
                <w:color w:val="auto"/>
                <w:szCs w:val="21"/>
              </w:rPr>
            </w:pPr>
            <w:r>
              <w:rPr>
                <w:rFonts w:hint="eastAsia" w:ascii="宋体" w:hAnsi="宋体"/>
                <w:color w:val="auto"/>
              </w:rPr>
              <w:t>施工方案与技术措施的合理性、科学性与可行性</w:t>
            </w:r>
            <w:r>
              <w:rPr>
                <w:rFonts w:hint="eastAsia" w:ascii="宋体" w:hAnsi="宋体"/>
                <w:color w:val="auto"/>
                <w:szCs w:val="21"/>
              </w:rPr>
              <w:t xml:space="preserve">  </w:t>
            </w:r>
          </w:p>
        </w:tc>
        <w:tc>
          <w:tcPr>
            <w:tcW w:w="704" w:type="dxa"/>
            <w:tcBorders>
              <w:top w:val="single" w:color="auto" w:sz="4" w:space="0"/>
              <w:left w:val="nil"/>
              <w:right w:val="single" w:color="auto" w:sz="4" w:space="0"/>
            </w:tcBorders>
            <w:vAlign w:val="center"/>
          </w:tcPr>
          <w:p w14:paraId="32C634C8">
            <w:pPr>
              <w:adjustRightInd w:val="0"/>
              <w:snapToGrid w:val="0"/>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78E39E4A">
            <w:pPr>
              <w:jc w:val="left"/>
              <w:rPr>
                <w:rFonts w:hint="eastAsia" w:ascii="宋体" w:hAnsi="宋体"/>
                <w:color w:val="auto"/>
                <w:szCs w:val="21"/>
              </w:rPr>
            </w:pPr>
            <w:r>
              <w:rPr>
                <w:rFonts w:hint="eastAsia" w:ascii="宋体" w:hAnsi="宋体"/>
                <w:color w:val="auto"/>
              </w:rPr>
              <w:t>结合现场实际情况，针对性提出及编制的施工方案，包括但不限于项目管理目标、施工部署安排、重点部位及特殊工艺施工技术等，技术措施合理、科学与可行，提出应针对不同的风险点制定突发事件紧急预案。各投标人横向评比按等级打分。优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olor w:val="auto"/>
              </w:rPr>
              <w:t>分，良得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分，一般得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olor w:val="auto"/>
              </w:rPr>
              <w:t>分，未提供相关内容不得分。</w:t>
            </w:r>
          </w:p>
        </w:tc>
      </w:tr>
      <w:tr w14:paraId="3DC4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F43FEFA">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2.3</w:t>
            </w:r>
          </w:p>
        </w:tc>
        <w:tc>
          <w:tcPr>
            <w:tcW w:w="1904" w:type="dxa"/>
            <w:tcBorders>
              <w:top w:val="single" w:color="auto" w:sz="4" w:space="0"/>
              <w:left w:val="nil"/>
              <w:bottom w:val="single" w:color="auto" w:sz="4" w:space="0"/>
              <w:right w:val="single" w:color="auto" w:sz="4" w:space="0"/>
            </w:tcBorders>
            <w:vAlign w:val="center"/>
          </w:tcPr>
          <w:p w14:paraId="0FE18302">
            <w:pPr>
              <w:jc w:val="center"/>
              <w:rPr>
                <w:rFonts w:hint="eastAsia" w:ascii="宋体" w:hAnsi="宋体"/>
                <w:color w:val="auto"/>
                <w:szCs w:val="21"/>
              </w:rPr>
            </w:pPr>
            <w:r>
              <w:rPr>
                <w:rFonts w:hint="eastAsia" w:ascii="宋体" w:hAnsi="宋体"/>
                <w:color w:val="auto"/>
              </w:rPr>
              <w:t>质量管理体系与措施</w:t>
            </w:r>
            <w:r>
              <w:rPr>
                <w:rFonts w:hint="eastAsia" w:ascii="宋体" w:hAnsi="宋体" w:cs="宋体"/>
                <w:color w:val="auto"/>
                <w:szCs w:val="21"/>
              </w:rPr>
              <w:t xml:space="preserve">      </w:t>
            </w:r>
          </w:p>
        </w:tc>
        <w:tc>
          <w:tcPr>
            <w:tcW w:w="704" w:type="dxa"/>
            <w:tcBorders>
              <w:top w:val="single" w:color="auto" w:sz="4" w:space="0"/>
              <w:left w:val="nil"/>
              <w:bottom w:val="single" w:color="auto" w:sz="4" w:space="0"/>
              <w:right w:val="single" w:color="auto" w:sz="4" w:space="0"/>
            </w:tcBorders>
            <w:vAlign w:val="center"/>
          </w:tcPr>
          <w:p w14:paraId="79601315">
            <w:pPr>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75C91200">
            <w:pPr>
              <w:jc w:val="left"/>
              <w:rPr>
                <w:rFonts w:hint="eastAsia" w:ascii="宋体" w:hAnsi="宋体"/>
                <w:color w:val="auto"/>
                <w:szCs w:val="21"/>
              </w:rPr>
            </w:pPr>
            <w:r>
              <w:rPr>
                <w:rFonts w:hint="eastAsia" w:ascii="宋体" w:hAnsi="宋体"/>
                <w:color w:val="auto"/>
              </w:rPr>
              <w:t>根据本工程的质量目标，针对项目的重点、难点等实际情况，从质量保证体系、质量管理机构、专业实施能力保证等方面提出详细的质量保证措施。质量管理体系完善、质量保证措施得当，各投标人横向评比按等级打分。优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olor w:val="auto"/>
              </w:rPr>
              <w:t>分，良得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分，一般得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olor w:val="auto"/>
              </w:rPr>
              <w:t>分，未提供相关内容不得分。</w:t>
            </w:r>
          </w:p>
        </w:tc>
      </w:tr>
      <w:tr w14:paraId="20C3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340E6BA5">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2.4</w:t>
            </w:r>
          </w:p>
        </w:tc>
        <w:tc>
          <w:tcPr>
            <w:tcW w:w="1904" w:type="dxa"/>
            <w:tcBorders>
              <w:top w:val="single" w:color="auto" w:sz="4" w:space="0"/>
              <w:left w:val="nil"/>
              <w:bottom w:val="single" w:color="auto" w:sz="4" w:space="0"/>
              <w:right w:val="single" w:color="auto" w:sz="4" w:space="0"/>
            </w:tcBorders>
            <w:vAlign w:val="center"/>
          </w:tcPr>
          <w:p w14:paraId="6D1829B3">
            <w:pPr>
              <w:jc w:val="center"/>
              <w:rPr>
                <w:rFonts w:hint="eastAsia" w:ascii="宋体" w:hAnsi="宋体"/>
                <w:color w:val="auto"/>
                <w:szCs w:val="21"/>
              </w:rPr>
            </w:pPr>
            <w:r>
              <w:rPr>
                <w:rFonts w:hint="eastAsia" w:ascii="宋体" w:hAnsi="宋体"/>
                <w:color w:val="auto"/>
              </w:rPr>
              <w:t>安全管理体系与措施</w:t>
            </w:r>
            <w:r>
              <w:rPr>
                <w:rFonts w:hint="eastAsia" w:ascii="宋体" w:hAnsi="宋体" w:cs="宋体"/>
                <w:color w:val="auto"/>
                <w:szCs w:val="21"/>
              </w:rPr>
              <w:t xml:space="preserve">     </w:t>
            </w:r>
          </w:p>
        </w:tc>
        <w:tc>
          <w:tcPr>
            <w:tcW w:w="704" w:type="dxa"/>
            <w:tcBorders>
              <w:top w:val="single" w:color="auto" w:sz="4" w:space="0"/>
              <w:left w:val="nil"/>
              <w:bottom w:val="single" w:color="auto" w:sz="4" w:space="0"/>
              <w:right w:val="single" w:color="auto" w:sz="4" w:space="0"/>
            </w:tcBorders>
            <w:vAlign w:val="center"/>
          </w:tcPr>
          <w:p w14:paraId="6261F1F1">
            <w:pPr>
              <w:widowControl/>
              <w:adjustRightInd w:val="0"/>
              <w:snapToGrid w:val="0"/>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628B9AF1">
            <w:pPr>
              <w:jc w:val="left"/>
              <w:rPr>
                <w:rFonts w:hint="eastAsia" w:ascii="宋体" w:hAnsi="宋体"/>
                <w:color w:val="auto"/>
                <w:szCs w:val="21"/>
              </w:rPr>
            </w:pPr>
            <w:r>
              <w:rPr>
                <w:rFonts w:hint="eastAsia" w:ascii="宋体" w:hAnsi="宋体"/>
                <w:color w:val="auto"/>
              </w:rPr>
              <w:t>根据项目特点提出安全管理体系与措施，针对性强，对本项目安全文明施工的重点难点分析透彻，安全管理体系完善、安全保证措施得当，各投标人横向评比按等级打分。优得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olor w:val="auto"/>
              </w:rPr>
              <w:t>分，良得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分，一般得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olor w:val="auto"/>
              </w:rPr>
              <w:t>分，未提供相关内容不得分。</w:t>
            </w:r>
          </w:p>
        </w:tc>
      </w:tr>
      <w:tr w14:paraId="565E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1983D47B">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2.5</w:t>
            </w:r>
          </w:p>
        </w:tc>
        <w:tc>
          <w:tcPr>
            <w:tcW w:w="1904" w:type="dxa"/>
            <w:tcBorders>
              <w:top w:val="single" w:color="auto" w:sz="4" w:space="0"/>
              <w:left w:val="nil"/>
              <w:bottom w:val="single" w:color="auto" w:sz="4" w:space="0"/>
              <w:right w:val="single" w:color="auto" w:sz="4" w:space="0"/>
            </w:tcBorders>
            <w:vAlign w:val="center"/>
          </w:tcPr>
          <w:p w14:paraId="717B3E95">
            <w:pPr>
              <w:jc w:val="center"/>
              <w:rPr>
                <w:rFonts w:hint="eastAsia" w:ascii="宋体" w:hAnsi="宋体"/>
                <w:color w:val="auto"/>
                <w:szCs w:val="21"/>
              </w:rPr>
            </w:pPr>
            <w:r>
              <w:rPr>
                <w:rFonts w:hint="eastAsia" w:ascii="宋体" w:hAnsi="宋体"/>
                <w:color w:val="auto"/>
              </w:rPr>
              <w:t>环境保护管理体系与措施</w:t>
            </w:r>
          </w:p>
        </w:tc>
        <w:tc>
          <w:tcPr>
            <w:tcW w:w="704" w:type="dxa"/>
            <w:tcBorders>
              <w:top w:val="single" w:color="auto" w:sz="4" w:space="0"/>
              <w:left w:val="nil"/>
              <w:bottom w:val="single" w:color="auto" w:sz="4" w:space="0"/>
              <w:right w:val="single" w:color="auto" w:sz="4" w:space="0"/>
            </w:tcBorders>
            <w:vAlign w:val="center"/>
          </w:tcPr>
          <w:p w14:paraId="201CDA69">
            <w:pPr>
              <w:widowControl/>
              <w:adjustRightInd w:val="0"/>
              <w:snapToGrid w:val="0"/>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0DF3A06D">
            <w:pPr>
              <w:jc w:val="left"/>
              <w:rPr>
                <w:rFonts w:hint="eastAsia" w:ascii="宋体" w:hAnsi="宋体"/>
                <w:color w:val="auto"/>
                <w:szCs w:val="21"/>
              </w:rPr>
            </w:pPr>
            <w:r>
              <w:rPr>
                <w:rFonts w:hint="eastAsia" w:ascii="宋体" w:hAnsi="宋体"/>
                <w:color w:val="auto"/>
              </w:rPr>
              <w:t>根据本工程的环境保护目标，针对项目的重点、难点等实际情况，提出环境保护管理体系及相关保证措施。环境保护管理体系完善、环境保护管理措施得当，各投标人横向评比按等级打分。优得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olor w:val="auto"/>
              </w:rPr>
              <w:t>分，良得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分，一般得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olor w:val="auto"/>
              </w:rPr>
              <w:t>分，未提供相关内容不得分。</w:t>
            </w:r>
          </w:p>
        </w:tc>
      </w:tr>
      <w:tr w14:paraId="763D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74AB3776">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2.6</w:t>
            </w:r>
          </w:p>
        </w:tc>
        <w:tc>
          <w:tcPr>
            <w:tcW w:w="1904" w:type="dxa"/>
            <w:tcBorders>
              <w:top w:val="single" w:color="auto" w:sz="4" w:space="0"/>
              <w:left w:val="nil"/>
              <w:bottom w:val="single" w:color="auto" w:sz="4" w:space="0"/>
              <w:right w:val="single" w:color="auto" w:sz="4" w:space="0"/>
            </w:tcBorders>
            <w:vAlign w:val="center"/>
          </w:tcPr>
          <w:p w14:paraId="677B9876">
            <w:pPr>
              <w:jc w:val="center"/>
              <w:rPr>
                <w:rFonts w:hint="eastAsia" w:ascii="宋体" w:hAnsi="宋体"/>
                <w:color w:val="auto"/>
                <w:szCs w:val="21"/>
              </w:rPr>
            </w:pPr>
            <w:r>
              <w:rPr>
                <w:rFonts w:hint="eastAsia" w:ascii="宋体" w:hAnsi="宋体"/>
                <w:color w:val="auto"/>
                <w:szCs w:val="21"/>
              </w:rPr>
              <w:t>工程建设进度计划与措施</w:t>
            </w:r>
          </w:p>
        </w:tc>
        <w:tc>
          <w:tcPr>
            <w:tcW w:w="704" w:type="dxa"/>
            <w:tcBorders>
              <w:top w:val="single" w:color="auto" w:sz="4" w:space="0"/>
              <w:left w:val="nil"/>
              <w:bottom w:val="single" w:color="auto" w:sz="4" w:space="0"/>
              <w:right w:val="single" w:color="auto" w:sz="4" w:space="0"/>
            </w:tcBorders>
            <w:vAlign w:val="center"/>
          </w:tcPr>
          <w:p w14:paraId="0B94C49B">
            <w:pPr>
              <w:widowControl/>
              <w:adjustRightInd w:val="0"/>
              <w:snapToGrid w:val="0"/>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65472AB3">
            <w:pPr>
              <w:pStyle w:val="39"/>
              <w:spacing w:after="0"/>
              <w:ind w:left="0" w:leftChars="0" w:firstLine="0" w:firstLineChars="0"/>
              <w:rPr>
                <w:rFonts w:hint="eastAsia" w:ascii="宋体" w:hAnsi="宋体"/>
                <w:color w:val="auto"/>
                <w:szCs w:val="21"/>
              </w:rPr>
            </w:pPr>
            <w:r>
              <w:rPr>
                <w:rFonts w:hint="eastAsia" w:ascii="宋体" w:hAnsi="宋体"/>
                <w:color w:val="auto"/>
                <w:szCs w:val="21"/>
              </w:rPr>
              <w:t>工程建设进度满足招标文件要求，关键线路清晰、准确、完整，计划编制合理、可行，关键节点的控制措施合理，各投标人横向评比按等级打分。优得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olor w:val="auto"/>
                <w:szCs w:val="21"/>
              </w:rPr>
              <w:t>分，良得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szCs w:val="21"/>
              </w:rPr>
              <w:t>分，一般得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olor w:val="auto"/>
                <w:szCs w:val="21"/>
              </w:rPr>
              <w:t>分，未提供相关内容不得分。</w:t>
            </w:r>
          </w:p>
        </w:tc>
      </w:tr>
      <w:tr w14:paraId="4D91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4351B1AE">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2.7</w:t>
            </w:r>
          </w:p>
        </w:tc>
        <w:tc>
          <w:tcPr>
            <w:tcW w:w="1904" w:type="dxa"/>
            <w:tcBorders>
              <w:top w:val="single" w:color="auto" w:sz="4" w:space="0"/>
              <w:left w:val="nil"/>
              <w:bottom w:val="single" w:color="auto" w:sz="4" w:space="0"/>
              <w:right w:val="single" w:color="auto" w:sz="4" w:space="0"/>
            </w:tcBorders>
            <w:vAlign w:val="center"/>
          </w:tcPr>
          <w:p w14:paraId="301A34A8">
            <w:pPr>
              <w:jc w:val="center"/>
              <w:rPr>
                <w:rFonts w:hint="eastAsia" w:ascii="宋体" w:hAnsi="宋体"/>
                <w:color w:val="auto"/>
                <w:szCs w:val="21"/>
              </w:rPr>
            </w:pPr>
            <w:r>
              <w:rPr>
                <w:rFonts w:hint="eastAsia" w:ascii="宋体" w:hAnsi="宋体"/>
                <w:color w:val="auto"/>
              </w:rPr>
              <w:t>资源配备计划</w:t>
            </w:r>
          </w:p>
        </w:tc>
        <w:tc>
          <w:tcPr>
            <w:tcW w:w="704" w:type="dxa"/>
            <w:tcBorders>
              <w:top w:val="single" w:color="auto" w:sz="4" w:space="0"/>
              <w:left w:val="nil"/>
              <w:bottom w:val="single" w:color="auto" w:sz="4" w:space="0"/>
              <w:right w:val="single" w:color="auto" w:sz="4" w:space="0"/>
            </w:tcBorders>
            <w:vAlign w:val="center"/>
          </w:tcPr>
          <w:p w14:paraId="7862DFB4">
            <w:pPr>
              <w:widowControl/>
              <w:adjustRightInd w:val="0"/>
              <w:snapToGrid w:val="0"/>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45123F4F">
            <w:pPr>
              <w:rPr>
                <w:rFonts w:hint="eastAsia" w:ascii="宋体" w:hAnsi="宋体"/>
                <w:color w:val="auto"/>
              </w:rPr>
            </w:pPr>
            <w:r>
              <w:rPr>
                <w:rFonts w:hint="eastAsia" w:ascii="宋体" w:hAnsi="宋体"/>
                <w:color w:val="auto"/>
              </w:rPr>
              <w:t>1、投标人拟投入的机械设备：</w:t>
            </w:r>
          </w:p>
          <w:p w14:paraId="0AAD4491">
            <w:pPr>
              <w:rPr>
                <w:rFonts w:hint="eastAsia" w:ascii="宋体" w:hAnsi="宋体"/>
                <w:color w:val="auto"/>
              </w:rPr>
            </w:pPr>
            <w:r>
              <w:rPr>
                <w:rFonts w:hint="eastAsia" w:ascii="宋体" w:hAnsi="宋体"/>
                <w:color w:val="auto"/>
              </w:rPr>
              <w:t>机械设备满足施工过程需求，设备先进、性能优，所提供的机械设备能满足工程施工进度的要求，得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w:t>
            </w:r>
          </w:p>
          <w:p w14:paraId="36F15EFC">
            <w:pPr>
              <w:rPr>
                <w:rFonts w:hint="eastAsia" w:ascii="宋体" w:hAnsi="宋体"/>
                <w:color w:val="auto"/>
              </w:rPr>
            </w:pPr>
            <w:r>
              <w:rPr>
                <w:rFonts w:hint="eastAsia" w:ascii="宋体" w:hAnsi="宋体"/>
                <w:color w:val="auto"/>
              </w:rPr>
              <w:t>机械设备满足施工过程需求，设备较先进、性能较优，所提供的机械设备较能满足工程施工进度的要求，得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0.5</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w:t>
            </w:r>
            <w:r>
              <w:rPr>
                <w:rFonts w:hint="eastAsia" w:ascii="宋体" w:hAnsi="宋体"/>
                <w:color w:val="auto"/>
              </w:rPr>
              <w:t>分；</w:t>
            </w:r>
          </w:p>
          <w:p w14:paraId="722F011A">
            <w:pPr>
              <w:rPr>
                <w:rFonts w:hint="eastAsia" w:ascii="宋体" w:hAnsi="宋体"/>
                <w:color w:val="auto"/>
              </w:rPr>
            </w:pPr>
            <w:r>
              <w:rPr>
                <w:rFonts w:hint="eastAsia" w:ascii="宋体" w:hAnsi="宋体"/>
                <w:color w:val="auto"/>
              </w:rPr>
              <w:t>机械设备满足施工过程需求，设备性能一般，所提供的机械设备基本满足工程施工需要，得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0.5</w:t>
            </w:r>
            <w:r>
              <w:rPr>
                <w:rFonts w:hint="eastAsia" w:ascii="宋体" w:hAnsi="宋体" w:cs="宋体"/>
                <w:b w:val="0"/>
                <w:bCs/>
                <w:color w:val="auto"/>
                <w:szCs w:val="21"/>
                <w:highlight w:val="none"/>
              </w:rPr>
              <w:t>]</w:t>
            </w:r>
            <w:r>
              <w:rPr>
                <w:rFonts w:hint="eastAsia" w:ascii="宋体" w:hAnsi="宋体"/>
                <w:color w:val="auto"/>
              </w:rPr>
              <w:t>分；</w:t>
            </w:r>
          </w:p>
          <w:p w14:paraId="34D2F934">
            <w:pPr>
              <w:rPr>
                <w:rFonts w:hint="eastAsia" w:ascii="宋体" w:hAnsi="宋体"/>
                <w:color w:val="auto"/>
              </w:rPr>
            </w:pPr>
            <w:r>
              <w:rPr>
                <w:rFonts w:hint="eastAsia" w:ascii="宋体" w:hAnsi="宋体"/>
                <w:color w:val="auto"/>
              </w:rPr>
              <w:t>未提供相关内容不得分。</w:t>
            </w:r>
          </w:p>
          <w:p w14:paraId="75E1B06E">
            <w:pPr>
              <w:rPr>
                <w:rFonts w:hint="eastAsia" w:ascii="宋体" w:hAnsi="宋体"/>
                <w:color w:val="auto"/>
              </w:rPr>
            </w:pPr>
            <w:r>
              <w:rPr>
                <w:rFonts w:hint="eastAsia" w:ascii="宋体" w:hAnsi="宋体"/>
                <w:color w:val="auto"/>
              </w:rPr>
              <w:t>2、投标人拟投入的劳动力：</w:t>
            </w:r>
          </w:p>
          <w:p w14:paraId="14A49D2F">
            <w:pPr>
              <w:rPr>
                <w:rFonts w:hint="eastAsia" w:ascii="宋体" w:hAnsi="宋体"/>
                <w:color w:val="auto"/>
              </w:rPr>
            </w:pPr>
            <w:r>
              <w:rPr>
                <w:rFonts w:hint="eastAsia" w:ascii="宋体" w:hAnsi="宋体"/>
                <w:color w:val="auto"/>
              </w:rPr>
              <w:t>劳动力投入计划满足工程工期计划且配置合理，得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w:t>
            </w:r>
          </w:p>
          <w:p w14:paraId="012B5A59">
            <w:pPr>
              <w:rPr>
                <w:rFonts w:hint="eastAsia" w:ascii="宋体" w:hAnsi="宋体"/>
                <w:color w:val="auto"/>
              </w:rPr>
            </w:pPr>
            <w:r>
              <w:rPr>
                <w:rFonts w:hint="eastAsia" w:ascii="宋体" w:hAnsi="宋体"/>
                <w:color w:val="auto"/>
              </w:rPr>
              <w:t>劳动力投入计划基本满足工程工期计划且配置较合理，得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0.5</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w:t>
            </w:r>
            <w:r>
              <w:rPr>
                <w:rFonts w:hint="eastAsia" w:ascii="宋体" w:hAnsi="宋体"/>
                <w:color w:val="auto"/>
              </w:rPr>
              <w:t>分；</w:t>
            </w:r>
          </w:p>
          <w:p w14:paraId="7EF23BEC">
            <w:pPr>
              <w:rPr>
                <w:rFonts w:hint="eastAsia" w:ascii="宋体" w:hAnsi="宋体"/>
                <w:color w:val="auto"/>
              </w:rPr>
            </w:pPr>
            <w:r>
              <w:rPr>
                <w:rFonts w:hint="eastAsia" w:ascii="宋体" w:hAnsi="宋体"/>
                <w:color w:val="auto"/>
              </w:rPr>
              <w:t>劳动力投入计划基本满足工程工期计划，得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0.5</w:t>
            </w:r>
            <w:r>
              <w:rPr>
                <w:rFonts w:hint="eastAsia" w:ascii="宋体" w:hAnsi="宋体" w:cs="宋体"/>
                <w:b w:val="0"/>
                <w:bCs/>
                <w:color w:val="auto"/>
                <w:szCs w:val="21"/>
                <w:highlight w:val="none"/>
              </w:rPr>
              <w:t>]</w:t>
            </w:r>
            <w:r>
              <w:rPr>
                <w:rFonts w:hint="eastAsia" w:ascii="宋体" w:hAnsi="宋体"/>
                <w:color w:val="auto"/>
              </w:rPr>
              <w:t>分；</w:t>
            </w:r>
          </w:p>
          <w:p w14:paraId="77EC2E81">
            <w:pPr>
              <w:pStyle w:val="39"/>
              <w:spacing w:after="0"/>
              <w:ind w:left="0" w:leftChars="0" w:firstLine="0" w:firstLineChars="0"/>
              <w:rPr>
                <w:rFonts w:hint="eastAsia" w:ascii="宋体" w:hAnsi="宋体"/>
                <w:color w:val="auto"/>
                <w:szCs w:val="21"/>
              </w:rPr>
            </w:pPr>
            <w:r>
              <w:rPr>
                <w:rFonts w:hint="eastAsia" w:ascii="宋体" w:hAnsi="宋体"/>
                <w:color w:val="auto"/>
              </w:rPr>
              <w:t>未提供相关内容不得分。</w:t>
            </w:r>
          </w:p>
        </w:tc>
      </w:tr>
      <w:tr w14:paraId="77B1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5EAA15AD">
            <w:pPr>
              <w:widowControl/>
              <w:adjustRightInd w:val="0"/>
              <w:snapToGrid w:val="0"/>
              <w:jc w:val="center"/>
              <w:rPr>
                <w:rFonts w:hint="eastAsia" w:ascii="宋体" w:hAnsi="宋体" w:cs="宋体"/>
                <w:bCs/>
                <w:snapToGrid w:val="0"/>
                <w:color w:val="auto"/>
                <w:kern w:val="0"/>
                <w:szCs w:val="21"/>
              </w:rPr>
            </w:pPr>
            <w:r>
              <w:rPr>
                <w:rFonts w:hint="eastAsia" w:ascii="宋体" w:hAnsi="宋体" w:cs="宋体"/>
                <w:bCs/>
                <w:snapToGrid w:val="0"/>
                <w:color w:val="auto"/>
                <w:kern w:val="0"/>
                <w:szCs w:val="21"/>
              </w:rPr>
              <w:t>2.8</w:t>
            </w:r>
          </w:p>
        </w:tc>
        <w:tc>
          <w:tcPr>
            <w:tcW w:w="1904" w:type="dxa"/>
            <w:tcBorders>
              <w:top w:val="single" w:color="auto" w:sz="4" w:space="0"/>
              <w:left w:val="nil"/>
              <w:bottom w:val="single" w:color="auto" w:sz="4" w:space="0"/>
              <w:right w:val="single" w:color="auto" w:sz="4" w:space="0"/>
            </w:tcBorders>
            <w:vAlign w:val="center"/>
          </w:tcPr>
          <w:p w14:paraId="3E0E67E9">
            <w:pPr>
              <w:jc w:val="center"/>
              <w:rPr>
                <w:rFonts w:hint="eastAsia" w:ascii="宋体" w:hAnsi="宋体"/>
                <w:color w:val="auto"/>
                <w:szCs w:val="21"/>
              </w:rPr>
            </w:pPr>
            <w:r>
              <w:rPr>
                <w:rFonts w:hint="eastAsia" w:ascii="宋体" w:hAnsi="宋体"/>
                <w:color w:val="auto"/>
              </w:rPr>
              <w:t>绿色施工</w:t>
            </w:r>
          </w:p>
        </w:tc>
        <w:tc>
          <w:tcPr>
            <w:tcW w:w="704" w:type="dxa"/>
            <w:tcBorders>
              <w:top w:val="single" w:color="auto" w:sz="4" w:space="0"/>
              <w:left w:val="nil"/>
              <w:bottom w:val="single" w:color="auto" w:sz="4" w:space="0"/>
              <w:right w:val="single" w:color="auto" w:sz="4" w:space="0"/>
            </w:tcBorders>
            <w:vAlign w:val="center"/>
          </w:tcPr>
          <w:p w14:paraId="49B53C39">
            <w:pPr>
              <w:jc w:val="center"/>
              <w:rPr>
                <w:rFonts w:hint="eastAsia" w:ascii="宋体" w:hAnsi="宋体" w:eastAsia="宋体" w:cs="宋体"/>
                <w:bCs/>
                <w:snapToGrid w:val="0"/>
                <w:color w:val="auto"/>
                <w:kern w:val="0"/>
                <w:szCs w:val="21"/>
                <w:lang w:val="en-US" w:eastAsia="zh-CN"/>
              </w:rPr>
            </w:pPr>
            <w:r>
              <w:rPr>
                <w:rFonts w:hint="eastAsia" w:ascii="宋体" w:hAnsi="宋体" w:cs="宋体"/>
                <w:bCs/>
                <w:snapToGrid w:val="0"/>
                <w:color w:val="auto"/>
                <w:kern w:val="0"/>
                <w:szCs w:val="21"/>
                <w:lang w:val="en-US" w:eastAsia="zh-CN"/>
              </w:rPr>
              <w:t>8</w:t>
            </w:r>
          </w:p>
        </w:tc>
        <w:tc>
          <w:tcPr>
            <w:tcW w:w="11582" w:type="dxa"/>
            <w:tcBorders>
              <w:top w:val="single" w:color="auto" w:sz="4" w:space="0"/>
              <w:left w:val="nil"/>
              <w:bottom w:val="single" w:color="auto" w:sz="4" w:space="0"/>
              <w:right w:val="single" w:color="auto" w:sz="4" w:space="0"/>
            </w:tcBorders>
            <w:vAlign w:val="center"/>
          </w:tcPr>
          <w:p w14:paraId="6B3AED9A">
            <w:pPr>
              <w:rPr>
                <w:rFonts w:hint="eastAsia" w:ascii="宋体" w:hAnsi="宋体"/>
                <w:color w:val="auto"/>
              </w:rPr>
            </w:pPr>
            <w:r>
              <w:rPr>
                <w:rFonts w:hint="eastAsia" w:ascii="宋体" w:hAnsi="宋体"/>
                <w:color w:val="auto"/>
              </w:rPr>
              <w:t>投标人承诺在施工过程中通过科学管理和先进的技术手段，最大限度地节约资源与减少对环境的负面影响，以达到四节一环保（节能、节地、节水、节材和环境保护）的目标；技术手段满足全部要求得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w:t>
            </w:r>
            <w:r>
              <w:rPr>
                <w:rFonts w:hint="eastAsia" w:ascii="宋体" w:hAnsi="宋体"/>
                <w:color w:val="auto"/>
              </w:rPr>
              <w:t>分，技术手段基本满足要求得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w:t>
            </w:r>
            <w:r>
              <w:rPr>
                <w:rFonts w:hint="eastAsia" w:ascii="宋体" w:hAnsi="宋体"/>
                <w:color w:val="auto"/>
              </w:rPr>
              <w:t>分，技术手段可行但不完全满足要求得</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0</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w:t>
            </w:r>
            <w:r>
              <w:rPr>
                <w:rFonts w:hint="eastAsia" w:ascii="宋体" w:hAnsi="宋体"/>
                <w:color w:val="auto"/>
              </w:rPr>
              <w:t>分，</w:t>
            </w:r>
            <w:r>
              <w:rPr>
                <w:rFonts w:hint="eastAsia" w:ascii="宋体" w:hAnsi="宋体" w:cs="宋体"/>
                <w:color w:val="auto"/>
              </w:rPr>
              <w:t>未提供相关内容不得分。</w:t>
            </w:r>
          </w:p>
          <w:p w14:paraId="3CEB2D70">
            <w:pPr>
              <w:pStyle w:val="39"/>
              <w:spacing w:after="0"/>
              <w:ind w:left="0" w:leftChars="0" w:firstLine="0" w:firstLineChars="0"/>
              <w:rPr>
                <w:rFonts w:hint="eastAsia" w:ascii="宋体" w:hAnsi="宋体"/>
                <w:color w:val="auto"/>
                <w:szCs w:val="21"/>
              </w:rPr>
            </w:pPr>
            <w:r>
              <w:rPr>
                <w:rFonts w:hint="eastAsia" w:ascii="宋体" w:hAnsi="宋体"/>
                <w:color w:val="auto"/>
              </w:rPr>
              <w:t>注：提供绿色施工组织机构图。</w:t>
            </w:r>
          </w:p>
        </w:tc>
      </w:tr>
      <w:tr w14:paraId="6027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14:paraId="67A9FBA9">
            <w:pPr>
              <w:adjustRightInd w:val="0"/>
              <w:snapToGrid w:val="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合计</w:t>
            </w:r>
          </w:p>
        </w:tc>
        <w:tc>
          <w:tcPr>
            <w:tcW w:w="1904" w:type="dxa"/>
            <w:tcBorders>
              <w:top w:val="single" w:color="auto" w:sz="4" w:space="0"/>
              <w:left w:val="nil"/>
              <w:bottom w:val="single" w:color="auto" w:sz="4" w:space="0"/>
              <w:right w:val="single" w:color="auto" w:sz="4" w:space="0"/>
            </w:tcBorders>
            <w:vAlign w:val="center"/>
          </w:tcPr>
          <w:p w14:paraId="7F2868F8">
            <w:pPr>
              <w:adjustRightInd w:val="0"/>
              <w:snapToGrid w:val="0"/>
              <w:jc w:val="center"/>
              <w:rPr>
                <w:rFonts w:hint="eastAsia" w:ascii="宋体" w:hAnsi="宋体" w:cs="宋体"/>
                <w:snapToGrid w:val="0"/>
                <w:color w:val="auto"/>
                <w:kern w:val="0"/>
                <w:szCs w:val="21"/>
              </w:rPr>
            </w:pPr>
          </w:p>
        </w:tc>
        <w:tc>
          <w:tcPr>
            <w:tcW w:w="704" w:type="dxa"/>
            <w:tcBorders>
              <w:top w:val="single" w:color="auto" w:sz="4" w:space="0"/>
              <w:left w:val="nil"/>
              <w:bottom w:val="single" w:color="auto" w:sz="4" w:space="0"/>
              <w:right w:val="single" w:color="auto" w:sz="4" w:space="0"/>
            </w:tcBorders>
            <w:vAlign w:val="center"/>
          </w:tcPr>
          <w:p w14:paraId="4C4FE57C">
            <w:pPr>
              <w:adjustRightInd w:val="0"/>
              <w:snapToGrid w:val="0"/>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100</w:t>
            </w:r>
          </w:p>
        </w:tc>
        <w:tc>
          <w:tcPr>
            <w:tcW w:w="11582" w:type="dxa"/>
            <w:tcBorders>
              <w:top w:val="single" w:color="auto" w:sz="4" w:space="0"/>
              <w:left w:val="nil"/>
              <w:bottom w:val="single" w:color="auto" w:sz="4" w:space="0"/>
              <w:right w:val="single" w:color="auto" w:sz="4" w:space="0"/>
            </w:tcBorders>
            <w:vAlign w:val="center"/>
          </w:tcPr>
          <w:p w14:paraId="30239566">
            <w:pPr>
              <w:adjustRightInd w:val="0"/>
              <w:snapToGrid w:val="0"/>
              <w:jc w:val="center"/>
              <w:rPr>
                <w:rFonts w:hint="eastAsia" w:ascii="宋体" w:hAnsi="宋体" w:cs="宋体"/>
                <w:bCs/>
                <w:snapToGrid w:val="0"/>
                <w:color w:val="auto"/>
                <w:kern w:val="0"/>
                <w:szCs w:val="21"/>
              </w:rPr>
            </w:pPr>
          </w:p>
        </w:tc>
      </w:tr>
    </w:tbl>
    <w:p w14:paraId="2374E904">
      <w:pPr>
        <w:rPr>
          <w:rFonts w:hint="eastAsia" w:ascii="宋体" w:hAnsi="宋体" w:cs="宋体"/>
          <w:color w:val="auto"/>
          <w:szCs w:val="21"/>
        </w:rPr>
      </w:pPr>
      <w:r>
        <w:rPr>
          <w:rFonts w:hint="eastAsia" w:ascii="宋体" w:hAnsi="宋体" w:cs="宋体"/>
          <w:color w:val="auto"/>
          <w:szCs w:val="21"/>
        </w:rPr>
        <w:t>评委签名：                              日期：</w:t>
      </w:r>
    </w:p>
    <w:p w14:paraId="0633E83F">
      <w:pPr>
        <w:rPr>
          <w:rFonts w:hint="eastAsia" w:ascii="宋体" w:hAnsi="宋体" w:cs="宋体"/>
          <w:color w:val="auto"/>
          <w:szCs w:val="21"/>
        </w:rPr>
        <w:sectPr>
          <w:headerReference r:id="rId6" w:type="default"/>
          <w:footerReference r:id="rId7" w:type="default"/>
          <w:pgSz w:w="16838" w:h="11905" w:orient="landscape"/>
          <w:pgMar w:top="1304" w:right="1304" w:bottom="1304" w:left="1304" w:header="851" w:footer="992" w:gutter="0"/>
          <w:cols w:space="720" w:num="1"/>
          <w:docGrid w:type="lines" w:linePitch="321" w:charSpace="0"/>
        </w:sectPr>
      </w:pPr>
      <w:r>
        <w:rPr>
          <w:rFonts w:hint="eastAsia" w:ascii="宋体" w:hAnsi="宋体" w:cs="宋体"/>
          <w:color w:val="auto"/>
          <w:szCs w:val="21"/>
        </w:rPr>
        <w:t>注：评分范围“[ ]”表示包含区间边界数值，“（）”表示不包含区间边界数值。</w:t>
      </w:r>
    </w:p>
    <w:p w14:paraId="59B2C469">
      <w:pPr>
        <w:rPr>
          <w:rFonts w:hint="eastAsia" w:ascii="宋体" w:hAnsi="宋体" w:cs="宋体"/>
          <w:color w:val="auto"/>
          <w:szCs w:val="21"/>
        </w:rPr>
      </w:pPr>
    </w:p>
    <w:p w14:paraId="5AAD7398">
      <w:pPr>
        <w:pStyle w:val="2"/>
        <w:shd w:val="clear"/>
        <w:jc w:val="center"/>
        <w:rPr>
          <w:rFonts w:hint="eastAsia" w:ascii="宋体" w:hAnsi="宋体" w:eastAsia="宋体" w:cs="宋体"/>
          <w:color w:val="auto"/>
          <w:highlight w:val="none"/>
        </w:rPr>
      </w:pPr>
      <w:bookmarkStart w:id="596" w:name="_Toc9368"/>
      <w:r>
        <w:rPr>
          <w:rFonts w:hint="eastAsia" w:ascii="宋体" w:hAnsi="宋体" w:eastAsia="宋体" w:cs="宋体"/>
          <w:color w:val="auto"/>
          <w:highlight w:val="none"/>
        </w:rPr>
        <w:t>第四章  合同条款及格式</w:t>
      </w:r>
      <w:bookmarkEnd w:id="589"/>
      <w:bookmarkEnd w:id="590"/>
      <w:bookmarkEnd w:id="591"/>
      <w:bookmarkEnd w:id="592"/>
      <w:bookmarkEnd w:id="593"/>
      <w:bookmarkEnd w:id="594"/>
      <w:bookmarkEnd w:id="595"/>
      <w:bookmarkEnd w:id="596"/>
      <w:bookmarkStart w:id="597" w:name="_Toc184635097"/>
      <w:bookmarkStart w:id="598" w:name="_Toc152045610"/>
      <w:bookmarkStart w:id="599" w:name="_Toc247527635"/>
      <w:bookmarkStart w:id="600" w:name="_Toc247514034"/>
      <w:bookmarkStart w:id="601" w:name="_Toc144974578"/>
      <w:bookmarkStart w:id="602" w:name="_Toc152042388"/>
    </w:p>
    <w:p w14:paraId="16744E0B">
      <w:pPr>
        <w:shd w:val="clear"/>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（另册）</w:t>
      </w:r>
      <w:bookmarkEnd w:id="597"/>
      <w:bookmarkEnd w:id="598"/>
      <w:bookmarkEnd w:id="599"/>
      <w:bookmarkEnd w:id="600"/>
      <w:bookmarkEnd w:id="601"/>
      <w:bookmarkEnd w:id="602"/>
    </w:p>
    <w:p w14:paraId="41C54227">
      <w:pPr>
        <w:pStyle w:val="2"/>
        <w:shd w:val="clear"/>
        <w:jc w:val="center"/>
        <w:rPr>
          <w:rFonts w:hint="eastAsia" w:ascii="宋体" w:hAnsi="宋体" w:eastAsia="宋体" w:cs="宋体"/>
          <w:color w:val="auto"/>
          <w:highlight w:val="none"/>
        </w:rPr>
      </w:pPr>
      <w:bookmarkStart w:id="603" w:name="_Toc247514233"/>
      <w:bookmarkStart w:id="604" w:name="_Toc144974851"/>
      <w:bookmarkStart w:id="605" w:name="_Toc247527820"/>
      <w:bookmarkStart w:id="606" w:name="_Toc152045782"/>
      <w:bookmarkStart w:id="607" w:name="_Toc152042571"/>
      <w:bookmarkStart w:id="608" w:name="_Toc9547"/>
      <w:bookmarkStart w:id="609" w:name="_Toc16246"/>
      <w:r>
        <w:rPr>
          <w:rFonts w:hint="eastAsia" w:ascii="宋体" w:hAnsi="宋体" w:eastAsia="宋体" w:cs="宋体"/>
          <w:color w:val="auto"/>
          <w:highlight w:val="none"/>
        </w:rPr>
        <w:br w:type="page"/>
      </w:r>
      <w:bookmarkStart w:id="610" w:name="_Toc15709"/>
      <w:r>
        <w:rPr>
          <w:rFonts w:hint="eastAsia" w:ascii="宋体" w:hAnsi="宋体" w:eastAsia="宋体" w:cs="宋体"/>
          <w:color w:val="auto"/>
          <w:highlight w:val="none"/>
        </w:rPr>
        <w:t xml:space="preserve">第五章  </w:t>
      </w:r>
      <w:bookmarkEnd w:id="603"/>
      <w:bookmarkEnd w:id="604"/>
      <w:bookmarkEnd w:id="605"/>
      <w:bookmarkEnd w:id="606"/>
      <w:bookmarkEnd w:id="607"/>
      <w:r>
        <w:rPr>
          <w:rFonts w:hint="eastAsia" w:ascii="宋体" w:hAnsi="宋体" w:eastAsia="宋体" w:cs="宋体"/>
          <w:color w:val="auto"/>
          <w:highlight w:val="none"/>
        </w:rPr>
        <w:t>招标人要求</w:t>
      </w:r>
      <w:bookmarkEnd w:id="608"/>
      <w:bookmarkEnd w:id="609"/>
      <w:bookmarkEnd w:id="610"/>
    </w:p>
    <w:p w14:paraId="251DF82F">
      <w:pPr>
        <w:shd w:val="clear"/>
        <w:adjustRightInd w:val="0"/>
        <w:spacing w:line="360" w:lineRule="auto"/>
        <w:ind w:firstLine="620" w:firstLineChars="193"/>
        <w:jc w:val="center"/>
        <w:rPr>
          <w:rFonts w:hint="eastAsia" w:ascii="宋体" w:hAnsi="宋体" w:eastAsia="宋体" w:cs="宋体"/>
          <w:b/>
          <w:color w:val="auto"/>
          <w:sz w:val="24"/>
          <w:highlight w:val="none"/>
        </w:rPr>
      </w:pPr>
      <w:bookmarkStart w:id="611" w:name="_Toc152042575"/>
      <w:bookmarkStart w:id="612" w:name="_Toc152045786"/>
      <w:bookmarkStart w:id="613" w:name="_Toc247527826"/>
      <w:bookmarkStart w:id="614" w:name="_Toc247514245"/>
      <w:bookmarkStart w:id="615" w:name="_Toc144974855"/>
      <w:r>
        <w:rPr>
          <w:rFonts w:hint="eastAsia" w:ascii="宋体" w:hAnsi="宋体" w:eastAsia="宋体" w:cs="宋体"/>
          <w:b/>
          <w:color w:val="auto"/>
          <w:sz w:val="32"/>
          <w:highlight w:val="none"/>
        </w:rPr>
        <w:t>基础资料和设计任务书</w:t>
      </w:r>
    </w:p>
    <w:p w14:paraId="749CA88B">
      <w:pPr>
        <w:shd w:val="clear"/>
        <w:adjustRightInd w:val="0"/>
        <w:spacing w:line="360" w:lineRule="auto"/>
        <w:rPr>
          <w:rFonts w:hint="eastAsia" w:ascii="宋体" w:hAnsi="宋体" w:eastAsia="宋体" w:cs="宋体"/>
          <w:b/>
          <w:color w:val="auto"/>
          <w:sz w:val="24"/>
          <w:szCs w:val="24"/>
          <w:highlight w:val="none"/>
        </w:rPr>
      </w:pPr>
    </w:p>
    <w:p w14:paraId="2D626F68">
      <w:pPr>
        <w:spacing w:line="400" w:lineRule="exact"/>
        <w:outlineLvl w:val="0"/>
        <w:rPr>
          <w:rFonts w:hint="eastAsia" w:ascii="宋体" w:hAnsi="宋体" w:eastAsia="宋体" w:cs="宋体"/>
          <w:b/>
          <w:color w:val="auto"/>
          <w:sz w:val="24"/>
          <w:highlight w:val="none"/>
        </w:rPr>
      </w:pPr>
      <w:bookmarkStart w:id="616" w:name="_Toc29357"/>
      <w:r>
        <w:rPr>
          <w:rFonts w:hint="eastAsia" w:ascii="宋体" w:hAnsi="宋体" w:eastAsia="宋体" w:cs="宋体"/>
          <w:b/>
          <w:color w:val="auto"/>
          <w:sz w:val="24"/>
          <w:highlight w:val="none"/>
        </w:rPr>
        <w:t>一、工程背景</w:t>
      </w:r>
      <w:bookmarkEnd w:id="616"/>
    </w:p>
    <w:p w14:paraId="18E689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项目范围</w:t>
      </w:r>
      <w:r>
        <w:rPr>
          <w:rFonts w:hint="eastAsia" w:ascii="宋体" w:hAnsi="宋体" w:eastAsia="宋体" w:cs="宋体"/>
          <w:color w:val="auto"/>
          <w:szCs w:val="21"/>
          <w:highlight w:val="none"/>
        </w:rPr>
        <w:t>存在基础设施缺乏、市政设施薄弱等诸多问题，亟须改造优化。本次项目通过</w:t>
      </w:r>
      <w:r>
        <w:rPr>
          <w:rFonts w:hint="eastAsia" w:ascii="宋体" w:hAnsi="宋体" w:eastAsia="宋体" w:cs="宋体"/>
          <w:color w:val="auto"/>
          <w:szCs w:val="21"/>
          <w:highlight w:val="none"/>
          <w:lang w:val="en-US" w:eastAsia="zh-CN"/>
        </w:rPr>
        <w:t>对</w:t>
      </w:r>
      <w:r>
        <w:rPr>
          <w:rFonts w:hint="default" w:ascii="宋体" w:hAnsi="宋体" w:eastAsia="宋体" w:cs="宋体"/>
          <w:color w:val="auto"/>
          <w:szCs w:val="21"/>
          <w:highlight w:val="none"/>
          <w:lang w:val="en-US" w:eastAsia="zh-CN"/>
        </w:rPr>
        <w:t>联星村麦氏祠堂片域景观营造提升</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联星村麦氏祠堂片域村落后山道路新建</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联星村麦氏祠堂片域三线下地及市政综合管网改造</w:t>
      </w:r>
      <w:r>
        <w:rPr>
          <w:rFonts w:hint="eastAsia" w:ascii="宋体" w:hAnsi="宋体" w:eastAsia="宋体" w:cs="宋体"/>
          <w:color w:val="auto"/>
          <w:szCs w:val="21"/>
          <w:highlight w:val="none"/>
        </w:rPr>
        <w:t>的方式，将周边区域串联起来，改善社区居住环境质量</w:t>
      </w:r>
      <w:r>
        <w:rPr>
          <w:rFonts w:hint="eastAsia" w:ascii="宋体" w:hAnsi="宋体" w:eastAsia="宋体" w:cs="宋体"/>
          <w:color w:val="auto"/>
          <w:szCs w:val="21"/>
          <w:highlight w:val="none"/>
          <w:lang w:eastAsia="zh-CN"/>
        </w:rPr>
        <w:t>。</w:t>
      </w:r>
    </w:p>
    <w:p w14:paraId="0351038D">
      <w:pPr>
        <w:spacing w:line="400" w:lineRule="exact"/>
        <w:outlineLvl w:val="0"/>
        <w:rPr>
          <w:rFonts w:hint="eastAsia" w:ascii="宋体" w:hAnsi="宋体" w:eastAsia="宋体" w:cs="宋体"/>
          <w:b/>
          <w:color w:val="auto"/>
          <w:sz w:val="24"/>
          <w:highlight w:val="none"/>
        </w:rPr>
      </w:pPr>
      <w:bookmarkStart w:id="617" w:name="_Toc18769"/>
      <w:r>
        <w:rPr>
          <w:rFonts w:hint="eastAsia" w:ascii="宋体" w:hAnsi="宋体" w:eastAsia="宋体" w:cs="宋体"/>
          <w:b/>
          <w:color w:val="auto"/>
          <w:sz w:val="24"/>
          <w:highlight w:val="none"/>
        </w:rPr>
        <w:t>二、工程范围</w:t>
      </w:r>
      <w:bookmarkEnd w:id="617"/>
    </w:p>
    <w:p w14:paraId="4E25C598">
      <w:pPr>
        <w:spacing w:before="0" w:beforeLines="0" w:after="0" w:afterLines="0" w:line="400" w:lineRule="exact"/>
        <w:ind w:firstLine="420" w:firstLineChars="200"/>
        <w:jc w:val="left"/>
        <w:outlineLvl w:val="0"/>
        <w:rPr>
          <w:rFonts w:hint="eastAsia" w:ascii="宋体" w:hAnsi="宋体" w:eastAsia="宋体" w:cs="宋体"/>
          <w:color w:val="auto"/>
          <w:szCs w:val="21"/>
          <w:highlight w:val="none"/>
          <w:lang w:val="en-US" w:eastAsia="zh-CN"/>
        </w:rPr>
      </w:pPr>
      <w:bookmarkStart w:id="618" w:name="_Toc16731"/>
      <w:r>
        <w:rPr>
          <w:rFonts w:hint="eastAsia" w:ascii="宋体" w:hAnsi="宋体" w:eastAsia="宋体" w:cs="宋体"/>
          <w:color w:val="auto"/>
          <w:szCs w:val="21"/>
          <w:highlight w:val="none"/>
          <w:lang w:val="en-US" w:eastAsia="zh-CN"/>
        </w:rPr>
        <w:t>本项目位于广州市花都区狮岭镇</w:t>
      </w:r>
      <w:r>
        <w:rPr>
          <w:rFonts w:hint="default" w:ascii="宋体" w:hAnsi="宋体" w:eastAsia="宋体" w:cs="宋体"/>
          <w:color w:val="auto"/>
          <w:szCs w:val="21"/>
          <w:highlight w:val="none"/>
          <w:lang w:val="en-US" w:eastAsia="zh-CN"/>
        </w:rPr>
        <w:t>联星村</w:t>
      </w:r>
      <w:r>
        <w:rPr>
          <w:rFonts w:hint="eastAsia" w:ascii="宋体" w:hAnsi="宋体" w:eastAsia="宋体" w:cs="宋体"/>
          <w:color w:val="auto"/>
          <w:szCs w:val="21"/>
          <w:highlight w:val="none"/>
          <w:lang w:val="en-US" w:eastAsia="zh-CN"/>
        </w:rPr>
        <w:t>地块范围。</w:t>
      </w:r>
      <w:bookmarkEnd w:id="618"/>
    </w:p>
    <w:p w14:paraId="27BD1515">
      <w:pPr>
        <w:spacing w:before="0" w:beforeLines="0" w:after="0" w:afterLines="0" w:line="400" w:lineRule="exact"/>
        <w:ind w:firstLine="420" w:firstLineChars="200"/>
        <w:jc w:val="left"/>
        <w:outlineLvl w:val="0"/>
        <w:rPr>
          <w:rFonts w:hint="eastAsia" w:ascii="宋体" w:hAnsi="宋体" w:eastAsia="宋体" w:cs="宋体"/>
          <w:b w:val="0"/>
          <w:color w:val="auto"/>
          <w:sz w:val="21"/>
          <w:szCs w:val="21"/>
          <w:highlight w:val="none"/>
        </w:rPr>
      </w:pPr>
      <w:bookmarkStart w:id="619" w:name="_Toc1617"/>
      <w:r>
        <w:rPr>
          <w:rFonts w:hint="eastAsia" w:ascii="宋体" w:hAnsi="宋体" w:eastAsia="宋体" w:cs="宋体"/>
          <w:color w:val="auto"/>
          <w:szCs w:val="21"/>
          <w:highlight w:val="none"/>
          <w:lang w:val="en-US" w:eastAsia="zh-CN"/>
        </w:rPr>
        <w:t>主要建设内容包括：</w:t>
      </w:r>
      <w:r>
        <w:rPr>
          <w:rFonts w:hint="default" w:ascii="宋体" w:hAnsi="宋体" w:eastAsia="宋体" w:cs="宋体"/>
          <w:color w:val="auto"/>
          <w:szCs w:val="21"/>
          <w:highlight w:val="none"/>
          <w:lang w:val="en-US" w:eastAsia="zh-CN"/>
        </w:rPr>
        <w:t>村落环水域界面及东西向村落入口道路侧沿线景观、联星村麦氏祠堂片域村落后山道路新建、星村麦氏祠堂片域三线下地及市政综合管网提升改造。包含村域及入口道路范围内现有雨污水管网、强弱电、缆线的改造新建提升及下地工程</w:t>
      </w:r>
      <w:r>
        <w:rPr>
          <w:rFonts w:hint="eastAsia" w:ascii="宋体" w:hAnsi="宋体" w:eastAsia="宋体" w:cs="宋体"/>
          <w:color w:val="auto"/>
          <w:szCs w:val="21"/>
          <w:highlight w:val="none"/>
          <w:lang w:val="en-US" w:eastAsia="zh-CN"/>
        </w:rPr>
        <w:t>等。</w:t>
      </w:r>
      <w:bookmarkEnd w:id="619"/>
    </w:p>
    <w:p w14:paraId="7418DE86">
      <w:pPr>
        <w:pStyle w:val="12"/>
        <w:rPr>
          <w:rFonts w:hint="eastAsia"/>
          <w:color w:val="auto"/>
        </w:rPr>
      </w:pPr>
    </w:p>
    <w:p w14:paraId="7BD3B087">
      <w:pPr>
        <w:spacing w:before="0" w:beforeLines="0" w:after="0" w:afterLines="0" w:line="400" w:lineRule="exact"/>
        <w:jc w:val="left"/>
        <w:outlineLvl w:val="0"/>
        <w:rPr>
          <w:rFonts w:hint="eastAsia" w:ascii="宋体" w:hAnsi="宋体" w:eastAsia="宋体" w:cs="宋体"/>
          <w:b/>
          <w:color w:val="auto"/>
          <w:sz w:val="24"/>
          <w:highlight w:val="none"/>
        </w:rPr>
      </w:pPr>
      <w:bookmarkStart w:id="620" w:name="_Toc3421"/>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设计要求</w:t>
      </w:r>
      <w:bookmarkEnd w:id="620"/>
    </w:p>
    <w:p w14:paraId="2F24201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（1）设计方案必须满足国家、省和市有关建设方针、政策、规范、规程同时满足技术标准、通行能力的要求，并考虑工程造价、经济效益和社会效益等综合因素。</w:t>
      </w:r>
    </w:p>
    <w:p w14:paraId="284B7947">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（2）设计方案能正确理解并执行建设意图，与周边路网、管网规划协调一致，交通组织完善合理，总体思路清晰，路线平、纵、横等设计科学合理；道路、排水及管线之间的关系处理得当。 </w:t>
      </w:r>
    </w:p>
    <w:p w14:paraId="538B3F1D">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（3）设计方案可以充分结合周边现状，尽量减少重复开挖、边坡处理生态自然。</w:t>
      </w:r>
    </w:p>
    <w:p w14:paraId="6420B247">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（4）道路公用设施（公共交通站点布置、绿化照明、行人设施、道路元素等）设计科学合理、处理得当、特点鲜明。</w:t>
      </w:r>
    </w:p>
    <w:p w14:paraId="376B48C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（5）运用合理的开发模式理念及相关新技术。</w:t>
      </w:r>
    </w:p>
    <w:p w14:paraId="05285763">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（6）施工期间交通组织，施工实施方案切合实际，与周边在建道路、河涌、湖体的施工衔接措施及建议得当。</w:t>
      </w:r>
    </w:p>
    <w:p w14:paraId="63D50A1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（7）工程总投资合理，节约工程总投资的措施及理由合理、可信、可行，投资估算编制依据正确，达到相应的深度要求，编制质量高。</w:t>
      </w:r>
    </w:p>
    <w:p w14:paraId="619A334A">
      <w:pPr>
        <w:spacing w:before="0" w:beforeLines="0" w:after="0" w:afterLines="0" w:line="400" w:lineRule="exact"/>
        <w:jc w:val="left"/>
        <w:outlineLvl w:val="0"/>
        <w:rPr>
          <w:rFonts w:hint="eastAsia" w:ascii="宋体" w:hAnsi="宋体" w:eastAsia="宋体" w:cs="宋体"/>
          <w:b/>
          <w:color w:val="auto"/>
          <w:sz w:val="24"/>
          <w:highlight w:val="none"/>
        </w:rPr>
      </w:pPr>
      <w:bookmarkStart w:id="621" w:name="_Toc7900"/>
      <w:r>
        <w:rPr>
          <w:rFonts w:hint="eastAsia" w:ascii="宋体" w:hAnsi="宋体" w:eastAsia="宋体" w:cs="宋体"/>
          <w:b/>
          <w:color w:val="auto"/>
          <w:sz w:val="24"/>
          <w:highlight w:val="none"/>
          <w:lang w:eastAsia="zh-CN"/>
        </w:rPr>
        <w:t>四、</w:t>
      </w:r>
      <w:r>
        <w:rPr>
          <w:rFonts w:hint="eastAsia" w:ascii="宋体" w:hAnsi="宋体" w:eastAsia="宋体" w:cs="宋体"/>
          <w:b/>
          <w:color w:val="auto"/>
          <w:sz w:val="24"/>
          <w:highlight w:val="none"/>
        </w:rPr>
        <w:t>编制依据</w:t>
      </w:r>
      <w:bookmarkEnd w:id="621"/>
    </w:p>
    <w:p w14:paraId="17AC8C3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《城市道路路线设计规范》CJJ193-2012</w:t>
      </w:r>
    </w:p>
    <w:p w14:paraId="116B369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《城市道路工程设计规范》CJJ37-2012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2016版</w:t>
      </w:r>
      <w:r>
        <w:rPr>
          <w:rFonts w:hint="eastAsia" w:ascii="宋体" w:hAnsi="宋体" w:eastAsia="宋体" w:cs="宋体"/>
          <w:color w:val="auto"/>
          <w:szCs w:val="21"/>
          <w:highlight w:val="none"/>
          <w:lang w:eastAsia="zh-CN"/>
        </w:rPr>
        <w:t>）</w:t>
      </w:r>
    </w:p>
    <w:p w14:paraId="6EF5739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《城市道路路面设计规范》CJJ169-2012</w:t>
      </w:r>
    </w:p>
    <w:p w14:paraId="047C535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《城镇道路养护技术规范》CJJ 36-20</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w:t>
      </w:r>
    </w:p>
    <w:p w14:paraId="394DD86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《城市道路交叉口规划规范》GB50647-2011</w:t>
      </w:r>
    </w:p>
    <w:p w14:paraId="395416F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《道路交通标志和标线》GB5768-2009</w:t>
      </w:r>
    </w:p>
    <w:p w14:paraId="7700BD67">
      <w:pPr>
        <w:pStyle w:val="120"/>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《道路交通信号灯设置与安装规范》GB 14886-20</w:t>
      </w:r>
      <w:r>
        <w:rPr>
          <w:rFonts w:hint="eastAsia" w:ascii="宋体" w:hAnsi="宋体" w:eastAsia="宋体" w:cs="宋体"/>
          <w:color w:val="auto"/>
          <w:szCs w:val="21"/>
          <w:highlight w:val="none"/>
          <w:lang w:val="en-US" w:eastAsia="zh-CN"/>
        </w:rPr>
        <w:t>16</w:t>
      </w:r>
    </w:p>
    <w:p w14:paraId="526746DF">
      <w:pPr>
        <w:shd w:val="clear"/>
        <w:ind w:firstLine="460" w:firstLineChars="192"/>
        <w:rPr>
          <w:rFonts w:hint="eastAsia" w:ascii="宋体" w:hAnsi="宋体" w:eastAsia="宋体" w:cs="宋体"/>
          <w:color w:val="auto"/>
          <w:sz w:val="24"/>
          <w:szCs w:val="24"/>
          <w:highlight w:val="none"/>
          <w:u w:val="single"/>
        </w:rPr>
      </w:pPr>
    </w:p>
    <w:p w14:paraId="0A90E9D3">
      <w:pPr>
        <w:pStyle w:val="2"/>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622" w:name="_Toc15657"/>
      <w:r>
        <w:rPr>
          <w:rFonts w:hint="eastAsia" w:ascii="宋体" w:hAnsi="宋体" w:eastAsia="宋体" w:cs="宋体"/>
          <w:color w:val="auto"/>
          <w:highlight w:val="none"/>
        </w:rPr>
        <w:t xml:space="preserve">第六章 </w:t>
      </w:r>
      <w:bookmarkStart w:id="623" w:name="_Toc9205"/>
      <w:r>
        <w:rPr>
          <w:rFonts w:hint="eastAsia" w:ascii="宋体" w:hAnsi="宋体" w:eastAsia="宋体" w:cs="宋体"/>
          <w:color w:val="auto"/>
          <w:highlight w:val="none"/>
        </w:rPr>
        <w:t xml:space="preserve"> 招标人提供的资料</w:t>
      </w:r>
      <w:bookmarkEnd w:id="622"/>
      <w:bookmarkEnd w:id="623"/>
    </w:p>
    <w:p w14:paraId="7321867C">
      <w:pPr>
        <w:shd w:val="clear"/>
        <w:jc w:val="center"/>
        <w:rPr>
          <w:rFonts w:hint="eastAsia" w:ascii="宋体" w:hAnsi="宋体" w:eastAsia="宋体" w:cs="宋体"/>
          <w:color w:val="auto"/>
          <w:sz w:val="24"/>
          <w:highlight w:val="none"/>
          <w:u w:val="single"/>
        </w:rPr>
      </w:pPr>
      <w:bookmarkStart w:id="624" w:name="_Toc10203"/>
      <w:r>
        <w:rPr>
          <w:rFonts w:hint="eastAsia" w:ascii="宋体" w:hAnsi="宋体" w:eastAsia="宋体" w:cs="宋体"/>
          <w:color w:val="auto"/>
          <w:sz w:val="24"/>
          <w:highlight w:val="none"/>
          <w:u w:val="single"/>
        </w:rPr>
        <w:t>（另册）</w:t>
      </w:r>
    </w:p>
    <w:p w14:paraId="21C810C7">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624"/>
    </w:p>
    <w:p w14:paraId="57269072">
      <w:pPr>
        <w:pStyle w:val="2"/>
        <w:shd w:val="clear"/>
        <w:jc w:val="center"/>
        <w:rPr>
          <w:rFonts w:hint="eastAsia" w:ascii="宋体" w:hAnsi="宋体" w:eastAsia="宋体" w:cs="宋体"/>
          <w:color w:val="auto"/>
          <w:highlight w:val="none"/>
        </w:rPr>
      </w:pPr>
      <w:bookmarkStart w:id="625" w:name="_Toc8104"/>
      <w:bookmarkStart w:id="626" w:name="_Toc13417"/>
      <w:bookmarkStart w:id="627" w:name="_Toc21973"/>
      <w:r>
        <w:rPr>
          <w:rFonts w:hint="eastAsia" w:ascii="宋体" w:hAnsi="宋体" w:eastAsia="宋体" w:cs="宋体"/>
          <w:color w:val="auto"/>
          <w:highlight w:val="none"/>
        </w:rPr>
        <w:t>第七章  投标文件格式</w:t>
      </w:r>
      <w:bookmarkEnd w:id="611"/>
      <w:bookmarkEnd w:id="612"/>
      <w:bookmarkEnd w:id="613"/>
      <w:bookmarkEnd w:id="614"/>
      <w:bookmarkEnd w:id="615"/>
      <w:bookmarkEnd w:id="625"/>
      <w:bookmarkEnd w:id="626"/>
      <w:bookmarkEnd w:id="627"/>
    </w:p>
    <w:p w14:paraId="3721EB7A">
      <w:pPr>
        <w:shd w:val="clear"/>
        <w:spacing w:line="400" w:lineRule="exact"/>
        <w:rPr>
          <w:rFonts w:hint="eastAsia" w:ascii="宋体" w:hAnsi="宋体" w:eastAsia="宋体" w:cs="宋体"/>
          <w:color w:val="auto"/>
          <w:highlight w:val="none"/>
        </w:rPr>
      </w:pPr>
    </w:p>
    <w:p w14:paraId="6A2C45ED">
      <w:pPr>
        <w:pStyle w:val="3"/>
        <w:shd w:val="clear"/>
        <w:jc w:val="center"/>
        <w:rPr>
          <w:rFonts w:hint="eastAsia" w:ascii="宋体" w:hAnsi="宋体" w:eastAsia="宋体" w:cs="宋体"/>
          <w:color w:val="auto"/>
          <w:highlight w:val="none"/>
        </w:rPr>
        <w:sectPr>
          <w:pgSz w:w="11905" w:h="16838"/>
          <w:pgMar w:top="1304" w:right="1304" w:bottom="1304" w:left="1304" w:header="851" w:footer="992" w:gutter="0"/>
          <w:cols w:space="720" w:num="1"/>
          <w:docGrid w:type="lines" w:linePitch="321" w:charSpace="0"/>
        </w:sectPr>
      </w:pPr>
    </w:p>
    <w:p w14:paraId="2BF6E0C9">
      <w:pPr>
        <w:pStyle w:val="3"/>
        <w:shd w:val="clear"/>
        <w:spacing w:before="0" w:after="0"/>
        <w:rPr>
          <w:rFonts w:hint="eastAsia" w:ascii="宋体" w:hAnsi="宋体" w:eastAsia="宋体" w:cs="宋体"/>
          <w:color w:val="auto"/>
          <w:sz w:val="28"/>
          <w:szCs w:val="28"/>
          <w:highlight w:val="none"/>
        </w:rPr>
      </w:pPr>
      <w:bookmarkStart w:id="628" w:name="_Toc19059"/>
      <w:bookmarkStart w:id="629" w:name="_Toc23311"/>
      <w:bookmarkStart w:id="630" w:name="_Toc11595"/>
      <w:r>
        <w:rPr>
          <w:rFonts w:hint="eastAsia" w:ascii="宋体" w:hAnsi="宋体" w:eastAsia="宋体" w:cs="宋体"/>
          <w:color w:val="auto"/>
          <w:sz w:val="28"/>
          <w:szCs w:val="28"/>
          <w:highlight w:val="none"/>
        </w:rPr>
        <w:t>格式1</w:t>
      </w:r>
      <w:bookmarkEnd w:id="628"/>
      <w:bookmarkEnd w:id="629"/>
      <w:r>
        <w:rPr>
          <w:rFonts w:hint="eastAsia" w:ascii="宋体" w:hAnsi="宋体" w:eastAsia="宋体" w:cs="宋体"/>
          <w:color w:val="auto"/>
          <w:sz w:val="28"/>
          <w:szCs w:val="28"/>
          <w:highlight w:val="none"/>
        </w:rPr>
        <w:t>：</w:t>
      </w:r>
      <w:bookmarkEnd w:id="630"/>
    </w:p>
    <w:p w14:paraId="47F309E3">
      <w:pPr>
        <w:shd w:val="clear"/>
        <w:autoSpaceDE w:val="0"/>
        <w:autoSpaceDN w:val="0"/>
        <w:spacing w:line="360" w:lineRule="auto"/>
        <w:jc w:val="center"/>
        <w:rPr>
          <w:rFonts w:hint="eastAsia" w:ascii="宋体" w:hAnsi="宋体" w:eastAsia="宋体" w:cs="宋体"/>
          <w:b/>
          <w:bCs/>
          <w:color w:val="auto"/>
          <w:sz w:val="36"/>
          <w:szCs w:val="36"/>
          <w:highlight w:val="none"/>
          <w:lang w:val="zh-CN"/>
        </w:rPr>
      </w:pPr>
      <w:bookmarkStart w:id="631" w:name="OLE_LINK1"/>
      <w:r>
        <w:rPr>
          <w:rFonts w:hint="eastAsia" w:ascii="宋体" w:hAnsi="宋体" w:eastAsia="宋体" w:cs="宋体"/>
          <w:b/>
          <w:bCs/>
          <w:color w:val="auto"/>
          <w:sz w:val="36"/>
          <w:szCs w:val="36"/>
          <w:highlight w:val="none"/>
          <w:lang w:val="zh-CN"/>
        </w:rPr>
        <w:t>法</w:t>
      </w:r>
      <w:r>
        <w:rPr>
          <w:rFonts w:hint="eastAsia" w:ascii="宋体" w:hAnsi="宋体" w:eastAsia="宋体" w:cs="宋体"/>
          <w:b/>
          <w:bCs/>
          <w:color w:val="auto"/>
          <w:sz w:val="36"/>
          <w:szCs w:val="36"/>
          <w:highlight w:val="none"/>
          <w:lang w:val="en-US" w:eastAsia="zh-CN"/>
        </w:rPr>
        <w:t>定</w:t>
      </w:r>
      <w:r>
        <w:rPr>
          <w:rFonts w:hint="eastAsia" w:ascii="宋体" w:hAnsi="宋体" w:eastAsia="宋体" w:cs="宋体"/>
          <w:b/>
          <w:bCs/>
          <w:color w:val="auto"/>
          <w:sz w:val="36"/>
          <w:szCs w:val="36"/>
          <w:highlight w:val="none"/>
          <w:lang w:val="zh-CN"/>
        </w:rPr>
        <w:t>代人表证明书、法人授权委托证明书</w:t>
      </w:r>
      <w:bookmarkEnd w:id="631"/>
    </w:p>
    <w:p w14:paraId="47C05367">
      <w:pPr>
        <w:shd w:val="clea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（参考格式）</w:t>
      </w:r>
    </w:p>
    <w:p w14:paraId="57971AD3">
      <w:pPr>
        <w:shd w:val="clear"/>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法定代表人（负责人）证明书</w:t>
      </w:r>
    </w:p>
    <w:p w14:paraId="51EB45AF">
      <w:pPr>
        <w:shd w:val="clea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40"/>
        <w:tblW w:w="94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5"/>
      </w:tblGrid>
      <w:tr w14:paraId="2155B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tcPr>
          <w:p w14:paraId="5B000FAF">
            <w:pPr>
              <w:shd w:val="clear"/>
              <w:spacing w:line="360" w:lineRule="auto"/>
              <w:rPr>
                <w:rFonts w:hint="eastAsia" w:ascii="宋体" w:hAnsi="宋体" w:eastAsia="宋体" w:cs="宋体"/>
                <w:color w:val="auto"/>
                <w:sz w:val="24"/>
                <w:highlight w:val="none"/>
                <w:u w:val="single"/>
              </w:rPr>
            </w:pPr>
          </w:p>
          <w:p w14:paraId="3507E47E">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职务，为法定代表人（负责人），特此证明。</w:t>
            </w:r>
          </w:p>
          <w:p w14:paraId="73D30771">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p>
          <w:p w14:paraId="2A630EE9">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附：法定代表人（负责人）性别：</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身份证号码：</w:t>
            </w:r>
          </w:p>
          <w:p w14:paraId="58434492">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企业类型：</w:t>
            </w:r>
          </w:p>
          <w:p w14:paraId="5722B2FD">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14:paraId="463FB2A6">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单位：　　　　　　（盖章）</w:t>
            </w:r>
          </w:p>
          <w:p w14:paraId="3BB41679">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年　月　　日</w:t>
            </w:r>
          </w:p>
        </w:tc>
      </w:tr>
    </w:tbl>
    <w:p w14:paraId="11679845">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注：1、法定代表人证明书也可以采用工商行政管理局统一印制的格式。</w:t>
      </w:r>
    </w:p>
    <w:p w14:paraId="316604B6">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2、联合体投标的，本证明书由主办方出具，仅填写主办方单位名称并由主办方盖章即可。</w:t>
      </w:r>
    </w:p>
    <w:p w14:paraId="5C956411">
      <w:pPr>
        <w:shd w:val="clear"/>
        <w:spacing w:line="360" w:lineRule="auto"/>
        <w:jc w:val="center"/>
        <w:rPr>
          <w:rFonts w:hint="eastAsia" w:ascii="宋体" w:hAnsi="宋体" w:eastAsia="宋体" w:cs="宋体"/>
          <w:b/>
          <w:color w:val="auto"/>
          <w:sz w:val="24"/>
          <w:highlight w:val="none"/>
        </w:rPr>
      </w:pPr>
      <w:bookmarkStart w:id="632" w:name="OLE_LINK8"/>
      <w:r>
        <w:rPr>
          <w:rFonts w:hint="eastAsia" w:ascii="宋体" w:hAnsi="宋体" w:eastAsia="宋体" w:cs="宋体"/>
          <w:b/>
          <w:color w:val="auto"/>
          <w:sz w:val="24"/>
          <w:highlight w:val="none"/>
        </w:rPr>
        <w:t>法人授权委托证明书</w:t>
      </w:r>
      <w:bookmarkEnd w:id="632"/>
    </w:p>
    <w:p w14:paraId="7CA740AB">
      <w:pPr>
        <w:shd w:val="clea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40"/>
        <w:tblW w:w="92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43"/>
      </w:tblGrid>
      <w:tr w14:paraId="4D3A8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243" w:type="dxa"/>
          </w:tcPr>
          <w:p w14:paraId="0EE01FAC">
            <w:pPr>
              <w:shd w:val="clea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兹授权为我方委托代理人，其权限是：</w:t>
            </w:r>
          </w:p>
          <w:p w14:paraId="7873ED15">
            <w:pPr>
              <w:shd w:val="clear"/>
              <w:spacing w:line="360" w:lineRule="auto"/>
              <w:rPr>
                <w:rFonts w:hint="eastAsia" w:ascii="宋体" w:hAnsi="宋体" w:eastAsia="宋体" w:cs="宋体"/>
                <w:color w:val="auto"/>
                <w:sz w:val="24"/>
                <w:highlight w:val="none"/>
                <w:u w:val="single"/>
              </w:rPr>
            </w:pPr>
          </w:p>
          <w:p w14:paraId="4E9E1F1E">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p>
          <w:p w14:paraId="203C2C43">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附：代理人性别：年龄：身份证号码：</w:t>
            </w:r>
          </w:p>
          <w:p w14:paraId="721FA048">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注册号码：企业类型：</w:t>
            </w:r>
          </w:p>
          <w:p w14:paraId="5B35DA54">
            <w:pPr>
              <w:shd w:val="clea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p>
          <w:p w14:paraId="2F765B81">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法定代表人（负责人）：（签名或盖章）</w:t>
            </w:r>
          </w:p>
          <w:p w14:paraId="0049D1BF">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授权单位：（盖章）</w:t>
            </w:r>
          </w:p>
          <w:p w14:paraId="1D965C10">
            <w:pPr>
              <w:shd w:val="clea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14:paraId="43BFC527">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注：1、法定代表人授权委托书也可以采用工商行政管理局统一印制的格式。</w:t>
      </w:r>
    </w:p>
    <w:p w14:paraId="735E5430">
      <w:pPr>
        <w:shd w:val="clea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2、联合体投标的，本授权书由主办方出具，仅填写主办方单位名称并由主办方签字或盖章即可。</w:t>
      </w:r>
    </w:p>
    <w:p w14:paraId="3E9C3E74">
      <w:pPr>
        <w:shd w:val="clear"/>
        <w:autoSpaceDE w:val="0"/>
        <w:autoSpaceDN w:val="0"/>
        <w:spacing w:line="360" w:lineRule="auto"/>
        <w:rPr>
          <w:rFonts w:hint="eastAsia" w:ascii="宋体" w:hAnsi="宋体" w:eastAsia="宋体" w:cs="宋体"/>
          <w:color w:val="auto"/>
          <w:sz w:val="24"/>
          <w:highlight w:val="none"/>
        </w:rPr>
      </w:pPr>
    </w:p>
    <w:p w14:paraId="7E3FD7B2">
      <w:pPr>
        <w:pStyle w:val="3"/>
        <w:shd w:val="clear"/>
        <w:spacing w:before="0" w:after="0"/>
        <w:rPr>
          <w:rFonts w:hint="eastAsia" w:ascii="宋体" w:hAnsi="宋体" w:eastAsia="宋体" w:cs="宋体"/>
          <w:color w:val="auto"/>
          <w:sz w:val="28"/>
          <w:szCs w:val="28"/>
          <w:highlight w:val="none"/>
        </w:rPr>
      </w:pPr>
      <w:bookmarkStart w:id="633" w:name="_Toc13595"/>
      <w:bookmarkStart w:id="634" w:name="_Toc32110"/>
      <w:bookmarkStart w:id="635" w:name="_Toc3556"/>
      <w:r>
        <w:rPr>
          <w:rFonts w:hint="eastAsia" w:ascii="宋体" w:hAnsi="宋体" w:eastAsia="宋体" w:cs="宋体"/>
          <w:color w:val="auto"/>
          <w:sz w:val="28"/>
          <w:szCs w:val="28"/>
          <w:highlight w:val="none"/>
        </w:rPr>
        <w:t>格式2</w:t>
      </w:r>
      <w:bookmarkEnd w:id="633"/>
      <w:bookmarkEnd w:id="634"/>
      <w:r>
        <w:rPr>
          <w:rFonts w:hint="eastAsia" w:ascii="宋体" w:hAnsi="宋体" w:eastAsia="宋体" w:cs="宋体"/>
          <w:color w:val="auto"/>
          <w:sz w:val="28"/>
          <w:szCs w:val="28"/>
          <w:highlight w:val="none"/>
        </w:rPr>
        <w:t>：</w:t>
      </w:r>
      <w:bookmarkEnd w:id="635"/>
    </w:p>
    <w:p w14:paraId="580BE61E">
      <w:pPr>
        <w:shd w:val="clear"/>
        <w:autoSpaceDE w:val="0"/>
        <w:autoSpaceDN w:val="0"/>
        <w:spacing w:line="360" w:lineRule="auto"/>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联合体共同投标协议书</w:t>
      </w:r>
    </w:p>
    <w:p w14:paraId="043D556D">
      <w:pPr>
        <w:shd w:val="clear"/>
        <w:spacing w:line="360" w:lineRule="auto"/>
        <w:jc w:val="center"/>
        <w:rPr>
          <w:rFonts w:hint="eastAsia" w:ascii="宋体" w:hAnsi="宋体" w:eastAsia="宋体" w:cs="宋体"/>
          <w:color w:val="auto"/>
          <w:sz w:val="24"/>
          <w:highlight w:val="none"/>
          <w:u w:val="single"/>
        </w:rPr>
      </w:pPr>
      <w:bookmarkStart w:id="636" w:name="OLE_LINK5"/>
      <w:r>
        <w:rPr>
          <w:rFonts w:hint="eastAsia" w:ascii="宋体" w:hAnsi="宋体" w:eastAsia="宋体" w:cs="宋体"/>
          <w:color w:val="auto"/>
          <w:sz w:val="24"/>
          <w:highlight w:val="none"/>
          <w:u w:val="single"/>
        </w:rPr>
        <w:t>（参考格式）</w:t>
      </w:r>
      <w:bookmarkEnd w:id="63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14:paraId="2FB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6" w:hRule="atLeast"/>
          <w:jc w:val="center"/>
        </w:trPr>
        <w:tc>
          <w:tcPr>
            <w:tcW w:w="9243" w:type="dxa"/>
          </w:tcPr>
          <w:p w14:paraId="3BD2BB56">
            <w:pPr>
              <w:shd w:val="clear"/>
              <w:spacing w:line="360" w:lineRule="auto"/>
              <w:ind w:firstLine="598" w:firstLineChars="285"/>
              <w:rPr>
                <w:rFonts w:hint="eastAsia" w:ascii="宋体" w:hAnsi="宋体" w:eastAsia="宋体" w:cs="宋体"/>
                <w:color w:val="auto"/>
                <w:highlight w:val="none"/>
              </w:rPr>
            </w:pPr>
            <w:bookmarkStart w:id="637" w:name="_Toc10851"/>
            <w:bookmarkStart w:id="638" w:name="_Toc11969"/>
            <w:bookmarkStart w:id="639" w:name="_Toc533330557"/>
            <w:bookmarkStart w:id="640" w:name="_Toc479091923"/>
            <w:bookmarkStart w:id="641" w:name="_Toc533330246"/>
            <w:bookmarkStart w:id="642" w:name="_Toc503539196"/>
            <w:bookmarkStart w:id="643" w:name="_Toc22588"/>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(承担</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任务的单位名称)、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(承担</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rPr>
              <w:t>任务的单位名称)自愿组成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联合体名称），共同参加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投标。现就联合体投标事宜订立如下协议。</w:t>
            </w:r>
          </w:p>
          <w:p w14:paraId="1D3E7F0B">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为联合体主办方。</w:t>
            </w:r>
            <w:r>
              <w:rPr>
                <w:rFonts w:hint="eastAsia" w:ascii="宋体" w:hAnsi="宋体" w:eastAsia="宋体" w:cs="宋体"/>
                <w:color w:val="auto"/>
                <w:highlight w:val="none"/>
                <w:u w:val="single"/>
              </w:rPr>
              <w:t>（联合体主办方只允许填1家单位）</w:t>
            </w:r>
          </w:p>
          <w:p w14:paraId="6127E12D">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E56D157">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3、联合体将严格按照招标文件的各项要求，递交投标文件，履行合同，并对外承担连带责任。</w:t>
            </w:r>
          </w:p>
          <w:p w14:paraId="16B1C8A1">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4、联合体各成员单位内部的职责分工如下：</w:t>
            </w:r>
          </w:p>
          <w:p w14:paraId="00B67490">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①</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：作为本项目总负责单位，除承担本项目的施工任务外，还对本招标项目的进度、质量、安全、投资控制、管理、协调等负全责，具体按合同要求。</w:t>
            </w:r>
          </w:p>
          <w:p w14:paraId="45D9F973">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：主要承担本项目的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任务，具体按合同要求。</w:t>
            </w:r>
          </w:p>
          <w:p w14:paraId="7DE6887E">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w:t>
            </w:r>
          </w:p>
          <w:p w14:paraId="673194C8">
            <w:pPr>
              <w:shd w:val="clear"/>
              <w:spacing w:line="360" w:lineRule="auto"/>
              <w:ind w:firstLine="598" w:firstLineChars="285"/>
              <w:rPr>
                <w:rFonts w:hint="eastAsia" w:ascii="宋体" w:hAnsi="宋体" w:eastAsia="宋体" w:cs="宋体"/>
                <w:color w:val="auto"/>
                <w:highlight w:val="none"/>
              </w:rPr>
            </w:pPr>
            <w:r>
              <w:rPr>
                <w:rFonts w:hint="eastAsia" w:ascii="宋体" w:hAnsi="宋体" w:eastAsia="宋体" w:cs="宋体"/>
                <w:color w:val="auto"/>
                <w:highlight w:val="none"/>
              </w:rPr>
              <w:t>5、本协议书自签署之日起生效，合同履行完毕后自动失效。</w:t>
            </w:r>
          </w:p>
          <w:p w14:paraId="500D527C">
            <w:pPr>
              <w:shd w:val="clear"/>
              <w:topLinePunct/>
              <w:spacing w:line="276" w:lineRule="auto"/>
              <w:rPr>
                <w:rFonts w:hint="eastAsia" w:ascii="宋体" w:hAnsi="宋体" w:eastAsia="宋体" w:cs="宋体"/>
                <w:color w:val="auto"/>
                <w:highlight w:val="none"/>
              </w:rPr>
            </w:pPr>
          </w:p>
          <w:p w14:paraId="0E398E00">
            <w:pPr>
              <w:shd w:val="clear"/>
              <w:topLinePunct/>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联合体主办方名称：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7D9D9225">
            <w:pPr>
              <w:shd w:val="clear"/>
              <w:topLinePunct/>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（签字或盖章）</w:t>
            </w:r>
          </w:p>
          <w:p w14:paraId="7F9C4BDF">
            <w:pPr>
              <w:shd w:val="clear"/>
              <w:topLinePunct/>
              <w:spacing w:line="276" w:lineRule="auto"/>
              <w:rPr>
                <w:rFonts w:hint="eastAsia" w:ascii="宋体" w:hAnsi="宋体" w:eastAsia="宋体" w:cs="宋体"/>
                <w:color w:val="auto"/>
                <w:highlight w:val="none"/>
              </w:rPr>
            </w:pPr>
          </w:p>
          <w:p w14:paraId="78B7B9E3">
            <w:pPr>
              <w:shd w:val="clear"/>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5FAAA44F">
            <w:pPr>
              <w:shd w:val="clear"/>
              <w:topLinePunct/>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2D231523">
            <w:pPr>
              <w:shd w:val="clear"/>
              <w:spacing w:line="276" w:lineRule="auto"/>
              <w:rPr>
                <w:rFonts w:hint="eastAsia" w:ascii="宋体" w:hAnsi="宋体" w:eastAsia="宋体" w:cs="宋体"/>
                <w:color w:val="auto"/>
                <w:highlight w:val="none"/>
              </w:rPr>
            </w:pPr>
            <w:r>
              <w:rPr>
                <w:rFonts w:hint="eastAsia" w:ascii="宋体" w:hAnsi="宋体" w:eastAsia="宋体" w:cs="宋体"/>
                <w:color w:val="auto"/>
                <w:highlight w:val="none"/>
              </w:rPr>
              <w:t>…</w:t>
            </w:r>
          </w:p>
          <w:p w14:paraId="16985364">
            <w:pPr>
              <w:shd w:val="clear"/>
              <w:autoSpaceDE w:val="0"/>
              <w:autoSpaceDN w:val="0"/>
              <w:adjustRightInd w:val="0"/>
              <w:spacing w:line="276" w:lineRule="auto"/>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E62E14E">
            <w:pPr>
              <w:shd w:val="clear"/>
              <w:autoSpaceDE w:val="0"/>
              <w:autoSpaceDN w:val="0"/>
              <w:adjustRightInd w:val="0"/>
              <w:spacing w:line="276" w:lineRule="auto"/>
              <w:jc w:val="left"/>
              <w:rPr>
                <w:rFonts w:hint="eastAsia" w:ascii="宋体" w:hAnsi="宋体" w:eastAsia="宋体" w:cs="宋体"/>
                <w:bCs/>
                <w:color w:val="auto"/>
                <w:sz w:val="24"/>
                <w:highlight w:val="none"/>
              </w:rPr>
            </w:pPr>
            <w:r>
              <w:rPr>
                <w:rFonts w:hint="eastAsia" w:ascii="宋体" w:hAnsi="宋体" w:eastAsia="宋体" w:cs="宋体"/>
                <w:color w:val="auto"/>
                <w:highlight w:val="none"/>
              </w:rPr>
              <w:t>注：单独投标的，无需提交本协议书。</w:t>
            </w:r>
          </w:p>
        </w:tc>
      </w:tr>
    </w:tbl>
    <w:p w14:paraId="28F1ACAB">
      <w:pPr>
        <w:pStyle w:val="12"/>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637"/>
    <w:bookmarkEnd w:id="638"/>
    <w:p w14:paraId="1F9047E2">
      <w:pPr>
        <w:pStyle w:val="3"/>
        <w:shd w:val="clear"/>
        <w:spacing w:before="0" w:after="0"/>
        <w:rPr>
          <w:rFonts w:hint="eastAsia" w:ascii="宋体" w:hAnsi="宋体" w:eastAsia="宋体" w:cs="宋体"/>
          <w:color w:val="auto"/>
          <w:sz w:val="28"/>
          <w:szCs w:val="28"/>
          <w:highlight w:val="none"/>
        </w:rPr>
      </w:pPr>
      <w:bookmarkStart w:id="644" w:name="_Toc24609"/>
      <w:bookmarkStart w:id="645" w:name="_Toc5335"/>
      <w:bookmarkStart w:id="646" w:name="_Toc21967"/>
      <w:r>
        <w:rPr>
          <w:rFonts w:hint="eastAsia" w:ascii="宋体" w:hAnsi="宋体" w:eastAsia="宋体" w:cs="宋体"/>
          <w:color w:val="auto"/>
          <w:sz w:val="28"/>
          <w:szCs w:val="28"/>
          <w:highlight w:val="none"/>
        </w:rPr>
        <w:t>格式3：</w:t>
      </w:r>
      <w:bookmarkEnd w:id="644"/>
      <w:bookmarkEnd w:id="645"/>
      <w:bookmarkEnd w:id="646"/>
    </w:p>
    <w:p w14:paraId="2FD08927">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设计投标书</w:t>
      </w:r>
    </w:p>
    <w:p w14:paraId="6E2A7CC6">
      <w:pPr>
        <w:spacing w:line="360" w:lineRule="auto"/>
        <w:rPr>
          <w:rFonts w:hint="eastAsia" w:ascii="宋体" w:hAnsi="宋体" w:cs="宋体"/>
        </w:rPr>
      </w:pPr>
    </w:p>
    <w:p w14:paraId="6F01AF70">
      <w:pPr>
        <w:spacing w:line="360" w:lineRule="auto"/>
        <w:jc w:val="lef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EB4511A">
      <w:pPr>
        <w:pStyle w:val="21"/>
        <w:spacing w:line="360" w:lineRule="auto"/>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 xml:space="preserve">                                    </w:t>
      </w:r>
      <w:r>
        <w:rPr>
          <w:rFonts w:hint="eastAsia" w:ascii="宋体" w:hAnsi="宋体" w:eastAsia="宋体" w:cs="宋体"/>
          <w:sz w:val="21"/>
          <w:szCs w:val="21"/>
        </w:rPr>
        <w:t>（招标人名称）</w:t>
      </w:r>
    </w:p>
    <w:p w14:paraId="56981E32">
      <w:pPr>
        <w:pStyle w:val="21"/>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已收到并研究了上述项目的招标文件、合同条件、技术文件等文件。我方已检查和核对了这些文件，未发现他们有错误或其他缺陷。据此，我方愿按这些文件的规定，按照本投标书，包括一并提交的所有文件材料和所附建议书，承担上述项目并修补其中任何缺陷。</w:t>
      </w:r>
    </w:p>
    <w:p w14:paraId="24CB5682">
      <w:pPr>
        <w:pStyle w:val="21"/>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27C273BF">
      <w:pPr>
        <w:pStyle w:val="21"/>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我方愿以</w:t>
      </w:r>
      <w:r>
        <w:rPr>
          <w:rFonts w:hint="eastAsia" w:ascii="宋体" w:hAnsi="宋体" w:eastAsia="宋体" w:cs="宋体"/>
          <w:b/>
          <w:sz w:val="21"/>
          <w:szCs w:val="21"/>
        </w:rPr>
        <w:t>&lt;经济标投标书&gt;中设计费</w:t>
      </w:r>
      <w:r>
        <w:rPr>
          <w:rFonts w:hint="eastAsia" w:ascii="宋体" w:hAnsi="宋体" w:eastAsia="宋体" w:cs="宋体"/>
          <w:sz w:val="21"/>
          <w:szCs w:val="21"/>
        </w:rPr>
        <w:t>的投标报价，承包本次招标所包含的设计工作，并承担任何质量缺陷责任。我方设计负责人是</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9DF3AE7">
      <w:pPr>
        <w:pStyle w:val="21"/>
        <w:spacing w:line="360" w:lineRule="auto"/>
        <w:ind w:firstLine="480"/>
        <w:rPr>
          <w:rFonts w:hint="eastAsia" w:ascii="宋体" w:hAnsi="宋体" w:eastAsia="宋体" w:cs="宋体"/>
          <w:sz w:val="21"/>
          <w:szCs w:val="21"/>
        </w:rPr>
      </w:pPr>
      <w:r>
        <w:rPr>
          <w:rFonts w:hint="eastAsia" w:ascii="宋体" w:hAnsi="宋体" w:eastAsia="宋体" w:cs="宋体"/>
          <w:sz w:val="21"/>
          <w:szCs w:val="21"/>
        </w:rPr>
        <w:t>我方认同招标文件规定的评审规则，遵守评标委员会的裁决结果，并且不会采取妨碍项目进展的行为。</w:t>
      </w:r>
    </w:p>
    <w:p w14:paraId="33E3ABED">
      <w:pPr>
        <w:pStyle w:val="21"/>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除非制订正式合同协议书并生效，本投标书以及你方中标通知书，应构成你我双方间具有约束力的合同。</w:t>
      </w:r>
    </w:p>
    <w:p w14:paraId="40476E2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本投标书同时作为法人证明书或法人授权委托书。</w:t>
      </w:r>
    </w:p>
    <w:p w14:paraId="0F5A8E57">
      <w:pPr>
        <w:spacing w:line="360" w:lineRule="auto"/>
        <w:rPr>
          <w:rFonts w:hint="eastAsia" w:ascii="宋体" w:hAnsi="宋体" w:eastAsia="宋体" w:cs="宋体"/>
          <w:sz w:val="21"/>
          <w:szCs w:val="21"/>
        </w:rPr>
      </w:pPr>
    </w:p>
    <w:p w14:paraId="201358DA">
      <w:pPr>
        <w:spacing w:line="360" w:lineRule="auto"/>
        <w:ind w:firstLine="3360" w:firstLineChars="1600"/>
        <w:rPr>
          <w:rFonts w:hint="eastAsia" w:ascii="宋体" w:hAnsi="宋体" w:eastAsia="宋体" w:cs="宋体"/>
          <w:sz w:val="21"/>
          <w:szCs w:val="21"/>
        </w:rPr>
      </w:pPr>
      <w:r>
        <w:rPr>
          <w:rFonts w:hint="eastAsia" w:ascii="宋体" w:hAnsi="宋体" w:eastAsia="宋体" w:cs="宋体"/>
          <w:sz w:val="21"/>
          <w:szCs w:val="21"/>
        </w:rPr>
        <w:t>投标人：    （盖章）</w:t>
      </w:r>
    </w:p>
    <w:p w14:paraId="21447458">
      <w:pPr>
        <w:spacing w:line="360" w:lineRule="auto"/>
        <w:ind w:firstLine="3360" w:firstLineChars="1600"/>
        <w:rPr>
          <w:rFonts w:hint="eastAsia" w:ascii="宋体" w:hAnsi="宋体" w:eastAsia="宋体" w:cs="宋体"/>
          <w:sz w:val="21"/>
          <w:szCs w:val="21"/>
        </w:rPr>
      </w:pPr>
      <w:r>
        <w:rPr>
          <w:rFonts w:hint="eastAsia" w:ascii="宋体" w:hAnsi="宋体" w:eastAsia="宋体" w:cs="宋体"/>
          <w:sz w:val="21"/>
          <w:szCs w:val="21"/>
        </w:rPr>
        <w:t>法定代表人或其授权代理人(签名或盖章)：</w:t>
      </w:r>
    </w:p>
    <w:p w14:paraId="5A3022F1">
      <w:pPr>
        <w:spacing w:line="360" w:lineRule="auto"/>
        <w:ind w:firstLine="3360" w:firstLineChars="1600"/>
        <w:rPr>
          <w:rFonts w:hint="eastAsia" w:ascii="宋体" w:hAnsi="宋体" w:cs="宋体"/>
          <w:sz w:val="24"/>
        </w:rPr>
      </w:pPr>
      <w:r>
        <w:rPr>
          <w:rFonts w:hint="eastAsia" w:ascii="宋体" w:hAnsi="宋体" w:eastAsia="宋体" w:cs="宋体"/>
          <w:sz w:val="21"/>
          <w:szCs w:val="21"/>
        </w:rPr>
        <w:t>日期：    年    月    日</w:t>
      </w:r>
    </w:p>
    <w:p w14:paraId="03B962A1">
      <w:pPr>
        <w:pStyle w:val="21"/>
        <w:spacing w:line="360" w:lineRule="auto"/>
        <w:rPr>
          <w:rFonts w:hint="eastAsia" w:hAnsi="宋体" w:cs="宋体"/>
          <w:sz w:val="24"/>
        </w:rPr>
      </w:pPr>
    </w:p>
    <w:p w14:paraId="7A095D40">
      <w:pPr>
        <w:pStyle w:val="21"/>
        <w:spacing w:line="360" w:lineRule="auto"/>
        <w:ind w:firstLine="240" w:firstLineChars="100"/>
        <w:rPr>
          <w:rFonts w:hint="eastAsia" w:hAnsi="宋体" w:cs="宋体"/>
          <w:sz w:val="24"/>
        </w:rPr>
      </w:pPr>
    </w:p>
    <w:p w14:paraId="707B7BE1">
      <w:pPr>
        <w:rPr>
          <w:rFonts w:hint="eastAsia" w:eastAsia="宋体"/>
          <w:lang w:eastAsia="zh-CN"/>
        </w:rPr>
      </w:pPr>
      <w:r>
        <w:rPr>
          <w:rFonts w:hint="eastAsia" w:ascii="宋体" w:hAnsi="宋体" w:eastAsia="宋体" w:cs="宋体"/>
          <w:b/>
          <w:color w:val="auto"/>
          <w:szCs w:val="21"/>
          <w:highlight w:val="none"/>
        </w:rPr>
        <w:t>注：联合体投标的，“投标人”一栏需书写所有联合体成员的单位全称，可由主办方签署、盖章。</w:t>
      </w:r>
    </w:p>
    <w:p w14:paraId="507973ED">
      <w:pPr>
        <w:shd w:val="clear"/>
        <w:jc w:val="left"/>
        <w:rPr>
          <w:rFonts w:hint="eastAsia"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br w:type="page"/>
      </w:r>
    </w:p>
    <w:p w14:paraId="2A35F55E">
      <w:pPr>
        <w:pStyle w:val="3"/>
        <w:shd w:val="clear"/>
        <w:spacing w:before="0" w:after="0"/>
        <w:rPr>
          <w:rFonts w:hint="eastAsia" w:ascii="宋体" w:hAnsi="宋体" w:eastAsia="宋体" w:cs="宋体"/>
          <w:color w:val="auto"/>
          <w:sz w:val="28"/>
          <w:szCs w:val="28"/>
          <w:highlight w:val="none"/>
        </w:rPr>
      </w:pPr>
      <w:bookmarkStart w:id="647" w:name="_Toc11447"/>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bookmarkEnd w:id="647"/>
    </w:p>
    <w:p w14:paraId="7C95F509">
      <w:pPr>
        <w:shd w:val="clear"/>
        <w:jc w:val="center"/>
        <w:rPr>
          <w:rFonts w:hint="eastAsia"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t>投标书</w:t>
      </w:r>
    </w:p>
    <w:tbl>
      <w:tblPr>
        <w:tblStyle w:val="40"/>
        <w:tblpPr w:leftFromText="180" w:rightFromText="180" w:vertAnchor="text" w:horzAnchor="margin" w:tblpY="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2971"/>
        <w:gridCol w:w="2973"/>
      </w:tblGrid>
      <w:tr w14:paraId="131F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16F19CA3">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工 程 名 称</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282507E5">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34D7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264F8FED">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投 标 总 工 期</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7D1B644B">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按招标文件要求</w:t>
            </w:r>
          </w:p>
        </w:tc>
      </w:tr>
      <w:tr w14:paraId="7DAE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457DCCD1">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工程质量标准</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3538105F">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按招标文件要求</w:t>
            </w:r>
          </w:p>
        </w:tc>
      </w:tr>
      <w:tr w14:paraId="760A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110F6307">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保 修 期 限</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354D8222">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按招标文件要求</w:t>
            </w:r>
          </w:p>
        </w:tc>
      </w:tr>
      <w:tr w14:paraId="1857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5D93877D">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投标内容</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1D243892">
            <w:pPr>
              <w:shd w:val="clear"/>
              <w:spacing w:line="360" w:lineRule="auto"/>
              <w:jc w:val="center"/>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按招标文件要求</w:t>
            </w:r>
            <w:r>
              <w:rPr>
                <w:rFonts w:hint="eastAsia" w:ascii="宋体" w:hAnsi="宋体" w:cs="宋体"/>
                <w:b/>
                <w:color w:val="auto"/>
                <w:sz w:val="24"/>
                <w:highlight w:val="none"/>
                <w:lang w:val="zh-CN"/>
              </w:rPr>
              <w:t>，</w:t>
            </w:r>
            <w:r>
              <w:rPr>
                <w:rFonts w:hint="eastAsia" w:ascii="宋体" w:hAnsi="宋体" w:eastAsia="宋体" w:cs="宋体"/>
                <w:b/>
                <w:color w:val="auto"/>
                <w:sz w:val="24"/>
                <w:highlight w:val="none"/>
                <w:lang w:val="zh-CN"/>
              </w:rPr>
              <w:t>符合第二章“投标人须知”第1.3.1项规定</w:t>
            </w:r>
          </w:p>
        </w:tc>
      </w:tr>
      <w:tr w14:paraId="2D47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right w:val="single" w:color="auto" w:sz="4" w:space="0"/>
            </w:tcBorders>
            <w:vAlign w:val="center"/>
          </w:tcPr>
          <w:p w14:paraId="502EF168">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委派的项目负责人</w:t>
            </w:r>
          </w:p>
        </w:tc>
        <w:tc>
          <w:tcPr>
            <w:tcW w:w="2971" w:type="dxa"/>
            <w:tcBorders>
              <w:top w:val="single" w:color="auto" w:sz="4" w:space="0"/>
              <w:left w:val="single" w:color="auto" w:sz="4" w:space="0"/>
              <w:bottom w:val="single" w:color="auto" w:sz="4" w:space="0"/>
              <w:right w:val="single" w:color="auto" w:sz="4" w:space="0"/>
            </w:tcBorders>
            <w:vAlign w:val="center"/>
          </w:tcPr>
          <w:p w14:paraId="67BF26FF">
            <w:pPr>
              <w:shd w:val="clea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姓    名</w:t>
            </w:r>
          </w:p>
        </w:tc>
        <w:tc>
          <w:tcPr>
            <w:tcW w:w="2973" w:type="dxa"/>
            <w:tcBorders>
              <w:top w:val="single" w:color="auto" w:sz="4" w:space="0"/>
              <w:left w:val="single" w:color="auto" w:sz="4" w:space="0"/>
              <w:bottom w:val="single" w:color="auto" w:sz="4" w:space="0"/>
              <w:right w:val="single" w:color="auto" w:sz="4" w:space="0"/>
            </w:tcBorders>
            <w:vAlign w:val="center"/>
          </w:tcPr>
          <w:p w14:paraId="19E46A6C">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1C0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right w:val="single" w:color="auto" w:sz="4" w:space="0"/>
            </w:tcBorders>
            <w:vAlign w:val="center"/>
          </w:tcPr>
          <w:p w14:paraId="42764B6E">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委派的</w:t>
            </w:r>
            <w:r>
              <w:rPr>
                <w:rFonts w:hint="eastAsia" w:ascii="宋体" w:hAnsi="宋体" w:eastAsia="宋体" w:cs="宋体"/>
                <w:b/>
                <w:bCs/>
                <w:color w:val="auto"/>
                <w:sz w:val="24"/>
                <w:highlight w:val="none"/>
                <w:lang w:val="zh-CN"/>
              </w:rPr>
              <w:t>施工负责人</w:t>
            </w:r>
          </w:p>
        </w:tc>
        <w:tc>
          <w:tcPr>
            <w:tcW w:w="2971" w:type="dxa"/>
            <w:tcBorders>
              <w:top w:val="single" w:color="auto" w:sz="4" w:space="0"/>
              <w:left w:val="single" w:color="auto" w:sz="4" w:space="0"/>
              <w:bottom w:val="single" w:color="auto" w:sz="4" w:space="0"/>
              <w:right w:val="single" w:color="auto" w:sz="4" w:space="0"/>
            </w:tcBorders>
            <w:vAlign w:val="center"/>
          </w:tcPr>
          <w:p w14:paraId="1B724B8B">
            <w:pPr>
              <w:shd w:val="clea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姓    名</w:t>
            </w:r>
          </w:p>
        </w:tc>
        <w:tc>
          <w:tcPr>
            <w:tcW w:w="2973" w:type="dxa"/>
            <w:tcBorders>
              <w:top w:val="single" w:color="auto" w:sz="4" w:space="0"/>
              <w:left w:val="single" w:color="auto" w:sz="4" w:space="0"/>
              <w:bottom w:val="single" w:color="auto" w:sz="4" w:space="0"/>
              <w:right w:val="single" w:color="auto" w:sz="4" w:space="0"/>
            </w:tcBorders>
            <w:vAlign w:val="center"/>
          </w:tcPr>
          <w:p w14:paraId="3CB34394">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132D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right w:val="single" w:color="auto" w:sz="4" w:space="0"/>
            </w:tcBorders>
            <w:vAlign w:val="center"/>
          </w:tcPr>
          <w:p w14:paraId="02551F69">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委派的专职</w:t>
            </w:r>
            <w:r>
              <w:rPr>
                <w:rFonts w:hint="eastAsia" w:ascii="宋体" w:hAnsi="宋体" w:eastAsia="宋体" w:cs="宋体"/>
                <w:b/>
                <w:bCs/>
                <w:color w:val="auto"/>
                <w:sz w:val="24"/>
                <w:highlight w:val="none"/>
                <w:lang w:val="zh-CN"/>
              </w:rPr>
              <w:t>安全员</w:t>
            </w:r>
          </w:p>
        </w:tc>
        <w:tc>
          <w:tcPr>
            <w:tcW w:w="2971" w:type="dxa"/>
            <w:tcBorders>
              <w:top w:val="single" w:color="auto" w:sz="4" w:space="0"/>
              <w:left w:val="single" w:color="auto" w:sz="4" w:space="0"/>
              <w:bottom w:val="single" w:color="auto" w:sz="4" w:space="0"/>
              <w:right w:val="single" w:color="auto" w:sz="4" w:space="0"/>
            </w:tcBorders>
            <w:vAlign w:val="center"/>
          </w:tcPr>
          <w:p w14:paraId="205BA416">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rPr>
              <w:t>姓    名</w:t>
            </w:r>
          </w:p>
        </w:tc>
        <w:tc>
          <w:tcPr>
            <w:tcW w:w="2973" w:type="dxa"/>
            <w:tcBorders>
              <w:top w:val="single" w:color="auto" w:sz="4" w:space="0"/>
              <w:left w:val="single" w:color="auto" w:sz="4" w:space="0"/>
              <w:bottom w:val="single" w:color="auto" w:sz="4" w:space="0"/>
              <w:right w:val="single" w:color="auto" w:sz="4" w:space="0"/>
            </w:tcBorders>
            <w:vAlign w:val="center"/>
          </w:tcPr>
          <w:p w14:paraId="087587F4">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7CD4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right w:val="single" w:color="auto" w:sz="4" w:space="0"/>
            </w:tcBorders>
            <w:vAlign w:val="center"/>
          </w:tcPr>
          <w:p w14:paraId="6C1728FF">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委派的</w:t>
            </w:r>
            <w:r>
              <w:rPr>
                <w:rFonts w:hint="eastAsia" w:ascii="宋体" w:hAnsi="宋体" w:eastAsia="宋体" w:cs="宋体"/>
                <w:b/>
                <w:bCs/>
                <w:color w:val="auto"/>
                <w:sz w:val="24"/>
                <w:highlight w:val="none"/>
                <w:lang w:val="zh-CN"/>
              </w:rPr>
              <w:t>设计负责人</w:t>
            </w:r>
          </w:p>
        </w:tc>
        <w:tc>
          <w:tcPr>
            <w:tcW w:w="2971" w:type="dxa"/>
            <w:tcBorders>
              <w:top w:val="single" w:color="auto" w:sz="4" w:space="0"/>
              <w:left w:val="single" w:color="auto" w:sz="4" w:space="0"/>
              <w:bottom w:val="single" w:color="auto" w:sz="4" w:space="0"/>
              <w:right w:val="single" w:color="auto" w:sz="4" w:space="0"/>
            </w:tcBorders>
            <w:vAlign w:val="center"/>
          </w:tcPr>
          <w:p w14:paraId="73E127CA">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rPr>
              <w:t>姓    名</w:t>
            </w:r>
          </w:p>
        </w:tc>
        <w:tc>
          <w:tcPr>
            <w:tcW w:w="2973" w:type="dxa"/>
            <w:tcBorders>
              <w:top w:val="single" w:color="auto" w:sz="4" w:space="0"/>
              <w:left w:val="single" w:color="auto" w:sz="4" w:space="0"/>
              <w:bottom w:val="single" w:color="auto" w:sz="4" w:space="0"/>
              <w:right w:val="single" w:color="auto" w:sz="4" w:space="0"/>
            </w:tcBorders>
            <w:vAlign w:val="center"/>
          </w:tcPr>
          <w:p w14:paraId="08996F3B">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3050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right w:val="single" w:color="auto" w:sz="4" w:space="0"/>
            </w:tcBorders>
            <w:vAlign w:val="center"/>
          </w:tcPr>
          <w:p w14:paraId="4A9C18F9">
            <w:pPr>
              <w:shd w:val="clear"/>
              <w:autoSpaceDE w:val="0"/>
              <w:autoSpaceDN w:val="0"/>
              <w:spacing w:line="360" w:lineRule="auto"/>
              <w:jc w:val="center"/>
              <w:rPr>
                <w:rFonts w:hint="eastAsia" w:ascii="宋体" w:hAnsi="宋体" w:eastAsia="宋体" w:cs="宋体"/>
                <w:b/>
                <w:color w:val="auto"/>
                <w:sz w:val="24"/>
                <w:highlight w:val="none"/>
                <w:lang w:val="zh-CN"/>
              </w:rPr>
            </w:pPr>
            <w:r>
              <w:rPr>
                <w:rFonts w:hint="eastAsia" w:ascii="宋体" w:hAnsi="宋体" w:cs="宋体"/>
                <w:b/>
                <w:sz w:val="24"/>
                <w:szCs w:val="22"/>
                <w:lang w:val="zh-CN"/>
              </w:rPr>
              <w:t>施工技术负责人</w:t>
            </w:r>
          </w:p>
        </w:tc>
        <w:tc>
          <w:tcPr>
            <w:tcW w:w="2971" w:type="dxa"/>
            <w:tcBorders>
              <w:top w:val="single" w:color="auto" w:sz="4" w:space="0"/>
              <w:left w:val="single" w:color="auto" w:sz="4" w:space="0"/>
              <w:bottom w:val="single" w:color="auto" w:sz="4" w:space="0"/>
              <w:right w:val="single" w:color="auto" w:sz="4" w:space="0"/>
            </w:tcBorders>
            <w:vAlign w:val="center"/>
          </w:tcPr>
          <w:p w14:paraId="71039FAB">
            <w:pPr>
              <w:shd w:val="clea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姓    名</w:t>
            </w:r>
          </w:p>
        </w:tc>
        <w:tc>
          <w:tcPr>
            <w:tcW w:w="2973" w:type="dxa"/>
            <w:tcBorders>
              <w:top w:val="single" w:color="auto" w:sz="4" w:space="0"/>
              <w:left w:val="single" w:color="auto" w:sz="4" w:space="0"/>
              <w:bottom w:val="single" w:color="auto" w:sz="4" w:space="0"/>
              <w:right w:val="single" w:color="auto" w:sz="4" w:space="0"/>
            </w:tcBorders>
            <w:vAlign w:val="center"/>
          </w:tcPr>
          <w:p w14:paraId="5CB4AE9A">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5062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restart"/>
            <w:tcBorders>
              <w:left w:val="single" w:color="auto" w:sz="4" w:space="0"/>
              <w:right w:val="single" w:color="auto" w:sz="4" w:space="0"/>
            </w:tcBorders>
            <w:vAlign w:val="center"/>
          </w:tcPr>
          <w:p w14:paraId="0C1AD21F">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投标总报价（元）</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677BEFD2">
            <w:pPr>
              <w:shd w:val="clea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rPr>
              <w:t>大写：</w:t>
            </w:r>
          </w:p>
        </w:tc>
      </w:tr>
      <w:tr w14:paraId="46B5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continue"/>
            <w:tcBorders>
              <w:left w:val="single" w:color="auto" w:sz="4" w:space="0"/>
              <w:right w:val="single" w:color="auto" w:sz="4" w:space="0"/>
            </w:tcBorders>
            <w:vAlign w:val="center"/>
          </w:tcPr>
          <w:p w14:paraId="625941DF">
            <w:pPr>
              <w:widowControl/>
              <w:shd w:val="clear"/>
              <w:spacing w:line="360" w:lineRule="auto"/>
              <w:jc w:val="left"/>
              <w:rPr>
                <w:rFonts w:hint="eastAsia" w:ascii="宋体" w:hAnsi="宋体" w:eastAsia="宋体" w:cs="宋体"/>
                <w:b/>
                <w:bCs/>
                <w:color w:val="auto"/>
                <w:sz w:val="24"/>
                <w:highlight w:val="none"/>
                <w:lang w:val="zh-CN"/>
              </w:rPr>
            </w:pP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17F25D0B">
            <w:pPr>
              <w:shd w:val="clea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rPr>
              <w:t>小写：</w:t>
            </w:r>
          </w:p>
        </w:tc>
      </w:tr>
      <w:tr w14:paraId="34C9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0ADA34A0">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法 定 代 表 人</w:t>
            </w:r>
          </w:p>
          <w:p w14:paraId="17F0D128">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（签名或盖章）</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6C22B4A5">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520A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27784D68">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授 权 委 托 人</w:t>
            </w:r>
          </w:p>
          <w:p w14:paraId="7EDAEAE1">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（签名或盖章）</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72BD616D">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0F1E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1C8EE2A6">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投标人</w:t>
            </w:r>
          </w:p>
          <w:p w14:paraId="41BC3F5B">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（企业公章）</w:t>
            </w:r>
          </w:p>
        </w:tc>
        <w:tc>
          <w:tcPr>
            <w:tcW w:w="5944" w:type="dxa"/>
            <w:gridSpan w:val="2"/>
            <w:tcBorders>
              <w:top w:val="single" w:color="auto" w:sz="4" w:space="0"/>
              <w:left w:val="single" w:color="auto" w:sz="4" w:space="0"/>
              <w:bottom w:val="single" w:color="auto" w:sz="4" w:space="0"/>
              <w:right w:val="single" w:color="auto" w:sz="4" w:space="0"/>
            </w:tcBorders>
            <w:vAlign w:val="center"/>
          </w:tcPr>
          <w:p w14:paraId="55C03651">
            <w:pPr>
              <w:shd w:val="clear"/>
              <w:autoSpaceDE w:val="0"/>
              <w:autoSpaceDN w:val="0"/>
              <w:spacing w:line="360" w:lineRule="auto"/>
              <w:jc w:val="center"/>
              <w:rPr>
                <w:rFonts w:hint="eastAsia" w:ascii="宋体" w:hAnsi="宋体" w:eastAsia="宋体" w:cs="宋体"/>
                <w:b/>
                <w:bCs/>
                <w:color w:val="auto"/>
                <w:sz w:val="24"/>
                <w:highlight w:val="none"/>
                <w:lang w:val="zh-CN"/>
              </w:rPr>
            </w:pPr>
          </w:p>
        </w:tc>
      </w:tr>
    </w:tbl>
    <w:p w14:paraId="15C85A25">
      <w:pPr>
        <w:pStyle w:val="21"/>
        <w:shd w:val="clea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注：（1）联合体投标的，“投标人”一栏需书写所有联合体成员的单位全称，可由主办方签署、盖章。</w:t>
      </w:r>
    </w:p>
    <w:p w14:paraId="67FBDCFE">
      <w:pPr>
        <w:pStyle w:val="21"/>
        <w:shd w:val="clear"/>
        <w:ind w:firstLine="361" w:firstLineChars="200"/>
        <w:rPr>
          <w:rFonts w:hint="eastAsia" w:ascii="宋体" w:hAnsi="宋体" w:eastAsia="宋体" w:cs="宋体"/>
          <w:b/>
          <w:color w:val="auto"/>
          <w:sz w:val="18"/>
          <w:szCs w:val="18"/>
          <w:highlight w:val="none"/>
        </w:rPr>
        <w:sectPr>
          <w:footerReference r:id="rId8" w:type="default"/>
          <w:pgSz w:w="11906" w:h="16838"/>
          <w:pgMar w:top="1304" w:right="1304" w:bottom="1304" w:left="1304" w:header="851" w:footer="992" w:gutter="0"/>
          <w:cols w:space="720" w:num="1"/>
          <w:docGrid w:type="lines" w:linePitch="312" w:charSpace="0"/>
        </w:sectPr>
      </w:pPr>
    </w:p>
    <w:p w14:paraId="56945AB9">
      <w:pPr>
        <w:pStyle w:val="3"/>
        <w:shd w:val="clear"/>
        <w:spacing w:before="0" w:after="0"/>
        <w:rPr>
          <w:rFonts w:hint="eastAsia" w:ascii="宋体" w:hAnsi="宋体" w:eastAsia="宋体" w:cs="宋体"/>
          <w:color w:val="auto"/>
          <w:sz w:val="28"/>
          <w:szCs w:val="28"/>
          <w:highlight w:val="none"/>
        </w:rPr>
      </w:pPr>
      <w:bookmarkStart w:id="648" w:name="_Toc29718"/>
      <w:bookmarkStart w:id="649" w:name="_Toc10779"/>
      <w:bookmarkStart w:id="650" w:name="_Toc4735"/>
      <w:bookmarkStart w:id="651" w:name="_Toc16769"/>
      <w:bookmarkStart w:id="652" w:name="_Toc18803"/>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bookmarkEnd w:id="648"/>
      <w:bookmarkEnd w:id="649"/>
      <w:bookmarkEnd w:id="650"/>
      <w:bookmarkEnd w:id="651"/>
      <w:bookmarkEnd w:id="652"/>
    </w:p>
    <w:p w14:paraId="5DFEC7B9">
      <w:pPr>
        <w:shd w:val="clear"/>
        <w:autoSpaceDE w:val="0"/>
        <w:autoSpaceDN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投标承诺函</w:t>
      </w:r>
    </w:p>
    <w:p w14:paraId="7245FE64">
      <w:pPr>
        <w:shd w:val="clear"/>
        <w:spacing w:line="360" w:lineRule="auto"/>
        <w:jc w:val="center"/>
        <w:rPr>
          <w:rFonts w:hint="eastAsia" w:ascii="宋体" w:hAnsi="宋体" w:eastAsia="宋体" w:cs="宋体"/>
          <w:b/>
          <w:color w:val="auto"/>
          <w:sz w:val="24"/>
          <w:highlight w:val="none"/>
        </w:rPr>
      </w:pPr>
    </w:p>
    <w:p w14:paraId="465B27A4">
      <w:pPr>
        <w:shd w:val="clea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（招标人名称）       </w:t>
      </w:r>
    </w:p>
    <w:p w14:paraId="46C6271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我司确认收到贵司提供的</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招标文件的全部内容，我司：</w:t>
      </w:r>
      <w:r>
        <w:rPr>
          <w:rFonts w:hint="eastAsia" w:ascii="宋体" w:hAnsi="宋体" w:eastAsia="宋体" w:cs="宋体"/>
          <w:color w:val="auto"/>
          <w:szCs w:val="21"/>
          <w:highlight w:val="none"/>
          <w:u w:val="single"/>
        </w:rPr>
        <w:t xml:space="preserve">       (投标人名称)      </w:t>
      </w:r>
      <w:r>
        <w:rPr>
          <w:rFonts w:hint="eastAsia" w:ascii="宋体" w:hAnsi="宋体" w:eastAsia="宋体" w:cs="宋体"/>
          <w:color w:val="auto"/>
          <w:szCs w:val="21"/>
          <w:highlight w:val="none"/>
        </w:rPr>
        <w:t>已作为投标人正式授权</w:t>
      </w:r>
      <w:r>
        <w:rPr>
          <w:rFonts w:hint="eastAsia" w:ascii="宋体" w:hAnsi="宋体" w:eastAsia="宋体" w:cs="宋体"/>
          <w:color w:val="auto"/>
          <w:szCs w:val="21"/>
          <w:highlight w:val="none"/>
          <w:u w:val="single"/>
        </w:rPr>
        <w:t xml:space="preserve">         (授权代表全名，职务)    </w:t>
      </w:r>
      <w:r>
        <w:rPr>
          <w:rFonts w:hint="eastAsia" w:ascii="宋体" w:hAnsi="宋体" w:eastAsia="宋体" w:cs="宋体"/>
          <w:color w:val="auto"/>
          <w:szCs w:val="21"/>
          <w:highlight w:val="none"/>
        </w:rPr>
        <w:t>代表我司进行有关本投标的一切事宜。</w:t>
      </w:r>
    </w:p>
    <w:p w14:paraId="0844C9A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我司已完全明白和接受招标文件的所有条款要求，并重申以下几点：</w:t>
      </w:r>
    </w:p>
    <w:p w14:paraId="08C423CD">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12F7F36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我司已充分阅读了本项目招标文件并充分了解有关报价方式及变更、结算方式，我司完全响应招标文件的规定。</w:t>
      </w:r>
    </w:p>
    <w:p w14:paraId="41DC8335">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3．本投标文件的有效期为投标截止日后</w:t>
      </w:r>
      <w:r>
        <w:rPr>
          <w:rFonts w:hint="eastAsia" w:ascii="宋体" w:hAnsi="宋体" w:cs="宋体"/>
          <w:b/>
          <w:color w:val="auto"/>
          <w:szCs w:val="21"/>
          <w:highlight w:val="none"/>
          <w:u w:val="single"/>
          <w:lang w:val="en-US" w:eastAsia="zh-CN"/>
        </w:rPr>
        <w:t>120</w:t>
      </w:r>
      <w:r>
        <w:rPr>
          <w:rFonts w:hint="eastAsia" w:ascii="宋体" w:hAnsi="宋体" w:eastAsia="宋体" w:cs="宋体"/>
          <w:b/>
          <w:color w:val="auto"/>
          <w:szCs w:val="21"/>
          <w:highlight w:val="none"/>
          <w:u w:val="single"/>
        </w:rPr>
        <w:t>日历天</w:t>
      </w:r>
      <w:r>
        <w:rPr>
          <w:rFonts w:hint="eastAsia" w:ascii="宋体" w:hAnsi="宋体" w:eastAsia="宋体" w:cs="宋体"/>
          <w:color w:val="auto"/>
          <w:szCs w:val="21"/>
          <w:highlight w:val="none"/>
        </w:rPr>
        <w:t>内有效；</w:t>
      </w:r>
    </w:p>
    <w:p w14:paraId="4A1457C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4．我司承诺投标文件中的一切资料、数据是真实的，并承担由此引起的一切责任。</w:t>
      </w:r>
    </w:p>
    <w:p w14:paraId="727643D8">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5．我司同意按照贵司可能提出的要求而提供与投标有关的任何其它数据或信息。</w:t>
      </w:r>
    </w:p>
    <w:p w14:paraId="29CB94F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6.1保证履行招标文件以及招标文件修改书(如有)中的全部责任和义务，在中标通知书规定的时间内签订合同，并严格按国家有关法规履行我司的全部责任，按质、按量、按期完成合同约定的全部任务。</w:t>
      </w:r>
    </w:p>
    <w:p w14:paraId="0AA80BCC">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保证将我司的资质承包范围不能涵盖或不具备相应能力(该能力须保证进度和质量且须获得招标人认可)的部分专业工程（如果有），委托获得招标人批准的具备相应专业资质和能力的单位实施，确保项目质量及进度。</w:t>
      </w:r>
    </w:p>
    <w:p w14:paraId="76C522F0">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保证所完成的设计将完全符合国家相关规范要求，符合或优于招标文件、技术条件、合同条款的要求。若我司完成的设计文件未能达到招标人（或相关政府部门）的要求，我司将无条件根据要求进行修改设计文件，直至得到招标人（及相关政府部门）的认可为止。</w:t>
      </w:r>
    </w:p>
    <w:p w14:paraId="0B56F9CB">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6.4保证尽一切力量确保投标承诺的竣工日期，若我司未能按投标承诺的工期完成本项目，除承担合同约定的违约责任外，招标人有权解除合同，我司承担由于违约解除合同退场造成的对招标人的一切损失。</w:t>
      </w:r>
    </w:p>
    <w:p w14:paraId="6C677D9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保证投标所报的项目负责人、施工负责人、设计负责人在本项目合同签订后7日内到职，全过程服务于本项目，在过程中非不可抗力或招标人要求不得更换。我司违反以上承诺的，同意按合同条款的规定承担违约责任。</w:t>
      </w:r>
    </w:p>
    <w:p w14:paraId="04DA8D77">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6.6保证所投入本项目的主要材料、设备质量符合或优于招标文件要求，所投入本项目的辅助设备、材料与主主要材料、设备质量一致并有良好的配套性。</w:t>
      </w:r>
    </w:p>
    <w:p w14:paraId="3B2D0036">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6.7保证按照招标文件的要求确保安全生产及文明施工，如有违反，我司愿意按合同约定承担违约责任，并为此负相关的法律责任。</w:t>
      </w:r>
    </w:p>
    <w:p w14:paraId="163B9889">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6.8保证按国家的有关规定制订保证民工工资支付的方案及保证措施，否则，我司愿按合同条款规定承担违约责任并赔偿招标人的全部损失。</w:t>
      </w:r>
    </w:p>
    <w:p w14:paraId="175BD61F">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 若我方中标，我方承诺拟投入本项目的施工负责人满足《注册建造师管理规定》第21条规定，如出现委派的项目负责人在其他在建项目担任工程总承包项目负责人或施工负责人、或者施工负责人在其他在建项目中任项目负责人或施工负责人【包括但不限于广州公共资源交易中心企业库（包含广州市住建行业信用管理平台），广东省建筑市场监管公共服务平台项目负责人锁定情况】，无条件接受招标人取消中标资格，招标人可以确定排名第二的中标候选人为中标人。</w:t>
      </w:r>
    </w:p>
    <w:p w14:paraId="24BB346F">
      <w:pPr>
        <w:shd w:val="clear"/>
        <w:spacing w:line="360" w:lineRule="auto"/>
        <w:ind w:firstLine="420" w:firstLineChars="200"/>
        <w:rPr>
          <w:rFonts w:hint="eastAsia" w:ascii="宋体" w:hAnsi="宋体" w:eastAsia="宋体" w:cs="宋体"/>
          <w:color w:val="auto"/>
          <w:szCs w:val="21"/>
          <w:highlight w:val="none"/>
        </w:rPr>
      </w:pPr>
    </w:p>
    <w:p w14:paraId="08E6AE47">
      <w:pPr>
        <w:widowControl/>
        <w:shd w:val="clear"/>
        <w:spacing w:line="360" w:lineRule="auto"/>
        <w:jc w:val="left"/>
        <w:rPr>
          <w:rFonts w:hint="eastAsia" w:ascii="宋体" w:hAnsi="宋体" w:eastAsia="宋体" w:cs="宋体"/>
          <w:color w:val="auto"/>
          <w:szCs w:val="21"/>
          <w:highlight w:val="none"/>
        </w:rPr>
      </w:pPr>
    </w:p>
    <w:p w14:paraId="1B052574">
      <w:pPr>
        <w:shd w:val="clear"/>
        <w:spacing w:line="360" w:lineRule="auto"/>
        <w:ind w:firstLine="3360" w:firstLineChars="1600"/>
        <w:rPr>
          <w:rFonts w:hint="eastAsia" w:ascii="宋体" w:hAnsi="宋体" w:eastAsia="宋体" w:cs="宋体"/>
          <w:color w:val="auto"/>
          <w:szCs w:val="21"/>
          <w:highlight w:val="none"/>
        </w:rPr>
      </w:pPr>
    </w:p>
    <w:p w14:paraId="432F36D3">
      <w:pPr>
        <w:shd w:val="clear"/>
        <w:spacing w:line="360" w:lineRule="auto"/>
        <w:ind w:firstLine="3360" w:firstLineChars="1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    （盖章）</w:t>
      </w:r>
    </w:p>
    <w:p w14:paraId="0147778E">
      <w:pPr>
        <w:shd w:val="clear"/>
        <w:spacing w:line="360" w:lineRule="auto"/>
        <w:ind w:firstLine="3360" w:firstLineChars="1600"/>
        <w:rPr>
          <w:rFonts w:hint="eastAsia" w:ascii="宋体" w:hAnsi="宋体" w:eastAsia="宋体" w:cs="宋体"/>
          <w:color w:val="auto"/>
          <w:sz w:val="24"/>
          <w:highlight w:val="none"/>
        </w:rPr>
      </w:pPr>
      <w:r>
        <w:rPr>
          <w:rFonts w:hint="eastAsia" w:ascii="宋体" w:hAnsi="宋体" w:eastAsia="宋体" w:cs="宋体"/>
          <w:color w:val="auto"/>
          <w:szCs w:val="21"/>
          <w:highlight w:val="none"/>
        </w:rPr>
        <w:t>法定代表人或其授权代理人(签名或盖</w:t>
      </w:r>
      <w:r>
        <w:rPr>
          <w:rFonts w:hint="eastAsia" w:ascii="宋体" w:hAnsi="宋体" w:eastAsia="宋体" w:cs="宋体"/>
          <w:color w:val="auto"/>
          <w:sz w:val="24"/>
          <w:highlight w:val="none"/>
        </w:rPr>
        <w:t>章)：</w:t>
      </w:r>
    </w:p>
    <w:p w14:paraId="082C15AF">
      <w:pPr>
        <w:shd w:val="clea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0F4A78E">
      <w:pPr>
        <w:pStyle w:val="21"/>
        <w:shd w:val="clear"/>
        <w:spacing w:line="360" w:lineRule="auto"/>
        <w:ind w:firstLine="241" w:firstLineChars="100"/>
        <w:rPr>
          <w:rFonts w:hint="eastAsia" w:ascii="宋体" w:hAnsi="宋体" w:eastAsia="宋体" w:cs="宋体"/>
          <w:b/>
          <w:color w:val="auto"/>
          <w:sz w:val="24"/>
          <w:szCs w:val="24"/>
          <w:highlight w:val="none"/>
        </w:rPr>
      </w:pPr>
    </w:p>
    <w:p w14:paraId="2A1F8E20">
      <w:pPr>
        <w:shd w:val="clear"/>
        <w:topLinePunct/>
        <w:rPr>
          <w:rFonts w:hint="eastAsia" w:ascii="宋体" w:hAnsi="宋体" w:eastAsia="宋体" w:cs="宋体"/>
          <w:b/>
          <w:bCs/>
          <w:color w:val="auto"/>
          <w:highlight w:val="none"/>
        </w:rPr>
      </w:pPr>
      <w:r>
        <w:rPr>
          <w:rFonts w:hint="eastAsia" w:ascii="宋体" w:hAnsi="宋体" w:eastAsia="宋体" w:cs="宋体"/>
          <w:b/>
          <w:color w:val="auto"/>
          <w:szCs w:val="21"/>
          <w:highlight w:val="none"/>
        </w:rPr>
        <w:t>注：联合体投标的，“投标人”一栏需书写所有联合体成员的单位全称，可由主办方签署、盖章。</w:t>
      </w:r>
    </w:p>
    <w:p w14:paraId="76EF42EA">
      <w:pPr>
        <w:pStyle w:val="3"/>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bookmarkStart w:id="653" w:name="_Toc31889"/>
      <w:bookmarkStart w:id="654" w:name="_Toc16721"/>
      <w:bookmarkStart w:id="655" w:name="_Toc26059"/>
      <w:bookmarkStart w:id="656" w:name="_Toc18337"/>
      <w:bookmarkStart w:id="657" w:name="_Toc3204"/>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bookmarkEnd w:id="653"/>
      <w:bookmarkEnd w:id="654"/>
      <w:bookmarkEnd w:id="655"/>
      <w:bookmarkEnd w:id="656"/>
      <w:bookmarkEnd w:id="657"/>
    </w:p>
    <w:p w14:paraId="1FC61203">
      <w:pPr>
        <w:jc w:val="center"/>
        <w:rPr>
          <w:rFonts w:hint="eastAsia" w:ascii="宋体" w:hAnsi="宋体" w:cs="宋体"/>
          <w:b/>
          <w:bCs/>
          <w:sz w:val="36"/>
          <w:szCs w:val="36"/>
        </w:rPr>
      </w:pPr>
      <w:r>
        <w:rPr>
          <w:rFonts w:hint="eastAsia" w:ascii="宋体" w:hAnsi="宋体" w:cs="宋体"/>
          <w:b/>
          <w:bCs/>
          <w:sz w:val="36"/>
          <w:szCs w:val="36"/>
        </w:rPr>
        <w:t>类似业绩</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52"/>
        <w:gridCol w:w="1952"/>
        <w:gridCol w:w="1951"/>
        <w:gridCol w:w="1951"/>
      </w:tblGrid>
      <w:tr w14:paraId="4309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951" w:type="dxa"/>
            <w:vAlign w:val="center"/>
          </w:tcPr>
          <w:p w14:paraId="0CADCADE">
            <w:pPr>
              <w:wordWrap w:val="0"/>
              <w:topLinePunct/>
              <w:jc w:val="center"/>
              <w:rPr>
                <w:rFonts w:hint="eastAsia" w:ascii="宋体" w:hAnsi="宋体" w:eastAsia="宋体" w:cs="宋体"/>
                <w:b/>
                <w:bCs/>
                <w:lang w:eastAsia="zh-CN"/>
              </w:rPr>
            </w:pPr>
            <w:r>
              <w:rPr>
                <w:rFonts w:hint="eastAsia" w:ascii="宋体" w:hAnsi="宋体" w:cs="宋体"/>
                <w:b/>
                <w:bCs/>
                <w:lang w:eastAsia="zh-CN"/>
              </w:rPr>
              <w:t>项目名称</w:t>
            </w:r>
          </w:p>
        </w:tc>
        <w:tc>
          <w:tcPr>
            <w:tcW w:w="1952" w:type="dxa"/>
            <w:vAlign w:val="center"/>
          </w:tcPr>
          <w:p w14:paraId="024C6EF5">
            <w:pPr>
              <w:wordWrap w:val="0"/>
              <w:topLinePunct/>
              <w:jc w:val="center"/>
              <w:rPr>
                <w:rFonts w:hint="eastAsia" w:ascii="宋体" w:hAnsi="宋体" w:eastAsia="宋体" w:cs="宋体"/>
                <w:b/>
                <w:bCs/>
                <w:lang w:eastAsia="zh-CN"/>
              </w:rPr>
            </w:pPr>
            <w:r>
              <w:rPr>
                <w:rFonts w:hint="eastAsia" w:ascii="宋体" w:hAnsi="宋体" w:cs="宋体"/>
                <w:b/>
                <w:bCs/>
              </w:rPr>
              <w:t>项目概况</w:t>
            </w:r>
          </w:p>
        </w:tc>
        <w:tc>
          <w:tcPr>
            <w:tcW w:w="1952" w:type="dxa"/>
            <w:vAlign w:val="center"/>
          </w:tcPr>
          <w:p w14:paraId="49496B58">
            <w:pPr>
              <w:wordWrap w:val="0"/>
              <w:topLinePunct/>
              <w:jc w:val="center"/>
              <w:rPr>
                <w:rFonts w:hint="eastAsia" w:ascii="宋体" w:hAnsi="宋体" w:eastAsia="宋体" w:cs="宋体"/>
                <w:b/>
                <w:bCs/>
                <w:lang w:eastAsia="zh-CN"/>
              </w:rPr>
            </w:pPr>
            <w:r>
              <w:rPr>
                <w:rFonts w:hint="eastAsia" w:ascii="宋体" w:hAnsi="宋体" w:cs="宋体"/>
                <w:b/>
                <w:bCs/>
                <w:lang w:eastAsia="zh-CN"/>
              </w:rPr>
              <w:t>合同金额</w:t>
            </w:r>
          </w:p>
        </w:tc>
        <w:tc>
          <w:tcPr>
            <w:tcW w:w="1951" w:type="dxa"/>
            <w:vAlign w:val="center"/>
          </w:tcPr>
          <w:p w14:paraId="20A7ED9C">
            <w:pPr>
              <w:wordWrap w:val="0"/>
              <w:topLinePunct/>
              <w:jc w:val="center"/>
              <w:rPr>
                <w:rFonts w:hint="eastAsia" w:ascii="宋体" w:hAnsi="宋体" w:cs="宋体"/>
                <w:b/>
                <w:bCs/>
              </w:rPr>
            </w:pPr>
            <w:r>
              <w:rPr>
                <w:rFonts w:hint="eastAsia" w:ascii="宋体" w:hAnsi="宋体" w:cs="宋体"/>
                <w:b/>
                <w:bCs/>
                <w:lang w:eastAsia="zh-CN"/>
              </w:rPr>
              <w:t>合同签订时间</w:t>
            </w:r>
          </w:p>
        </w:tc>
        <w:tc>
          <w:tcPr>
            <w:tcW w:w="1951" w:type="dxa"/>
            <w:vAlign w:val="center"/>
          </w:tcPr>
          <w:p w14:paraId="65532D98">
            <w:pPr>
              <w:wordWrap w:val="0"/>
              <w:topLinePunct/>
              <w:jc w:val="center"/>
              <w:rPr>
                <w:rFonts w:hint="eastAsia" w:ascii="宋体" w:hAnsi="宋体" w:cs="宋体"/>
                <w:b/>
                <w:bCs/>
              </w:rPr>
            </w:pPr>
            <w:r>
              <w:rPr>
                <w:rFonts w:hint="eastAsia" w:ascii="宋体" w:hAnsi="宋体" w:cs="宋体"/>
                <w:b/>
                <w:bCs/>
              </w:rPr>
              <w:t>业主单位</w:t>
            </w:r>
          </w:p>
        </w:tc>
      </w:tr>
      <w:tr w14:paraId="400F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951" w:type="dxa"/>
            <w:vAlign w:val="center"/>
          </w:tcPr>
          <w:p w14:paraId="4F78890E">
            <w:pPr>
              <w:wordWrap w:val="0"/>
              <w:topLinePunct/>
              <w:jc w:val="center"/>
              <w:rPr>
                <w:rFonts w:hint="eastAsia" w:ascii="宋体" w:hAnsi="宋体" w:cs="宋体"/>
              </w:rPr>
            </w:pPr>
          </w:p>
        </w:tc>
        <w:tc>
          <w:tcPr>
            <w:tcW w:w="1952" w:type="dxa"/>
            <w:vAlign w:val="center"/>
          </w:tcPr>
          <w:p w14:paraId="5E2EAE8F">
            <w:pPr>
              <w:wordWrap w:val="0"/>
              <w:topLinePunct/>
              <w:jc w:val="center"/>
              <w:rPr>
                <w:rFonts w:hint="eastAsia" w:ascii="宋体" w:hAnsi="宋体" w:cs="宋体"/>
              </w:rPr>
            </w:pPr>
          </w:p>
        </w:tc>
        <w:tc>
          <w:tcPr>
            <w:tcW w:w="1952" w:type="dxa"/>
            <w:vAlign w:val="center"/>
          </w:tcPr>
          <w:p w14:paraId="3FEB80F0">
            <w:pPr>
              <w:wordWrap w:val="0"/>
              <w:topLinePunct/>
              <w:jc w:val="center"/>
              <w:rPr>
                <w:rFonts w:hint="eastAsia" w:ascii="宋体" w:hAnsi="宋体" w:cs="宋体"/>
              </w:rPr>
            </w:pPr>
          </w:p>
        </w:tc>
        <w:tc>
          <w:tcPr>
            <w:tcW w:w="1951" w:type="dxa"/>
            <w:vAlign w:val="center"/>
          </w:tcPr>
          <w:p w14:paraId="48BE3A9F">
            <w:pPr>
              <w:wordWrap w:val="0"/>
              <w:topLinePunct/>
              <w:jc w:val="center"/>
              <w:rPr>
                <w:rFonts w:hint="eastAsia" w:ascii="宋体" w:hAnsi="宋体" w:cs="宋体"/>
              </w:rPr>
            </w:pPr>
          </w:p>
        </w:tc>
        <w:tc>
          <w:tcPr>
            <w:tcW w:w="1951" w:type="dxa"/>
            <w:vAlign w:val="center"/>
          </w:tcPr>
          <w:p w14:paraId="44DBD1E2">
            <w:pPr>
              <w:wordWrap w:val="0"/>
              <w:topLinePunct/>
              <w:jc w:val="center"/>
              <w:rPr>
                <w:rFonts w:hint="eastAsia" w:ascii="宋体" w:hAnsi="宋体" w:cs="宋体"/>
              </w:rPr>
            </w:pPr>
          </w:p>
        </w:tc>
      </w:tr>
      <w:tr w14:paraId="5208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1" w:type="dxa"/>
            <w:vAlign w:val="center"/>
          </w:tcPr>
          <w:p w14:paraId="33D59C1C">
            <w:pPr>
              <w:wordWrap w:val="0"/>
              <w:topLinePunct/>
              <w:jc w:val="center"/>
              <w:rPr>
                <w:rFonts w:hint="eastAsia" w:ascii="宋体" w:hAnsi="宋体" w:cs="宋体"/>
              </w:rPr>
            </w:pPr>
          </w:p>
        </w:tc>
        <w:tc>
          <w:tcPr>
            <w:tcW w:w="1952" w:type="dxa"/>
            <w:vAlign w:val="center"/>
          </w:tcPr>
          <w:p w14:paraId="24D2BB16">
            <w:pPr>
              <w:wordWrap w:val="0"/>
              <w:topLinePunct/>
              <w:jc w:val="center"/>
              <w:rPr>
                <w:rFonts w:hint="eastAsia" w:ascii="宋体" w:hAnsi="宋体" w:cs="宋体"/>
              </w:rPr>
            </w:pPr>
          </w:p>
        </w:tc>
        <w:tc>
          <w:tcPr>
            <w:tcW w:w="1952" w:type="dxa"/>
            <w:vAlign w:val="center"/>
          </w:tcPr>
          <w:p w14:paraId="435FF776">
            <w:pPr>
              <w:wordWrap w:val="0"/>
              <w:topLinePunct/>
              <w:jc w:val="center"/>
              <w:rPr>
                <w:rFonts w:hint="eastAsia" w:ascii="宋体" w:hAnsi="宋体" w:cs="宋体"/>
              </w:rPr>
            </w:pPr>
          </w:p>
        </w:tc>
        <w:tc>
          <w:tcPr>
            <w:tcW w:w="1951" w:type="dxa"/>
            <w:vAlign w:val="center"/>
          </w:tcPr>
          <w:p w14:paraId="53A533BF">
            <w:pPr>
              <w:wordWrap w:val="0"/>
              <w:topLinePunct/>
              <w:jc w:val="center"/>
              <w:rPr>
                <w:rFonts w:hint="eastAsia" w:ascii="宋体" w:hAnsi="宋体" w:cs="宋体"/>
              </w:rPr>
            </w:pPr>
          </w:p>
        </w:tc>
        <w:tc>
          <w:tcPr>
            <w:tcW w:w="1951" w:type="dxa"/>
            <w:vAlign w:val="center"/>
          </w:tcPr>
          <w:p w14:paraId="03BF03FA">
            <w:pPr>
              <w:wordWrap w:val="0"/>
              <w:topLinePunct/>
              <w:jc w:val="center"/>
              <w:rPr>
                <w:rFonts w:hint="eastAsia" w:ascii="宋体" w:hAnsi="宋体" w:cs="宋体"/>
              </w:rPr>
            </w:pPr>
          </w:p>
        </w:tc>
      </w:tr>
      <w:tr w14:paraId="29BC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951" w:type="dxa"/>
            <w:vAlign w:val="center"/>
          </w:tcPr>
          <w:p w14:paraId="20FD3AF3">
            <w:pPr>
              <w:wordWrap w:val="0"/>
              <w:topLinePunct/>
              <w:jc w:val="center"/>
              <w:rPr>
                <w:rFonts w:hint="eastAsia" w:ascii="宋体" w:hAnsi="宋体" w:cs="宋体"/>
              </w:rPr>
            </w:pPr>
          </w:p>
        </w:tc>
        <w:tc>
          <w:tcPr>
            <w:tcW w:w="1952" w:type="dxa"/>
            <w:vAlign w:val="center"/>
          </w:tcPr>
          <w:p w14:paraId="2DCB36DF">
            <w:pPr>
              <w:wordWrap w:val="0"/>
              <w:topLinePunct/>
              <w:jc w:val="center"/>
              <w:rPr>
                <w:rFonts w:hint="eastAsia" w:ascii="宋体" w:hAnsi="宋体" w:cs="宋体"/>
              </w:rPr>
            </w:pPr>
          </w:p>
        </w:tc>
        <w:tc>
          <w:tcPr>
            <w:tcW w:w="1952" w:type="dxa"/>
            <w:vAlign w:val="center"/>
          </w:tcPr>
          <w:p w14:paraId="6804E47F">
            <w:pPr>
              <w:wordWrap w:val="0"/>
              <w:topLinePunct/>
              <w:jc w:val="center"/>
              <w:rPr>
                <w:rFonts w:hint="eastAsia" w:ascii="宋体" w:hAnsi="宋体" w:cs="宋体"/>
              </w:rPr>
            </w:pPr>
          </w:p>
        </w:tc>
        <w:tc>
          <w:tcPr>
            <w:tcW w:w="1951" w:type="dxa"/>
            <w:vAlign w:val="center"/>
          </w:tcPr>
          <w:p w14:paraId="1EBED406">
            <w:pPr>
              <w:wordWrap w:val="0"/>
              <w:topLinePunct/>
              <w:jc w:val="center"/>
              <w:rPr>
                <w:rFonts w:hint="eastAsia" w:ascii="宋体" w:hAnsi="宋体" w:cs="宋体"/>
              </w:rPr>
            </w:pPr>
          </w:p>
        </w:tc>
        <w:tc>
          <w:tcPr>
            <w:tcW w:w="1951" w:type="dxa"/>
            <w:vAlign w:val="center"/>
          </w:tcPr>
          <w:p w14:paraId="19D8B5A3">
            <w:pPr>
              <w:wordWrap w:val="0"/>
              <w:topLinePunct/>
              <w:jc w:val="center"/>
              <w:rPr>
                <w:rFonts w:hint="eastAsia" w:ascii="宋体" w:hAnsi="宋体" w:cs="宋体"/>
              </w:rPr>
            </w:pPr>
          </w:p>
        </w:tc>
      </w:tr>
      <w:tr w14:paraId="60F9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951" w:type="dxa"/>
            <w:vAlign w:val="center"/>
          </w:tcPr>
          <w:p w14:paraId="4DA9BACB">
            <w:pPr>
              <w:wordWrap w:val="0"/>
              <w:topLinePunct/>
              <w:jc w:val="center"/>
              <w:rPr>
                <w:rFonts w:hint="eastAsia" w:ascii="宋体" w:hAnsi="宋体" w:cs="宋体"/>
              </w:rPr>
            </w:pPr>
          </w:p>
        </w:tc>
        <w:tc>
          <w:tcPr>
            <w:tcW w:w="1952" w:type="dxa"/>
            <w:vAlign w:val="center"/>
          </w:tcPr>
          <w:p w14:paraId="036FD0C5">
            <w:pPr>
              <w:wordWrap w:val="0"/>
              <w:topLinePunct/>
              <w:jc w:val="center"/>
              <w:rPr>
                <w:rFonts w:hint="eastAsia" w:ascii="宋体" w:hAnsi="宋体" w:cs="宋体"/>
              </w:rPr>
            </w:pPr>
          </w:p>
        </w:tc>
        <w:tc>
          <w:tcPr>
            <w:tcW w:w="1952" w:type="dxa"/>
            <w:vAlign w:val="center"/>
          </w:tcPr>
          <w:p w14:paraId="73A8D2EE">
            <w:pPr>
              <w:wordWrap w:val="0"/>
              <w:topLinePunct/>
              <w:jc w:val="center"/>
              <w:rPr>
                <w:rFonts w:hint="eastAsia" w:ascii="宋体" w:hAnsi="宋体" w:cs="宋体"/>
              </w:rPr>
            </w:pPr>
          </w:p>
        </w:tc>
        <w:tc>
          <w:tcPr>
            <w:tcW w:w="1951" w:type="dxa"/>
            <w:vAlign w:val="center"/>
          </w:tcPr>
          <w:p w14:paraId="2EB0EB99">
            <w:pPr>
              <w:wordWrap w:val="0"/>
              <w:topLinePunct/>
              <w:jc w:val="center"/>
              <w:rPr>
                <w:rFonts w:hint="eastAsia" w:ascii="宋体" w:hAnsi="宋体" w:cs="宋体"/>
              </w:rPr>
            </w:pPr>
          </w:p>
        </w:tc>
        <w:tc>
          <w:tcPr>
            <w:tcW w:w="1951" w:type="dxa"/>
            <w:vAlign w:val="center"/>
          </w:tcPr>
          <w:p w14:paraId="544B1F3A">
            <w:pPr>
              <w:wordWrap w:val="0"/>
              <w:topLinePunct/>
              <w:jc w:val="center"/>
              <w:rPr>
                <w:rFonts w:hint="eastAsia" w:ascii="宋体" w:hAnsi="宋体" w:cs="宋体"/>
              </w:rPr>
            </w:pPr>
          </w:p>
        </w:tc>
      </w:tr>
      <w:tr w14:paraId="5114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951" w:type="dxa"/>
            <w:vAlign w:val="center"/>
          </w:tcPr>
          <w:p w14:paraId="6C5FBE2A">
            <w:pPr>
              <w:wordWrap w:val="0"/>
              <w:topLinePunct/>
              <w:jc w:val="center"/>
              <w:rPr>
                <w:rFonts w:hint="eastAsia" w:ascii="宋体" w:hAnsi="宋体" w:cs="宋体"/>
              </w:rPr>
            </w:pPr>
          </w:p>
        </w:tc>
        <w:tc>
          <w:tcPr>
            <w:tcW w:w="1952" w:type="dxa"/>
            <w:vAlign w:val="center"/>
          </w:tcPr>
          <w:p w14:paraId="300F483F">
            <w:pPr>
              <w:wordWrap w:val="0"/>
              <w:topLinePunct/>
              <w:jc w:val="center"/>
              <w:rPr>
                <w:rFonts w:hint="eastAsia" w:ascii="宋体" w:hAnsi="宋体" w:cs="宋体"/>
              </w:rPr>
            </w:pPr>
          </w:p>
        </w:tc>
        <w:tc>
          <w:tcPr>
            <w:tcW w:w="1952" w:type="dxa"/>
            <w:vAlign w:val="center"/>
          </w:tcPr>
          <w:p w14:paraId="55535D72">
            <w:pPr>
              <w:wordWrap w:val="0"/>
              <w:topLinePunct/>
              <w:jc w:val="center"/>
              <w:rPr>
                <w:rFonts w:hint="eastAsia" w:ascii="宋体" w:hAnsi="宋体" w:cs="宋体"/>
              </w:rPr>
            </w:pPr>
          </w:p>
        </w:tc>
        <w:tc>
          <w:tcPr>
            <w:tcW w:w="1951" w:type="dxa"/>
            <w:vAlign w:val="center"/>
          </w:tcPr>
          <w:p w14:paraId="7A34BFF8">
            <w:pPr>
              <w:wordWrap w:val="0"/>
              <w:topLinePunct/>
              <w:jc w:val="center"/>
              <w:rPr>
                <w:rFonts w:hint="eastAsia" w:ascii="宋体" w:hAnsi="宋体" w:cs="宋体"/>
              </w:rPr>
            </w:pPr>
          </w:p>
        </w:tc>
        <w:tc>
          <w:tcPr>
            <w:tcW w:w="1951" w:type="dxa"/>
            <w:vAlign w:val="center"/>
          </w:tcPr>
          <w:p w14:paraId="54B579F7">
            <w:pPr>
              <w:wordWrap w:val="0"/>
              <w:topLinePunct/>
              <w:jc w:val="center"/>
              <w:rPr>
                <w:rFonts w:hint="eastAsia" w:ascii="宋体" w:hAnsi="宋体" w:cs="宋体"/>
              </w:rPr>
            </w:pPr>
          </w:p>
        </w:tc>
      </w:tr>
      <w:tr w14:paraId="5744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951" w:type="dxa"/>
            <w:vAlign w:val="center"/>
          </w:tcPr>
          <w:p w14:paraId="2671C1A1">
            <w:pPr>
              <w:wordWrap w:val="0"/>
              <w:topLinePunct/>
              <w:jc w:val="center"/>
              <w:rPr>
                <w:rFonts w:hint="eastAsia" w:ascii="宋体" w:hAnsi="宋体" w:cs="宋体"/>
              </w:rPr>
            </w:pPr>
          </w:p>
        </w:tc>
        <w:tc>
          <w:tcPr>
            <w:tcW w:w="1952" w:type="dxa"/>
            <w:vAlign w:val="center"/>
          </w:tcPr>
          <w:p w14:paraId="751DF3A9">
            <w:pPr>
              <w:wordWrap w:val="0"/>
              <w:topLinePunct/>
              <w:jc w:val="center"/>
              <w:rPr>
                <w:rFonts w:hint="eastAsia" w:ascii="宋体" w:hAnsi="宋体" w:cs="宋体"/>
              </w:rPr>
            </w:pPr>
          </w:p>
        </w:tc>
        <w:tc>
          <w:tcPr>
            <w:tcW w:w="1952" w:type="dxa"/>
            <w:vAlign w:val="center"/>
          </w:tcPr>
          <w:p w14:paraId="191980C0">
            <w:pPr>
              <w:wordWrap w:val="0"/>
              <w:topLinePunct/>
              <w:jc w:val="center"/>
              <w:rPr>
                <w:rFonts w:hint="eastAsia" w:ascii="宋体" w:hAnsi="宋体" w:cs="宋体"/>
              </w:rPr>
            </w:pPr>
          </w:p>
        </w:tc>
        <w:tc>
          <w:tcPr>
            <w:tcW w:w="1951" w:type="dxa"/>
            <w:vAlign w:val="center"/>
          </w:tcPr>
          <w:p w14:paraId="026CFE06">
            <w:pPr>
              <w:wordWrap w:val="0"/>
              <w:topLinePunct/>
              <w:jc w:val="center"/>
              <w:rPr>
                <w:rFonts w:hint="eastAsia" w:ascii="宋体" w:hAnsi="宋体" w:cs="宋体"/>
              </w:rPr>
            </w:pPr>
          </w:p>
        </w:tc>
        <w:tc>
          <w:tcPr>
            <w:tcW w:w="1951" w:type="dxa"/>
            <w:vAlign w:val="center"/>
          </w:tcPr>
          <w:p w14:paraId="2A59EF78">
            <w:pPr>
              <w:wordWrap w:val="0"/>
              <w:topLinePunct/>
              <w:jc w:val="center"/>
              <w:rPr>
                <w:rFonts w:hint="eastAsia" w:ascii="宋体" w:hAnsi="宋体" w:cs="宋体"/>
              </w:rPr>
            </w:pPr>
          </w:p>
        </w:tc>
      </w:tr>
      <w:tr w14:paraId="027A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951" w:type="dxa"/>
            <w:vAlign w:val="center"/>
          </w:tcPr>
          <w:p w14:paraId="7AE58DB6">
            <w:pPr>
              <w:wordWrap w:val="0"/>
              <w:topLinePunct/>
              <w:jc w:val="center"/>
              <w:rPr>
                <w:rFonts w:hint="eastAsia" w:ascii="宋体" w:hAnsi="宋体" w:cs="宋体"/>
              </w:rPr>
            </w:pPr>
          </w:p>
        </w:tc>
        <w:tc>
          <w:tcPr>
            <w:tcW w:w="1952" w:type="dxa"/>
            <w:vAlign w:val="center"/>
          </w:tcPr>
          <w:p w14:paraId="537A6CF6">
            <w:pPr>
              <w:wordWrap w:val="0"/>
              <w:topLinePunct/>
              <w:jc w:val="center"/>
              <w:rPr>
                <w:rFonts w:hint="eastAsia" w:ascii="宋体" w:hAnsi="宋体" w:cs="宋体"/>
              </w:rPr>
            </w:pPr>
          </w:p>
        </w:tc>
        <w:tc>
          <w:tcPr>
            <w:tcW w:w="1952" w:type="dxa"/>
            <w:vAlign w:val="center"/>
          </w:tcPr>
          <w:p w14:paraId="1AB2FE4C">
            <w:pPr>
              <w:wordWrap w:val="0"/>
              <w:topLinePunct/>
              <w:jc w:val="center"/>
              <w:rPr>
                <w:rFonts w:hint="eastAsia" w:ascii="宋体" w:hAnsi="宋体" w:cs="宋体"/>
              </w:rPr>
            </w:pPr>
          </w:p>
        </w:tc>
        <w:tc>
          <w:tcPr>
            <w:tcW w:w="1951" w:type="dxa"/>
            <w:vAlign w:val="center"/>
          </w:tcPr>
          <w:p w14:paraId="5FD276C9">
            <w:pPr>
              <w:wordWrap w:val="0"/>
              <w:topLinePunct/>
              <w:jc w:val="center"/>
              <w:rPr>
                <w:rFonts w:hint="eastAsia" w:ascii="宋体" w:hAnsi="宋体" w:cs="宋体"/>
              </w:rPr>
            </w:pPr>
          </w:p>
        </w:tc>
        <w:tc>
          <w:tcPr>
            <w:tcW w:w="1951" w:type="dxa"/>
            <w:vAlign w:val="center"/>
          </w:tcPr>
          <w:p w14:paraId="2823DA4F">
            <w:pPr>
              <w:wordWrap w:val="0"/>
              <w:topLinePunct/>
              <w:jc w:val="center"/>
              <w:rPr>
                <w:rFonts w:hint="eastAsia" w:ascii="宋体" w:hAnsi="宋体" w:cs="宋体"/>
              </w:rPr>
            </w:pPr>
          </w:p>
        </w:tc>
      </w:tr>
    </w:tbl>
    <w:p w14:paraId="66C32940">
      <w:pPr>
        <w:rPr>
          <w:rFonts w:hint="eastAsia"/>
          <w:lang w:val="zh-CN"/>
        </w:rPr>
      </w:pPr>
      <w:r>
        <w:rPr>
          <w:rFonts w:hint="eastAsia" w:ascii="宋体" w:hAnsi="宋体" w:eastAsia="宋体" w:cs="宋体"/>
          <w:color w:val="auto"/>
          <w:szCs w:val="21"/>
          <w:highlight w:val="none"/>
        </w:rPr>
        <w:t>注：按评分表附相关的证明材料扫描件。</w:t>
      </w:r>
    </w:p>
    <w:p w14:paraId="0FF10736">
      <w:pPr>
        <w:shd w:val="clear"/>
        <w:autoSpaceDE/>
        <w:autoSpaceDN/>
        <w:spacing w:line="240" w:lineRule="auto"/>
        <w:jc w:val="left"/>
        <w:rPr>
          <w:rFonts w:hint="eastAsia" w:ascii="宋体" w:hAnsi="宋体" w:eastAsia="宋体" w:cs="宋体"/>
          <w:b/>
          <w:bCs/>
          <w:color w:val="auto"/>
          <w:sz w:val="28"/>
          <w:szCs w:val="28"/>
          <w:highlight w:val="none"/>
          <w:lang w:val="zh-CN"/>
        </w:rPr>
      </w:pPr>
      <w:bookmarkStart w:id="658" w:name="OLE_LINK2"/>
      <w:r>
        <w:rPr>
          <w:rFonts w:hint="eastAsia" w:ascii="宋体" w:hAnsi="宋体" w:eastAsia="宋体" w:cs="宋体"/>
          <w:b/>
          <w:bCs/>
          <w:color w:val="auto"/>
          <w:sz w:val="28"/>
          <w:szCs w:val="28"/>
          <w:highlight w:val="none"/>
          <w:lang w:val="zh-CN"/>
        </w:rPr>
        <w:br w:type="page"/>
      </w:r>
    </w:p>
    <w:p w14:paraId="531D6E8E">
      <w:pPr>
        <w:pStyle w:val="3"/>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p>
    <w:p w14:paraId="5D0F80D6">
      <w:pPr>
        <w:jc w:val="center"/>
        <w:rPr>
          <w:rFonts w:hint="eastAsia" w:ascii="宋体" w:hAnsi="宋体" w:cs="宋体"/>
          <w:b/>
          <w:bCs/>
          <w:sz w:val="36"/>
          <w:szCs w:val="36"/>
        </w:rPr>
      </w:pPr>
      <w:r>
        <w:rPr>
          <w:rFonts w:hint="eastAsia" w:ascii="宋体" w:hAnsi="宋体" w:cs="宋体"/>
          <w:b/>
          <w:bCs/>
          <w:sz w:val="36"/>
          <w:szCs w:val="36"/>
        </w:rPr>
        <w:t>企业获奖</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055"/>
        <w:gridCol w:w="1952"/>
        <w:gridCol w:w="3605"/>
      </w:tblGrid>
      <w:tr w14:paraId="04EA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48" w:type="dxa"/>
            <w:vAlign w:val="center"/>
          </w:tcPr>
          <w:p w14:paraId="11417623">
            <w:pPr>
              <w:wordWrap w:val="0"/>
              <w:topLinePunct/>
              <w:jc w:val="center"/>
              <w:rPr>
                <w:rFonts w:hint="eastAsia" w:ascii="宋体" w:hAnsi="宋体" w:eastAsia="宋体" w:cs="宋体"/>
                <w:b/>
                <w:bCs/>
                <w:lang w:eastAsia="zh-CN"/>
              </w:rPr>
            </w:pPr>
            <w:r>
              <w:rPr>
                <w:rFonts w:hint="eastAsia" w:ascii="宋体" w:hAnsi="宋体" w:cs="宋体"/>
                <w:b/>
                <w:bCs/>
                <w:lang w:eastAsia="zh-CN"/>
              </w:rPr>
              <w:t>序号</w:t>
            </w:r>
          </w:p>
        </w:tc>
        <w:tc>
          <w:tcPr>
            <w:tcW w:w="3055" w:type="dxa"/>
            <w:vAlign w:val="center"/>
          </w:tcPr>
          <w:p w14:paraId="1AFA192B">
            <w:pPr>
              <w:wordWrap w:val="0"/>
              <w:topLinePunct/>
              <w:jc w:val="center"/>
              <w:rPr>
                <w:rFonts w:hint="eastAsia" w:ascii="宋体" w:hAnsi="宋体" w:eastAsia="宋体" w:cs="宋体"/>
                <w:b/>
                <w:bCs/>
                <w:lang w:eastAsia="zh-CN"/>
              </w:rPr>
            </w:pPr>
            <w:r>
              <w:rPr>
                <w:rFonts w:hint="eastAsia" w:ascii="宋体" w:hAnsi="宋体" w:eastAsia="宋体" w:cs="宋体"/>
                <w:b/>
                <w:bCs/>
                <w:lang w:eastAsia="zh-CN"/>
              </w:rPr>
              <w:t>项目名称</w:t>
            </w:r>
          </w:p>
        </w:tc>
        <w:tc>
          <w:tcPr>
            <w:tcW w:w="1952" w:type="dxa"/>
            <w:vAlign w:val="center"/>
          </w:tcPr>
          <w:p w14:paraId="3F62219E">
            <w:pPr>
              <w:wordWrap w:val="0"/>
              <w:topLinePunct/>
              <w:jc w:val="center"/>
              <w:rPr>
                <w:rFonts w:hint="eastAsia" w:ascii="宋体" w:hAnsi="宋体" w:eastAsia="宋体" w:cs="宋体"/>
                <w:b/>
                <w:bCs/>
                <w:lang w:eastAsia="zh-CN"/>
              </w:rPr>
            </w:pPr>
            <w:r>
              <w:rPr>
                <w:rFonts w:hint="default" w:ascii="Times New Roman" w:hAnsi="Times New Roman" w:cs="Times New Roman"/>
                <w:b/>
                <w:bCs/>
                <w:color w:val="auto"/>
                <w:sz w:val="24"/>
                <w:szCs w:val="24"/>
                <w:highlight w:val="none"/>
              </w:rPr>
              <w:t>获奖时间</w:t>
            </w:r>
          </w:p>
        </w:tc>
        <w:tc>
          <w:tcPr>
            <w:tcW w:w="3605" w:type="dxa"/>
            <w:vAlign w:val="center"/>
          </w:tcPr>
          <w:p w14:paraId="1581D43B">
            <w:pPr>
              <w:wordWrap w:val="0"/>
              <w:topLinePunct/>
              <w:jc w:val="center"/>
              <w:rPr>
                <w:rFonts w:hint="eastAsia" w:ascii="宋体" w:hAnsi="宋体" w:cs="宋体"/>
                <w:b/>
                <w:bCs/>
              </w:rPr>
            </w:pPr>
            <w:r>
              <w:rPr>
                <w:rFonts w:hint="default" w:ascii="Times New Roman" w:hAnsi="Times New Roman" w:cs="Times New Roman"/>
                <w:b/>
                <w:bCs/>
                <w:color w:val="auto"/>
                <w:sz w:val="24"/>
                <w:szCs w:val="24"/>
                <w:highlight w:val="none"/>
              </w:rPr>
              <w:t>所获奖项</w:t>
            </w:r>
          </w:p>
        </w:tc>
      </w:tr>
      <w:tr w14:paraId="5B7D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48" w:type="dxa"/>
            <w:vAlign w:val="center"/>
          </w:tcPr>
          <w:p w14:paraId="37CCF335">
            <w:pPr>
              <w:wordWrap w:val="0"/>
              <w:topLinePunct/>
              <w:jc w:val="center"/>
              <w:rPr>
                <w:rFonts w:hint="eastAsia" w:ascii="宋体" w:hAnsi="宋体" w:cs="宋体"/>
              </w:rPr>
            </w:pPr>
          </w:p>
        </w:tc>
        <w:tc>
          <w:tcPr>
            <w:tcW w:w="3055" w:type="dxa"/>
            <w:vAlign w:val="center"/>
          </w:tcPr>
          <w:p w14:paraId="79C4A313">
            <w:pPr>
              <w:wordWrap w:val="0"/>
              <w:topLinePunct/>
              <w:jc w:val="center"/>
              <w:rPr>
                <w:rFonts w:hint="eastAsia" w:ascii="宋体" w:hAnsi="宋体" w:cs="宋体"/>
              </w:rPr>
            </w:pPr>
          </w:p>
        </w:tc>
        <w:tc>
          <w:tcPr>
            <w:tcW w:w="1952" w:type="dxa"/>
            <w:vAlign w:val="center"/>
          </w:tcPr>
          <w:p w14:paraId="320DDF69">
            <w:pPr>
              <w:wordWrap w:val="0"/>
              <w:topLinePunct/>
              <w:jc w:val="center"/>
              <w:rPr>
                <w:rFonts w:hint="eastAsia" w:ascii="宋体" w:hAnsi="宋体" w:cs="宋体"/>
              </w:rPr>
            </w:pPr>
          </w:p>
        </w:tc>
        <w:tc>
          <w:tcPr>
            <w:tcW w:w="3605" w:type="dxa"/>
            <w:vAlign w:val="center"/>
          </w:tcPr>
          <w:p w14:paraId="24F15D78">
            <w:pPr>
              <w:wordWrap w:val="0"/>
              <w:topLinePunct/>
              <w:jc w:val="center"/>
              <w:rPr>
                <w:rFonts w:hint="eastAsia" w:ascii="宋体" w:hAnsi="宋体" w:cs="宋体"/>
              </w:rPr>
            </w:pPr>
          </w:p>
        </w:tc>
      </w:tr>
      <w:tr w14:paraId="2CC0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48" w:type="dxa"/>
            <w:vAlign w:val="center"/>
          </w:tcPr>
          <w:p w14:paraId="7E7DED24">
            <w:pPr>
              <w:wordWrap w:val="0"/>
              <w:topLinePunct/>
              <w:jc w:val="center"/>
              <w:rPr>
                <w:rFonts w:hint="eastAsia" w:ascii="宋体" w:hAnsi="宋体" w:cs="宋体"/>
              </w:rPr>
            </w:pPr>
          </w:p>
        </w:tc>
        <w:tc>
          <w:tcPr>
            <w:tcW w:w="3055" w:type="dxa"/>
            <w:vAlign w:val="center"/>
          </w:tcPr>
          <w:p w14:paraId="27DC8097">
            <w:pPr>
              <w:wordWrap w:val="0"/>
              <w:topLinePunct/>
              <w:jc w:val="center"/>
              <w:rPr>
                <w:rFonts w:hint="eastAsia" w:ascii="宋体" w:hAnsi="宋体" w:cs="宋体"/>
              </w:rPr>
            </w:pPr>
          </w:p>
        </w:tc>
        <w:tc>
          <w:tcPr>
            <w:tcW w:w="1952" w:type="dxa"/>
            <w:vAlign w:val="center"/>
          </w:tcPr>
          <w:p w14:paraId="45D4BDE4">
            <w:pPr>
              <w:wordWrap w:val="0"/>
              <w:topLinePunct/>
              <w:jc w:val="center"/>
              <w:rPr>
                <w:rFonts w:hint="eastAsia" w:ascii="宋体" w:hAnsi="宋体" w:cs="宋体"/>
              </w:rPr>
            </w:pPr>
          </w:p>
        </w:tc>
        <w:tc>
          <w:tcPr>
            <w:tcW w:w="3605" w:type="dxa"/>
            <w:vAlign w:val="center"/>
          </w:tcPr>
          <w:p w14:paraId="21C5BCA8">
            <w:pPr>
              <w:wordWrap w:val="0"/>
              <w:topLinePunct/>
              <w:jc w:val="center"/>
              <w:rPr>
                <w:rFonts w:hint="eastAsia" w:ascii="宋体" w:hAnsi="宋体" w:cs="宋体"/>
              </w:rPr>
            </w:pPr>
          </w:p>
        </w:tc>
      </w:tr>
      <w:tr w14:paraId="758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48" w:type="dxa"/>
            <w:vAlign w:val="center"/>
          </w:tcPr>
          <w:p w14:paraId="4AEE20A7">
            <w:pPr>
              <w:wordWrap w:val="0"/>
              <w:topLinePunct/>
              <w:jc w:val="center"/>
              <w:rPr>
                <w:rFonts w:hint="eastAsia" w:ascii="宋体" w:hAnsi="宋体" w:cs="宋体"/>
              </w:rPr>
            </w:pPr>
          </w:p>
        </w:tc>
        <w:tc>
          <w:tcPr>
            <w:tcW w:w="3055" w:type="dxa"/>
            <w:vAlign w:val="center"/>
          </w:tcPr>
          <w:p w14:paraId="757CF38F">
            <w:pPr>
              <w:wordWrap w:val="0"/>
              <w:topLinePunct/>
              <w:jc w:val="center"/>
              <w:rPr>
                <w:rFonts w:hint="eastAsia" w:ascii="宋体" w:hAnsi="宋体" w:cs="宋体"/>
              </w:rPr>
            </w:pPr>
          </w:p>
        </w:tc>
        <w:tc>
          <w:tcPr>
            <w:tcW w:w="1952" w:type="dxa"/>
            <w:vAlign w:val="center"/>
          </w:tcPr>
          <w:p w14:paraId="0282853C">
            <w:pPr>
              <w:wordWrap w:val="0"/>
              <w:topLinePunct/>
              <w:jc w:val="center"/>
              <w:rPr>
                <w:rFonts w:hint="eastAsia" w:ascii="宋体" w:hAnsi="宋体" w:cs="宋体"/>
              </w:rPr>
            </w:pPr>
          </w:p>
        </w:tc>
        <w:tc>
          <w:tcPr>
            <w:tcW w:w="3605" w:type="dxa"/>
            <w:vAlign w:val="center"/>
          </w:tcPr>
          <w:p w14:paraId="319228E2">
            <w:pPr>
              <w:wordWrap w:val="0"/>
              <w:topLinePunct/>
              <w:jc w:val="center"/>
              <w:rPr>
                <w:rFonts w:hint="eastAsia" w:ascii="宋体" w:hAnsi="宋体" w:cs="宋体"/>
              </w:rPr>
            </w:pPr>
          </w:p>
        </w:tc>
      </w:tr>
      <w:tr w14:paraId="3DB2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48" w:type="dxa"/>
            <w:vAlign w:val="center"/>
          </w:tcPr>
          <w:p w14:paraId="1826B37B">
            <w:pPr>
              <w:wordWrap w:val="0"/>
              <w:topLinePunct/>
              <w:jc w:val="center"/>
              <w:rPr>
                <w:rFonts w:hint="eastAsia" w:ascii="宋体" w:hAnsi="宋体" w:cs="宋体"/>
              </w:rPr>
            </w:pPr>
          </w:p>
        </w:tc>
        <w:tc>
          <w:tcPr>
            <w:tcW w:w="3055" w:type="dxa"/>
            <w:vAlign w:val="center"/>
          </w:tcPr>
          <w:p w14:paraId="7B3DA712">
            <w:pPr>
              <w:wordWrap w:val="0"/>
              <w:topLinePunct/>
              <w:jc w:val="center"/>
              <w:rPr>
                <w:rFonts w:hint="eastAsia" w:ascii="宋体" w:hAnsi="宋体" w:cs="宋体"/>
              </w:rPr>
            </w:pPr>
          </w:p>
        </w:tc>
        <w:tc>
          <w:tcPr>
            <w:tcW w:w="1952" w:type="dxa"/>
            <w:vAlign w:val="center"/>
          </w:tcPr>
          <w:p w14:paraId="369DB778">
            <w:pPr>
              <w:wordWrap w:val="0"/>
              <w:topLinePunct/>
              <w:jc w:val="center"/>
              <w:rPr>
                <w:rFonts w:hint="eastAsia" w:ascii="宋体" w:hAnsi="宋体" w:cs="宋体"/>
              </w:rPr>
            </w:pPr>
          </w:p>
        </w:tc>
        <w:tc>
          <w:tcPr>
            <w:tcW w:w="3605" w:type="dxa"/>
            <w:vAlign w:val="center"/>
          </w:tcPr>
          <w:p w14:paraId="5A7CE859">
            <w:pPr>
              <w:wordWrap w:val="0"/>
              <w:topLinePunct/>
              <w:jc w:val="center"/>
              <w:rPr>
                <w:rFonts w:hint="eastAsia" w:ascii="宋体" w:hAnsi="宋体" w:cs="宋体"/>
              </w:rPr>
            </w:pPr>
          </w:p>
        </w:tc>
      </w:tr>
      <w:tr w14:paraId="58CC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48" w:type="dxa"/>
            <w:vAlign w:val="center"/>
          </w:tcPr>
          <w:p w14:paraId="78C9AE12">
            <w:pPr>
              <w:wordWrap w:val="0"/>
              <w:topLinePunct/>
              <w:jc w:val="center"/>
              <w:rPr>
                <w:rFonts w:hint="eastAsia" w:ascii="宋体" w:hAnsi="宋体" w:cs="宋体"/>
              </w:rPr>
            </w:pPr>
          </w:p>
        </w:tc>
        <w:tc>
          <w:tcPr>
            <w:tcW w:w="3055" w:type="dxa"/>
            <w:vAlign w:val="center"/>
          </w:tcPr>
          <w:p w14:paraId="4A10FB22">
            <w:pPr>
              <w:wordWrap w:val="0"/>
              <w:topLinePunct/>
              <w:jc w:val="center"/>
              <w:rPr>
                <w:rFonts w:hint="eastAsia" w:ascii="宋体" w:hAnsi="宋体" w:cs="宋体"/>
              </w:rPr>
            </w:pPr>
          </w:p>
        </w:tc>
        <w:tc>
          <w:tcPr>
            <w:tcW w:w="1952" w:type="dxa"/>
            <w:vAlign w:val="center"/>
          </w:tcPr>
          <w:p w14:paraId="28F805D0">
            <w:pPr>
              <w:wordWrap w:val="0"/>
              <w:topLinePunct/>
              <w:jc w:val="center"/>
              <w:rPr>
                <w:rFonts w:hint="eastAsia" w:ascii="宋体" w:hAnsi="宋体" w:cs="宋体"/>
              </w:rPr>
            </w:pPr>
          </w:p>
        </w:tc>
        <w:tc>
          <w:tcPr>
            <w:tcW w:w="3605" w:type="dxa"/>
            <w:vAlign w:val="center"/>
          </w:tcPr>
          <w:p w14:paraId="21D6E9CE">
            <w:pPr>
              <w:wordWrap w:val="0"/>
              <w:topLinePunct/>
              <w:jc w:val="center"/>
              <w:rPr>
                <w:rFonts w:hint="eastAsia" w:ascii="宋体" w:hAnsi="宋体" w:cs="宋体"/>
              </w:rPr>
            </w:pPr>
          </w:p>
        </w:tc>
      </w:tr>
      <w:tr w14:paraId="780A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8" w:type="dxa"/>
            <w:vAlign w:val="center"/>
          </w:tcPr>
          <w:p w14:paraId="75FAD334">
            <w:pPr>
              <w:wordWrap w:val="0"/>
              <w:topLinePunct/>
              <w:jc w:val="center"/>
              <w:rPr>
                <w:rFonts w:hint="eastAsia" w:ascii="宋体" w:hAnsi="宋体" w:cs="宋体"/>
              </w:rPr>
            </w:pPr>
          </w:p>
        </w:tc>
        <w:tc>
          <w:tcPr>
            <w:tcW w:w="3055" w:type="dxa"/>
            <w:vAlign w:val="center"/>
          </w:tcPr>
          <w:p w14:paraId="30BC2248">
            <w:pPr>
              <w:wordWrap w:val="0"/>
              <w:topLinePunct/>
              <w:jc w:val="center"/>
              <w:rPr>
                <w:rFonts w:hint="eastAsia" w:ascii="宋体" w:hAnsi="宋体" w:cs="宋体"/>
              </w:rPr>
            </w:pPr>
          </w:p>
        </w:tc>
        <w:tc>
          <w:tcPr>
            <w:tcW w:w="1952" w:type="dxa"/>
            <w:vAlign w:val="center"/>
          </w:tcPr>
          <w:p w14:paraId="2DDF6A4B">
            <w:pPr>
              <w:wordWrap w:val="0"/>
              <w:topLinePunct/>
              <w:jc w:val="center"/>
              <w:rPr>
                <w:rFonts w:hint="eastAsia" w:ascii="宋体" w:hAnsi="宋体" w:cs="宋体"/>
              </w:rPr>
            </w:pPr>
          </w:p>
        </w:tc>
        <w:tc>
          <w:tcPr>
            <w:tcW w:w="3605" w:type="dxa"/>
            <w:vAlign w:val="center"/>
          </w:tcPr>
          <w:p w14:paraId="67E6ED30">
            <w:pPr>
              <w:wordWrap w:val="0"/>
              <w:topLinePunct/>
              <w:jc w:val="center"/>
              <w:rPr>
                <w:rFonts w:hint="eastAsia" w:ascii="宋体" w:hAnsi="宋体" w:cs="宋体"/>
              </w:rPr>
            </w:pPr>
          </w:p>
        </w:tc>
      </w:tr>
      <w:tr w14:paraId="787D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48" w:type="dxa"/>
            <w:vAlign w:val="center"/>
          </w:tcPr>
          <w:p w14:paraId="47757F9C">
            <w:pPr>
              <w:wordWrap w:val="0"/>
              <w:topLinePunct/>
              <w:jc w:val="center"/>
              <w:rPr>
                <w:rFonts w:hint="eastAsia" w:ascii="宋体" w:hAnsi="宋体" w:cs="宋体"/>
              </w:rPr>
            </w:pPr>
          </w:p>
        </w:tc>
        <w:tc>
          <w:tcPr>
            <w:tcW w:w="3055" w:type="dxa"/>
            <w:vAlign w:val="center"/>
          </w:tcPr>
          <w:p w14:paraId="72E0A2C8">
            <w:pPr>
              <w:wordWrap w:val="0"/>
              <w:topLinePunct/>
              <w:jc w:val="center"/>
              <w:rPr>
                <w:rFonts w:hint="eastAsia" w:ascii="宋体" w:hAnsi="宋体" w:cs="宋体"/>
              </w:rPr>
            </w:pPr>
          </w:p>
        </w:tc>
        <w:tc>
          <w:tcPr>
            <w:tcW w:w="1952" w:type="dxa"/>
            <w:vAlign w:val="center"/>
          </w:tcPr>
          <w:p w14:paraId="2645EC19">
            <w:pPr>
              <w:wordWrap w:val="0"/>
              <w:topLinePunct/>
              <w:jc w:val="center"/>
              <w:rPr>
                <w:rFonts w:hint="eastAsia" w:ascii="宋体" w:hAnsi="宋体" w:cs="宋体"/>
              </w:rPr>
            </w:pPr>
          </w:p>
        </w:tc>
        <w:tc>
          <w:tcPr>
            <w:tcW w:w="3605" w:type="dxa"/>
            <w:vAlign w:val="center"/>
          </w:tcPr>
          <w:p w14:paraId="5EF46FF2">
            <w:pPr>
              <w:wordWrap w:val="0"/>
              <w:topLinePunct/>
              <w:jc w:val="center"/>
              <w:rPr>
                <w:rFonts w:hint="eastAsia" w:ascii="宋体" w:hAnsi="宋体" w:cs="宋体"/>
              </w:rPr>
            </w:pPr>
          </w:p>
        </w:tc>
      </w:tr>
    </w:tbl>
    <w:p w14:paraId="130478C5">
      <w:pPr>
        <w:rPr>
          <w:rFonts w:hint="eastAsia"/>
          <w:lang w:val="zh-CN"/>
        </w:rPr>
      </w:pPr>
      <w:r>
        <w:rPr>
          <w:rFonts w:hint="eastAsia" w:ascii="宋体" w:hAnsi="宋体" w:eastAsia="宋体" w:cs="宋体"/>
          <w:color w:val="auto"/>
          <w:szCs w:val="21"/>
          <w:highlight w:val="none"/>
        </w:rPr>
        <w:t>注：按评分表附相关的证明材料扫描件。</w:t>
      </w:r>
    </w:p>
    <w:p w14:paraId="0F26C6A6">
      <w:pPr>
        <w:shd w:val="clear"/>
        <w:autoSpaceDE/>
        <w:autoSpaceDN/>
        <w:spacing w:line="240" w:lineRule="auto"/>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14:paraId="77504712">
      <w:pPr>
        <w:pStyle w:val="3"/>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w:t>
      </w:r>
    </w:p>
    <w:p w14:paraId="2F61E156">
      <w:pPr>
        <w:shd w:val="clear"/>
        <w:autoSpaceDE w:val="0"/>
        <w:autoSpaceDN w:val="0"/>
        <w:spacing w:line="360" w:lineRule="auto"/>
        <w:jc w:val="cente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项目管理团队人员信息表</w:t>
      </w:r>
      <w:bookmarkEnd w:id="658"/>
    </w:p>
    <w:tbl>
      <w:tblPr>
        <w:tblStyle w:val="40"/>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93"/>
        <w:gridCol w:w="545"/>
        <w:gridCol w:w="755"/>
        <w:gridCol w:w="722"/>
        <w:gridCol w:w="722"/>
        <w:gridCol w:w="721"/>
        <w:gridCol w:w="1734"/>
        <w:gridCol w:w="1156"/>
        <w:gridCol w:w="1536"/>
      </w:tblGrid>
      <w:tr w14:paraId="37F2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50" w:type="dxa"/>
            <w:tcBorders>
              <w:top w:val="single" w:color="auto" w:sz="4" w:space="0"/>
              <w:left w:val="single" w:color="auto" w:sz="4" w:space="0"/>
              <w:bottom w:val="single" w:color="auto" w:sz="4" w:space="0"/>
              <w:right w:val="single" w:color="auto" w:sz="4" w:space="0"/>
            </w:tcBorders>
            <w:vAlign w:val="center"/>
          </w:tcPr>
          <w:p w14:paraId="6C83E14E">
            <w:pPr>
              <w:pStyle w:val="97"/>
              <w:shd w:val="clear"/>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041F6310">
            <w:pPr>
              <w:pStyle w:val="97"/>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545" w:type="dxa"/>
            <w:tcBorders>
              <w:top w:val="single" w:color="auto" w:sz="4" w:space="0"/>
              <w:left w:val="single" w:color="auto" w:sz="4" w:space="0"/>
              <w:bottom w:val="single" w:color="auto" w:sz="4" w:space="0"/>
              <w:right w:val="single" w:color="auto" w:sz="4" w:space="0"/>
            </w:tcBorders>
            <w:vAlign w:val="center"/>
          </w:tcPr>
          <w:p w14:paraId="1BEA0C42">
            <w:pPr>
              <w:pStyle w:val="97"/>
              <w:shd w:val="clear"/>
              <w:jc w:val="both"/>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755" w:type="dxa"/>
            <w:tcBorders>
              <w:top w:val="single" w:color="auto" w:sz="4" w:space="0"/>
              <w:left w:val="single" w:color="auto" w:sz="4" w:space="0"/>
              <w:bottom w:val="single" w:color="auto" w:sz="4" w:space="0"/>
              <w:right w:val="single" w:color="auto" w:sz="4" w:space="0"/>
            </w:tcBorders>
            <w:vAlign w:val="center"/>
          </w:tcPr>
          <w:p w14:paraId="44DB2B31">
            <w:pPr>
              <w:pStyle w:val="97"/>
              <w:shd w:val="clear"/>
              <w:jc w:val="both"/>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722" w:type="dxa"/>
            <w:tcBorders>
              <w:top w:val="single" w:color="auto" w:sz="4" w:space="0"/>
              <w:left w:val="single" w:color="auto" w:sz="4" w:space="0"/>
              <w:bottom w:val="single" w:color="auto" w:sz="4" w:space="0"/>
              <w:right w:val="single" w:color="auto" w:sz="4" w:space="0"/>
            </w:tcBorders>
            <w:vAlign w:val="center"/>
          </w:tcPr>
          <w:p w14:paraId="66232487">
            <w:pPr>
              <w:pStyle w:val="97"/>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722" w:type="dxa"/>
            <w:tcBorders>
              <w:top w:val="single" w:color="auto" w:sz="4" w:space="0"/>
              <w:left w:val="single" w:color="auto" w:sz="4" w:space="0"/>
              <w:bottom w:val="single" w:color="auto" w:sz="4" w:space="0"/>
              <w:right w:val="single" w:color="auto" w:sz="4" w:space="0"/>
            </w:tcBorders>
            <w:vAlign w:val="center"/>
          </w:tcPr>
          <w:p w14:paraId="5C782906">
            <w:pPr>
              <w:pStyle w:val="97"/>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721" w:type="dxa"/>
            <w:tcBorders>
              <w:top w:val="single" w:color="auto" w:sz="4" w:space="0"/>
              <w:left w:val="single" w:color="auto" w:sz="4" w:space="0"/>
              <w:bottom w:val="single" w:color="auto" w:sz="4" w:space="0"/>
              <w:right w:val="single" w:color="auto" w:sz="4" w:space="0"/>
            </w:tcBorders>
            <w:vAlign w:val="center"/>
          </w:tcPr>
          <w:p w14:paraId="76150D46">
            <w:pPr>
              <w:pStyle w:val="97"/>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1734" w:type="dxa"/>
            <w:tcBorders>
              <w:top w:val="single" w:color="auto" w:sz="4" w:space="0"/>
              <w:left w:val="single" w:color="auto" w:sz="4" w:space="0"/>
              <w:bottom w:val="single" w:color="auto" w:sz="4" w:space="0"/>
              <w:right w:val="single" w:color="auto" w:sz="4" w:space="0"/>
            </w:tcBorders>
            <w:vAlign w:val="center"/>
          </w:tcPr>
          <w:p w14:paraId="44A4B480">
            <w:pPr>
              <w:pStyle w:val="97"/>
              <w:shd w:val="clear"/>
              <w:jc w:val="both"/>
              <w:rPr>
                <w:rFonts w:hint="eastAsia" w:ascii="宋体" w:hAnsi="宋体" w:eastAsia="宋体" w:cs="宋体"/>
                <w:color w:val="auto"/>
                <w:highlight w:val="none"/>
              </w:rPr>
            </w:pPr>
            <w:r>
              <w:rPr>
                <w:rFonts w:hint="eastAsia" w:ascii="宋体" w:hAnsi="宋体" w:eastAsia="宋体" w:cs="宋体"/>
                <w:color w:val="auto"/>
                <w:highlight w:val="none"/>
              </w:rPr>
              <w:t>职称证书或资格证书或者注册执业资格证编号</w:t>
            </w:r>
          </w:p>
        </w:tc>
        <w:tc>
          <w:tcPr>
            <w:tcW w:w="1156" w:type="dxa"/>
            <w:tcBorders>
              <w:top w:val="single" w:color="auto" w:sz="4" w:space="0"/>
              <w:left w:val="single" w:color="auto" w:sz="4" w:space="0"/>
              <w:bottom w:val="single" w:color="auto" w:sz="4" w:space="0"/>
              <w:right w:val="single" w:color="auto" w:sz="4" w:space="0"/>
            </w:tcBorders>
            <w:vAlign w:val="center"/>
          </w:tcPr>
          <w:p w14:paraId="245493E8">
            <w:pPr>
              <w:pStyle w:val="97"/>
              <w:shd w:val="clear"/>
              <w:jc w:val="both"/>
              <w:rPr>
                <w:rFonts w:hint="eastAsia" w:ascii="宋体" w:hAnsi="宋体" w:eastAsia="宋体" w:cs="宋体"/>
                <w:color w:val="auto"/>
                <w:highlight w:val="none"/>
              </w:rPr>
            </w:pPr>
            <w:r>
              <w:rPr>
                <w:rFonts w:hint="eastAsia" w:ascii="宋体" w:hAnsi="宋体" w:eastAsia="宋体" w:cs="宋体"/>
                <w:color w:val="auto"/>
                <w:highlight w:val="none"/>
              </w:rPr>
              <w:t>从事工程工作年限</w:t>
            </w:r>
          </w:p>
        </w:tc>
        <w:tc>
          <w:tcPr>
            <w:tcW w:w="1536" w:type="dxa"/>
            <w:tcBorders>
              <w:top w:val="single" w:color="auto" w:sz="4" w:space="0"/>
              <w:left w:val="single" w:color="auto" w:sz="4" w:space="0"/>
              <w:bottom w:val="single" w:color="auto" w:sz="4" w:space="0"/>
              <w:right w:val="single" w:color="auto" w:sz="4" w:space="0"/>
            </w:tcBorders>
            <w:vAlign w:val="center"/>
          </w:tcPr>
          <w:p w14:paraId="37031E03">
            <w:pPr>
              <w:pStyle w:val="97"/>
              <w:shd w:val="clear"/>
              <w:jc w:val="both"/>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DC1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2217740A">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8D20B2E">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6A3A4438">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07BCCB1D">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76F6DE20">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70DB03C">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9C60B63">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1C6826D6">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3CD0CF9D">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3D91137C">
            <w:pPr>
              <w:pStyle w:val="115"/>
              <w:shd w:val="clear"/>
              <w:adjustRightInd/>
              <w:snapToGrid/>
              <w:ind w:firstLine="496"/>
              <w:rPr>
                <w:rFonts w:hint="eastAsia" w:ascii="宋体" w:hAnsi="宋体" w:eastAsia="宋体" w:cs="宋体"/>
                <w:snapToGrid w:val="0"/>
                <w:color w:val="auto"/>
                <w:highlight w:val="none"/>
              </w:rPr>
            </w:pPr>
          </w:p>
        </w:tc>
      </w:tr>
      <w:tr w14:paraId="69CF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0F61A870">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7E6B232">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5B30E4BA">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69369EFF">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48790D85">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6656B059">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4E821309">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52FCB2B1">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6D306D24">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225E42C6">
            <w:pPr>
              <w:pStyle w:val="115"/>
              <w:shd w:val="clear"/>
              <w:adjustRightInd/>
              <w:snapToGrid/>
              <w:ind w:firstLine="496"/>
              <w:rPr>
                <w:rFonts w:hint="eastAsia" w:ascii="宋体" w:hAnsi="宋体" w:eastAsia="宋体" w:cs="宋体"/>
                <w:snapToGrid w:val="0"/>
                <w:color w:val="auto"/>
                <w:highlight w:val="none"/>
              </w:rPr>
            </w:pPr>
          </w:p>
        </w:tc>
      </w:tr>
      <w:tr w14:paraId="0438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7964221B">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5919D2A8">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4693C001">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637A6504">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0ABAA9EA">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020383DE">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8E17F91">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38CD2086">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3BADE072">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79EBB02A">
            <w:pPr>
              <w:pStyle w:val="115"/>
              <w:shd w:val="clear"/>
              <w:adjustRightInd/>
              <w:snapToGrid/>
              <w:ind w:firstLine="496"/>
              <w:rPr>
                <w:rFonts w:hint="eastAsia" w:ascii="宋体" w:hAnsi="宋体" w:eastAsia="宋体" w:cs="宋体"/>
                <w:snapToGrid w:val="0"/>
                <w:color w:val="auto"/>
                <w:highlight w:val="none"/>
              </w:rPr>
            </w:pPr>
          </w:p>
        </w:tc>
      </w:tr>
      <w:tr w14:paraId="690F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2CDE41DC">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00FAC5EE">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08FA6253">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7E8E9BA1">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7445C72B">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1B22CE76">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3643FF79">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0C2FB6A1">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5EC1C209">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7759BA5E">
            <w:pPr>
              <w:pStyle w:val="115"/>
              <w:shd w:val="clear"/>
              <w:adjustRightInd/>
              <w:snapToGrid/>
              <w:ind w:firstLine="496"/>
              <w:rPr>
                <w:rFonts w:hint="eastAsia" w:ascii="宋体" w:hAnsi="宋体" w:eastAsia="宋体" w:cs="宋体"/>
                <w:snapToGrid w:val="0"/>
                <w:color w:val="auto"/>
                <w:highlight w:val="none"/>
              </w:rPr>
            </w:pPr>
          </w:p>
        </w:tc>
      </w:tr>
      <w:tr w14:paraId="0B8D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319BA4DC">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1FE642D">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5029700E">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681AA8FF">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2E657F65">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344521A">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1C9B6A3">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104BD6FB">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227E910D">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1BCEB33A">
            <w:pPr>
              <w:pStyle w:val="115"/>
              <w:shd w:val="clear"/>
              <w:adjustRightInd/>
              <w:snapToGrid/>
              <w:ind w:firstLine="496"/>
              <w:rPr>
                <w:rFonts w:hint="eastAsia" w:ascii="宋体" w:hAnsi="宋体" w:eastAsia="宋体" w:cs="宋体"/>
                <w:snapToGrid w:val="0"/>
                <w:color w:val="auto"/>
                <w:highlight w:val="none"/>
              </w:rPr>
            </w:pPr>
          </w:p>
        </w:tc>
      </w:tr>
      <w:tr w14:paraId="3DE4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7FAB9399">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38742E19">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1BE4C0D3">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0D74F6FA">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1BB77358">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7CD7B5C0">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11E0AB63">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4D18F2F2">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2E3440DB">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50A0E702">
            <w:pPr>
              <w:pStyle w:val="115"/>
              <w:shd w:val="clear"/>
              <w:adjustRightInd/>
              <w:snapToGrid/>
              <w:ind w:firstLine="496"/>
              <w:rPr>
                <w:rFonts w:hint="eastAsia" w:ascii="宋体" w:hAnsi="宋体" w:eastAsia="宋体" w:cs="宋体"/>
                <w:snapToGrid w:val="0"/>
                <w:color w:val="auto"/>
                <w:highlight w:val="none"/>
              </w:rPr>
            </w:pPr>
          </w:p>
        </w:tc>
      </w:tr>
      <w:tr w14:paraId="1EF2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2849D207">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0BCA9F0">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54EB4D36">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270B5BCE">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41B20D69">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10354AF">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48C2B6F1">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25F048EF">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405179E2">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05DC6AE0">
            <w:pPr>
              <w:pStyle w:val="115"/>
              <w:shd w:val="clear"/>
              <w:adjustRightInd/>
              <w:snapToGrid/>
              <w:ind w:firstLine="496"/>
              <w:rPr>
                <w:rFonts w:hint="eastAsia" w:ascii="宋体" w:hAnsi="宋体" w:eastAsia="宋体" w:cs="宋体"/>
                <w:snapToGrid w:val="0"/>
                <w:color w:val="auto"/>
                <w:highlight w:val="none"/>
              </w:rPr>
            </w:pPr>
          </w:p>
        </w:tc>
      </w:tr>
      <w:tr w14:paraId="13E9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5CA4EDF3">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26F01FEE">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78DBA3DB">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1101C3CB">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100B3751">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4C371EB">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EF4349A">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329B6750">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0380CE39">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4846870F">
            <w:pPr>
              <w:pStyle w:val="115"/>
              <w:shd w:val="clear"/>
              <w:adjustRightInd/>
              <w:snapToGrid/>
              <w:ind w:firstLine="496"/>
              <w:rPr>
                <w:rFonts w:hint="eastAsia" w:ascii="宋体" w:hAnsi="宋体" w:eastAsia="宋体" w:cs="宋体"/>
                <w:snapToGrid w:val="0"/>
                <w:color w:val="auto"/>
                <w:highlight w:val="none"/>
              </w:rPr>
            </w:pPr>
          </w:p>
        </w:tc>
      </w:tr>
      <w:tr w14:paraId="5BC4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4CC8AE95">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1760958C">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5A4E3985">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03E673A6">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05D30D59">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29DE0E87">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6ED65F4F">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2C3F6EA1">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6D66557E">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4E1EE5A9">
            <w:pPr>
              <w:pStyle w:val="115"/>
              <w:shd w:val="clear"/>
              <w:adjustRightInd/>
              <w:snapToGrid/>
              <w:ind w:firstLine="496"/>
              <w:rPr>
                <w:rFonts w:hint="eastAsia" w:ascii="宋体" w:hAnsi="宋体" w:eastAsia="宋体" w:cs="宋体"/>
                <w:snapToGrid w:val="0"/>
                <w:color w:val="auto"/>
                <w:highlight w:val="none"/>
              </w:rPr>
            </w:pPr>
          </w:p>
        </w:tc>
      </w:tr>
      <w:tr w14:paraId="08AA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550" w:type="dxa"/>
            <w:tcBorders>
              <w:top w:val="single" w:color="auto" w:sz="4" w:space="0"/>
              <w:left w:val="single" w:color="auto" w:sz="4" w:space="0"/>
              <w:bottom w:val="single" w:color="auto" w:sz="4" w:space="0"/>
              <w:right w:val="single" w:color="auto" w:sz="4" w:space="0"/>
            </w:tcBorders>
            <w:vAlign w:val="center"/>
          </w:tcPr>
          <w:p w14:paraId="74A719D8">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4FA1C797">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606F3965">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641A4F32">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32A297A9">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4945781E">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ABF9B35">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0E9CF7CD">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14B0460D">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7E902036">
            <w:pPr>
              <w:pStyle w:val="115"/>
              <w:shd w:val="clear"/>
              <w:adjustRightInd/>
              <w:snapToGrid/>
              <w:ind w:firstLine="496"/>
              <w:rPr>
                <w:rFonts w:hint="eastAsia" w:ascii="宋体" w:hAnsi="宋体" w:eastAsia="宋体" w:cs="宋体"/>
                <w:snapToGrid w:val="0"/>
                <w:color w:val="auto"/>
                <w:highlight w:val="none"/>
              </w:rPr>
            </w:pPr>
          </w:p>
        </w:tc>
      </w:tr>
      <w:tr w14:paraId="46E9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550" w:type="dxa"/>
            <w:tcBorders>
              <w:top w:val="single" w:color="auto" w:sz="4" w:space="0"/>
              <w:left w:val="single" w:color="auto" w:sz="4" w:space="0"/>
              <w:bottom w:val="single" w:color="auto" w:sz="4" w:space="0"/>
              <w:right w:val="single" w:color="auto" w:sz="4" w:space="0"/>
            </w:tcBorders>
            <w:vAlign w:val="center"/>
          </w:tcPr>
          <w:p w14:paraId="289C9488">
            <w:pPr>
              <w:pStyle w:val="115"/>
              <w:shd w:val="clear"/>
              <w:adjustRightInd/>
              <w:snapToGrid/>
              <w:ind w:firstLine="496"/>
              <w:rPr>
                <w:rFonts w:hint="eastAsia" w:ascii="宋体" w:hAnsi="宋体" w:eastAsia="宋体" w:cs="宋体"/>
                <w:snapToGrid w:val="0"/>
                <w:color w:val="auto"/>
                <w:highlight w:val="none"/>
              </w:rPr>
            </w:pPr>
          </w:p>
        </w:tc>
        <w:tc>
          <w:tcPr>
            <w:tcW w:w="1293" w:type="dxa"/>
            <w:tcBorders>
              <w:top w:val="single" w:color="auto" w:sz="4" w:space="0"/>
              <w:left w:val="single" w:color="auto" w:sz="4" w:space="0"/>
              <w:bottom w:val="single" w:color="auto" w:sz="4" w:space="0"/>
              <w:right w:val="single" w:color="auto" w:sz="4" w:space="0"/>
            </w:tcBorders>
            <w:vAlign w:val="center"/>
          </w:tcPr>
          <w:p w14:paraId="64A943B1">
            <w:pPr>
              <w:pStyle w:val="115"/>
              <w:shd w:val="clear"/>
              <w:adjustRightInd/>
              <w:snapToGrid/>
              <w:ind w:firstLine="496"/>
              <w:rPr>
                <w:rFonts w:hint="eastAsia" w:ascii="宋体" w:hAnsi="宋体" w:eastAsia="宋体" w:cs="宋体"/>
                <w:snapToGrid w:val="0"/>
                <w:color w:val="auto"/>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14:paraId="11B06975">
            <w:pPr>
              <w:pStyle w:val="115"/>
              <w:shd w:val="clear"/>
              <w:adjustRightInd/>
              <w:snapToGrid/>
              <w:ind w:firstLine="496"/>
              <w:rPr>
                <w:rFonts w:hint="eastAsia" w:ascii="宋体" w:hAnsi="宋体" w:eastAsia="宋体" w:cs="宋体"/>
                <w:snapToGrid w:val="0"/>
                <w:color w:val="auto"/>
                <w:highlight w:val="none"/>
              </w:rPr>
            </w:pPr>
          </w:p>
        </w:tc>
        <w:tc>
          <w:tcPr>
            <w:tcW w:w="755" w:type="dxa"/>
            <w:tcBorders>
              <w:top w:val="single" w:color="auto" w:sz="4" w:space="0"/>
              <w:left w:val="single" w:color="auto" w:sz="4" w:space="0"/>
              <w:bottom w:val="single" w:color="auto" w:sz="4" w:space="0"/>
              <w:right w:val="single" w:color="auto" w:sz="4" w:space="0"/>
            </w:tcBorders>
            <w:vAlign w:val="center"/>
          </w:tcPr>
          <w:p w14:paraId="256D9E51">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tcPr>
          <w:p w14:paraId="31A07DE6">
            <w:pPr>
              <w:pStyle w:val="115"/>
              <w:shd w:val="clear"/>
              <w:adjustRightInd/>
              <w:snapToGrid/>
              <w:ind w:firstLine="496"/>
              <w:rPr>
                <w:rFonts w:hint="eastAsia" w:ascii="宋体" w:hAnsi="宋体" w:eastAsia="宋体" w:cs="宋体"/>
                <w:snapToGrid w:val="0"/>
                <w:color w:val="auto"/>
                <w:highlight w:val="none"/>
              </w:rPr>
            </w:pPr>
          </w:p>
        </w:tc>
        <w:tc>
          <w:tcPr>
            <w:tcW w:w="722" w:type="dxa"/>
            <w:tcBorders>
              <w:top w:val="single" w:color="auto" w:sz="4" w:space="0"/>
              <w:left w:val="single" w:color="auto" w:sz="4" w:space="0"/>
              <w:bottom w:val="single" w:color="auto" w:sz="4" w:space="0"/>
              <w:right w:val="single" w:color="auto" w:sz="4" w:space="0"/>
            </w:tcBorders>
            <w:vAlign w:val="center"/>
          </w:tcPr>
          <w:p w14:paraId="55886D0A">
            <w:pPr>
              <w:pStyle w:val="115"/>
              <w:shd w:val="clear"/>
              <w:adjustRightInd/>
              <w:snapToGrid/>
              <w:ind w:firstLine="496"/>
              <w:rPr>
                <w:rFonts w:hint="eastAsia" w:ascii="宋体" w:hAnsi="宋体" w:eastAsia="宋体" w:cs="宋体"/>
                <w:snapToGrid w:val="0"/>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14:paraId="535DB195">
            <w:pPr>
              <w:pStyle w:val="115"/>
              <w:shd w:val="clear"/>
              <w:adjustRightInd/>
              <w:snapToGrid/>
              <w:ind w:firstLine="496"/>
              <w:rPr>
                <w:rFonts w:hint="eastAsia" w:ascii="宋体" w:hAnsi="宋体" w:eastAsia="宋体" w:cs="宋体"/>
                <w:snapToGrid w:val="0"/>
                <w:color w:val="auto"/>
                <w:highlight w:val="none"/>
              </w:rPr>
            </w:pPr>
          </w:p>
        </w:tc>
        <w:tc>
          <w:tcPr>
            <w:tcW w:w="1734" w:type="dxa"/>
            <w:tcBorders>
              <w:top w:val="single" w:color="auto" w:sz="4" w:space="0"/>
              <w:left w:val="single" w:color="auto" w:sz="4" w:space="0"/>
              <w:bottom w:val="single" w:color="auto" w:sz="4" w:space="0"/>
              <w:right w:val="single" w:color="auto" w:sz="4" w:space="0"/>
            </w:tcBorders>
            <w:vAlign w:val="center"/>
          </w:tcPr>
          <w:p w14:paraId="6E16B097">
            <w:pPr>
              <w:pStyle w:val="115"/>
              <w:shd w:val="clear"/>
              <w:adjustRightInd/>
              <w:snapToGrid/>
              <w:ind w:firstLine="496"/>
              <w:rPr>
                <w:rFonts w:hint="eastAsia" w:ascii="宋体" w:hAnsi="宋体" w:eastAsia="宋体" w:cs="宋体"/>
                <w:snapToGrid w:val="0"/>
                <w:color w:val="auto"/>
                <w:highlight w:val="none"/>
              </w:rPr>
            </w:pPr>
          </w:p>
        </w:tc>
        <w:tc>
          <w:tcPr>
            <w:tcW w:w="1156" w:type="dxa"/>
            <w:tcBorders>
              <w:top w:val="single" w:color="auto" w:sz="4" w:space="0"/>
              <w:left w:val="single" w:color="auto" w:sz="4" w:space="0"/>
              <w:bottom w:val="single" w:color="auto" w:sz="4" w:space="0"/>
              <w:right w:val="single" w:color="auto" w:sz="4" w:space="0"/>
            </w:tcBorders>
          </w:tcPr>
          <w:p w14:paraId="0F1E2213">
            <w:pPr>
              <w:pStyle w:val="115"/>
              <w:shd w:val="clear"/>
              <w:adjustRightInd/>
              <w:snapToGrid/>
              <w:ind w:firstLine="496"/>
              <w:rPr>
                <w:rFonts w:hint="eastAsia" w:ascii="宋体" w:hAnsi="宋体" w:eastAsia="宋体" w:cs="宋体"/>
                <w:snapToGrid w:val="0"/>
                <w:color w:val="auto"/>
                <w:highlight w:val="none"/>
              </w:rPr>
            </w:pPr>
          </w:p>
        </w:tc>
        <w:tc>
          <w:tcPr>
            <w:tcW w:w="1536" w:type="dxa"/>
            <w:tcBorders>
              <w:top w:val="single" w:color="auto" w:sz="4" w:space="0"/>
              <w:left w:val="single" w:color="auto" w:sz="4" w:space="0"/>
              <w:bottom w:val="single" w:color="auto" w:sz="4" w:space="0"/>
              <w:right w:val="single" w:color="auto" w:sz="4" w:space="0"/>
            </w:tcBorders>
          </w:tcPr>
          <w:p w14:paraId="570199F2">
            <w:pPr>
              <w:pStyle w:val="115"/>
              <w:shd w:val="clear"/>
              <w:adjustRightInd/>
              <w:snapToGrid/>
              <w:ind w:firstLine="496"/>
              <w:rPr>
                <w:rFonts w:hint="eastAsia" w:ascii="宋体" w:hAnsi="宋体" w:eastAsia="宋体" w:cs="宋体"/>
                <w:snapToGrid w:val="0"/>
                <w:color w:val="auto"/>
                <w:highlight w:val="none"/>
              </w:rPr>
            </w:pPr>
          </w:p>
        </w:tc>
      </w:tr>
    </w:tbl>
    <w:p w14:paraId="27D0C5CC">
      <w:pPr>
        <w:shd w:val="clear"/>
        <w:autoSpaceDE w:val="0"/>
        <w:autoSpaceDN w:val="0"/>
        <w:ind w:firstLine="420" w:firstLineChars="200"/>
        <w:rPr>
          <w:rFonts w:hint="eastAsia" w:ascii="宋体" w:hAnsi="宋体" w:eastAsia="宋体" w:cs="宋体"/>
          <w:color w:val="auto"/>
          <w:szCs w:val="21"/>
          <w:highlight w:val="none"/>
        </w:rPr>
      </w:pPr>
    </w:p>
    <w:p w14:paraId="74861E51">
      <w:pPr>
        <w:shd w:val="clear"/>
        <w:autoSpaceDE w:val="0"/>
        <w:autoSpaceDN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注：按评分表附相关的证明材料扫描件。</w:t>
      </w:r>
    </w:p>
    <w:p w14:paraId="54CF8DA2">
      <w:pPr>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ECF2B1E">
      <w:pPr>
        <w:pStyle w:val="3"/>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w:t>
      </w:r>
    </w:p>
    <w:p w14:paraId="31125D2C">
      <w:pPr>
        <w:jc w:val="center"/>
        <w:rPr>
          <w:rFonts w:hint="eastAsia" w:ascii="宋体" w:hAnsi="宋体" w:cs="宋体"/>
          <w:b/>
          <w:bCs/>
          <w:sz w:val="36"/>
          <w:szCs w:val="36"/>
        </w:rPr>
      </w:pPr>
      <w:r>
        <w:rPr>
          <w:rFonts w:hint="eastAsia" w:ascii="宋体" w:hAnsi="宋体" w:cs="宋体"/>
          <w:b/>
          <w:bCs/>
          <w:sz w:val="36"/>
          <w:szCs w:val="36"/>
        </w:rPr>
        <w:t>企业资信</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055"/>
        <w:gridCol w:w="1952"/>
        <w:gridCol w:w="3605"/>
      </w:tblGrid>
      <w:tr w14:paraId="7EA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48" w:type="dxa"/>
            <w:vAlign w:val="center"/>
          </w:tcPr>
          <w:p w14:paraId="6C822D4D">
            <w:pPr>
              <w:wordWrap w:val="0"/>
              <w:topLinePunct/>
              <w:jc w:val="center"/>
              <w:rPr>
                <w:rFonts w:hint="eastAsia" w:ascii="宋体" w:hAnsi="宋体" w:eastAsia="宋体" w:cs="宋体"/>
                <w:b/>
                <w:bCs/>
                <w:lang w:eastAsia="zh-CN"/>
              </w:rPr>
            </w:pPr>
            <w:r>
              <w:rPr>
                <w:rFonts w:hint="eastAsia" w:ascii="宋体" w:hAnsi="宋体" w:cs="宋体"/>
                <w:b/>
                <w:bCs/>
                <w:lang w:eastAsia="zh-CN"/>
              </w:rPr>
              <w:t>序号</w:t>
            </w:r>
          </w:p>
        </w:tc>
        <w:tc>
          <w:tcPr>
            <w:tcW w:w="3055" w:type="dxa"/>
            <w:vAlign w:val="center"/>
          </w:tcPr>
          <w:p w14:paraId="4ABF9A63">
            <w:pPr>
              <w:wordWrap w:val="0"/>
              <w:topLinePunct/>
              <w:jc w:val="center"/>
              <w:rPr>
                <w:rFonts w:hint="eastAsia" w:ascii="宋体" w:hAnsi="宋体" w:eastAsia="宋体" w:cs="宋体"/>
                <w:b/>
                <w:bCs/>
                <w:lang w:eastAsia="zh-CN"/>
              </w:rPr>
            </w:pPr>
            <w:r>
              <w:rPr>
                <w:rFonts w:hint="eastAsia" w:ascii="宋体" w:hAnsi="宋体" w:eastAsia="宋体" w:cs="宋体"/>
                <w:b/>
                <w:bCs/>
                <w:lang w:eastAsia="zh-CN"/>
              </w:rPr>
              <w:t>“纳税信用A级纳税人”称号</w:t>
            </w:r>
          </w:p>
        </w:tc>
        <w:tc>
          <w:tcPr>
            <w:tcW w:w="1952" w:type="dxa"/>
            <w:vAlign w:val="center"/>
          </w:tcPr>
          <w:p w14:paraId="0ED3A5AA">
            <w:pPr>
              <w:wordWrap w:val="0"/>
              <w:topLinePunct/>
              <w:jc w:val="center"/>
              <w:rPr>
                <w:rFonts w:hint="eastAsia" w:ascii="宋体" w:hAnsi="宋体" w:eastAsia="宋体" w:cs="宋体"/>
                <w:b/>
                <w:bCs/>
                <w:lang w:eastAsia="zh-CN"/>
              </w:rPr>
            </w:pPr>
            <w:r>
              <w:rPr>
                <w:rFonts w:hint="eastAsia" w:ascii="宋体" w:hAnsi="宋体" w:cs="宋体"/>
                <w:b/>
                <w:bCs/>
                <w:lang w:eastAsia="zh-CN"/>
              </w:rPr>
              <w:t>年度</w:t>
            </w:r>
          </w:p>
        </w:tc>
        <w:tc>
          <w:tcPr>
            <w:tcW w:w="3605" w:type="dxa"/>
            <w:vAlign w:val="center"/>
          </w:tcPr>
          <w:p w14:paraId="0EE2BACC">
            <w:pPr>
              <w:wordWrap w:val="0"/>
              <w:topLinePunct/>
              <w:jc w:val="center"/>
              <w:rPr>
                <w:rFonts w:hint="eastAsia" w:ascii="宋体" w:hAnsi="宋体" w:eastAsia="宋体" w:cs="宋体"/>
                <w:b/>
                <w:bCs/>
                <w:lang w:eastAsia="zh-CN"/>
              </w:rPr>
            </w:pPr>
            <w:r>
              <w:rPr>
                <w:rFonts w:hint="eastAsia" w:ascii="宋体" w:hAnsi="宋体" w:cs="宋体"/>
                <w:b/>
                <w:bCs/>
                <w:lang w:eastAsia="zh-CN"/>
              </w:rPr>
              <w:t>颁发单位</w:t>
            </w:r>
          </w:p>
        </w:tc>
      </w:tr>
      <w:tr w14:paraId="67FA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48" w:type="dxa"/>
            <w:vAlign w:val="center"/>
          </w:tcPr>
          <w:p w14:paraId="3A9DCD93">
            <w:pPr>
              <w:wordWrap w:val="0"/>
              <w:topLinePunct/>
              <w:jc w:val="center"/>
              <w:rPr>
                <w:rFonts w:hint="eastAsia" w:ascii="宋体" w:hAnsi="宋体" w:cs="宋体"/>
              </w:rPr>
            </w:pPr>
          </w:p>
        </w:tc>
        <w:tc>
          <w:tcPr>
            <w:tcW w:w="3055" w:type="dxa"/>
            <w:vAlign w:val="center"/>
          </w:tcPr>
          <w:p w14:paraId="3A2A9F7C">
            <w:pPr>
              <w:wordWrap w:val="0"/>
              <w:topLinePunct/>
              <w:jc w:val="center"/>
              <w:rPr>
                <w:rFonts w:hint="eastAsia" w:ascii="宋体" w:hAnsi="宋体" w:cs="宋体"/>
              </w:rPr>
            </w:pPr>
          </w:p>
        </w:tc>
        <w:tc>
          <w:tcPr>
            <w:tcW w:w="1952" w:type="dxa"/>
            <w:vAlign w:val="center"/>
          </w:tcPr>
          <w:p w14:paraId="6E7906A8">
            <w:pPr>
              <w:wordWrap w:val="0"/>
              <w:topLinePunct/>
              <w:jc w:val="center"/>
              <w:rPr>
                <w:rFonts w:hint="eastAsia" w:ascii="宋体" w:hAnsi="宋体" w:cs="宋体"/>
              </w:rPr>
            </w:pPr>
          </w:p>
        </w:tc>
        <w:tc>
          <w:tcPr>
            <w:tcW w:w="3605" w:type="dxa"/>
            <w:vAlign w:val="center"/>
          </w:tcPr>
          <w:p w14:paraId="4F25CB1E">
            <w:pPr>
              <w:wordWrap w:val="0"/>
              <w:topLinePunct/>
              <w:jc w:val="center"/>
              <w:rPr>
                <w:rFonts w:hint="eastAsia" w:ascii="宋体" w:hAnsi="宋体" w:cs="宋体"/>
              </w:rPr>
            </w:pPr>
          </w:p>
        </w:tc>
      </w:tr>
      <w:tr w14:paraId="2069B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48" w:type="dxa"/>
            <w:vAlign w:val="center"/>
          </w:tcPr>
          <w:p w14:paraId="0A537143">
            <w:pPr>
              <w:wordWrap w:val="0"/>
              <w:topLinePunct/>
              <w:jc w:val="center"/>
              <w:rPr>
                <w:rFonts w:hint="eastAsia" w:ascii="宋体" w:hAnsi="宋体" w:cs="宋体"/>
              </w:rPr>
            </w:pPr>
          </w:p>
        </w:tc>
        <w:tc>
          <w:tcPr>
            <w:tcW w:w="3055" w:type="dxa"/>
            <w:vAlign w:val="center"/>
          </w:tcPr>
          <w:p w14:paraId="07091B89">
            <w:pPr>
              <w:wordWrap w:val="0"/>
              <w:topLinePunct/>
              <w:jc w:val="center"/>
              <w:rPr>
                <w:rFonts w:hint="eastAsia" w:ascii="宋体" w:hAnsi="宋体" w:cs="宋体"/>
              </w:rPr>
            </w:pPr>
          </w:p>
        </w:tc>
        <w:tc>
          <w:tcPr>
            <w:tcW w:w="1952" w:type="dxa"/>
            <w:vAlign w:val="center"/>
          </w:tcPr>
          <w:p w14:paraId="4DD20CE8">
            <w:pPr>
              <w:wordWrap w:val="0"/>
              <w:topLinePunct/>
              <w:jc w:val="center"/>
              <w:rPr>
                <w:rFonts w:hint="eastAsia" w:ascii="宋体" w:hAnsi="宋体" w:cs="宋体"/>
              </w:rPr>
            </w:pPr>
          </w:p>
        </w:tc>
        <w:tc>
          <w:tcPr>
            <w:tcW w:w="3605" w:type="dxa"/>
            <w:vAlign w:val="center"/>
          </w:tcPr>
          <w:p w14:paraId="031638C9">
            <w:pPr>
              <w:wordWrap w:val="0"/>
              <w:topLinePunct/>
              <w:jc w:val="center"/>
              <w:rPr>
                <w:rFonts w:hint="eastAsia" w:ascii="宋体" w:hAnsi="宋体" w:cs="宋体"/>
              </w:rPr>
            </w:pPr>
          </w:p>
        </w:tc>
      </w:tr>
      <w:tr w14:paraId="3A95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48" w:type="dxa"/>
            <w:vAlign w:val="center"/>
          </w:tcPr>
          <w:p w14:paraId="7BF1A9F6">
            <w:pPr>
              <w:wordWrap w:val="0"/>
              <w:topLinePunct/>
              <w:jc w:val="center"/>
              <w:rPr>
                <w:rFonts w:hint="eastAsia" w:ascii="宋体" w:hAnsi="宋体" w:cs="宋体"/>
              </w:rPr>
            </w:pPr>
          </w:p>
        </w:tc>
        <w:tc>
          <w:tcPr>
            <w:tcW w:w="3055" w:type="dxa"/>
            <w:vAlign w:val="center"/>
          </w:tcPr>
          <w:p w14:paraId="7AC36DE0">
            <w:pPr>
              <w:wordWrap w:val="0"/>
              <w:topLinePunct/>
              <w:jc w:val="center"/>
              <w:rPr>
                <w:rFonts w:hint="eastAsia" w:ascii="宋体" w:hAnsi="宋体" w:cs="宋体"/>
              </w:rPr>
            </w:pPr>
          </w:p>
        </w:tc>
        <w:tc>
          <w:tcPr>
            <w:tcW w:w="1952" w:type="dxa"/>
            <w:vAlign w:val="center"/>
          </w:tcPr>
          <w:p w14:paraId="126A9F23">
            <w:pPr>
              <w:wordWrap w:val="0"/>
              <w:topLinePunct/>
              <w:jc w:val="center"/>
              <w:rPr>
                <w:rFonts w:hint="eastAsia" w:ascii="宋体" w:hAnsi="宋体" w:cs="宋体"/>
              </w:rPr>
            </w:pPr>
          </w:p>
        </w:tc>
        <w:tc>
          <w:tcPr>
            <w:tcW w:w="3605" w:type="dxa"/>
            <w:vAlign w:val="center"/>
          </w:tcPr>
          <w:p w14:paraId="498998AA">
            <w:pPr>
              <w:wordWrap w:val="0"/>
              <w:topLinePunct/>
              <w:jc w:val="center"/>
              <w:rPr>
                <w:rFonts w:hint="eastAsia" w:ascii="宋体" w:hAnsi="宋体" w:cs="宋体"/>
              </w:rPr>
            </w:pPr>
          </w:p>
        </w:tc>
      </w:tr>
      <w:tr w14:paraId="2354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48" w:type="dxa"/>
            <w:vAlign w:val="center"/>
          </w:tcPr>
          <w:p w14:paraId="27640340">
            <w:pPr>
              <w:wordWrap w:val="0"/>
              <w:topLinePunct/>
              <w:jc w:val="center"/>
              <w:rPr>
                <w:rFonts w:hint="eastAsia" w:ascii="宋体" w:hAnsi="宋体" w:cs="宋体"/>
              </w:rPr>
            </w:pPr>
          </w:p>
        </w:tc>
        <w:tc>
          <w:tcPr>
            <w:tcW w:w="3055" w:type="dxa"/>
            <w:vAlign w:val="center"/>
          </w:tcPr>
          <w:p w14:paraId="13BEA6CA">
            <w:pPr>
              <w:wordWrap w:val="0"/>
              <w:topLinePunct/>
              <w:jc w:val="center"/>
              <w:rPr>
                <w:rFonts w:hint="eastAsia" w:ascii="宋体" w:hAnsi="宋体" w:cs="宋体"/>
              </w:rPr>
            </w:pPr>
          </w:p>
        </w:tc>
        <w:tc>
          <w:tcPr>
            <w:tcW w:w="1952" w:type="dxa"/>
            <w:vAlign w:val="center"/>
          </w:tcPr>
          <w:p w14:paraId="2493E86F">
            <w:pPr>
              <w:wordWrap w:val="0"/>
              <w:topLinePunct/>
              <w:jc w:val="center"/>
              <w:rPr>
                <w:rFonts w:hint="eastAsia" w:ascii="宋体" w:hAnsi="宋体" w:cs="宋体"/>
              </w:rPr>
            </w:pPr>
          </w:p>
        </w:tc>
        <w:tc>
          <w:tcPr>
            <w:tcW w:w="3605" w:type="dxa"/>
            <w:vAlign w:val="center"/>
          </w:tcPr>
          <w:p w14:paraId="5C1C319B">
            <w:pPr>
              <w:wordWrap w:val="0"/>
              <w:topLinePunct/>
              <w:jc w:val="center"/>
              <w:rPr>
                <w:rFonts w:hint="eastAsia" w:ascii="宋体" w:hAnsi="宋体" w:cs="宋体"/>
              </w:rPr>
            </w:pPr>
          </w:p>
        </w:tc>
      </w:tr>
      <w:tr w14:paraId="3B75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48" w:type="dxa"/>
            <w:vAlign w:val="center"/>
          </w:tcPr>
          <w:p w14:paraId="3446B479">
            <w:pPr>
              <w:wordWrap w:val="0"/>
              <w:topLinePunct/>
              <w:jc w:val="center"/>
              <w:rPr>
                <w:rFonts w:hint="eastAsia" w:ascii="宋体" w:hAnsi="宋体" w:cs="宋体"/>
              </w:rPr>
            </w:pPr>
          </w:p>
        </w:tc>
        <w:tc>
          <w:tcPr>
            <w:tcW w:w="3055" w:type="dxa"/>
            <w:vAlign w:val="center"/>
          </w:tcPr>
          <w:p w14:paraId="7404C948">
            <w:pPr>
              <w:wordWrap w:val="0"/>
              <w:topLinePunct/>
              <w:jc w:val="center"/>
              <w:rPr>
                <w:rFonts w:hint="eastAsia" w:ascii="宋体" w:hAnsi="宋体" w:cs="宋体"/>
              </w:rPr>
            </w:pPr>
          </w:p>
        </w:tc>
        <w:tc>
          <w:tcPr>
            <w:tcW w:w="1952" w:type="dxa"/>
            <w:vAlign w:val="center"/>
          </w:tcPr>
          <w:p w14:paraId="73D9AB59">
            <w:pPr>
              <w:wordWrap w:val="0"/>
              <w:topLinePunct/>
              <w:jc w:val="center"/>
              <w:rPr>
                <w:rFonts w:hint="eastAsia" w:ascii="宋体" w:hAnsi="宋体" w:cs="宋体"/>
              </w:rPr>
            </w:pPr>
          </w:p>
        </w:tc>
        <w:tc>
          <w:tcPr>
            <w:tcW w:w="3605" w:type="dxa"/>
            <w:vAlign w:val="center"/>
          </w:tcPr>
          <w:p w14:paraId="33F40164">
            <w:pPr>
              <w:wordWrap w:val="0"/>
              <w:topLinePunct/>
              <w:jc w:val="center"/>
              <w:rPr>
                <w:rFonts w:hint="eastAsia" w:ascii="宋体" w:hAnsi="宋体" w:cs="宋体"/>
              </w:rPr>
            </w:pPr>
          </w:p>
        </w:tc>
      </w:tr>
    </w:tbl>
    <w:p w14:paraId="23701A73">
      <w:pPr>
        <w:rPr>
          <w:rFonts w:hint="eastAsia"/>
          <w:lang w:val="zh-CN"/>
        </w:rPr>
      </w:pPr>
      <w:r>
        <w:rPr>
          <w:rFonts w:hint="eastAsia" w:ascii="宋体" w:hAnsi="宋体" w:eastAsia="宋体" w:cs="宋体"/>
          <w:color w:val="auto"/>
          <w:szCs w:val="21"/>
          <w:highlight w:val="none"/>
        </w:rPr>
        <w:t>注：按评分表附相关的证明材料扫描件。</w:t>
      </w:r>
    </w:p>
    <w:p w14:paraId="79FD153B">
      <w:pPr>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254B329">
      <w:pPr>
        <w:pStyle w:val="3"/>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w:t>
      </w:r>
    </w:p>
    <w:p w14:paraId="783AF5D3">
      <w:pPr>
        <w:jc w:val="center"/>
        <w:rPr>
          <w:rFonts w:hint="eastAsia" w:ascii="宋体" w:hAnsi="宋体" w:cs="宋体"/>
          <w:b/>
          <w:bCs/>
          <w:sz w:val="36"/>
          <w:szCs w:val="36"/>
        </w:rPr>
      </w:pPr>
      <w:r>
        <w:rPr>
          <w:rFonts w:hint="eastAsia" w:ascii="宋体" w:hAnsi="宋体" w:cs="宋体"/>
          <w:b/>
          <w:bCs/>
          <w:sz w:val="36"/>
          <w:szCs w:val="36"/>
        </w:rPr>
        <w:t>管理体系认证</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055"/>
        <w:gridCol w:w="1952"/>
        <w:gridCol w:w="3605"/>
      </w:tblGrid>
      <w:tr w14:paraId="41E6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48" w:type="dxa"/>
            <w:vAlign w:val="center"/>
          </w:tcPr>
          <w:p w14:paraId="0416243B">
            <w:pPr>
              <w:wordWrap w:val="0"/>
              <w:topLinePunct/>
              <w:jc w:val="center"/>
              <w:rPr>
                <w:rFonts w:hint="eastAsia" w:ascii="宋体" w:hAnsi="宋体" w:eastAsia="宋体" w:cs="宋体"/>
                <w:b/>
                <w:bCs/>
                <w:lang w:eastAsia="zh-CN"/>
              </w:rPr>
            </w:pPr>
            <w:r>
              <w:rPr>
                <w:rFonts w:hint="eastAsia" w:ascii="宋体" w:hAnsi="宋体" w:cs="宋体"/>
                <w:b/>
                <w:bCs/>
                <w:lang w:eastAsia="zh-CN"/>
              </w:rPr>
              <w:t>序号</w:t>
            </w:r>
          </w:p>
        </w:tc>
        <w:tc>
          <w:tcPr>
            <w:tcW w:w="3055" w:type="dxa"/>
            <w:vAlign w:val="center"/>
          </w:tcPr>
          <w:p w14:paraId="2FEF3900">
            <w:pPr>
              <w:wordWrap w:val="0"/>
              <w:topLinePunct/>
              <w:jc w:val="center"/>
              <w:rPr>
                <w:rFonts w:hint="eastAsia" w:ascii="宋体" w:hAnsi="宋体" w:eastAsia="宋体" w:cs="宋体"/>
                <w:b/>
                <w:bCs/>
                <w:lang w:eastAsia="zh-CN"/>
              </w:rPr>
            </w:pPr>
            <w:r>
              <w:rPr>
                <w:rFonts w:hint="eastAsia" w:ascii="宋体" w:hAnsi="宋体" w:cs="宋体"/>
                <w:b/>
                <w:bCs/>
                <w:lang w:eastAsia="zh-CN"/>
              </w:rPr>
              <w:t>单位名称</w:t>
            </w:r>
          </w:p>
        </w:tc>
        <w:tc>
          <w:tcPr>
            <w:tcW w:w="1952" w:type="dxa"/>
            <w:vAlign w:val="center"/>
          </w:tcPr>
          <w:p w14:paraId="2CBFAB0E">
            <w:pPr>
              <w:wordWrap w:val="0"/>
              <w:topLinePunct/>
              <w:jc w:val="center"/>
              <w:rPr>
                <w:rFonts w:hint="eastAsia" w:ascii="宋体" w:hAnsi="宋体" w:eastAsia="宋体" w:cs="宋体"/>
                <w:b/>
                <w:bCs/>
                <w:lang w:eastAsia="zh-CN"/>
              </w:rPr>
            </w:pPr>
            <w:r>
              <w:rPr>
                <w:rFonts w:hint="eastAsia" w:ascii="宋体" w:hAnsi="宋体" w:eastAsia="宋体" w:cs="宋体"/>
                <w:b/>
                <w:bCs/>
                <w:lang w:eastAsia="zh-CN"/>
              </w:rPr>
              <w:t>管理体系</w:t>
            </w:r>
            <w:r>
              <w:rPr>
                <w:rFonts w:hint="eastAsia" w:ascii="宋体" w:hAnsi="宋体" w:cs="宋体"/>
                <w:b/>
                <w:bCs/>
                <w:lang w:eastAsia="zh-CN"/>
              </w:rPr>
              <w:t>名称</w:t>
            </w:r>
          </w:p>
        </w:tc>
        <w:tc>
          <w:tcPr>
            <w:tcW w:w="3605" w:type="dxa"/>
            <w:vAlign w:val="center"/>
          </w:tcPr>
          <w:p w14:paraId="3F5DAC05">
            <w:pPr>
              <w:wordWrap w:val="0"/>
              <w:topLinePunct/>
              <w:jc w:val="center"/>
              <w:rPr>
                <w:rFonts w:hint="eastAsia" w:ascii="宋体" w:hAnsi="宋体" w:cs="宋体"/>
                <w:b/>
                <w:bCs/>
              </w:rPr>
            </w:pPr>
            <w:r>
              <w:rPr>
                <w:rFonts w:hint="eastAsia" w:ascii="宋体" w:hAnsi="宋体" w:eastAsia="宋体" w:cs="宋体"/>
                <w:b/>
                <w:bCs/>
                <w:lang w:eastAsia="zh-CN"/>
              </w:rPr>
              <w:t>有效时间</w:t>
            </w:r>
          </w:p>
        </w:tc>
      </w:tr>
      <w:tr w14:paraId="614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48" w:type="dxa"/>
            <w:vAlign w:val="center"/>
          </w:tcPr>
          <w:p w14:paraId="1F14D559">
            <w:pPr>
              <w:wordWrap w:val="0"/>
              <w:topLinePunct/>
              <w:jc w:val="center"/>
              <w:rPr>
                <w:rFonts w:hint="eastAsia" w:ascii="宋体" w:hAnsi="宋体" w:cs="宋体"/>
              </w:rPr>
            </w:pPr>
          </w:p>
        </w:tc>
        <w:tc>
          <w:tcPr>
            <w:tcW w:w="3055" w:type="dxa"/>
            <w:vAlign w:val="center"/>
          </w:tcPr>
          <w:p w14:paraId="2AFDED86">
            <w:pPr>
              <w:wordWrap w:val="0"/>
              <w:topLinePunct/>
              <w:jc w:val="center"/>
              <w:rPr>
                <w:rFonts w:hint="eastAsia" w:ascii="宋体" w:hAnsi="宋体" w:cs="宋体"/>
              </w:rPr>
            </w:pPr>
          </w:p>
        </w:tc>
        <w:tc>
          <w:tcPr>
            <w:tcW w:w="1952" w:type="dxa"/>
            <w:vAlign w:val="center"/>
          </w:tcPr>
          <w:p w14:paraId="4FA0927E">
            <w:pPr>
              <w:wordWrap w:val="0"/>
              <w:topLinePunct/>
              <w:jc w:val="center"/>
              <w:rPr>
                <w:rFonts w:hint="eastAsia" w:ascii="宋体" w:hAnsi="宋体" w:cs="宋体"/>
              </w:rPr>
            </w:pPr>
          </w:p>
        </w:tc>
        <w:tc>
          <w:tcPr>
            <w:tcW w:w="3605" w:type="dxa"/>
            <w:vAlign w:val="center"/>
          </w:tcPr>
          <w:p w14:paraId="4A3AA3A5">
            <w:pPr>
              <w:wordWrap w:val="0"/>
              <w:topLinePunct/>
              <w:jc w:val="center"/>
              <w:rPr>
                <w:rFonts w:hint="eastAsia" w:ascii="宋体" w:hAnsi="宋体" w:cs="宋体"/>
              </w:rPr>
            </w:pPr>
          </w:p>
        </w:tc>
      </w:tr>
      <w:tr w14:paraId="46AE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48" w:type="dxa"/>
            <w:vAlign w:val="center"/>
          </w:tcPr>
          <w:p w14:paraId="004DB5A0">
            <w:pPr>
              <w:wordWrap w:val="0"/>
              <w:topLinePunct/>
              <w:jc w:val="center"/>
              <w:rPr>
                <w:rFonts w:hint="eastAsia" w:ascii="宋体" w:hAnsi="宋体" w:cs="宋体"/>
              </w:rPr>
            </w:pPr>
          </w:p>
        </w:tc>
        <w:tc>
          <w:tcPr>
            <w:tcW w:w="3055" w:type="dxa"/>
            <w:vAlign w:val="center"/>
          </w:tcPr>
          <w:p w14:paraId="32F4BC5C">
            <w:pPr>
              <w:wordWrap w:val="0"/>
              <w:topLinePunct/>
              <w:jc w:val="center"/>
              <w:rPr>
                <w:rFonts w:hint="eastAsia" w:ascii="宋体" w:hAnsi="宋体" w:cs="宋体"/>
              </w:rPr>
            </w:pPr>
          </w:p>
        </w:tc>
        <w:tc>
          <w:tcPr>
            <w:tcW w:w="1952" w:type="dxa"/>
            <w:vAlign w:val="center"/>
          </w:tcPr>
          <w:p w14:paraId="4207EA4F">
            <w:pPr>
              <w:wordWrap w:val="0"/>
              <w:topLinePunct/>
              <w:jc w:val="center"/>
              <w:rPr>
                <w:rFonts w:hint="eastAsia" w:ascii="宋体" w:hAnsi="宋体" w:cs="宋体"/>
              </w:rPr>
            </w:pPr>
          </w:p>
        </w:tc>
        <w:tc>
          <w:tcPr>
            <w:tcW w:w="3605" w:type="dxa"/>
            <w:vAlign w:val="center"/>
          </w:tcPr>
          <w:p w14:paraId="0ABE760D">
            <w:pPr>
              <w:wordWrap w:val="0"/>
              <w:topLinePunct/>
              <w:jc w:val="center"/>
              <w:rPr>
                <w:rFonts w:hint="eastAsia" w:ascii="宋体" w:hAnsi="宋体" w:cs="宋体"/>
              </w:rPr>
            </w:pPr>
          </w:p>
        </w:tc>
      </w:tr>
      <w:tr w14:paraId="5C5D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48" w:type="dxa"/>
            <w:vAlign w:val="center"/>
          </w:tcPr>
          <w:p w14:paraId="76D09D67">
            <w:pPr>
              <w:wordWrap w:val="0"/>
              <w:topLinePunct/>
              <w:jc w:val="center"/>
              <w:rPr>
                <w:rFonts w:hint="eastAsia" w:ascii="宋体" w:hAnsi="宋体" w:cs="宋体"/>
              </w:rPr>
            </w:pPr>
          </w:p>
        </w:tc>
        <w:tc>
          <w:tcPr>
            <w:tcW w:w="3055" w:type="dxa"/>
            <w:vAlign w:val="center"/>
          </w:tcPr>
          <w:p w14:paraId="1F270405">
            <w:pPr>
              <w:wordWrap w:val="0"/>
              <w:topLinePunct/>
              <w:jc w:val="center"/>
              <w:rPr>
                <w:rFonts w:hint="eastAsia" w:ascii="宋体" w:hAnsi="宋体" w:cs="宋体"/>
              </w:rPr>
            </w:pPr>
          </w:p>
        </w:tc>
        <w:tc>
          <w:tcPr>
            <w:tcW w:w="1952" w:type="dxa"/>
            <w:vAlign w:val="center"/>
          </w:tcPr>
          <w:p w14:paraId="3D4016F6">
            <w:pPr>
              <w:wordWrap w:val="0"/>
              <w:topLinePunct/>
              <w:jc w:val="center"/>
              <w:rPr>
                <w:rFonts w:hint="eastAsia" w:ascii="宋体" w:hAnsi="宋体" w:cs="宋体"/>
              </w:rPr>
            </w:pPr>
          </w:p>
        </w:tc>
        <w:tc>
          <w:tcPr>
            <w:tcW w:w="3605" w:type="dxa"/>
            <w:vAlign w:val="center"/>
          </w:tcPr>
          <w:p w14:paraId="12A332C5">
            <w:pPr>
              <w:wordWrap w:val="0"/>
              <w:topLinePunct/>
              <w:jc w:val="center"/>
              <w:rPr>
                <w:rFonts w:hint="eastAsia" w:ascii="宋体" w:hAnsi="宋体" w:cs="宋体"/>
              </w:rPr>
            </w:pPr>
          </w:p>
        </w:tc>
      </w:tr>
      <w:tr w14:paraId="1CC4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48" w:type="dxa"/>
            <w:vAlign w:val="center"/>
          </w:tcPr>
          <w:p w14:paraId="46B1A513">
            <w:pPr>
              <w:wordWrap w:val="0"/>
              <w:topLinePunct/>
              <w:jc w:val="center"/>
              <w:rPr>
                <w:rFonts w:hint="eastAsia" w:ascii="宋体" w:hAnsi="宋体" w:cs="宋体"/>
              </w:rPr>
            </w:pPr>
          </w:p>
        </w:tc>
        <w:tc>
          <w:tcPr>
            <w:tcW w:w="3055" w:type="dxa"/>
            <w:vAlign w:val="center"/>
          </w:tcPr>
          <w:p w14:paraId="76A08A5A">
            <w:pPr>
              <w:wordWrap w:val="0"/>
              <w:topLinePunct/>
              <w:jc w:val="center"/>
              <w:rPr>
                <w:rFonts w:hint="eastAsia" w:ascii="宋体" w:hAnsi="宋体" w:cs="宋体"/>
              </w:rPr>
            </w:pPr>
          </w:p>
        </w:tc>
        <w:tc>
          <w:tcPr>
            <w:tcW w:w="1952" w:type="dxa"/>
            <w:vAlign w:val="center"/>
          </w:tcPr>
          <w:p w14:paraId="350A7FD4">
            <w:pPr>
              <w:wordWrap w:val="0"/>
              <w:topLinePunct/>
              <w:jc w:val="center"/>
              <w:rPr>
                <w:rFonts w:hint="eastAsia" w:ascii="宋体" w:hAnsi="宋体" w:cs="宋体"/>
              </w:rPr>
            </w:pPr>
          </w:p>
        </w:tc>
        <w:tc>
          <w:tcPr>
            <w:tcW w:w="3605" w:type="dxa"/>
            <w:vAlign w:val="center"/>
          </w:tcPr>
          <w:p w14:paraId="7340B027">
            <w:pPr>
              <w:wordWrap w:val="0"/>
              <w:topLinePunct/>
              <w:jc w:val="center"/>
              <w:rPr>
                <w:rFonts w:hint="eastAsia" w:ascii="宋体" w:hAnsi="宋体" w:cs="宋体"/>
              </w:rPr>
            </w:pPr>
          </w:p>
        </w:tc>
      </w:tr>
      <w:tr w14:paraId="2FFF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48" w:type="dxa"/>
            <w:vAlign w:val="center"/>
          </w:tcPr>
          <w:p w14:paraId="605E73BF">
            <w:pPr>
              <w:wordWrap w:val="0"/>
              <w:topLinePunct/>
              <w:jc w:val="center"/>
              <w:rPr>
                <w:rFonts w:hint="eastAsia" w:ascii="宋体" w:hAnsi="宋体" w:cs="宋体"/>
              </w:rPr>
            </w:pPr>
          </w:p>
        </w:tc>
        <w:tc>
          <w:tcPr>
            <w:tcW w:w="3055" w:type="dxa"/>
            <w:vAlign w:val="center"/>
          </w:tcPr>
          <w:p w14:paraId="2F593D97">
            <w:pPr>
              <w:wordWrap w:val="0"/>
              <w:topLinePunct/>
              <w:jc w:val="center"/>
              <w:rPr>
                <w:rFonts w:hint="eastAsia" w:ascii="宋体" w:hAnsi="宋体" w:cs="宋体"/>
              </w:rPr>
            </w:pPr>
          </w:p>
        </w:tc>
        <w:tc>
          <w:tcPr>
            <w:tcW w:w="1952" w:type="dxa"/>
            <w:vAlign w:val="center"/>
          </w:tcPr>
          <w:p w14:paraId="7A0D9CF8">
            <w:pPr>
              <w:wordWrap w:val="0"/>
              <w:topLinePunct/>
              <w:jc w:val="center"/>
              <w:rPr>
                <w:rFonts w:hint="eastAsia" w:ascii="宋体" w:hAnsi="宋体" w:cs="宋体"/>
              </w:rPr>
            </w:pPr>
          </w:p>
        </w:tc>
        <w:tc>
          <w:tcPr>
            <w:tcW w:w="3605" w:type="dxa"/>
            <w:vAlign w:val="center"/>
          </w:tcPr>
          <w:p w14:paraId="7E771E2D">
            <w:pPr>
              <w:wordWrap w:val="0"/>
              <w:topLinePunct/>
              <w:jc w:val="center"/>
              <w:rPr>
                <w:rFonts w:hint="eastAsia" w:ascii="宋体" w:hAnsi="宋体" w:cs="宋体"/>
              </w:rPr>
            </w:pPr>
          </w:p>
        </w:tc>
      </w:tr>
      <w:tr w14:paraId="1CC4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48" w:type="dxa"/>
            <w:vAlign w:val="center"/>
          </w:tcPr>
          <w:p w14:paraId="57A15040">
            <w:pPr>
              <w:wordWrap w:val="0"/>
              <w:topLinePunct/>
              <w:jc w:val="center"/>
              <w:rPr>
                <w:rFonts w:hint="eastAsia" w:ascii="宋体" w:hAnsi="宋体" w:cs="宋体"/>
              </w:rPr>
            </w:pPr>
          </w:p>
        </w:tc>
        <w:tc>
          <w:tcPr>
            <w:tcW w:w="3055" w:type="dxa"/>
            <w:vAlign w:val="center"/>
          </w:tcPr>
          <w:p w14:paraId="713A1218">
            <w:pPr>
              <w:wordWrap w:val="0"/>
              <w:topLinePunct/>
              <w:jc w:val="center"/>
              <w:rPr>
                <w:rFonts w:hint="eastAsia" w:ascii="宋体" w:hAnsi="宋体" w:cs="宋体"/>
              </w:rPr>
            </w:pPr>
          </w:p>
        </w:tc>
        <w:tc>
          <w:tcPr>
            <w:tcW w:w="1952" w:type="dxa"/>
            <w:vAlign w:val="center"/>
          </w:tcPr>
          <w:p w14:paraId="0050879D">
            <w:pPr>
              <w:wordWrap w:val="0"/>
              <w:topLinePunct/>
              <w:jc w:val="center"/>
              <w:rPr>
                <w:rFonts w:hint="eastAsia" w:ascii="宋体" w:hAnsi="宋体" w:cs="宋体"/>
              </w:rPr>
            </w:pPr>
          </w:p>
        </w:tc>
        <w:tc>
          <w:tcPr>
            <w:tcW w:w="3605" w:type="dxa"/>
            <w:vAlign w:val="center"/>
          </w:tcPr>
          <w:p w14:paraId="0AB528DA">
            <w:pPr>
              <w:wordWrap w:val="0"/>
              <w:topLinePunct/>
              <w:jc w:val="center"/>
              <w:rPr>
                <w:rFonts w:hint="eastAsia" w:ascii="宋体" w:hAnsi="宋体" w:cs="宋体"/>
              </w:rPr>
            </w:pPr>
          </w:p>
        </w:tc>
      </w:tr>
    </w:tbl>
    <w:p w14:paraId="4D6505A6">
      <w:pPr>
        <w:rPr>
          <w:rFonts w:hint="eastAsia"/>
          <w:lang w:val="zh-CN"/>
        </w:rPr>
      </w:pPr>
      <w:r>
        <w:rPr>
          <w:rFonts w:hint="eastAsia" w:ascii="宋体" w:hAnsi="宋体" w:eastAsia="宋体" w:cs="宋体"/>
          <w:color w:val="auto"/>
          <w:szCs w:val="21"/>
          <w:highlight w:val="none"/>
        </w:rPr>
        <w:t>注：按评分表附相关的证明材料扫描件。</w:t>
      </w:r>
    </w:p>
    <w:p w14:paraId="055F13E8">
      <w:pPr>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DCEA2DE">
      <w:pPr>
        <w:pStyle w:val="3"/>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w:t>
      </w:r>
    </w:p>
    <w:p w14:paraId="684B9E8B">
      <w:pPr>
        <w:jc w:val="center"/>
        <w:rPr>
          <w:rFonts w:hint="eastAsia" w:ascii="宋体" w:hAnsi="宋体" w:cs="宋体"/>
          <w:b/>
          <w:bCs/>
          <w:sz w:val="36"/>
          <w:szCs w:val="36"/>
        </w:rPr>
      </w:pPr>
      <w:r>
        <w:rPr>
          <w:rFonts w:hint="eastAsia" w:ascii="宋体" w:hAnsi="宋体" w:cs="宋体"/>
          <w:b/>
          <w:bCs/>
          <w:sz w:val="36"/>
          <w:szCs w:val="36"/>
        </w:rPr>
        <w:t>企业信誉</w:t>
      </w:r>
    </w:p>
    <w:tbl>
      <w:tblPr>
        <w:tblStyle w:val="4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055"/>
        <w:gridCol w:w="1952"/>
        <w:gridCol w:w="3605"/>
      </w:tblGrid>
      <w:tr w14:paraId="4B06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48" w:type="dxa"/>
            <w:vAlign w:val="center"/>
          </w:tcPr>
          <w:p w14:paraId="7A01B912">
            <w:pPr>
              <w:wordWrap w:val="0"/>
              <w:topLinePunct/>
              <w:jc w:val="center"/>
              <w:rPr>
                <w:rFonts w:hint="eastAsia" w:ascii="宋体" w:hAnsi="宋体" w:eastAsia="宋体" w:cs="宋体"/>
                <w:b/>
                <w:bCs/>
                <w:lang w:eastAsia="zh-CN"/>
              </w:rPr>
            </w:pPr>
            <w:r>
              <w:rPr>
                <w:rFonts w:hint="eastAsia" w:ascii="宋体" w:hAnsi="宋体" w:cs="宋体"/>
                <w:b/>
                <w:bCs/>
                <w:lang w:eastAsia="zh-CN"/>
              </w:rPr>
              <w:t>序号</w:t>
            </w:r>
          </w:p>
        </w:tc>
        <w:tc>
          <w:tcPr>
            <w:tcW w:w="3055" w:type="dxa"/>
            <w:vAlign w:val="center"/>
          </w:tcPr>
          <w:p w14:paraId="336B27F1">
            <w:pPr>
              <w:wordWrap w:val="0"/>
              <w:topLinePunct/>
              <w:jc w:val="center"/>
              <w:rPr>
                <w:rFonts w:hint="eastAsia" w:ascii="宋体" w:hAnsi="宋体" w:eastAsia="宋体" w:cs="宋体"/>
                <w:b/>
                <w:bCs/>
                <w:lang w:eastAsia="zh-CN"/>
              </w:rPr>
            </w:pPr>
            <w:r>
              <w:rPr>
                <w:rFonts w:hint="eastAsia" w:ascii="宋体" w:hAnsi="宋体" w:cs="宋体"/>
                <w:b/>
                <w:bCs/>
                <w:lang w:eastAsia="zh-CN"/>
              </w:rPr>
              <w:t>证书名称</w:t>
            </w:r>
          </w:p>
        </w:tc>
        <w:tc>
          <w:tcPr>
            <w:tcW w:w="1952" w:type="dxa"/>
            <w:vAlign w:val="center"/>
          </w:tcPr>
          <w:p w14:paraId="465B1176">
            <w:pPr>
              <w:wordWrap w:val="0"/>
              <w:topLinePunct/>
              <w:jc w:val="center"/>
              <w:rPr>
                <w:rFonts w:hint="eastAsia" w:ascii="宋体" w:hAnsi="宋体" w:eastAsia="宋体" w:cs="宋体"/>
                <w:b/>
                <w:bCs/>
                <w:lang w:eastAsia="zh-CN"/>
              </w:rPr>
            </w:pPr>
            <w:r>
              <w:rPr>
                <w:rFonts w:hint="eastAsia" w:cs="Times New Roman"/>
                <w:b/>
                <w:bCs/>
                <w:color w:val="auto"/>
                <w:sz w:val="24"/>
                <w:szCs w:val="24"/>
                <w:highlight w:val="none"/>
                <w:lang w:eastAsia="zh-CN"/>
              </w:rPr>
              <w:t>颁发单位</w:t>
            </w:r>
          </w:p>
        </w:tc>
        <w:tc>
          <w:tcPr>
            <w:tcW w:w="3605" w:type="dxa"/>
            <w:vAlign w:val="center"/>
          </w:tcPr>
          <w:p w14:paraId="1CA228F1">
            <w:pPr>
              <w:wordWrap w:val="0"/>
              <w:topLinePunct/>
              <w:jc w:val="center"/>
              <w:rPr>
                <w:rFonts w:hint="eastAsia" w:ascii="宋体" w:hAnsi="宋体" w:cs="宋体"/>
                <w:b/>
                <w:bCs/>
              </w:rPr>
            </w:pPr>
            <w:r>
              <w:rPr>
                <w:rFonts w:hint="eastAsia" w:ascii="宋体" w:hAnsi="宋体" w:eastAsia="宋体" w:cs="宋体"/>
                <w:b/>
                <w:bCs/>
                <w:lang w:eastAsia="zh-CN"/>
              </w:rPr>
              <w:t>有效时间</w:t>
            </w:r>
          </w:p>
        </w:tc>
      </w:tr>
      <w:tr w14:paraId="4D58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48" w:type="dxa"/>
            <w:vAlign w:val="center"/>
          </w:tcPr>
          <w:p w14:paraId="52D3CC4F">
            <w:pPr>
              <w:wordWrap w:val="0"/>
              <w:topLinePunct/>
              <w:jc w:val="center"/>
              <w:rPr>
                <w:rFonts w:hint="eastAsia" w:ascii="宋体" w:hAnsi="宋体" w:cs="宋体"/>
              </w:rPr>
            </w:pPr>
          </w:p>
        </w:tc>
        <w:tc>
          <w:tcPr>
            <w:tcW w:w="3055" w:type="dxa"/>
            <w:vAlign w:val="center"/>
          </w:tcPr>
          <w:p w14:paraId="7134383C">
            <w:pPr>
              <w:wordWrap w:val="0"/>
              <w:topLinePunct/>
              <w:jc w:val="center"/>
              <w:rPr>
                <w:rFonts w:hint="eastAsia" w:ascii="宋体" w:hAnsi="宋体" w:cs="宋体"/>
              </w:rPr>
            </w:pPr>
          </w:p>
        </w:tc>
        <w:tc>
          <w:tcPr>
            <w:tcW w:w="1952" w:type="dxa"/>
            <w:vAlign w:val="center"/>
          </w:tcPr>
          <w:p w14:paraId="4D94D567">
            <w:pPr>
              <w:wordWrap w:val="0"/>
              <w:topLinePunct/>
              <w:jc w:val="center"/>
              <w:rPr>
                <w:rFonts w:hint="eastAsia" w:ascii="宋体" w:hAnsi="宋体" w:cs="宋体"/>
              </w:rPr>
            </w:pPr>
          </w:p>
        </w:tc>
        <w:tc>
          <w:tcPr>
            <w:tcW w:w="3605" w:type="dxa"/>
            <w:vAlign w:val="center"/>
          </w:tcPr>
          <w:p w14:paraId="53CF2B28">
            <w:pPr>
              <w:wordWrap w:val="0"/>
              <w:topLinePunct/>
              <w:jc w:val="center"/>
              <w:rPr>
                <w:rFonts w:hint="eastAsia" w:ascii="宋体" w:hAnsi="宋体" w:cs="宋体"/>
              </w:rPr>
            </w:pPr>
          </w:p>
        </w:tc>
      </w:tr>
    </w:tbl>
    <w:p w14:paraId="789A9F8D">
      <w:pPr>
        <w:rPr>
          <w:rFonts w:hint="eastAsia"/>
          <w:lang w:val="zh-CN"/>
        </w:rPr>
      </w:pPr>
      <w:r>
        <w:rPr>
          <w:rFonts w:hint="eastAsia" w:ascii="宋体" w:hAnsi="宋体" w:eastAsia="宋体" w:cs="宋体"/>
          <w:color w:val="auto"/>
          <w:szCs w:val="21"/>
          <w:highlight w:val="none"/>
        </w:rPr>
        <w:t>注：按评分表附相关的证明材料扫描件。</w:t>
      </w:r>
    </w:p>
    <w:p w14:paraId="394A9A91">
      <w:pPr>
        <w:pStyle w:val="21"/>
        <w:rPr>
          <w:rFonts w:hint="eastAsia"/>
        </w:rPr>
      </w:pPr>
    </w:p>
    <w:p w14:paraId="305E774C">
      <w:pPr>
        <w:pStyle w:val="3"/>
        <w:shd w:val="clear"/>
        <w:spacing w:before="0" w:after="0"/>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w:t>
      </w:r>
    </w:p>
    <w:p w14:paraId="1E857F33">
      <w:pPr>
        <w:shd w:val="clear"/>
        <w:jc w:val="center"/>
        <w:rPr>
          <w:rFonts w:hint="eastAsia" w:ascii="宋体" w:hAnsi="宋体" w:eastAsia="宋体" w:cs="宋体"/>
          <w:b/>
          <w:bCs/>
          <w:color w:val="auto"/>
          <w:kern w:val="0"/>
          <w:sz w:val="36"/>
          <w:szCs w:val="36"/>
          <w:highlight w:val="none"/>
          <w:lang w:val="zh-CN"/>
        </w:rPr>
      </w:pPr>
      <w:r>
        <w:rPr>
          <w:rFonts w:hint="eastAsia" w:ascii="宋体" w:hAnsi="宋体" w:eastAsia="宋体" w:cs="宋体"/>
          <w:b/>
          <w:bCs/>
          <w:color w:val="auto"/>
          <w:kern w:val="0"/>
          <w:sz w:val="36"/>
          <w:szCs w:val="36"/>
          <w:highlight w:val="none"/>
          <w:lang w:val="zh-CN"/>
        </w:rPr>
        <w:t>经济标投标书</w:t>
      </w:r>
    </w:p>
    <w:tbl>
      <w:tblPr>
        <w:tblStyle w:val="40"/>
        <w:tblpPr w:leftFromText="180" w:rightFromText="180" w:vertAnchor="text" w:horzAnchor="margin" w:tblpY="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8"/>
        <w:gridCol w:w="5944"/>
      </w:tblGrid>
      <w:tr w14:paraId="730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6C1355E4">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工 程 名 称</w:t>
            </w:r>
          </w:p>
        </w:tc>
        <w:tc>
          <w:tcPr>
            <w:tcW w:w="5944" w:type="dxa"/>
            <w:tcBorders>
              <w:top w:val="single" w:color="auto" w:sz="4" w:space="0"/>
              <w:left w:val="single" w:color="auto" w:sz="4" w:space="0"/>
              <w:bottom w:val="single" w:color="auto" w:sz="4" w:space="0"/>
              <w:right w:val="single" w:color="auto" w:sz="4" w:space="0"/>
            </w:tcBorders>
            <w:vAlign w:val="center"/>
          </w:tcPr>
          <w:p w14:paraId="79B5BFF1">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5559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restart"/>
            <w:tcBorders>
              <w:left w:val="single" w:color="auto" w:sz="4" w:space="0"/>
              <w:right w:val="single" w:color="auto" w:sz="4" w:space="0"/>
            </w:tcBorders>
            <w:vAlign w:val="center"/>
          </w:tcPr>
          <w:p w14:paraId="7CA938BC">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投标总报价（元）</w:t>
            </w:r>
          </w:p>
        </w:tc>
        <w:tc>
          <w:tcPr>
            <w:tcW w:w="5944" w:type="dxa"/>
            <w:tcBorders>
              <w:top w:val="single" w:color="auto" w:sz="4" w:space="0"/>
              <w:left w:val="single" w:color="auto" w:sz="4" w:space="0"/>
              <w:bottom w:val="single" w:color="auto" w:sz="4" w:space="0"/>
              <w:right w:val="single" w:color="auto" w:sz="4" w:space="0"/>
            </w:tcBorders>
            <w:vAlign w:val="center"/>
          </w:tcPr>
          <w:p w14:paraId="19EDFDA2">
            <w:pPr>
              <w:shd w:val="clea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rPr>
              <w:t>大写：</w:t>
            </w:r>
          </w:p>
        </w:tc>
      </w:tr>
      <w:tr w14:paraId="20BA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continue"/>
            <w:tcBorders>
              <w:left w:val="single" w:color="auto" w:sz="4" w:space="0"/>
              <w:right w:val="single" w:color="auto" w:sz="4" w:space="0"/>
            </w:tcBorders>
            <w:vAlign w:val="center"/>
          </w:tcPr>
          <w:p w14:paraId="68662775">
            <w:pPr>
              <w:widowControl/>
              <w:shd w:val="clear"/>
              <w:spacing w:line="360" w:lineRule="auto"/>
              <w:jc w:val="left"/>
              <w:rPr>
                <w:rFonts w:hint="eastAsia" w:ascii="宋体" w:hAnsi="宋体" w:eastAsia="宋体" w:cs="宋体"/>
                <w:b/>
                <w:bCs/>
                <w:color w:val="auto"/>
                <w:sz w:val="24"/>
                <w:highlight w:val="none"/>
                <w:lang w:val="zh-CN"/>
              </w:rPr>
            </w:pPr>
          </w:p>
        </w:tc>
        <w:tc>
          <w:tcPr>
            <w:tcW w:w="5944" w:type="dxa"/>
            <w:tcBorders>
              <w:top w:val="single" w:color="auto" w:sz="4" w:space="0"/>
              <w:left w:val="single" w:color="auto" w:sz="4" w:space="0"/>
              <w:bottom w:val="single" w:color="auto" w:sz="4" w:space="0"/>
              <w:right w:val="single" w:color="auto" w:sz="4" w:space="0"/>
            </w:tcBorders>
            <w:vAlign w:val="center"/>
          </w:tcPr>
          <w:p w14:paraId="28283C65">
            <w:pPr>
              <w:shd w:val="clear"/>
              <w:autoSpaceDE w:val="0"/>
              <w:autoSpaceDN w:val="0"/>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rPr>
              <w:t>小写：</w:t>
            </w:r>
          </w:p>
        </w:tc>
      </w:tr>
      <w:tr w14:paraId="4B76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restart"/>
            <w:tcBorders>
              <w:left w:val="single" w:color="auto" w:sz="4" w:space="0"/>
              <w:right w:val="single" w:color="auto" w:sz="4" w:space="0"/>
            </w:tcBorders>
            <w:vAlign w:val="center"/>
          </w:tcPr>
          <w:p w14:paraId="0CCBCC34">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其中：</w:t>
            </w:r>
            <w:r>
              <w:rPr>
                <w:rFonts w:hint="eastAsia" w:ascii="宋体" w:hAnsi="宋体" w:eastAsia="宋体" w:cs="宋体"/>
                <w:b/>
                <w:color w:val="auto"/>
                <w:sz w:val="24"/>
                <w:highlight w:val="none"/>
              </w:rPr>
              <w:t>设计</w:t>
            </w:r>
            <w:r>
              <w:rPr>
                <w:rFonts w:hint="eastAsia" w:ascii="宋体" w:hAnsi="宋体" w:eastAsia="宋体" w:cs="宋体"/>
                <w:b/>
                <w:color w:val="auto"/>
                <w:sz w:val="24"/>
                <w:highlight w:val="none"/>
                <w:lang w:val="zh-CN"/>
              </w:rPr>
              <w:t>费（元）</w:t>
            </w:r>
          </w:p>
        </w:tc>
        <w:tc>
          <w:tcPr>
            <w:tcW w:w="5944" w:type="dxa"/>
            <w:tcBorders>
              <w:top w:val="single" w:color="auto" w:sz="4" w:space="0"/>
              <w:left w:val="single" w:color="auto" w:sz="4" w:space="0"/>
              <w:bottom w:val="single" w:color="auto" w:sz="4" w:space="0"/>
              <w:right w:val="single" w:color="auto" w:sz="4" w:space="0"/>
            </w:tcBorders>
            <w:vAlign w:val="center"/>
          </w:tcPr>
          <w:p w14:paraId="7964993C">
            <w:pPr>
              <w:shd w:val="clear"/>
              <w:autoSpaceDE w:val="0"/>
              <w:autoSpaceDN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大写：</w:t>
            </w:r>
          </w:p>
        </w:tc>
      </w:tr>
      <w:tr w14:paraId="4DE3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continue"/>
            <w:tcBorders>
              <w:left w:val="single" w:color="auto" w:sz="4" w:space="0"/>
              <w:right w:val="single" w:color="auto" w:sz="4" w:space="0"/>
            </w:tcBorders>
            <w:vAlign w:val="center"/>
          </w:tcPr>
          <w:p w14:paraId="5772EA4B">
            <w:pPr>
              <w:shd w:val="clear"/>
              <w:autoSpaceDE w:val="0"/>
              <w:autoSpaceDN w:val="0"/>
              <w:spacing w:line="360" w:lineRule="auto"/>
              <w:jc w:val="center"/>
              <w:rPr>
                <w:rFonts w:hint="eastAsia" w:ascii="宋体" w:hAnsi="宋体" w:eastAsia="宋体" w:cs="宋体"/>
                <w:b/>
                <w:bCs/>
                <w:color w:val="auto"/>
                <w:sz w:val="24"/>
                <w:highlight w:val="none"/>
                <w:lang w:val="zh-CN"/>
              </w:rPr>
            </w:pPr>
          </w:p>
        </w:tc>
        <w:tc>
          <w:tcPr>
            <w:tcW w:w="5944" w:type="dxa"/>
            <w:tcBorders>
              <w:top w:val="single" w:color="auto" w:sz="4" w:space="0"/>
              <w:left w:val="single" w:color="auto" w:sz="4" w:space="0"/>
              <w:bottom w:val="single" w:color="auto" w:sz="4" w:space="0"/>
              <w:right w:val="single" w:color="auto" w:sz="4" w:space="0"/>
            </w:tcBorders>
            <w:vAlign w:val="center"/>
          </w:tcPr>
          <w:p w14:paraId="5AF0C6F1">
            <w:pPr>
              <w:shd w:val="clear"/>
              <w:autoSpaceDE w:val="0"/>
              <w:autoSpaceDN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小写：</w:t>
            </w:r>
          </w:p>
        </w:tc>
      </w:tr>
      <w:tr w14:paraId="709D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continue"/>
            <w:tcBorders>
              <w:left w:val="single" w:color="auto" w:sz="4" w:space="0"/>
              <w:right w:val="single" w:color="auto" w:sz="4" w:space="0"/>
            </w:tcBorders>
            <w:vAlign w:val="center"/>
          </w:tcPr>
          <w:p w14:paraId="1FB28BB0">
            <w:pPr>
              <w:shd w:val="clear"/>
              <w:autoSpaceDE w:val="0"/>
              <w:autoSpaceDN w:val="0"/>
              <w:spacing w:line="360" w:lineRule="auto"/>
              <w:jc w:val="center"/>
              <w:rPr>
                <w:rFonts w:hint="eastAsia" w:ascii="宋体" w:hAnsi="宋体" w:eastAsia="宋体" w:cs="宋体"/>
                <w:b/>
                <w:bCs/>
                <w:color w:val="auto"/>
                <w:sz w:val="24"/>
                <w:highlight w:val="none"/>
                <w:lang w:val="zh-CN"/>
              </w:rPr>
            </w:pPr>
          </w:p>
        </w:tc>
        <w:tc>
          <w:tcPr>
            <w:tcW w:w="5944" w:type="dxa"/>
            <w:tcBorders>
              <w:top w:val="single" w:color="auto" w:sz="4" w:space="0"/>
              <w:left w:val="single" w:color="auto" w:sz="4" w:space="0"/>
              <w:bottom w:val="single" w:color="auto" w:sz="4" w:space="0"/>
              <w:right w:val="single" w:color="auto" w:sz="4" w:space="0"/>
            </w:tcBorders>
            <w:vAlign w:val="center"/>
          </w:tcPr>
          <w:p w14:paraId="1E665B82">
            <w:pPr>
              <w:shd w:val="clear"/>
              <w:autoSpaceDE w:val="0"/>
              <w:autoSpaceDN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下浮率</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lang w:val="zh-CN"/>
              </w:rPr>
              <w:t>%，</w:t>
            </w:r>
          </w:p>
          <w:p w14:paraId="39D3169E">
            <w:pPr>
              <w:shd w:val="clear"/>
              <w:autoSpaceDE w:val="0"/>
              <w:autoSpaceDN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注：下浮率=【1-（</w:t>
            </w:r>
            <w:r>
              <w:rPr>
                <w:rFonts w:hint="eastAsia" w:ascii="宋体" w:hAnsi="宋体" w:eastAsia="宋体" w:cs="宋体"/>
                <w:b/>
                <w:color w:val="auto"/>
                <w:sz w:val="24"/>
                <w:highlight w:val="none"/>
              </w:rPr>
              <w:t>设计</w:t>
            </w:r>
            <w:r>
              <w:rPr>
                <w:rFonts w:hint="eastAsia" w:ascii="宋体" w:hAnsi="宋体" w:eastAsia="宋体" w:cs="宋体"/>
                <w:b/>
                <w:color w:val="auto"/>
                <w:sz w:val="24"/>
                <w:highlight w:val="none"/>
                <w:lang w:val="zh-CN"/>
              </w:rPr>
              <w:t>费投标报价</w:t>
            </w:r>
            <w:r>
              <w:rPr>
                <w:rFonts w:hint="eastAsia" w:ascii="宋体" w:hAnsi="宋体" w:eastAsia="宋体" w:cs="宋体"/>
                <w:b/>
                <w:bCs/>
                <w:color w:val="auto"/>
                <w:sz w:val="24"/>
                <w:highlight w:val="none"/>
                <w:lang w:val="zh-CN"/>
              </w:rPr>
              <w:t>/</w:t>
            </w:r>
            <w:r>
              <w:rPr>
                <w:rFonts w:hint="eastAsia" w:ascii="宋体" w:hAnsi="宋体" w:eastAsia="宋体" w:cs="宋体"/>
                <w:b/>
                <w:color w:val="auto"/>
                <w:sz w:val="24"/>
                <w:highlight w:val="none"/>
              </w:rPr>
              <w:t>设计</w:t>
            </w:r>
            <w:r>
              <w:rPr>
                <w:rFonts w:hint="eastAsia" w:ascii="宋体" w:hAnsi="宋体" w:eastAsia="宋体" w:cs="宋体"/>
                <w:b/>
                <w:color w:val="auto"/>
                <w:sz w:val="24"/>
                <w:highlight w:val="none"/>
                <w:lang w:val="zh-CN"/>
              </w:rPr>
              <w:t>费</w:t>
            </w:r>
            <w:r>
              <w:rPr>
                <w:rFonts w:hint="eastAsia" w:ascii="宋体" w:hAnsi="宋体" w:eastAsia="宋体" w:cs="宋体"/>
                <w:b/>
                <w:bCs/>
                <w:color w:val="auto"/>
                <w:sz w:val="24"/>
                <w:highlight w:val="none"/>
              </w:rPr>
              <w:t>最高投标限价</w:t>
            </w:r>
            <w:r>
              <w:rPr>
                <w:rFonts w:hint="eastAsia" w:ascii="宋体" w:hAnsi="宋体" w:eastAsia="宋体" w:cs="宋体"/>
                <w:b/>
                <w:bCs/>
                <w:color w:val="auto"/>
                <w:sz w:val="24"/>
                <w:highlight w:val="none"/>
                <w:lang w:val="zh-CN"/>
              </w:rPr>
              <w:t>）】*100%</w:t>
            </w:r>
          </w:p>
        </w:tc>
      </w:tr>
      <w:tr w14:paraId="70EA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restart"/>
            <w:tcBorders>
              <w:left w:val="single" w:color="auto" w:sz="4" w:space="0"/>
              <w:right w:val="single" w:color="auto" w:sz="4" w:space="0"/>
            </w:tcBorders>
            <w:vAlign w:val="center"/>
          </w:tcPr>
          <w:p w14:paraId="0E66AEEB">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highlight w:val="none"/>
                <w:lang w:val="zh-CN"/>
              </w:rPr>
              <w:t>其中：建安工程费（元）</w:t>
            </w:r>
          </w:p>
        </w:tc>
        <w:tc>
          <w:tcPr>
            <w:tcW w:w="5944" w:type="dxa"/>
            <w:tcBorders>
              <w:top w:val="single" w:color="auto" w:sz="4" w:space="0"/>
              <w:left w:val="single" w:color="auto" w:sz="4" w:space="0"/>
              <w:bottom w:val="single" w:color="auto" w:sz="4" w:space="0"/>
              <w:right w:val="single" w:color="auto" w:sz="4" w:space="0"/>
            </w:tcBorders>
            <w:vAlign w:val="center"/>
          </w:tcPr>
          <w:p w14:paraId="29B3840D">
            <w:pPr>
              <w:shd w:val="clear"/>
              <w:autoSpaceDE w:val="0"/>
              <w:autoSpaceDN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大写：</w:t>
            </w:r>
          </w:p>
        </w:tc>
      </w:tr>
      <w:tr w14:paraId="0F4A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continue"/>
            <w:tcBorders>
              <w:left w:val="single" w:color="auto" w:sz="4" w:space="0"/>
              <w:right w:val="single" w:color="auto" w:sz="4" w:space="0"/>
            </w:tcBorders>
            <w:vAlign w:val="center"/>
          </w:tcPr>
          <w:p w14:paraId="22FCEEBF">
            <w:pPr>
              <w:widowControl/>
              <w:shd w:val="clear"/>
              <w:spacing w:line="360" w:lineRule="auto"/>
              <w:jc w:val="left"/>
              <w:rPr>
                <w:rFonts w:hint="eastAsia" w:ascii="宋体" w:hAnsi="宋体" w:eastAsia="宋体" w:cs="宋体"/>
                <w:b/>
                <w:bCs/>
                <w:color w:val="auto"/>
                <w:sz w:val="24"/>
                <w:highlight w:val="none"/>
                <w:lang w:val="zh-CN"/>
              </w:rPr>
            </w:pPr>
          </w:p>
        </w:tc>
        <w:tc>
          <w:tcPr>
            <w:tcW w:w="5944" w:type="dxa"/>
            <w:tcBorders>
              <w:top w:val="single" w:color="auto" w:sz="4" w:space="0"/>
              <w:left w:val="single" w:color="auto" w:sz="4" w:space="0"/>
              <w:bottom w:val="single" w:color="auto" w:sz="4" w:space="0"/>
              <w:right w:val="single" w:color="auto" w:sz="4" w:space="0"/>
            </w:tcBorders>
            <w:vAlign w:val="center"/>
          </w:tcPr>
          <w:p w14:paraId="1E2EACF9">
            <w:pPr>
              <w:shd w:val="clear"/>
              <w:autoSpaceDE w:val="0"/>
              <w:autoSpaceDN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小写：</w:t>
            </w:r>
          </w:p>
        </w:tc>
      </w:tr>
      <w:tr w14:paraId="596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vMerge w:val="continue"/>
            <w:tcBorders>
              <w:left w:val="single" w:color="auto" w:sz="4" w:space="0"/>
              <w:right w:val="single" w:color="auto" w:sz="4" w:space="0"/>
            </w:tcBorders>
            <w:vAlign w:val="center"/>
          </w:tcPr>
          <w:p w14:paraId="094F1B0B">
            <w:pPr>
              <w:widowControl/>
              <w:shd w:val="clear"/>
              <w:spacing w:line="360" w:lineRule="auto"/>
              <w:jc w:val="left"/>
              <w:rPr>
                <w:rFonts w:hint="eastAsia" w:ascii="宋体" w:hAnsi="宋体" w:eastAsia="宋体" w:cs="宋体"/>
                <w:b/>
                <w:bCs/>
                <w:color w:val="auto"/>
                <w:sz w:val="24"/>
                <w:highlight w:val="none"/>
                <w:lang w:val="zh-CN"/>
              </w:rPr>
            </w:pPr>
          </w:p>
        </w:tc>
        <w:tc>
          <w:tcPr>
            <w:tcW w:w="5944" w:type="dxa"/>
            <w:tcBorders>
              <w:top w:val="single" w:color="auto" w:sz="4" w:space="0"/>
              <w:left w:val="single" w:color="auto" w:sz="4" w:space="0"/>
              <w:bottom w:val="single" w:color="auto" w:sz="4" w:space="0"/>
              <w:right w:val="single" w:color="auto" w:sz="4" w:space="0"/>
            </w:tcBorders>
            <w:vAlign w:val="center"/>
          </w:tcPr>
          <w:p w14:paraId="4635D6D9">
            <w:pPr>
              <w:shd w:val="clear"/>
              <w:autoSpaceDE w:val="0"/>
              <w:autoSpaceDN w:val="0"/>
              <w:spacing w:line="360" w:lineRule="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下浮率</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lang w:val="zh-CN"/>
              </w:rPr>
              <w:t>%，</w:t>
            </w:r>
          </w:p>
          <w:p w14:paraId="53AF5F3B">
            <w:pPr>
              <w:shd w:val="clear"/>
              <w:autoSpaceDE w:val="0"/>
              <w:autoSpaceDN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注：下浮率=【1-（建安工程费投标报价/建安工程费</w:t>
            </w:r>
            <w:r>
              <w:rPr>
                <w:rFonts w:hint="eastAsia" w:ascii="宋体" w:hAnsi="宋体" w:eastAsia="宋体" w:cs="宋体"/>
                <w:b/>
                <w:bCs/>
                <w:color w:val="auto"/>
                <w:sz w:val="24"/>
                <w:highlight w:val="none"/>
              </w:rPr>
              <w:t>最高投标限价</w:t>
            </w:r>
            <w:r>
              <w:rPr>
                <w:rFonts w:hint="eastAsia" w:ascii="宋体" w:hAnsi="宋体" w:eastAsia="宋体" w:cs="宋体"/>
                <w:b/>
                <w:bCs/>
                <w:color w:val="auto"/>
                <w:sz w:val="24"/>
                <w:highlight w:val="none"/>
                <w:lang w:val="zh-CN"/>
              </w:rPr>
              <w:t>）】*100%</w:t>
            </w:r>
          </w:p>
        </w:tc>
      </w:tr>
      <w:tr w14:paraId="10BC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69295B23">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法 定 代 表 人</w:t>
            </w:r>
          </w:p>
          <w:p w14:paraId="167A89BE">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（签名或盖章）</w:t>
            </w:r>
          </w:p>
        </w:tc>
        <w:tc>
          <w:tcPr>
            <w:tcW w:w="5944" w:type="dxa"/>
            <w:tcBorders>
              <w:top w:val="single" w:color="auto" w:sz="4" w:space="0"/>
              <w:left w:val="single" w:color="auto" w:sz="4" w:space="0"/>
              <w:bottom w:val="single" w:color="auto" w:sz="4" w:space="0"/>
              <w:right w:val="single" w:color="auto" w:sz="4" w:space="0"/>
            </w:tcBorders>
            <w:vAlign w:val="center"/>
          </w:tcPr>
          <w:p w14:paraId="142E597C">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115A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57D545B3">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授 权 委 托 人</w:t>
            </w:r>
          </w:p>
          <w:p w14:paraId="34031D9C">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（签名或盖章）</w:t>
            </w:r>
          </w:p>
        </w:tc>
        <w:tc>
          <w:tcPr>
            <w:tcW w:w="5944" w:type="dxa"/>
            <w:tcBorders>
              <w:top w:val="single" w:color="auto" w:sz="4" w:space="0"/>
              <w:left w:val="single" w:color="auto" w:sz="4" w:space="0"/>
              <w:bottom w:val="single" w:color="auto" w:sz="4" w:space="0"/>
              <w:right w:val="single" w:color="auto" w:sz="4" w:space="0"/>
            </w:tcBorders>
            <w:vAlign w:val="center"/>
          </w:tcPr>
          <w:p w14:paraId="1BAE3CB1">
            <w:pPr>
              <w:shd w:val="clear"/>
              <w:autoSpaceDE w:val="0"/>
              <w:autoSpaceDN w:val="0"/>
              <w:spacing w:line="360" w:lineRule="auto"/>
              <w:jc w:val="center"/>
              <w:rPr>
                <w:rFonts w:hint="eastAsia" w:ascii="宋体" w:hAnsi="宋体" w:eastAsia="宋体" w:cs="宋体"/>
                <w:b/>
                <w:bCs/>
                <w:color w:val="auto"/>
                <w:sz w:val="24"/>
                <w:highlight w:val="none"/>
                <w:lang w:val="zh-CN"/>
              </w:rPr>
            </w:pPr>
          </w:p>
        </w:tc>
      </w:tr>
      <w:tr w14:paraId="6918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98" w:type="dxa"/>
            <w:tcBorders>
              <w:top w:val="single" w:color="auto" w:sz="4" w:space="0"/>
              <w:left w:val="single" w:color="auto" w:sz="4" w:space="0"/>
              <w:bottom w:val="single" w:color="auto" w:sz="4" w:space="0"/>
              <w:right w:val="single" w:color="auto" w:sz="4" w:space="0"/>
            </w:tcBorders>
            <w:vAlign w:val="center"/>
          </w:tcPr>
          <w:p w14:paraId="05D9EE9E">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投标人</w:t>
            </w:r>
          </w:p>
          <w:p w14:paraId="4452A151">
            <w:pPr>
              <w:shd w:val="clear"/>
              <w:autoSpaceDE w:val="0"/>
              <w:autoSpaceDN w:val="0"/>
              <w:spacing w:line="360" w:lineRule="auto"/>
              <w:jc w:val="center"/>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（企业公章）</w:t>
            </w:r>
          </w:p>
        </w:tc>
        <w:tc>
          <w:tcPr>
            <w:tcW w:w="5944" w:type="dxa"/>
            <w:tcBorders>
              <w:top w:val="single" w:color="auto" w:sz="4" w:space="0"/>
              <w:left w:val="single" w:color="auto" w:sz="4" w:space="0"/>
              <w:bottom w:val="single" w:color="auto" w:sz="4" w:space="0"/>
              <w:right w:val="single" w:color="auto" w:sz="4" w:space="0"/>
            </w:tcBorders>
            <w:vAlign w:val="center"/>
          </w:tcPr>
          <w:p w14:paraId="6CB30D94">
            <w:pPr>
              <w:shd w:val="clear"/>
              <w:autoSpaceDE w:val="0"/>
              <w:autoSpaceDN w:val="0"/>
              <w:spacing w:line="360" w:lineRule="auto"/>
              <w:jc w:val="center"/>
              <w:rPr>
                <w:rFonts w:hint="eastAsia" w:ascii="宋体" w:hAnsi="宋体" w:eastAsia="宋体" w:cs="宋体"/>
                <w:b/>
                <w:bCs/>
                <w:color w:val="auto"/>
                <w:sz w:val="24"/>
                <w:highlight w:val="none"/>
                <w:lang w:val="zh-CN"/>
              </w:rPr>
            </w:pPr>
          </w:p>
        </w:tc>
      </w:tr>
    </w:tbl>
    <w:p w14:paraId="10D51186">
      <w:pPr>
        <w:pStyle w:val="21"/>
        <w:shd w:val="clea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注：（1）联合体投标的，“投标人”一栏需书写所有联合体成员的单位全称，可由主办方签署、盖章。</w:t>
      </w:r>
    </w:p>
    <w:p w14:paraId="397021DB">
      <w:pPr>
        <w:pStyle w:val="21"/>
        <w:shd w:val="clear"/>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（2）投标报价的大写金额和小写金额不一致的，以大写金额为准。</w:t>
      </w:r>
    </w:p>
    <w:p w14:paraId="1967D2DC">
      <w:pPr>
        <w:pStyle w:val="38"/>
        <w:shd w:val="clear"/>
        <w:spacing w:after="0" w:line="360" w:lineRule="auto"/>
        <w:ind w:left="-2" w:leftChars="-1" w:firstLine="0"/>
        <w:rPr>
          <w:rFonts w:hint="eastAsia" w:ascii="宋体" w:hAnsi="宋体" w:eastAsia="宋体" w:cs="宋体"/>
          <w:bCs/>
          <w:iCs/>
          <w:color w:val="auto"/>
          <w:sz w:val="18"/>
          <w:szCs w:val="18"/>
          <w:highlight w:val="none"/>
        </w:rPr>
      </w:pPr>
      <w:r>
        <w:rPr>
          <w:rFonts w:hint="eastAsia" w:ascii="宋体" w:hAnsi="宋体" w:eastAsia="宋体" w:cs="宋体"/>
          <w:b/>
          <w:color w:val="auto"/>
          <w:sz w:val="18"/>
          <w:szCs w:val="18"/>
          <w:highlight w:val="none"/>
        </w:rPr>
        <w:t>（3）投标报价及下浮率的填报精确到小数点后2位，第3位四舍五入。</w:t>
      </w:r>
    </w:p>
    <w:p w14:paraId="1979E200">
      <w:pPr>
        <w:rPr>
          <w:rFonts w:hint="eastAsia" w:ascii="宋体" w:hAnsi="宋体" w:cs="宋体"/>
          <w:color w:val="auto"/>
          <w:sz w:val="24"/>
          <w:highlight w:val="none"/>
        </w:rPr>
      </w:pPr>
      <w:r>
        <w:rPr>
          <w:rFonts w:hint="eastAsia" w:ascii="宋体" w:hAnsi="宋体" w:cs="宋体"/>
          <w:color w:val="auto"/>
          <w:sz w:val="24"/>
          <w:highlight w:val="none"/>
        </w:rPr>
        <w:br w:type="page"/>
      </w:r>
    </w:p>
    <w:p w14:paraId="1E293F7E">
      <w:pPr>
        <w:pStyle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rPr>
        <w:t>：</w:t>
      </w:r>
    </w:p>
    <w:p w14:paraId="19E2E46B">
      <w:pPr>
        <w:tabs>
          <w:tab w:val="left" w:pos="720"/>
        </w:tabs>
        <w:snapToGrid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中小企业声明函（如有）</w:t>
      </w:r>
    </w:p>
    <w:p w14:paraId="41A63A7F">
      <w:pPr>
        <w:spacing w:line="360" w:lineRule="auto"/>
        <w:rPr>
          <w:rFonts w:ascii="宋体" w:hAnsi="宋体" w:cs="宋体"/>
          <w:color w:val="auto"/>
          <w:sz w:val="24"/>
          <w:szCs w:val="20"/>
          <w:highlight w:val="none"/>
          <w:u w:val="singl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         </w:t>
      </w:r>
    </w:p>
    <w:p w14:paraId="4408382D">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的具体情况如下：</w:t>
      </w:r>
    </w:p>
    <w:p w14:paraId="65509EE5">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szCs w:val="20"/>
          <w:highlight w:val="none"/>
          <w:u w:val="single"/>
        </w:rPr>
        <w:t xml:space="preserve">     （项目名称）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 xml:space="preserve">    （企业名称）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55934C87">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2.</w:t>
      </w:r>
      <w:r>
        <w:rPr>
          <w:rFonts w:hint="eastAsia" w:ascii="宋体" w:hAnsi="宋体" w:cs="宋体"/>
          <w:color w:val="auto"/>
          <w:sz w:val="24"/>
          <w:szCs w:val="20"/>
          <w:highlight w:val="none"/>
          <w:u w:val="single"/>
        </w:rPr>
        <w:t xml:space="preserve">     （项目名称）     </w:t>
      </w:r>
      <w:r>
        <w:rPr>
          <w:rFonts w:hint="eastAsia" w:ascii="宋体" w:hAnsi="宋体" w:cs="宋体"/>
          <w:color w:val="auto"/>
          <w:sz w:val="24"/>
          <w:szCs w:val="20"/>
          <w:highlight w:val="none"/>
        </w:rPr>
        <w:t>，属于</w:t>
      </w:r>
      <w:r>
        <w:rPr>
          <w:rFonts w:hint="eastAsia" w:ascii="宋体" w:hAnsi="宋体" w:cs="宋体"/>
          <w:color w:val="auto"/>
          <w:sz w:val="24"/>
          <w:szCs w:val="20"/>
          <w:highlight w:val="none"/>
          <w:u w:val="single"/>
        </w:rPr>
        <w:t>建筑业</w:t>
      </w:r>
      <w:r>
        <w:rPr>
          <w:rFonts w:hint="eastAsia" w:ascii="宋体" w:hAnsi="宋体" w:cs="宋体"/>
          <w:color w:val="auto"/>
          <w:sz w:val="24"/>
          <w:szCs w:val="20"/>
          <w:highlight w:val="none"/>
        </w:rPr>
        <w:t>；承建（承接）企业为</w:t>
      </w:r>
      <w:r>
        <w:rPr>
          <w:rFonts w:hint="eastAsia" w:ascii="宋体" w:hAnsi="宋体" w:cs="宋体"/>
          <w:color w:val="auto"/>
          <w:sz w:val="24"/>
          <w:szCs w:val="20"/>
          <w:highlight w:val="none"/>
          <w:u w:val="single"/>
        </w:rPr>
        <w:t xml:space="preserve">     （企业名称）     </w:t>
      </w:r>
      <w:r>
        <w:rPr>
          <w:rFonts w:hint="eastAsia" w:ascii="宋体" w:hAnsi="宋体" w:cs="宋体"/>
          <w:color w:val="auto"/>
          <w:sz w:val="24"/>
          <w:szCs w:val="20"/>
          <w:highlight w:val="none"/>
        </w:rPr>
        <w:t>，从业人员</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人，营业收入为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万元，资产总额为</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万元，属于</w:t>
      </w:r>
      <w:r>
        <w:rPr>
          <w:rFonts w:hint="eastAsia" w:ascii="宋体" w:hAnsi="宋体" w:cs="宋体"/>
          <w:color w:val="auto"/>
          <w:sz w:val="24"/>
          <w:szCs w:val="20"/>
          <w:highlight w:val="none"/>
          <w:u w:val="single"/>
        </w:rPr>
        <w:t>（□小型企业、□微型企业）</w:t>
      </w:r>
      <w:r>
        <w:rPr>
          <w:rFonts w:hint="eastAsia" w:ascii="宋体" w:hAnsi="宋体" w:cs="宋体"/>
          <w:color w:val="auto"/>
          <w:sz w:val="24"/>
          <w:szCs w:val="20"/>
          <w:highlight w:val="none"/>
        </w:rPr>
        <w:t>；在本项目中拟承担工作，在本项目的合同份额占合同总金额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p>
    <w:p w14:paraId="357A8134">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w:t>
      </w:r>
    </w:p>
    <w:p w14:paraId="278E8E02">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以上企业，不属于大企业的分支机构，不存在控股股东为大企业的情形，也不存在与大企业的负责人为同一人的情形。</w:t>
      </w:r>
    </w:p>
    <w:p w14:paraId="642F3F2A">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本企业对上述声明内容的真实性负责。如有虚假，将依法承担相应责任。</w:t>
      </w:r>
    </w:p>
    <w:p w14:paraId="7FDDD969">
      <w:pPr>
        <w:spacing w:line="360" w:lineRule="auto"/>
        <w:ind w:firstLine="480" w:firstLineChars="200"/>
        <w:rPr>
          <w:rFonts w:hint="eastAsia" w:ascii="宋体" w:hAnsi="宋体" w:cs="宋体"/>
          <w:color w:val="auto"/>
          <w:sz w:val="24"/>
          <w:szCs w:val="20"/>
          <w:highlight w:val="none"/>
        </w:rPr>
      </w:pPr>
    </w:p>
    <w:p w14:paraId="5783969C">
      <w:pPr>
        <w:pStyle w:val="21"/>
        <w:rPr>
          <w:rFonts w:hint="eastAsia" w:hAnsi="宋体" w:cs="宋体"/>
          <w:color w:val="auto"/>
          <w:highlight w:val="none"/>
        </w:rPr>
      </w:pPr>
    </w:p>
    <w:p w14:paraId="213784A1">
      <w:pPr>
        <w:spacing w:line="360" w:lineRule="auto"/>
        <w:ind w:right="960"/>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投标人名称（盖章或电子印章）：</w:t>
      </w:r>
    </w:p>
    <w:p w14:paraId="3440C9A9">
      <w:pPr>
        <w:spacing w:line="360" w:lineRule="auto"/>
        <w:ind w:right="960"/>
        <w:jc w:val="right"/>
        <w:rPr>
          <w:rFonts w:hint="eastAsia" w:ascii="宋体" w:hAnsi="宋体" w:cs="宋体"/>
          <w:color w:val="auto"/>
          <w:sz w:val="24"/>
          <w:szCs w:val="20"/>
          <w:highlight w:val="none"/>
        </w:rPr>
      </w:pPr>
      <w:r>
        <w:rPr>
          <w:rFonts w:hint="eastAsia" w:ascii="宋体" w:hAnsi="宋体" w:cs="宋体"/>
          <w:color w:val="auto"/>
          <w:sz w:val="24"/>
          <w:szCs w:val="20"/>
          <w:highlight w:val="none"/>
        </w:rPr>
        <w:t>日   期：     年   月   日</w:t>
      </w:r>
    </w:p>
    <w:p w14:paraId="2387AE4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注：1、从业人员、营业收入、资产总额填报上一年度数据，无上一年度数据的新成立企业可不填报。</w:t>
      </w:r>
    </w:p>
    <w:p w14:paraId="38BFC8B9">
      <w:pPr>
        <w:pStyle w:val="21"/>
        <w:ind w:firstLine="843" w:firstLineChars="400"/>
        <w:rPr>
          <w:rFonts w:hint="eastAsia"/>
          <w:b/>
          <w:bCs/>
          <w:color w:val="auto"/>
          <w:sz w:val="21"/>
          <w:szCs w:val="21"/>
          <w:highlight w:val="none"/>
          <w:u w:val="single"/>
        </w:rPr>
      </w:pPr>
      <w:r>
        <w:rPr>
          <w:rFonts w:hint="eastAsia"/>
          <w:b/>
          <w:bCs/>
          <w:color w:val="auto"/>
          <w:sz w:val="21"/>
          <w:szCs w:val="21"/>
          <w:highlight w:val="none"/>
          <w:u w:val="single"/>
        </w:rPr>
        <w:t>2、《中小企业声明函》（如有）适用于小微企业参加招投标活动的。投标人应当自行核实是否属于小微企业，并认真填写，若有虚假将追究其责任。</w:t>
      </w:r>
    </w:p>
    <w:p w14:paraId="4FE0AE2D">
      <w:pPr>
        <w:pStyle w:val="21"/>
        <w:ind w:firstLine="843" w:firstLineChars="400"/>
        <w:rPr>
          <w:rFonts w:hint="eastAsia"/>
          <w:b/>
          <w:bCs/>
          <w:color w:val="auto"/>
          <w:sz w:val="21"/>
          <w:szCs w:val="21"/>
          <w:highlight w:val="none"/>
          <w:u w:val="single"/>
        </w:rPr>
      </w:pPr>
      <w:r>
        <w:rPr>
          <w:rFonts w:hint="eastAsia"/>
          <w:b/>
          <w:bCs/>
          <w:color w:val="auto"/>
          <w:sz w:val="21"/>
          <w:szCs w:val="21"/>
          <w:highlight w:val="none"/>
          <w:u w:val="single"/>
        </w:rPr>
        <w:t>3、需按照本项目对应行业出具《中小企业声明函》，而非按照供应商的经营范围出具。</w:t>
      </w:r>
    </w:p>
    <w:p w14:paraId="2803D2D5">
      <w:pPr>
        <w:pStyle w:val="3"/>
        <w:rPr>
          <w:rFonts w:hint="eastAsia" w:ascii="宋体" w:hAnsi="宋体" w:eastAsia="宋体" w:cs="宋体"/>
          <w:color w:val="auto"/>
          <w:sz w:val="28"/>
          <w:szCs w:val="28"/>
          <w:highlight w:val="none"/>
        </w:rPr>
      </w:pPr>
      <w:r>
        <w:rPr>
          <w:rFonts w:hint="eastAsia" w:ascii="宋体" w:hAnsi="宋体" w:cs="宋体"/>
          <w:color w:val="auto"/>
          <w:szCs w:val="21"/>
          <w:highlight w:val="none"/>
        </w:rPr>
        <w:br w:type="page"/>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w:t>
      </w:r>
    </w:p>
    <w:p w14:paraId="236E1CBE">
      <w:pPr>
        <w:pStyle w:val="38"/>
        <w:spacing w:line="240" w:lineRule="auto"/>
        <w:ind w:firstLine="1285" w:firstLineChars="4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监狱企业证明文件（如有）</w:t>
      </w:r>
    </w:p>
    <w:p w14:paraId="6B23ADE8">
      <w:pPr>
        <w:pStyle w:val="38"/>
        <w:ind w:firstLine="843" w:firstLineChars="400"/>
        <w:rPr>
          <w:rFonts w:hint="eastAsia" w:ascii="宋体" w:hAnsi="宋体" w:cs="宋体"/>
          <w:b/>
          <w:bCs/>
          <w:color w:val="auto"/>
          <w:szCs w:val="21"/>
          <w:highlight w:val="none"/>
        </w:rPr>
      </w:pPr>
    </w:p>
    <w:p w14:paraId="3A86316B">
      <w:pPr>
        <w:pStyle w:val="38"/>
        <w:ind w:firstLine="843" w:firstLineChars="400"/>
        <w:rPr>
          <w:rFonts w:ascii="宋体" w:hAnsi="宋体" w:cs="宋体"/>
          <w:b/>
          <w:bCs/>
          <w:color w:val="auto"/>
          <w:szCs w:val="21"/>
          <w:highlight w:val="none"/>
        </w:rPr>
      </w:pPr>
    </w:p>
    <w:p w14:paraId="37641E25">
      <w:pPr>
        <w:pStyle w:val="38"/>
        <w:ind w:firstLine="843" w:firstLineChars="400"/>
        <w:rPr>
          <w:rFonts w:ascii="宋体" w:hAnsi="宋体" w:cs="宋体"/>
          <w:b/>
          <w:bCs/>
          <w:color w:val="auto"/>
          <w:szCs w:val="21"/>
          <w:highlight w:val="none"/>
        </w:rPr>
      </w:pPr>
    </w:p>
    <w:p w14:paraId="5C0008CD">
      <w:pPr>
        <w:pStyle w:val="38"/>
        <w:ind w:firstLine="843" w:firstLineChars="400"/>
        <w:rPr>
          <w:rFonts w:ascii="宋体" w:hAnsi="宋体" w:cs="宋体"/>
          <w:b/>
          <w:bCs/>
          <w:color w:val="auto"/>
          <w:szCs w:val="21"/>
          <w:highlight w:val="none"/>
        </w:rPr>
      </w:pPr>
    </w:p>
    <w:p w14:paraId="6B6442C6">
      <w:pPr>
        <w:pStyle w:val="38"/>
        <w:ind w:firstLine="843" w:firstLineChars="400"/>
        <w:rPr>
          <w:rFonts w:ascii="宋体" w:hAnsi="宋体" w:cs="宋体"/>
          <w:b/>
          <w:bCs/>
          <w:color w:val="auto"/>
          <w:szCs w:val="21"/>
          <w:highlight w:val="none"/>
        </w:rPr>
      </w:pPr>
    </w:p>
    <w:p w14:paraId="054B0162">
      <w:pPr>
        <w:pStyle w:val="38"/>
        <w:ind w:firstLine="843" w:firstLineChars="400"/>
        <w:rPr>
          <w:rFonts w:ascii="宋体" w:hAnsi="宋体" w:cs="宋体"/>
          <w:b/>
          <w:bCs/>
          <w:color w:val="auto"/>
          <w:szCs w:val="21"/>
          <w:highlight w:val="none"/>
        </w:rPr>
      </w:pPr>
    </w:p>
    <w:p w14:paraId="5BBCA8C6">
      <w:pPr>
        <w:pStyle w:val="38"/>
        <w:ind w:firstLine="843" w:firstLineChars="400"/>
        <w:rPr>
          <w:rFonts w:ascii="宋体" w:hAnsi="宋体" w:cs="宋体"/>
          <w:b/>
          <w:bCs/>
          <w:color w:val="auto"/>
          <w:szCs w:val="21"/>
          <w:highlight w:val="none"/>
        </w:rPr>
      </w:pPr>
    </w:p>
    <w:p w14:paraId="1A2BD91B">
      <w:pPr>
        <w:pStyle w:val="38"/>
        <w:ind w:firstLine="843" w:firstLineChars="400"/>
        <w:rPr>
          <w:rFonts w:ascii="宋体" w:hAnsi="宋体" w:cs="宋体"/>
          <w:b/>
          <w:bCs/>
          <w:color w:val="auto"/>
          <w:szCs w:val="21"/>
          <w:highlight w:val="none"/>
        </w:rPr>
      </w:pPr>
    </w:p>
    <w:p w14:paraId="1EAFDE18">
      <w:pPr>
        <w:pStyle w:val="38"/>
        <w:ind w:firstLine="843" w:firstLineChars="400"/>
        <w:rPr>
          <w:rFonts w:ascii="宋体" w:hAnsi="宋体" w:cs="宋体"/>
          <w:b/>
          <w:bCs/>
          <w:color w:val="auto"/>
          <w:szCs w:val="21"/>
          <w:highlight w:val="none"/>
        </w:rPr>
      </w:pPr>
    </w:p>
    <w:p w14:paraId="0EADE1A5">
      <w:pPr>
        <w:pStyle w:val="38"/>
        <w:ind w:firstLine="843" w:firstLineChars="400"/>
        <w:rPr>
          <w:rFonts w:ascii="宋体" w:hAnsi="宋体" w:cs="宋体"/>
          <w:b/>
          <w:bCs/>
          <w:color w:val="auto"/>
          <w:szCs w:val="21"/>
          <w:highlight w:val="none"/>
        </w:rPr>
      </w:pPr>
    </w:p>
    <w:p w14:paraId="3B23784B">
      <w:pPr>
        <w:pStyle w:val="38"/>
        <w:ind w:firstLine="843" w:firstLineChars="400"/>
        <w:rPr>
          <w:rFonts w:ascii="宋体" w:hAnsi="宋体" w:cs="宋体"/>
          <w:b/>
          <w:bCs/>
          <w:color w:val="auto"/>
          <w:szCs w:val="21"/>
          <w:highlight w:val="none"/>
        </w:rPr>
      </w:pPr>
    </w:p>
    <w:p w14:paraId="594DD48C">
      <w:pPr>
        <w:pStyle w:val="38"/>
        <w:ind w:firstLine="843" w:firstLineChars="400"/>
        <w:rPr>
          <w:rFonts w:ascii="宋体" w:hAnsi="宋体" w:cs="宋体"/>
          <w:b/>
          <w:bCs/>
          <w:color w:val="auto"/>
          <w:szCs w:val="21"/>
          <w:highlight w:val="none"/>
        </w:rPr>
      </w:pPr>
    </w:p>
    <w:p w14:paraId="2D232B07">
      <w:pPr>
        <w:pStyle w:val="38"/>
        <w:ind w:firstLine="843" w:firstLineChars="400"/>
        <w:rPr>
          <w:rFonts w:ascii="宋体" w:hAnsi="宋体" w:cs="宋体"/>
          <w:b/>
          <w:bCs/>
          <w:color w:val="auto"/>
          <w:szCs w:val="21"/>
          <w:highlight w:val="none"/>
        </w:rPr>
      </w:pPr>
    </w:p>
    <w:p w14:paraId="15BE2DA5">
      <w:pPr>
        <w:pStyle w:val="38"/>
        <w:ind w:firstLine="843" w:firstLineChars="400"/>
        <w:rPr>
          <w:rFonts w:ascii="宋体" w:hAnsi="宋体" w:cs="宋体"/>
          <w:b/>
          <w:bCs/>
          <w:color w:val="auto"/>
          <w:szCs w:val="21"/>
          <w:highlight w:val="none"/>
        </w:rPr>
      </w:pPr>
      <w:r>
        <w:rPr>
          <w:rFonts w:hint="eastAsia" w:ascii="宋体" w:hAnsi="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48C5DD">
      <w:pPr>
        <w:pStyle w:val="38"/>
        <w:rPr>
          <w:rFonts w:hint="eastAsia" w:ascii="宋体" w:hAnsi="宋体" w:cs="宋体"/>
          <w:b/>
          <w:bCs/>
          <w:color w:val="auto"/>
          <w:szCs w:val="21"/>
          <w:highlight w:val="none"/>
        </w:rPr>
      </w:pPr>
      <w:r>
        <w:rPr>
          <w:rFonts w:hint="eastAsia" w:ascii="宋体" w:hAnsi="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4534C864">
      <w:pPr>
        <w:pStyle w:val="3"/>
        <w:spacing w:after="0"/>
        <w:rPr>
          <w:rFonts w:hint="eastAsia" w:ascii="宋体" w:hAnsi="宋体" w:eastAsia="宋体" w:cs="宋体"/>
          <w:color w:val="auto"/>
          <w:sz w:val="28"/>
          <w:szCs w:val="28"/>
          <w:highlight w:val="none"/>
          <w:lang w:val="zh-CN"/>
        </w:rPr>
      </w:pPr>
      <w:r>
        <w:rPr>
          <w:rFonts w:ascii="宋体" w:hAnsi="宋体" w:cs="宋体"/>
          <w:b/>
          <w:bCs/>
          <w:color w:val="auto"/>
          <w:szCs w:val="21"/>
          <w:highlight w:val="none"/>
        </w:rPr>
        <w:br w:type="page"/>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w:t>
      </w:r>
    </w:p>
    <w:p w14:paraId="38D3C266">
      <w:pPr>
        <w:pStyle w:val="38"/>
        <w:ind w:firstLine="843" w:firstLineChars="400"/>
        <w:rPr>
          <w:rFonts w:hint="eastAsia" w:ascii="宋体" w:hAnsi="宋体" w:cs="宋体"/>
          <w:b/>
          <w:bCs/>
          <w:color w:val="auto"/>
          <w:szCs w:val="21"/>
          <w:highlight w:val="none"/>
        </w:rPr>
      </w:pPr>
    </w:p>
    <w:p w14:paraId="0AEE1D4D">
      <w:pPr>
        <w:pStyle w:val="38"/>
        <w:spacing w:line="240" w:lineRule="auto"/>
        <w:ind w:firstLine="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残疾人福利性单位声明函（如有）</w:t>
      </w:r>
    </w:p>
    <w:p w14:paraId="2C170C11">
      <w:pPr>
        <w:pStyle w:val="38"/>
        <w:spacing w:line="240" w:lineRule="auto"/>
        <w:ind w:firstLine="843" w:firstLineChars="400"/>
        <w:rPr>
          <w:rFonts w:hint="eastAsia" w:ascii="宋体" w:hAnsi="宋体" w:cs="宋体"/>
          <w:b/>
          <w:bCs/>
          <w:color w:val="auto"/>
          <w:szCs w:val="21"/>
          <w:highlight w:val="none"/>
        </w:rPr>
      </w:pPr>
    </w:p>
    <w:p w14:paraId="01E5AB52">
      <w:pPr>
        <w:pStyle w:val="38"/>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p>
    <w:p w14:paraId="562A4EC2">
      <w:pPr>
        <w:pStyle w:val="38"/>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（招标项目名称）         </w:t>
      </w:r>
      <w:r>
        <w:rPr>
          <w:rFonts w:hint="eastAsia" w:ascii="宋体" w:hAnsi="宋体" w:cs="宋体"/>
          <w:color w:val="auto"/>
          <w:sz w:val="24"/>
          <w:highlight w:val="none"/>
        </w:rPr>
        <w:t>项目招标活动，由本单位承担工程。</w:t>
      </w:r>
    </w:p>
    <w:p w14:paraId="1D38962B">
      <w:pPr>
        <w:pStyle w:val="38"/>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590DB06">
      <w:pPr>
        <w:pStyle w:val="38"/>
        <w:spacing w:line="360" w:lineRule="auto"/>
        <w:ind w:firstLine="960" w:firstLineChars="400"/>
        <w:rPr>
          <w:rFonts w:ascii="宋体" w:hAnsi="宋体" w:cs="宋体"/>
          <w:color w:val="auto"/>
          <w:sz w:val="24"/>
          <w:highlight w:val="none"/>
        </w:rPr>
      </w:pPr>
    </w:p>
    <w:p w14:paraId="2F5DFE80">
      <w:pPr>
        <w:pStyle w:val="38"/>
        <w:spacing w:line="360" w:lineRule="auto"/>
        <w:ind w:firstLine="960" w:firstLineChars="400"/>
        <w:rPr>
          <w:rFonts w:hint="eastAsia" w:ascii="宋体" w:hAnsi="宋体" w:cs="宋体"/>
          <w:color w:val="auto"/>
          <w:sz w:val="24"/>
          <w:highlight w:val="none"/>
        </w:rPr>
      </w:pPr>
    </w:p>
    <w:p w14:paraId="0CADC97C">
      <w:pPr>
        <w:pStyle w:val="38"/>
        <w:spacing w:line="360" w:lineRule="auto"/>
        <w:ind w:firstLine="960" w:firstLineChars="400"/>
        <w:rPr>
          <w:rFonts w:hint="eastAsia" w:ascii="宋体" w:hAnsi="宋体" w:cs="宋体"/>
          <w:color w:val="auto"/>
          <w:sz w:val="24"/>
          <w:highlight w:val="none"/>
        </w:rPr>
      </w:pPr>
    </w:p>
    <w:p w14:paraId="2B169BFA">
      <w:pPr>
        <w:pStyle w:val="38"/>
        <w:spacing w:line="360" w:lineRule="auto"/>
        <w:ind w:firstLine="960" w:firstLineChars="400"/>
        <w:rPr>
          <w:rFonts w:hint="eastAsia" w:ascii="宋体" w:hAnsi="宋体" w:cs="宋体"/>
          <w:color w:val="auto"/>
          <w:sz w:val="24"/>
          <w:highlight w:val="none"/>
        </w:rPr>
      </w:pPr>
    </w:p>
    <w:p w14:paraId="2B0F4713">
      <w:pPr>
        <w:pStyle w:val="38"/>
        <w:spacing w:line="360" w:lineRule="auto"/>
        <w:ind w:firstLine="960" w:firstLineChars="400"/>
        <w:jc w:val="right"/>
        <w:rPr>
          <w:rFonts w:hint="eastAsia" w:ascii="宋体" w:hAnsi="宋体" w:cs="宋体"/>
          <w:color w:val="auto"/>
          <w:sz w:val="24"/>
          <w:highlight w:val="none"/>
        </w:rPr>
      </w:pPr>
      <w:r>
        <w:rPr>
          <w:rFonts w:hint="eastAsia" w:ascii="宋体" w:hAnsi="宋体" w:cs="宋体"/>
          <w:color w:val="auto"/>
          <w:sz w:val="24"/>
          <w:highlight w:val="none"/>
        </w:rPr>
        <w:t>投标人名称（盖章或电子印章）：</w:t>
      </w:r>
    </w:p>
    <w:p w14:paraId="18098926">
      <w:pPr>
        <w:pStyle w:val="38"/>
        <w:spacing w:after="0" w:line="360" w:lineRule="auto"/>
        <w:ind w:firstLine="960" w:firstLineChars="400"/>
        <w:jc w:val="right"/>
        <w:rPr>
          <w:rFonts w:ascii="宋体" w:hAnsi="宋体" w:cs="宋体"/>
          <w:color w:val="auto"/>
          <w:sz w:val="24"/>
          <w:highlight w:val="none"/>
        </w:rPr>
      </w:pPr>
      <w:r>
        <w:rPr>
          <w:rFonts w:hint="eastAsia" w:ascii="宋体" w:hAnsi="宋体" w:cs="宋体"/>
          <w:color w:val="auto"/>
          <w:sz w:val="24"/>
          <w:highlight w:val="none"/>
        </w:rPr>
        <w:t>日   期：     年   月   日</w:t>
      </w:r>
    </w:p>
    <w:p w14:paraId="14C600D9">
      <w:pPr>
        <w:pStyle w:val="38"/>
        <w:spacing w:line="240" w:lineRule="auto"/>
        <w:ind w:firstLine="0"/>
        <w:jc w:val="left"/>
        <w:rPr>
          <w:rFonts w:ascii="宋体" w:hAnsi="宋体" w:cs="宋体"/>
          <w:b/>
          <w:bCs/>
          <w:color w:val="auto"/>
          <w:szCs w:val="21"/>
          <w:highlight w:val="none"/>
        </w:rPr>
      </w:pPr>
    </w:p>
    <w:p w14:paraId="5D8DBADD">
      <w:pPr>
        <w:pStyle w:val="38"/>
        <w:spacing w:line="240" w:lineRule="auto"/>
        <w:ind w:firstLine="0"/>
        <w:jc w:val="left"/>
        <w:rPr>
          <w:rFonts w:ascii="宋体" w:hAnsi="宋体" w:cs="宋体"/>
          <w:b/>
          <w:bCs/>
          <w:color w:val="auto"/>
          <w:szCs w:val="21"/>
          <w:highlight w:val="none"/>
        </w:rPr>
      </w:pPr>
    </w:p>
    <w:p w14:paraId="12BF4CA8">
      <w:pPr>
        <w:pStyle w:val="38"/>
        <w:spacing w:line="240" w:lineRule="auto"/>
        <w:ind w:firstLine="0"/>
        <w:jc w:val="left"/>
        <w:rPr>
          <w:rFonts w:ascii="宋体" w:hAnsi="宋体" w:cs="宋体"/>
          <w:b/>
          <w:bCs/>
          <w:color w:val="auto"/>
          <w:szCs w:val="21"/>
          <w:highlight w:val="none"/>
        </w:rPr>
      </w:pPr>
    </w:p>
    <w:p w14:paraId="6953C735">
      <w:pPr>
        <w:pStyle w:val="38"/>
        <w:spacing w:line="240" w:lineRule="auto"/>
        <w:ind w:firstLine="0"/>
        <w:jc w:val="left"/>
        <w:rPr>
          <w:rFonts w:ascii="宋体" w:hAnsi="宋体" w:cs="宋体"/>
          <w:b/>
          <w:bCs/>
          <w:color w:val="auto"/>
          <w:szCs w:val="21"/>
          <w:highlight w:val="none"/>
        </w:rPr>
      </w:pPr>
    </w:p>
    <w:p w14:paraId="12F8DE3E">
      <w:pPr>
        <w:pStyle w:val="38"/>
        <w:spacing w:line="240" w:lineRule="auto"/>
        <w:ind w:firstLine="0"/>
        <w:jc w:val="left"/>
        <w:rPr>
          <w:rFonts w:ascii="宋体" w:hAnsi="宋体" w:cs="宋体"/>
          <w:b/>
          <w:bCs/>
          <w:color w:val="auto"/>
          <w:szCs w:val="21"/>
          <w:highlight w:val="none"/>
        </w:rPr>
      </w:pPr>
    </w:p>
    <w:p w14:paraId="1C2A5FC6">
      <w:pPr>
        <w:pStyle w:val="38"/>
        <w:spacing w:line="240" w:lineRule="auto"/>
        <w:ind w:firstLine="0"/>
        <w:jc w:val="left"/>
        <w:rPr>
          <w:rFonts w:ascii="宋体" w:hAnsi="宋体" w:cs="宋体"/>
          <w:b/>
          <w:bCs/>
          <w:color w:val="auto"/>
          <w:szCs w:val="21"/>
          <w:highlight w:val="none"/>
        </w:rPr>
      </w:pPr>
    </w:p>
    <w:p w14:paraId="29E07FFB">
      <w:pPr>
        <w:pStyle w:val="38"/>
        <w:spacing w:line="240" w:lineRule="auto"/>
        <w:ind w:firstLine="0"/>
        <w:jc w:val="left"/>
        <w:rPr>
          <w:rFonts w:ascii="宋体" w:hAnsi="宋体" w:cs="宋体"/>
          <w:b/>
          <w:bCs/>
          <w:color w:val="auto"/>
          <w:szCs w:val="21"/>
          <w:highlight w:val="none"/>
        </w:rPr>
      </w:pPr>
    </w:p>
    <w:p w14:paraId="1F7DD444">
      <w:pPr>
        <w:pStyle w:val="38"/>
        <w:spacing w:line="240" w:lineRule="auto"/>
        <w:ind w:firstLine="0"/>
        <w:jc w:val="left"/>
        <w:rPr>
          <w:rFonts w:ascii="宋体" w:hAnsi="宋体" w:cs="宋体"/>
          <w:b/>
          <w:bCs/>
          <w:color w:val="auto"/>
          <w:szCs w:val="21"/>
          <w:highlight w:val="none"/>
        </w:rPr>
      </w:pPr>
      <w:r>
        <w:rPr>
          <w:rFonts w:hint="eastAsia" w:ascii="宋体" w:hAnsi="宋体" w:cs="宋体"/>
          <w:b/>
          <w:bCs/>
          <w:color w:val="auto"/>
          <w:szCs w:val="21"/>
          <w:highlight w:val="none"/>
        </w:rPr>
        <w:t>注：1、残疾人福利性单位声明函（如有）适用于残疾人福利性单位参加招投标活动的。本函未填写的视作未做声明。</w:t>
      </w:r>
    </w:p>
    <w:p w14:paraId="7666325A">
      <w:pPr>
        <w:pStyle w:val="38"/>
        <w:spacing w:after="0" w:line="240" w:lineRule="auto"/>
        <w:ind w:firstLine="0"/>
        <w:jc w:val="left"/>
        <w:rPr>
          <w:rFonts w:hint="eastAsia" w:ascii="宋体" w:hAnsi="宋体" w:cs="宋体"/>
          <w:b/>
          <w:bCs/>
          <w:color w:val="auto"/>
          <w:szCs w:val="21"/>
          <w:highlight w:val="none"/>
        </w:rPr>
      </w:pPr>
      <w:r>
        <w:rPr>
          <w:rFonts w:hint="eastAsia" w:ascii="宋体" w:hAnsi="宋体" w:cs="宋体"/>
          <w:b/>
          <w:bCs/>
          <w:color w:val="auto"/>
          <w:szCs w:val="21"/>
          <w:highlight w:val="none"/>
        </w:rPr>
        <w:t>2、残疾人福利性单位视同小微企业，无需再提供《中小企业声明函》。</w:t>
      </w:r>
    </w:p>
    <w:p w14:paraId="2D42ECB8">
      <w:pPr>
        <w:rPr>
          <w:rFonts w:hint="eastAsia" w:ascii="宋体" w:hAnsi="宋体" w:cs="宋体"/>
          <w:color w:val="auto"/>
          <w:highlight w:val="none"/>
        </w:rPr>
        <w:sectPr>
          <w:pgSz w:w="11906" w:h="16838"/>
          <w:pgMar w:top="1440" w:right="1800" w:bottom="1440" w:left="1800" w:header="851" w:footer="992" w:gutter="0"/>
          <w:cols w:space="720" w:num="1"/>
          <w:docGrid w:type="lines" w:linePitch="312" w:charSpace="0"/>
        </w:sectPr>
      </w:pPr>
    </w:p>
    <w:p w14:paraId="376A5A28">
      <w:pPr>
        <w:pStyle w:val="38"/>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注：本协议不作为否决投标的依据，如有</w:t>
      </w:r>
      <w:r>
        <w:rPr>
          <w:rFonts w:hint="eastAsia" w:ascii="宋体" w:hAnsi="宋体" w:eastAsia="宋体" w:cs="宋体"/>
          <w:b/>
          <w:bCs/>
          <w:color w:val="auto"/>
          <w:kern w:val="2"/>
          <w:sz w:val="21"/>
          <w:szCs w:val="21"/>
          <w:highlight w:val="none"/>
          <w:u w:val="single"/>
          <w:lang w:val="en-US" w:eastAsia="zh-CN" w:bidi="ar-SA"/>
        </w:rPr>
        <w:t>分包须符合《中华人民共和国建筑法》、《建设工程质量管理条例》、《中华人民共和国招标投标法》及招标文件《第四章 合同条款及格式》中“分包”等有关规定。如有违反上述规定的，为无效分包，并承担相应责任。</w:t>
      </w:r>
    </w:p>
    <w:p w14:paraId="79567D36">
      <w:pPr>
        <w:pStyle w:val="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w:t>
      </w:r>
    </w:p>
    <w:p w14:paraId="22CA7815">
      <w:pPr>
        <w:pStyle w:val="38"/>
        <w:spacing w:line="360" w:lineRule="auto"/>
        <w:ind w:firstLine="562" w:firstLineChars="175"/>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分包意向协议（如有）</w:t>
      </w:r>
    </w:p>
    <w:p w14:paraId="4865750F">
      <w:pPr>
        <w:pStyle w:val="38"/>
        <w:spacing w:line="240" w:lineRule="auto"/>
        <w:ind w:firstLine="0"/>
        <w:rPr>
          <w:rFonts w:hint="eastAsia" w:ascii="宋体" w:hAnsi="宋体" w:cs="宋体"/>
          <w:color w:val="auto"/>
          <w:szCs w:val="21"/>
          <w:highlight w:val="none"/>
          <w:u w:val="single"/>
        </w:rPr>
      </w:pPr>
      <w:r>
        <w:rPr>
          <w:rFonts w:hint="eastAsia" w:ascii="宋体" w:hAnsi="宋体" w:cs="宋体"/>
          <w:color w:val="auto"/>
          <w:szCs w:val="21"/>
          <w:highlight w:val="none"/>
        </w:rPr>
        <w:t>立约方：</w:t>
      </w:r>
      <w:r>
        <w:rPr>
          <w:rFonts w:hint="eastAsia" w:ascii="宋体" w:hAnsi="宋体" w:cs="宋体"/>
          <w:color w:val="auto"/>
          <w:szCs w:val="21"/>
          <w:highlight w:val="none"/>
          <w:u w:val="single"/>
        </w:rPr>
        <w:t>（甲公司全称）</w:t>
      </w:r>
    </w:p>
    <w:p w14:paraId="688F5682">
      <w:pPr>
        <w:pStyle w:val="38"/>
        <w:spacing w:line="240" w:lineRule="auto"/>
        <w:ind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（乙公司全称）</w:t>
      </w:r>
    </w:p>
    <w:p w14:paraId="6C83AAAE">
      <w:pPr>
        <w:pStyle w:val="38"/>
        <w:spacing w:line="240" w:lineRule="auto"/>
        <w:ind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（……公司全称）</w:t>
      </w:r>
    </w:p>
    <w:p w14:paraId="19251FC5">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（甲公司全称）、（乙公司全称）、（……公司全称）          </w:t>
      </w:r>
      <w:r>
        <w:rPr>
          <w:rFonts w:hint="eastAsia" w:ascii="宋体" w:hAnsi="宋体" w:cs="宋体"/>
          <w:color w:val="auto"/>
          <w:szCs w:val="21"/>
          <w:highlight w:val="none"/>
        </w:rPr>
        <w:t>自愿达成分包意向，参加</w:t>
      </w:r>
      <w:r>
        <w:rPr>
          <w:rFonts w:hint="eastAsia" w:ascii="宋体" w:hAnsi="宋体" w:cs="宋体"/>
          <w:color w:val="auto"/>
          <w:szCs w:val="21"/>
          <w:highlight w:val="none"/>
          <w:u w:val="single"/>
        </w:rPr>
        <w:t xml:space="preserve">          （招标项目名称）         </w:t>
      </w:r>
      <w:r>
        <w:rPr>
          <w:rFonts w:hint="eastAsia" w:ascii="宋体" w:hAnsi="宋体" w:cs="宋体"/>
          <w:color w:val="auto"/>
          <w:szCs w:val="21"/>
          <w:highlight w:val="none"/>
        </w:rPr>
        <w:t>的投标活动。经各方充分协商一致，就项目的投标和合同实施阶段的有关事务协商一致订立意向如下：</w:t>
      </w:r>
    </w:p>
    <w:p w14:paraId="2FC52E5B">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一、分包意向各方关系：</w:t>
      </w:r>
    </w:p>
    <w:p w14:paraId="1C34B196">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（甲公司全称）          </w:t>
      </w:r>
      <w:r>
        <w:rPr>
          <w:rFonts w:hint="eastAsia" w:ascii="宋体" w:hAnsi="宋体" w:cs="宋体"/>
          <w:color w:val="auto"/>
          <w:szCs w:val="21"/>
          <w:highlight w:val="none"/>
        </w:rPr>
        <w:t>为投标人，</w:t>
      </w:r>
      <w:r>
        <w:rPr>
          <w:rFonts w:hint="eastAsia" w:ascii="宋体" w:hAnsi="宋体" w:cs="宋体"/>
          <w:color w:val="auto"/>
          <w:szCs w:val="21"/>
          <w:highlight w:val="none"/>
          <w:u w:val="single"/>
        </w:rPr>
        <w:t xml:space="preserve">（乙公司全称）、（……公司全称）      </w:t>
      </w:r>
      <w:r>
        <w:rPr>
          <w:rFonts w:hint="eastAsia" w:ascii="宋体" w:hAnsi="宋体" w:cs="宋体"/>
          <w:color w:val="auto"/>
          <w:szCs w:val="21"/>
          <w:highlight w:val="none"/>
        </w:rPr>
        <w:t>为分包意向单位，</w:t>
      </w:r>
      <w:r>
        <w:rPr>
          <w:rFonts w:hint="eastAsia" w:ascii="宋体" w:hAnsi="宋体" w:cs="宋体"/>
          <w:color w:val="auto"/>
          <w:szCs w:val="21"/>
          <w:highlight w:val="none"/>
          <w:u w:val="single"/>
        </w:rPr>
        <w:t xml:space="preserve">（甲公司全称）          </w:t>
      </w:r>
      <w:r>
        <w:rPr>
          <w:rFonts w:hint="eastAsia" w:ascii="宋体" w:hAnsi="宋体" w:cs="宋体"/>
          <w:color w:val="auto"/>
          <w:szCs w:val="21"/>
          <w:highlight w:val="none"/>
        </w:rPr>
        <w:t>以投标人的身份参加本项目的投标。若中标，</w:t>
      </w:r>
      <w:r>
        <w:rPr>
          <w:rFonts w:hint="eastAsia" w:ascii="宋体" w:hAnsi="宋体" w:cs="宋体"/>
          <w:color w:val="auto"/>
          <w:szCs w:val="21"/>
          <w:highlight w:val="none"/>
          <w:u w:val="single"/>
        </w:rPr>
        <w:t xml:space="preserve">（甲公司全称）          </w:t>
      </w:r>
      <w:r>
        <w:rPr>
          <w:rFonts w:hint="eastAsia" w:ascii="宋体" w:hAnsi="宋体" w:cs="宋体"/>
          <w:color w:val="auto"/>
          <w:szCs w:val="21"/>
          <w:highlight w:val="none"/>
        </w:rPr>
        <w:t>与招标人签订建设工程施工合同。承接分包意向的各单位与</w:t>
      </w:r>
      <w:r>
        <w:rPr>
          <w:rFonts w:hint="eastAsia" w:ascii="宋体" w:hAnsi="宋体" w:cs="宋体"/>
          <w:color w:val="auto"/>
          <w:szCs w:val="21"/>
          <w:highlight w:val="none"/>
          <w:u w:val="single"/>
        </w:rPr>
        <w:t xml:space="preserve">（甲公司全称）          </w:t>
      </w:r>
      <w:r>
        <w:rPr>
          <w:rFonts w:hint="eastAsia" w:ascii="宋体" w:hAnsi="宋体" w:cs="宋体"/>
          <w:color w:val="auto"/>
          <w:szCs w:val="21"/>
          <w:highlight w:val="none"/>
        </w:rPr>
        <w:t>签订分包合同。</w:t>
      </w:r>
      <w:r>
        <w:rPr>
          <w:rFonts w:hint="eastAsia" w:ascii="宋体" w:hAnsi="宋体" w:cs="宋体"/>
          <w:color w:val="auto"/>
          <w:szCs w:val="21"/>
          <w:highlight w:val="none"/>
          <w:u w:val="single"/>
        </w:rPr>
        <w:t xml:space="preserve">（甲公司全称）          </w:t>
      </w:r>
      <w:r>
        <w:rPr>
          <w:rFonts w:hint="eastAsia" w:ascii="宋体" w:hAnsi="宋体" w:cs="宋体"/>
          <w:color w:val="auto"/>
          <w:szCs w:val="21"/>
          <w:highlight w:val="none"/>
        </w:rPr>
        <w:t>就招标项目和分包项目向招标人负责，分包单位就分包项目承担责任。</w:t>
      </w:r>
    </w:p>
    <w:p w14:paraId="3A3E42B2">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二、有关事项约定如下：</w:t>
      </w:r>
    </w:p>
    <w:p w14:paraId="2EF02079">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1.如中标，分包单位分别与</w:t>
      </w:r>
      <w:r>
        <w:rPr>
          <w:rFonts w:hint="eastAsia" w:ascii="宋体" w:hAnsi="宋体" w:cs="宋体"/>
          <w:color w:val="auto"/>
          <w:szCs w:val="21"/>
          <w:highlight w:val="none"/>
          <w:u w:val="single"/>
        </w:rPr>
        <w:t xml:space="preserve">（甲公司全称）          </w:t>
      </w:r>
      <w:r>
        <w:rPr>
          <w:rFonts w:hint="eastAsia" w:ascii="宋体" w:hAnsi="宋体" w:cs="宋体"/>
          <w:color w:val="auto"/>
          <w:szCs w:val="21"/>
          <w:highlight w:val="none"/>
        </w:rPr>
        <w:t>签订合同书，并就中标项目分包部分承担法律责任。</w:t>
      </w:r>
    </w:p>
    <w:p w14:paraId="3049E50F">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2.分包意向单位1：</w:t>
      </w:r>
      <w:r>
        <w:rPr>
          <w:rFonts w:hint="eastAsia" w:ascii="宋体" w:hAnsi="宋体" w:cs="宋体"/>
          <w:color w:val="auto"/>
          <w:szCs w:val="21"/>
          <w:highlight w:val="none"/>
          <w:u w:val="single"/>
        </w:rPr>
        <w:t xml:space="preserve">（乙公司全称）     </w:t>
      </w:r>
      <w:r>
        <w:rPr>
          <w:rFonts w:hint="eastAsia" w:ascii="宋体" w:hAnsi="宋体" w:cs="宋体"/>
          <w:color w:val="auto"/>
          <w:szCs w:val="21"/>
          <w:highlight w:val="none"/>
        </w:rPr>
        <w:t>为</w:t>
      </w:r>
      <w:r>
        <w:rPr>
          <w:rFonts w:hint="eastAsia" w:ascii="宋体" w:hAnsi="宋体" w:cs="宋体"/>
          <w:color w:val="auto"/>
          <w:szCs w:val="21"/>
          <w:highlight w:val="none"/>
          <w:u w:val="single"/>
        </w:rPr>
        <w:t>（请填写：大型、中型、小型、微型）</w:t>
      </w:r>
      <w:r>
        <w:rPr>
          <w:rFonts w:hint="eastAsia" w:ascii="宋体" w:hAnsi="宋体" w:cs="宋体"/>
          <w:color w:val="auto"/>
          <w:szCs w:val="21"/>
          <w:highlight w:val="none"/>
        </w:rPr>
        <w:t>企业，将承担适宜分包部分</w:t>
      </w:r>
      <w:r>
        <w:rPr>
          <w:rFonts w:hint="eastAsia" w:ascii="宋体" w:hAnsi="宋体" w:cs="宋体"/>
          <w:color w:val="auto"/>
          <w:szCs w:val="21"/>
          <w:highlight w:val="none"/>
          <w:u w:val="single"/>
        </w:rPr>
        <w:t xml:space="preserve">   （具体分包内容）   </w:t>
      </w:r>
      <w:r>
        <w:rPr>
          <w:rFonts w:hint="eastAsia" w:ascii="宋体" w:hAnsi="宋体" w:cs="宋体"/>
          <w:color w:val="auto"/>
          <w:szCs w:val="21"/>
          <w:highlight w:val="none"/>
        </w:rPr>
        <w:t>占合同总金额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%的工作内容。</w:t>
      </w:r>
    </w:p>
    <w:p w14:paraId="3F627372">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3.分包意向单位2：</w:t>
      </w:r>
      <w:r>
        <w:rPr>
          <w:rFonts w:hint="eastAsia" w:ascii="宋体" w:hAnsi="宋体" w:cs="宋体"/>
          <w:color w:val="auto"/>
          <w:szCs w:val="21"/>
          <w:highlight w:val="none"/>
          <w:u w:val="single"/>
        </w:rPr>
        <w:t xml:space="preserve">（……公司全称）   </w:t>
      </w:r>
      <w:r>
        <w:rPr>
          <w:rFonts w:hint="eastAsia" w:ascii="宋体" w:hAnsi="宋体" w:cs="宋体"/>
          <w:color w:val="auto"/>
          <w:szCs w:val="21"/>
          <w:highlight w:val="none"/>
        </w:rPr>
        <w:t>为</w:t>
      </w:r>
      <w:r>
        <w:rPr>
          <w:rFonts w:hint="eastAsia" w:ascii="宋体" w:hAnsi="宋体" w:cs="宋体"/>
          <w:color w:val="auto"/>
          <w:szCs w:val="21"/>
          <w:highlight w:val="none"/>
          <w:u w:val="single"/>
        </w:rPr>
        <w:t>（请填写：大型、中型、小型、微型）</w:t>
      </w:r>
      <w:r>
        <w:rPr>
          <w:rFonts w:hint="eastAsia" w:ascii="宋体" w:hAnsi="宋体" w:cs="宋体"/>
          <w:color w:val="auto"/>
          <w:szCs w:val="21"/>
          <w:highlight w:val="none"/>
        </w:rPr>
        <w:t>企业，将承担适宜分包部分</w:t>
      </w:r>
      <w:r>
        <w:rPr>
          <w:rFonts w:hint="eastAsia" w:ascii="宋体" w:hAnsi="宋体" w:cs="宋体"/>
          <w:color w:val="auto"/>
          <w:szCs w:val="21"/>
          <w:highlight w:val="none"/>
          <w:u w:val="single"/>
        </w:rPr>
        <w:t xml:space="preserve">   （具体分包内容）   </w:t>
      </w:r>
      <w:r>
        <w:rPr>
          <w:rFonts w:hint="eastAsia" w:ascii="宋体" w:hAnsi="宋体" w:cs="宋体"/>
          <w:color w:val="auto"/>
          <w:szCs w:val="21"/>
          <w:highlight w:val="none"/>
        </w:rPr>
        <w:t>占合同总金额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%的工作内容。</w:t>
      </w:r>
    </w:p>
    <w:p w14:paraId="0BDAF758">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36201154">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三、接受分包的企业与投标人之间的关系：</w:t>
      </w:r>
    </w:p>
    <w:p w14:paraId="2F039AFB">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1.分包意向单位1：</w:t>
      </w:r>
      <w:r>
        <w:rPr>
          <w:rFonts w:hint="eastAsia" w:ascii="宋体" w:hAnsi="宋体" w:cs="宋体"/>
          <w:color w:val="auto"/>
          <w:szCs w:val="21"/>
          <w:highlight w:val="none"/>
          <w:u w:val="single"/>
        </w:rPr>
        <w:t xml:space="preserve">（公司全称）     </w:t>
      </w:r>
      <w:r>
        <w:rPr>
          <w:rFonts w:hint="eastAsia" w:ascii="宋体" w:hAnsi="宋体" w:cs="宋体"/>
          <w:color w:val="auto"/>
          <w:szCs w:val="21"/>
          <w:highlight w:val="none"/>
        </w:rPr>
        <w:t>与投标人之间</w:t>
      </w:r>
      <w:r>
        <w:rPr>
          <w:rFonts w:hint="eastAsia" w:ascii="宋体" w:hAnsi="宋体" w:cs="宋体"/>
          <w:color w:val="auto"/>
          <w:szCs w:val="21"/>
          <w:highlight w:val="none"/>
          <w:u w:val="single"/>
        </w:rPr>
        <w:t xml:space="preserve">  （请填写：是否存在）  </w:t>
      </w:r>
      <w:r>
        <w:rPr>
          <w:rFonts w:hint="eastAsia" w:ascii="宋体" w:hAnsi="宋体" w:cs="宋体"/>
          <w:color w:val="auto"/>
          <w:szCs w:val="21"/>
          <w:highlight w:val="none"/>
        </w:rPr>
        <w:t>直接控股、管理关系的情形。</w:t>
      </w:r>
    </w:p>
    <w:p w14:paraId="788D76DF">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2.分包意向单位2：</w:t>
      </w:r>
      <w:r>
        <w:rPr>
          <w:rFonts w:hint="eastAsia" w:ascii="宋体" w:hAnsi="宋体" w:cs="宋体"/>
          <w:color w:val="auto"/>
          <w:szCs w:val="21"/>
          <w:highlight w:val="none"/>
          <w:u w:val="single"/>
        </w:rPr>
        <w:t xml:space="preserve">（公司全称）     </w:t>
      </w:r>
      <w:r>
        <w:rPr>
          <w:rFonts w:hint="eastAsia" w:ascii="宋体" w:hAnsi="宋体" w:cs="宋体"/>
          <w:color w:val="auto"/>
          <w:szCs w:val="21"/>
          <w:highlight w:val="none"/>
        </w:rPr>
        <w:t>与投标人之间</w:t>
      </w:r>
      <w:r>
        <w:rPr>
          <w:rFonts w:hint="eastAsia" w:ascii="宋体" w:hAnsi="宋体" w:cs="宋体"/>
          <w:color w:val="auto"/>
          <w:szCs w:val="21"/>
          <w:highlight w:val="none"/>
          <w:u w:val="single"/>
        </w:rPr>
        <w:t xml:space="preserve">  （请填写：是否存在）  </w:t>
      </w:r>
      <w:r>
        <w:rPr>
          <w:rFonts w:hint="eastAsia" w:ascii="宋体" w:hAnsi="宋体" w:cs="宋体"/>
          <w:color w:val="auto"/>
          <w:szCs w:val="21"/>
          <w:highlight w:val="none"/>
        </w:rPr>
        <w:t>直接控股、管理关系的情形。</w:t>
      </w:r>
    </w:p>
    <w:p w14:paraId="084CF20D">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070E9BF4">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四、如因违约过失责任而导致招标人经济损失或被索赔时，</w:t>
      </w:r>
      <w:r>
        <w:rPr>
          <w:rFonts w:hint="eastAsia" w:ascii="宋体" w:hAnsi="宋体" w:cs="宋体"/>
          <w:color w:val="auto"/>
          <w:szCs w:val="21"/>
          <w:highlight w:val="none"/>
          <w:u w:val="single"/>
        </w:rPr>
        <w:t xml:space="preserve">（甲公司全称）      </w:t>
      </w:r>
      <w:r>
        <w:rPr>
          <w:rFonts w:hint="eastAsia" w:ascii="宋体" w:hAnsi="宋体" w:cs="宋体"/>
          <w:color w:val="auto"/>
          <w:szCs w:val="21"/>
          <w:highlight w:val="none"/>
        </w:rPr>
        <w:t>同意无条件优先清偿招标人的一切债务和经济赔偿。</w:t>
      </w:r>
    </w:p>
    <w:p w14:paraId="1C94F85A">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五、如中标，分包意向单位不得以任何理由提出终止本意向协议。</w:t>
      </w:r>
    </w:p>
    <w:p w14:paraId="0DFBC2A2">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六、如中标，分包意向单位确定后，不得擅自变更。</w:t>
      </w:r>
    </w:p>
    <w:p w14:paraId="511C3E35">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七、本分包意向协议在自签署之日起生效，有效期内有效，如获中标资格，有效期延续至合同履行完毕之日。</w:t>
      </w:r>
    </w:p>
    <w:p w14:paraId="47792E95">
      <w:pPr>
        <w:pStyle w:val="38"/>
        <w:spacing w:line="240" w:lineRule="auto"/>
        <w:ind w:firstLineChars="200"/>
        <w:rPr>
          <w:rFonts w:hint="eastAsia" w:ascii="宋体" w:hAnsi="宋体" w:cs="宋体"/>
          <w:color w:val="auto"/>
          <w:szCs w:val="21"/>
          <w:highlight w:val="none"/>
        </w:rPr>
      </w:pPr>
      <w:r>
        <w:rPr>
          <w:rFonts w:hint="eastAsia" w:ascii="宋体" w:hAnsi="宋体" w:cs="宋体"/>
          <w:color w:val="auto"/>
          <w:szCs w:val="21"/>
          <w:highlight w:val="none"/>
        </w:rPr>
        <w:t>八、本企业对上述内容的真实性负责。如有虚假，将依法承担相应责任。以上分包意向单位，不属于大企业的分支机构，不存在控股股东为大企业的情形，也不存在与大企业的负责人为同一人的情形。</w:t>
      </w:r>
    </w:p>
    <w:p w14:paraId="3BD4196C">
      <w:pPr>
        <w:pStyle w:val="38"/>
        <w:spacing w:line="240" w:lineRule="auto"/>
        <w:rPr>
          <w:rFonts w:hint="eastAsia" w:ascii="宋体" w:hAnsi="宋体" w:cs="宋体"/>
          <w:color w:val="auto"/>
          <w:szCs w:val="21"/>
          <w:highlight w:val="none"/>
        </w:rPr>
      </w:pPr>
    </w:p>
    <w:p w14:paraId="065F0A7B">
      <w:pPr>
        <w:pStyle w:val="38"/>
        <w:spacing w:line="240" w:lineRule="auto"/>
        <w:rPr>
          <w:rFonts w:hint="eastAsia" w:ascii="宋体" w:hAnsi="宋体" w:cs="宋体"/>
          <w:color w:val="auto"/>
          <w:szCs w:val="21"/>
          <w:highlight w:val="none"/>
        </w:rPr>
      </w:pPr>
    </w:p>
    <w:p w14:paraId="04402F6A">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甲公司全称：（盖章）</w:t>
      </w:r>
    </w:p>
    <w:p w14:paraId="0761EDBD">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5BCA0BD2">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03DD26F3">
      <w:pPr>
        <w:pStyle w:val="38"/>
        <w:spacing w:line="240" w:lineRule="auto"/>
        <w:rPr>
          <w:rFonts w:hint="eastAsia" w:ascii="宋体" w:hAnsi="宋体" w:cs="宋体"/>
          <w:color w:val="auto"/>
          <w:szCs w:val="21"/>
          <w:highlight w:val="none"/>
        </w:rPr>
      </w:pPr>
    </w:p>
    <w:p w14:paraId="01238E6A">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乙公司全称：（盖章）</w:t>
      </w:r>
    </w:p>
    <w:p w14:paraId="1A2E31A4">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329F08A7">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8C35FED">
      <w:pPr>
        <w:pStyle w:val="38"/>
        <w:spacing w:line="240" w:lineRule="auto"/>
        <w:rPr>
          <w:rFonts w:hint="eastAsia" w:ascii="宋体" w:hAnsi="宋体" w:cs="宋体"/>
          <w:color w:val="auto"/>
          <w:szCs w:val="21"/>
          <w:highlight w:val="none"/>
        </w:rPr>
      </w:pPr>
    </w:p>
    <w:p w14:paraId="3A2494D8">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……公司全称（盖章）</w:t>
      </w:r>
    </w:p>
    <w:p w14:paraId="1BC5AB13">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法定代表人：（签字或盖章）</w:t>
      </w:r>
    </w:p>
    <w:p w14:paraId="11895839">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1747407C">
      <w:pPr>
        <w:pStyle w:val="38"/>
        <w:spacing w:line="240" w:lineRule="auto"/>
        <w:rPr>
          <w:rFonts w:hint="eastAsia" w:ascii="宋体" w:hAnsi="宋体" w:cs="宋体"/>
          <w:color w:val="auto"/>
          <w:szCs w:val="21"/>
          <w:highlight w:val="none"/>
        </w:rPr>
      </w:pPr>
      <w:r>
        <w:rPr>
          <w:rFonts w:hint="eastAsia" w:ascii="宋体" w:hAnsi="宋体" w:cs="宋体"/>
          <w:color w:val="auto"/>
          <w:szCs w:val="21"/>
          <w:highlight w:val="none"/>
        </w:rPr>
        <w:t>……</w:t>
      </w:r>
    </w:p>
    <w:p w14:paraId="203D37D1">
      <w:pPr>
        <w:pStyle w:val="38"/>
        <w:spacing w:line="240" w:lineRule="auto"/>
        <w:rPr>
          <w:rFonts w:hint="eastAsia" w:ascii="宋体" w:hAnsi="宋体" w:cs="宋体"/>
          <w:b/>
          <w:bCs/>
          <w:color w:val="auto"/>
          <w:szCs w:val="21"/>
          <w:highlight w:val="none"/>
        </w:rPr>
      </w:pPr>
    </w:p>
    <w:p w14:paraId="12A5FDFF">
      <w:pPr>
        <w:pStyle w:val="38"/>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t>注：1．各方应在本分包意向协议上共同盖章确认。</w:t>
      </w:r>
    </w:p>
    <w:p w14:paraId="0C4F746C">
      <w:pPr>
        <w:pStyle w:val="38"/>
        <w:spacing w:line="240" w:lineRule="auto"/>
        <w:ind w:firstLine="843" w:firstLineChars="400"/>
        <w:rPr>
          <w:rFonts w:hint="eastAsia" w:ascii="宋体" w:hAnsi="宋体" w:cs="宋体"/>
          <w:b/>
          <w:bCs/>
          <w:color w:val="auto"/>
          <w:szCs w:val="21"/>
          <w:highlight w:val="none"/>
        </w:rPr>
      </w:pPr>
      <w:r>
        <w:rPr>
          <w:rFonts w:hint="eastAsia" w:ascii="宋体" w:hAnsi="宋体" w:cs="宋体"/>
          <w:b/>
          <w:bCs/>
          <w:color w:val="auto"/>
          <w:szCs w:val="21"/>
          <w:highlight w:val="none"/>
        </w:rPr>
        <w:t>2．本分包意向协议内容将作为签订合同的附件之一。</w:t>
      </w:r>
    </w:p>
    <w:p w14:paraId="3ADE8025">
      <w:pPr>
        <w:pStyle w:val="38"/>
        <w:spacing w:line="240" w:lineRule="auto"/>
        <w:ind w:left="630" w:leftChars="300" w:firstLine="211" w:firstLineChars="100"/>
        <w:rPr>
          <w:rFonts w:hint="eastAsia" w:ascii="宋体" w:hAnsi="宋体" w:cs="宋体"/>
          <w:b/>
          <w:bCs/>
          <w:color w:val="auto"/>
          <w:szCs w:val="21"/>
          <w:highlight w:val="none"/>
        </w:rPr>
      </w:pPr>
      <w:r>
        <w:rPr>
          <w:rFonts w:hint="eastAsia" w:ascii="宋体" w:hAnsi="宋体" w:cs="宋体"/>
          <w:b/>
          <w:bCs/>
          <w:color w:val="auto"/>
          <w:szCs w:val="21"/>
          <w:highlight w:val="none"/>
        </w:rPr>
        <w:t>3．分包意向协议（如有）适用于大中型企业向一家或者多家小微企业分包且分包承诺小微企业的合同份额占到合同总金额30%以上的。</w:t>
      </w:r>
    </w:p>
    <w:p w14:paraId="7EE31EAB">
      <w:pPr>
        <w:pStyle w:val="38"/>
        <w:spacing w:line="240" w:lineRule="auto"/>
        <w:ind w:left="630" w:leftChars="300" w:firstLine="211" w:firstLineChars="1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4.此格式文件由投标人根据需要选用。</w:t>
      </w:r>
    </w:p>
    <w:p w14:paraId="3FD6594E">
      <w:pPr>
        <w:pStyle w:val="3"/>
        <w:shd w:val="clear"/>
        <w:spacing w:before="0" w:after="0"/>
        <w:rPr>
          <w:rFonts w:hint="eastAsia" w:ascii="宋体" w:hAnsi="宋体" w:eastAsia="宋体" w:cs="宋体"/>
          <w:bCs w:val="0"/>
          <w:iCs/>
          <w:color w:val="auto"/>
          <w:sz w:val="18"/>
          <w:szCs w:val="18"/>
          <w:highlight w:val="none"/>
        </w:rPr>
      </w:pPr>
      <w:r>
        <w:rPr>
          <w:rFonts w:hint="eastAsia" w:ascii="宋体" w:hAnsi="宋体" w:eastAsia="宋体" w:cs="宋体"/>
          <w:iCs/>
          <w:color w:val="auto"/>
          <w:sz w:val="18"/>
          <w:szCs w:val="18"/>
          <w:highlight w:val="none"/>
        </w:rPr>
        <w:br w:type="page"/>
      </w:r>
      <w:bookmarkStart w:id="659" w:name="_Toc19917"/>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w:t>
      </w:r>
      <w:bookmarkEnd w:id="659"/>
    </w:p>
    <w:p w14:paraId="1C964EDA">
      <w:pPr>
        <w:pStyle w:val="38"/>
        <w:shd w:val="clear"/>
        <w:spacing w:after="0" w:line="360" w:lineRule="auto"/>
        <w:ind w:left="-2" w:leftChars="-1" w:firstLine="0"/>
        <w:jc w:val="center"/>
        <w:rPr>
          <w:rFonts w:hint="eastAsia" w:ascii="宋体" w:hAnsi="宋体" w:eastAsia="宋体" w:cs="宋体"/>
          <w:bCs/>
          <w:iCs/>
          <w:color w:val="auto"/>
          <w:sz w:val="24"/>
          <w:highlight w:val="none"/>
          <w:u w:val="single"/>
        </w:rPr>
      </w:pPr>
      <w:r>
        <w:rPr>
          <w:rFonts w:hint="eastAsia" w:ascii="宋体" w:hAnsi="宋体" w:eastAsia="宋体" w:cs="宋体"/>
          <w:bCs/>
          <w:iCs/>
          <w:color w:val="auto"/>
          <w:sz w:val="24"/>
          <w:highlight w:val="none"/>
          <w:u w:val="single"/>
        </w:rPr>
        <w:t>投标人认为需要提交的其他资料</w:t>
      </w:r>
    </w:p>
    <w:bookmarkEnd w:id="639"/>
    <w:bookmarkEnd w:id="640"/>
    <w:bookmarkEnd w:id="641"/>
    <w:bookmarkEnd w:id="642"/>
    <w:bookmarkEnd w:id="643"/>
    <w:p w14:paraId="34C88945">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DC54FF">
      <w:pPr>
        <w:pStyle w:val="2"/>
        <w:ind w:firstLine="1760" w:firstLineChars="400"/>
        <w:rPr>
          <w:rFonts w:hint="eastAsia" w:ascii="宋体" w:hAnsi="宋体" w:eastAsia="宋体" w:cs="宋体"/>
          <w:color w:val="auto"/>
          <w:highlight w:val="none"/>
        </w:rPr>
      </w:pPr>
      <w:bookmarkStart w:id="660" w:name="_Toc18564"/>
      <w:bookmarkStart w:id="661" w:name="_Toc14942"/>
      <w:r>
        <w:rPr>
          <w:rFonts w:hint="eastAsia" w:ascii="宋体" w:hAnsi="宋体" w:eastAsia="宋体" w:cs="宋体"/>
          <w:color w:val="auto"/>
          <w:highlight w:val="none"/>
          <w:lang w:val="en-US" w:eastAsia="zh-CN"/>
        </w:rPr>
        <w:t xml:space="preserve">第八章  </w:t>
      </w:r>
      <w:r>
        <w:rPr>
          <w:rFonts w:hint="eastAsia" w:ascii="宋体" w:hAnsi="宋体" w:eastAsia="宋体" w:cs="宋体"/>
          <w:color w:val="auto"/>
          <w:highlight w:val="none"/>
        </w:rPr>
        <w:t>否决性条款汇总</w:t>
      </w:r>
      <w:bookmarkEnd w:id="660"/>
      <w:bookmarkEnd w:id="661"/>
    </w:p>
    <w:p w14:paraId="21019C41">
      <w:pPr>
        <w:widowControl/>
        <w:spacing w:after="135"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37C7A152">
      <w:pPr>
        <w:widowControl/>
        <w:spacing w:after="135"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否决性条款指招标文件中规定的拒绝受理或者作无效标以及不合格标处理等否定投标文件效力的条款。</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8260"/>
      </w:tblGrid>
      <w:tr w14:paraId="4FF4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noWrap w:val="0"/>
            <w:vAlign w:val="center"/>
          </w:tcPr>
          <w:p w14:paraId="41717C9F">
            <w:pPr>
              <w:spacing w:before="120" w:beforeLines="5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8260" w:type="dxa"/>
            <w:noWrap w:val="0"/>
            <w:vAlign w:val="center"/>
          </w:tcPr>
          <w:p w14:paraId="314B0655">
            <w:pPr>
              <w:spacing w:before="120" w:beforeLines="5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条款内容</w:t>
            </w:r>
          </w:p>
        </w:tc>
      </w:tr>
      <w:tr w14:paraId="4FE9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129" w:type="dxa"/>
            <w:gridSpan w:val="2"/>
            <w:noWrap w:val="0"/>
            <w:vAlign w:val="center"/>
          </w:tcPr>
          <w:p w14:paraId="4DD48DA0">
            <w:pPr>
              <w:spacing w:before="120" w:beforeLines="50"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t>一、拒绝受理投标文件的情形：</w:t>
            </w:r>
          </w:p>
        </w:tc>
      </w:tr>
      <w:tr w14:paraId="6B13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69" w:type="dxa"/>
            <w:noWrap w:val="0"/>
            <w:vAlign w:val="center"/>
          </w:tcPr>
          <w:p w14:paraId="63118380">
            <w:pPr>
              <w:spacing w:before="120" w:beforeLines="5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260" w:type="dxa"/>
            <w:noWrap w:val="0"/>
            <w:vAlign w:val="center"/>
          </w:tcPr>
          <w:p w14:paraId="7E52A166">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（1）未按要求加密的电子投标文件，</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交易平台将予以拒收。</w:t>
            </w:r>
          </w:p>
          <w:p w14:paraId="79BBF2CD">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（2）逾期送达的电子投标文件，</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交易平台将予以拒收。</w:t>
            </w:r>
          </w:p>
        </w:tc>
      </w:tr>
      <w:tr w14:paraId="1E13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69" w:type="dxa"/>
            <w:noWrap w:val="0"/>
            <w:vAlign w:val="center"/>
          </w:tcPr>
          <w:p w14:paraId="7A56816E">
            <w:pPr>
              <w:spacing w:before="120" w:beforeLines="5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260" w:type="dxa"/>
            <w:noWrap w:val="0"/>
            <w:vAlign w:val="center"/>
          </w:tcPr>
          <w:p w14:paraId="5E3054BB">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在投标截止时间后</w:t>
            </w: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rPr>
              <w:t>小时</w:t>
            </w:r>
            <w:r>
              <w:rPr>
                <w:rFonts w:hint="eastAsia" w:ascii="宋体" w:hAnsi="宋体" w:cs="宋体"/>
                <w:color w:val="auto"/>
                <w:szCs w:val="21"/>
                <w:highlight w:val="none"/>
              </w:rPr>
              <w:t>内为投标人投标文件解密时间，投标人通过</w:t>
            </w:r>
            <w:r>
              <w:rPr>
                <w:rFonts w:hint="eastAsia" w:ascii="宋体" w:hAnsi="宋体" w:cs="宋体"/>
                <w:color w:val="auto"/>
                <w:szCs w:val="21"/>
                <w:highlight w:val="none"/>
                <w:lang w:eastAsia="zh-CN"/>
              </w:rPr>
              <w:t>广州交易集团有限公司（广州公共资源交易中心）</w:t>
            </w:r>
            <w:r>
              <w:rPr>
                <w:rFonts w:hint="eastAsia" w:ascii="宋体" w:hAnsi="宋体" w:cs="宋体"/>
                <w:color w:val="auto"/>
                <w:szCs w:val="21"/>
                <w:highlight w:val="none"/>
              </w:rPr>
              <w:t>交易平台对已递交的电子投标文件进行解密。超过时间未解密的投标文件将作为放弃投标处理。</w:t>
            </w:r>
          </w:p>
        </w:tc>
      </w:tr>
      <w:tr w14:paraId="0F08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129" w:type="dxa"/>
            <w:gridSpan w:val="2"/>
            <w:noWrap w:val="0"/>
            <w:vAlign w:val="center"/>
          </w:tcPr>
          <w:p w14:paraId="4497709A">
            <w:pPr>
              <w:spacing w:before="120" w:beforeLines="50" w:line="240" w:lineRule="auto"/>
              <w:rPr>
                <w:rFonts w:hint="eastAsia" w:ascii="宋体" w:hAnsi="宋体" w:cs="宋体"/>
                <w:color w:val="auto"/>
                <w:szCs w:val="21"/>
                <w:highlight w:val="none"/>
              </w:rPr>
            </w:pPr>
            <w:r>
              <w:rPr>
                <w:rFonts w:hint="eastAsia" w:ascii="宋体" w:hAnsi="宋体" w:cs="宋体"/>
                <w:b/>
                <w:bCs/>
                <w:color w:val="auto"/>
                <w:szCs w:val="21"/>
                <w:highlight w:val="none"/>
              </w:rPr>
              <w:t>二、 开标时，出现下列情形之一的，不参与资格审查和评标：</w:t>
            </w:r>
          </w:p>
        </w:tc>
      </w:tr>
      <w:tr w14:paraId="7AE9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69" w:type="dxa"/>
            <w:noWrap w:val="0"/>
            <w:vAlign w:val="center"/>
          </w:tcPr>
          <w:p w14:paraId="74408690">
            <w:pPr>
              <w:spacing w:before="120" w:beforeLines="5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260" w:type="dxa"/>
            <w:noWrap w:val="0"/>
            <w:vAlign w:val="center"/>
          </w:tcPr>
          <w:p w14:paraId="4DD6986B">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开标时，出现下列情形之一的，不参与资格审查和评标：</w:t>
            </w:r>
          </w:p>
          <w:p w14:paraId="33CA586B">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（1）未成功递交投标文件的；</w:t>
            </w:r>
          </w:p>
          <w:p w14:paraId="208AF975">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（2）因投标人原因造成投标文件未解密的；</w:t>
            </w:r>
          </w:p>
        </w:tc>
      </w:tr>
      <w:tr w14:paraId="3520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129" w:type="dxa"/>
            <w:gridSpan w:val="2"/>
            <w:noWrap w:val="0"/>
            <w:vAlign w:val="center"/>
          </w:tcPr>
          <w:p w14:paraId="3F86D8F3">
            <w:pPr>
              <w:spacing w:before="120" w:beforeLines="50" w:line="240" w:lineRule="auto"/>
              <w:rPr>
                <w:rFonts w:hint="eastAsia" w:ascii="宋体" w:hAnsi="宋体" w:cs="宋体"/>
                <w:color w:val="auto"/>
                <w:szCs w:val="21"/>
                <w:highlight w:val="none"/>
              </w:rPr>
            </w:pPr>
            <w:r>
              <w:rPr>
                <w:rFonts w:hint="eastAsia" w:ascii="宋体" w:hAnsi="宋体" w:cs="宋体"/>
                <w:b/>
                <w:bCs/>
                <w:color w:val="auto"/>
                <w:szCs w:val="21"/>
                <w:highlight w:val="none"/>
              </w:rPr>
              <w:t>三、投标文件有下列情形之一的，由评标委员会否决其投标：</w:t>
            </w:r>
          </w:p>
        </w:tc>
      </w:tr>
      <w:tr w14:paraId="3450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69" w:type="dxa"/>
            <w:noWrap w:val="0"/>
            <w:vAlign w:val="center"/>
          </w:tcPr>
          <w:p w14:paraId="50377B8F">
            <w:pPr>
              <w:spacing w:before="120" w:beforeLines="5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260" w:type="dxa"/>
            <w:noWrap w:val="0"/>
            <w:vAlign w:val="center"/>
          </w:tcPr>
          <w:p w14:paraId="743A2939">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投标文件不符合招标文件评标办法《</w:t>
            </w:r>
            <w:r>
              <w:rPr>
                <w:rFonts w:hint="eastAsia" w:ascii="宋体" w:hAnsi="宋体" w:eastAsia="宋体" w:cs="宋体"/>
                <w:color w:val="auto"/>
                <w:sz w:val="21"/>
                <w:szCs w:val="21"/>
                <w:highlight w:val="none"/>
              </w:rPr>
              <w:t>形式评审标准</w:t>
            </w:r>
            <w:r>
              <w:rPr>
                <w:rFonts w:hint="eastAsia" w:ascii="宋体" w:hAnsi="宋体" w:cs="宋体"/>
                <w:color w:val="auto"/>
                <w:szCs w:val="21"/>
                <w:highlight w:val="none"/>
              </w:rPr>
              <w:t>》的。</w:t>
            </w:r>
          </w:p>
        </w:tc>
      </w:tr>
      <w:tr w14:paraId="01CB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noWrap w:val="0"/>
            <w:vAlign w:val="center"/>
          </w:tcPr>
          <w:p w14:paraId="23B48A4B">
            <w:pPr>
              <w:spacing w:before="120" w:beforeLines="5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260" w:type="dxa"/>
            <w:noWrap w:val="0"/>
            <w:vAlign w:val="center"/>
          </w:tcPr>
          <w:p w14:paraId="21F8C434">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投标文件不符合招标文件评标办法《</w:t>
            </w:r>
            <w:r>
              <w:rPr>
                <w:rFonts w:hint="eastAsia" w:ascii="宋体" w:hAnsi="宋体" w:eastAsia="宋体" w:cs="宋体"/>
                <w:color w:val="auto"/>
                <w:sz w:val="21"/>
                <w:szCs w:val="21"/>
                <w:highlight w:val="none"/>
              </w:rPr>
              <w:t>资格评审标准</w:t>
            </w:r>
            <w:r>
              <w:rPr>
                <w:rFonts w:hint="eastAsia" w:ascii="宋体" w:hAnsi="宋体" w:cs="宋体"/>
                <w:color w:val="auto"/>
                <w:szCs w:val="21"/>
                <w:highlight w:val="none"/>
              </w:rPr>
              <w:t>》的。</w:t>
            </w:r>
          </w:p>
        </w:tc>
      </w:tr>
      <w:tr w14:paraId="27E7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noWrap w:val="0"/>
            <w:vAlign w:val="center"/>
          </w:tcPr>
          <w:p w14:paraId="0EA653BD">
            <w:pPr>
              <w:spacing w:before="120" w:beforeLines="5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8260" w:type="dxa"/>
            <w:noWrap w:val="0"/>
            <w:vAlign w:val="center"/>
          </w:tcPr>
          <w:p w14:paraId="582405BD">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投标文件不符合招标文件评标办法《</w:t>
            </w:r>
            <w:r>
              <w:rPr>
                <w:rFonts w:hint="eastAsia" w:ascii="宋体" w:hAnsi="宋体" w:eastAsia="宋体" w:cs="宋体"/>
                <w:color w:val="auto"/>
                <w:sz w:val="21"/>
                <w:szCs w:val="21"/>
                <w:highlight w:val="none"/>
                <w:lang w:val="en-US" w:eastAsia="zh-CN"/>
              </w:rPr>
              <w:t>设计方案</w:t>
            </w:r>
            <w:r>
              <w:rPr>
                <w:rFonts w:hint="eastAsia" w:ascii="宋体" w:hAnsi="宋体" w:eastAsia="宋体" w:cs="宋体"/>
                <w:color w:val="auto"/>
                <w:sz w:val="21"/>
                <w:szCs w:val="21"/>
                <w:highlight w:val="none"/>
              </w:rPr>
              <w:t>响应性评审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暗标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w:t>
            </w:r>
            <w:r>
              <w:rPr>
                <w:rFonts w:hint="eastAsia" w:ascii="宋体" w:hAnsi="宋体" w:cs="宋体"/>
                <w:color w:val="auto"/>
                <w:szCs w:val="21"/>
                <w:highlight w:val="none"/>
              </w:rPr>
              <w:t>》的。</w:t>
            </w:r>
          </w:p>
        </w:tc>
      </w:tr>
      <w:tr w14:paraId="1665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noWrap w:val="0"/>
            <w:vAlign w:val="center"/>
          </w:tcPr>
          <w:p w14:paraId="75E4D40F">
            <w:pPr>
              <w:spacing w:before="120" w:beforeLines="50" w:line="24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8260" w:type="dxa"/>
            <w:noWrap w:val="0"/>
            <w:vAlign w:val="center"/>
          </w:tcPr>
          <w:p w14:paraId="280A9438">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投标文件不符合招标文件评标办法《</w:t>
            </w:r>
            <w:r>
              <w:rPr>
                <w:rFonts w:hint="eastAsia" w:ascii="宋体" w:hAnsi="宋体" w:eastAsia="宋体" w:cs="宋体"/>
                <w:color w:val="auto"/>
                <w:sz w:val="21"/>
                <w:szCs w:val="21"/>
                <w:highlight w:val="none"/>
              </w:rPr>
              <w:t>工程总承包实施方案响应性评审标准</w:t>
            </w:r>
            <w:r>
              <w:rPr>
                <w:rFonts w:hint="eastAsia" w:ascii="宋体" w:hAnsi="宋体" w:cs="宋体"/>
                <w:color w:val="auto"/>
                <w:szCs w:val="21"/>
                <w:highlight w:val="none"/>
              </w:rPr>
              <w:t>》的。</w:t>
            </w:r>
          </w:p>
        </w:tc>
      </w:tr>
      <w:tr w14:paraId="67EF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noWrap w:val="0"/>
            <w:vAlign w:val="center"/>
          </w:tcPr>
          <w:p w14:paraId="211BE7E3">
            <w:pPr>
              <w:spacing w:before="120" w:beforeLines="50" w:line="24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8260" w:type="dxa"/>
            <w:noWrap w:val="0"/>
            <w:vAlign w:val="center"/>
          </w:tcPr>
          <w:p w14:paraId="49A6CF55">
            <w:pPr>
              <w:spacing w:before="120" w:beforeLines="50"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不按评标委员会要求澄清、说明或补正的</w:t>
            </w:r>
            <w:r>
              <w:rPr>
                <w:rFonts w:hint="eastAsia" w:ascii="宋体" w:hAnsi="宋体" w:cs="宋体"/>
                <w:color w:val="auto"/>
                <w:szCs w:val="21"/>
                <w:highlight w:val="none"/>
                <w:lang w:eastAsia="zh-CN"/>
              </w:rPr>
              <w:t>。</w:t>
            </w:r>
          </w:p>
        </w:tc>
      </w:tr>
      <w:tr w14:paraId="6F54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noWrap w:val="0"/>
            <w:vAlign w:val="center"/>
          </w:tcPr>
          <w:p w14:paraId="578EFA4D">
            <w:pPr>
              <w:spacing w:before="120" w:beforeLines="50" w:line="24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8260" w:type="dxa"/>
            <w:noWrap w:val="0"/>
            <w:vAlign w:val="center"/>
          </w:tcPr>
          <w:p w14:paraId="6B134951">
            <w:pPr>
              <w:spacing w:before="120" w:beforeLines="50" w:line="240" w:lineRule="auto"/>
              <w:rPr>
                <w:rFonts w:hint="eastAsia" w:ascii="宋体" w:hAnsi="宋体" w:cs="宋体"/>
                <w:color w:val="auto"/>
                <w:szCs w:val="21"/>
                <w:highlight w:val="none"/>
              </w:rPr>
            </w:pPr>
            <w:r>
              <w:rPr>
                <w:rFonts w:hint="eastAsia" w:ascii="宋体" w:hAnsi="宋体" w:cs="宋体"/>
                <w:color w:val="auto"/>
                <w:szCs w:val="21"/>
                <w:highlight w:val="none"/>
              </w:rPr>
              <w:t>不对评标委员会修正后的价格进行书面确认。</w:t>
            </w:r>
          </w:p>
        </w:tc>
      </w:tr>
      <w:tr w14:paraId="2622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noWrap w:val="0"/>
            <w:vAlign w:val="center"/>
          </w:tcPr>
          <w:p w14:paraId="0F757D18">
            <w:pPr>
              <w:spacing w:before="120" w:beforeLines="50" w:line="24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8260" w:type="dxa"/>
            <w:noWrap w:val="0"/>
            <w:vAlign w:val="center"/>
          </w:tcPr>
          <w:p w14:paraId="64F5E43C">
            <w:pPr>
              <w:spacing w:before="120" w:beforeLines="50"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串通投标或弄虚作假或有其他违法行为的</w:t>
            </w:r>
            <w:r>
              <w:rPr>
                <w:rFonts w:hint="eastAsia" w:ascii="宋体" w:hAnsi="宋体" w:cs="宋体"/>
                <w:color w:val="auto"/>
                <w:szCs w:val="21"/>
                <w:highlight w:val="none"/>
                <w:lang w:eastAsia="zh-CN"/>
              </w:rPr>
              <w:t>。</w:t>
            </w:r>
          </w:p>
        </w:tc>
      </w:tr>
      <w:tr w14:paraId="1D84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69" w:type="dxa"/>
            <w:noWrap w:val="0"/>
            <w:vAlign w:val="center"/>
          </w:tcPr>
          <w:p w14:paraId="473F68C0">
            <w:pPr>
              <w:spacing w:before="120" w:beforeLines="50" w:line="24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8260" w:type="dxa"/>
            <w:noWrap w:val="0"/>
            <w:vAlign w:val="center"/>
          </w:tcPr>
          <w:p w14:paraId="48FBADE9">
            <w:pPr>
              <w:spacing w:before="120" w:beforeLines="50" w:line="24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tc>
      </w:tr>
    </w:tbl>
    <w:p w14:paraId="59ECBDCF">
      <w:pPr>
        <w:pStyle w:val="12"/>
        <w:ind w:firstLine="0" w:firstLineChars="0"/>
        <w:rPr>
          <w:rFonts w:hint="eastAsia"/>
          <w:szCs w:val="21"/>
        </w:rPr>
      </w:pPr>
    </w:p>
    <w:bookmarkEnd w:id="662"/>
    <w:sectPr>
      <w:footerReference r:id="rId9" w:type="default"/>
      <w:pgSz w:w="11905" w:h="16838"/>
      <w:pgMar w:top="1304" w:right="1304" w:bottom="1304" w:left="130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F65C">
    <w:pPr>
      <w:pStyle w:val="25"/>
      <w:jc w:val="center"/>
    </w:pPr>
    <w:r>
      <w:fldChar w:fldCharType="begin"/>
    </w:r>
    <w:r>
      <w:instrText xml:space="preserve">PAGE   \* MERGEFORMAT</w:instrText>
    </w:r>
    <w:r>
      <w:fldChar w:fldCharType="separate"/>
    </w:r>
    <w:r>
      <w:rPr>
        <w:lang w:val="zh-CN"/>
      </w:rPr>
      <w:t>20</w:t>
    </w:r>
    <w:r>
      <w:rPr>
        <w:lang w:val="zh-CN"/>
      </w:rPr>
      <w:fldChar w:fldCharType="end"/>
    </w:r>
  </w:p>
  <w:p w14:paraId="1EEF753D">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008B">
    <w:pPr>
      <w:pStyle w:val="25"/>
      <w:jc w:val="center"/>
      <w:rPr>
        <w:rFonts w:hint="eastAsia" w:ascii="宋体" w:hAnsi="宋体"/>
        <w:sz w:val="21"/>
        <w:szCs w:val="32"/>
      </w:rPr>
    </w:pPr>
    <w:r>
      <w:rPr>
        <w:rFonts w:ascii="宋体" w:hAnsi="宋体"/>
        <w:sz w:val="21"/>
        <w:szCs w:val="32"/>
      </w:rPr>
      <w:fldChar w:fldCharType="begin"/>
    </w:r>
    <w:r>
      <w:rPr>
        <w:rFonts w:ascii="宋体" w:hAnsi="宋体"/>
        <w:sz w:val="21"/>
        <w:szCs w:val="32"/>
      </w:rPr>
      <w:instrText xml:space="preserve">PAGE   \* MERGEFORMAT</w:instrText>
    </w:r>
    <w:r>
      <w:rPr>
        <w:rFonts w:ascii="宋体" w:hAnsi="宋体"/>
        <w:sz w:val="21"/>
        <w:szCs w:val="32"/>
      </w:rPr>
      <w:fldChar w:fldCharType="separate"/>
    </w:r>
    <w:r>
      <w:rPr>
        <w:rFonts w:ascii="宋体" w:hAnsi="宋体"/>
        <w:sz w:val="21"/>
        <w:szCs w:val="32"/>
        <w:lang w:val="zh-CN"/>
      </w:rPr>
      <w:t>2</w:t>
    </w:r>
    <w:r>
      <w:rPr>
        <w:rFonts w:ascii="宋体" w:hAnsi="宋体"/>
        <w:sz w:val="21"/>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B7C29">
    <w:pPr>
      <w:pStyle w:val="25"/>
      <w:rPr>
        <w:rFonts w:ascii="Cambria" w:hAnsi="Cambria"/>
        <w:color w:val="4F81BD"/>
        <w:sz w:val="40"/>
        <w:szCs w:val="40"/>
      </w:rPr>
    </w:pPr>
    <w:r>
      <w:rPr>
        <w:sz w:val="4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104280">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6nob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4lpHnmiOHDIRKVzDM1HrqNfOjZstJxxNJc/J/nU/e/1eY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IY6nobTAQAAngMAAA4AAAAAAAAAAQAgAAAAHwEA&#10;AGRycy9lMm9Eb2MueG1sUEsFBgAAAAAGAAYAWQEAAGQFAAAAAA==&#10;">
              <v:fill on="f" focussize="0,0"/>
              <v:stroke on="f"/>
              <v:imagedata o:title=""/>
              <o:lock v:ext="edit" aspectratio="f"/>
              <v:textbox inset="0mm,0mm,0mm,0mm" style="mso-fit-shape-to-text:t;">
                <w:txbxContent>
                  <w:p w14:paraId="76104280">
                    <w:pPr>
                      <w:pStyle w:val="2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p w14:paraId="3E96D3D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73F89">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17780" b="1270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A8C840B">
                          <w:pPr>
                            <w:pStyle w:val="25"/>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OdFoAOAgAAEAQAAA4AAABkcnMvZTJvRG9jLnhtbK1TzY7TMBC+I/EO&#10;lu806a5Y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FTmBMysMLfz44/vx7tfx&#10;5zd2HuXpnC8o69ZRXuhfQx9TI1XvbkB+8czCdSPsVl0hQtcoUdF481iZ3SsdcHwE2XTvoKI+Yhcg&#10;AfU1mghIajBCp9UcTqtRfWAytpxfnOXPOZN0NT9/9SJPq8tEMRU79OGNAsNiUHKkzSdwsb/xIQ4j&#10;iikl9rKw1m2btt/avw4ocThRyT5jdaQSpx94hH7Tj9JsoDoQKYTBWvSwKGgAv3LWka1KbukVcda+&#10;tSRLdOAU4BRspkBYSYUlD5wN4XUYnLpzqLcN4U7CX5F0a51oxcGGGUbBySiJ7Wjq6MT7/ynrz0N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Y50WgA4CAAAQBAAADgAAAAAAAAABACAAAAAf&#10;AQAAZHJzL2Uyb0RvYy54bWxQSwUGAAAAAAYABgBZAQAAnwUAAAAA&#10;">
              <v:fill on="f" focussize="0,0"/>
              <v:stroke on="f"/>
              <v:imagedata o:title=""/>
              <o:lock v:ext="edit" aspectratio="f"/>
              <v:textbox inset="0mm,0mm,0mm,0mm" style="mso-fit-shape-to-text:t;">
                <w:txbxContent>
                  <w:p w14:paraId="3A8C840B">
                    <w:pPr>
                      <w:pStyle w:val="2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8239">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18415" b="4445"/>
              <wp:wrapNone/>
              <wp:docPr id="6"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78C7F7CE">
                          <w:pPr>
                            <w:pStyle w:val="25"/>
                            <w:jc w:val="center"/>
                          </w:pPr>
                          <w:r>
                            <w:rPr>
                              <w:rFonts w:hint="eastAsia" w:ascii="宋体" w:hAnsi="宋体" w:cs="宋体"/>
                            </w:rPr>
                            <w:fldChar w:fldCharType="begin"/>
                          </w:r>
                          <w:r>
                            <w:rPr>
                              <w:rStyle w:val="43"/>
                              <w:rFonts w:hint="eastAsia" w:ascii="宋体" w:hAnsi="宋体" w:cs="宋体"/>
                            </w:rPr>
                            <w:instrText xml:space="preserve"> PAGE </w:instrText>
                          </w:r>
                          <w:r>
                            <w:rPr>
                              <w:rFonts w:hint="eastAsia" w:ascii="宋体" w:hAnsi="宋体" w:cs="宋体"/>
                            </w:rPr>
                            <w:fldChar w:fldCharType="separate"/>
                          </w:r>
                          <w:r>
                            <w:rPr>
                              <w:rStyle w:val="43"/>
                              <w:rFonts w:ascii="宋体" w:hAnsi="宋体" w:cs="宋体"/>
                            </w:rPr>
                            <w:t>50</w:t>
                          </w:r>
                          <w:r>
                            <w:rPr>
                              <w:rFonts w:hint="eastAsia" w:ascii="宋体" w:hAnsi="宋体" w:cs="宋体"/>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EWQMEHPAQAAlwMAAA4AAAAAAAAAAQAgAAAAIAEAAGRy&#10;cy9lMm9Eb2MueG1sUEsFBgAAAAAGAAYAWQEAAGEFAAAAAA==&#10;">
              <v:fill on="f" focussize="0,0"/>
              <v:stroke on="f"/>
              <v:imagedata o:title=""/>
              <o:lock v:ext="edit" aspectratio="f"/>
              <v:textbox inset="0mm,0mm,0mm,0mm" style="mso-fit-shape-to-text:t;">
                <w:txbxContent>
                  <w:p w14:paraId="78C7F7CE">
                    <w:pPr>
                      <w:pStyle w:val="25"/>
                      <w:jc w:val="center"/>
                    </w:pPr>
                    <w:r>
                      <w:rPr>
                        <w:rFonts w:hint="eastAsia" w:ascii="宋体" w:hAnsi="宋体" w:cs="宋体"/>
                      </w:rPr>
                      <w:fldChar w:fldCharType="begin"/>
                    </w:r>
                    <w:r>
                      <w:rPr>
                        <w:rStyle w:val="43"/>
                        <w:rFonts w:hint="eastAsia" w:ascii="宋体" w:hAnsi="宋体" w:cs="宋体"/>
                      </w:rPr>
                      <w:instrText xml:space="preserve"> PAGE </w:instrText>
                    </w:r>
                    <w:r>
                      <w:rPr>
                        <w:rFonts w:hint="eastAsia" w:ascii="宋体" w:hAnsi="宋体" w:cs="宋体"/>
                      </w:rPr>
                      <w:fldChar w:fldCharType="separate"/>
                    </w:r>
                    <w:r>
                      <w:rPr>
                        <w:rStyle w:val="43"/>
                        <w:rFonts w:ascii="宋体" w:hAnsi="宋体" w:cs="宋体"/>
                      </w:rPr>
                      <w:t>50</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F834B">
    <w:pPr>
      <w:pStyle w:val="25"/>
      <w:jc w:val="center"/>
    </w:pPr>
    <w:r>
      <w:fldChar w:fldCharType="begin"/>
    </w:r>
    <w:r>
      <w:rPr>
        <w:rStyle w:val="43"/>
      </w:rPr>
      <w:instrText xml:space="preserve"> PAGE </w:instrText>
    </w:r>
    <w:r>
      <w:fldChar w:fldCharType="separate"/>
    </w:r>
    <w:r>
      <w:rPr>
        <w:rStyle w:val="43"/>
      </w:rPr>
      <w:t>55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161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16683"/>
    <w:multiLevelType w:val="singleLevel"/>
    <w:tmpl w:val="84416683"/>
    <w:lvl w:ilvl="0" w:tentative="0">
      <w:start w:val="3"/>
      <w:numFmt w:val="decimal"/>
      <w:suff w:val="space"/>
      <w:lvlText w:val="%1."/>
      <w:lvlJc w:val="left"/>
    </w:lvl>
  </w:abstractNum>
  <w:abstractNum w:abstractNumId="1">
    <w:nsid w:val="C571EAD8"/>
    <w:multiLevelType w:val="singleLevel"/>
    <w:tmpl w:val="C571EAD8"/>
    <w:lvl w:ilvl="0" w:tentative="0">
      <w:start w:val="2"/>
      <w:numFmt w:val="decimal"/>
      <w:lvlText w:val="%1."/>
      <w:lvlJc w:val="left"/>
      <w:pPr>
        <w:tabs>
          <w:tab w:val="left" w:pos="312"/>
        </w:tabs>
      </w:pPr>
    </w:lvl>
  </w:abstractNum>
  <w:abstractNum w:abstractNumId="2">
    <w:nsid w:val="DBE72828"/>
    <w:multiLevelType w:val="singleLevel"/>
    <w:tmpl w:val="DBE72828"/>
    <w:lvl w:ilvl="0" w:tentative="0">
      <w:start w:val="1"/>
      <w:numFmt w:val="decimal"/>
      <w:lvlText w:val="(%1)"/>
      <w:lvlJc w:val="left"/>
      <w:pPr>
        <w:ind w:left="425" w:hanging="425"/>
      </w:pPr>
      <w:rPr>
        <w:rFonts w:hint="default"/>
      </w:rPr>
    </w:lvl>
  </w:abstractNum>
  <w:abstractNum w:abstractNumId="3">
    <w:nsid w:val="F45E4357"/>
    <w:multiLevelType w:val="singleLevel"/>
    <w:tmpl w:val="F45E4357"/>
    <w:lvl w:ilvl="0" w:tentative="0">
      <w:start w:val="1"/>
      <w:numFmt w:val="decimal"/>
      <w:lvlText w:val="(%1)"/>
      <w:lvlJc w:val="left"/>
      <w:pPr>
        <w:ind w:left="425" w:hanging="425"/>
      </w:pPr>
      <w:rPr>
        <w:rFonts w:hint="default"/>
      </w:rPr>
    </w:lvl>
  </w:abstractNum>
  <w:abstractNum w:abstractNumId="4">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692604F"/>
    <w:multiLevelType w:val="singleLevel"/>
    <w:tmpl w:val="4692604F"/>
    <w:lvl w:ilvl="0" w:tentative="0">
      <w:start w:val="1"/>
      <w:numFmt w:val="decimal"/>
      <w:suff w:val="nothing"/>
      <w:lvlText w:val="%1、"/>
      <w:lvlJc w:val="left"/>
    </w:lvl>
  </w:abstractNum>
  <w:abstractNum w:abstractNumId="7">
    <w:nsid w:val="537BB8CA"/>
    <w:multiLevelType w:val="singleLevel"/>
    <w:tmpl w:val="537BB8CA"/>
    <w:lvl w:ilvl="0" w:tentative="0">
      <w:start w:val="1"/>
      <w:numFmt w:val="decimal"/>
      <w:lvlText w:val="(%1)"/>
      <w:lvlJc w:val="left"/>
      <w:pPr>
        <w:ind w:left="425" w:hanging="425"/>
      </w:pPr>
      <w:rPr>
        <w:rFonts w:hint="default"/>
      </w:rPr>
    </w:lvl>
  </w:abstractNum>
  <w:abstractNum w:abstractNumId="8">
    <w:nsid w:val="62CC8BA3"/>
    <w:multiLevelType w:val="singleLevel"/>
    <w:tmpl w:val="62CC8BA3"/>
    <w:lvl w:ilvl="0" w:tentative="0">
      <w:start w:val="1"/>
      <w:numFmt w:val="decimal"/>
      <w:lvlText w:val="(%1)"/>
      <w:lvlJc w:val="left"/>
      <w:pPr>
        <w:ind w:left="425" w:hanging="425"/>
      </w:pPr>
      <w:rPr>
        <w:rFonts w:hint="default"/>
      </w:rPr>
    </w:lvl>
  </w:abstractNum>
  <w:abstractNum w:abstractNumId="9">
    <w:nsid w:val="699AD9F6"/>
    <w:multiLevelType w:val="singleLevel"/>
    <w:tmpl w:val="699AD9F6"/>
    <w:lvl w:ilvl="0" w:tentative="0">
      <w:start w:val="1"/>
      <w:numFmt w:val="decimal"/>
      <w:suff w:val="nothing"/>
      <w:lvlText w:val="%1、"/>
      <w:lvlJc w:val="left"/>
    </w:lvl>
  </w:abstractNum>
  <w:num w:numId="1">
    <w:abstractNumId w:val="0"/>
  </w:num>
  <w:num w:numId="2">
    <w:abstractNumId w:val="6"/>
  </w:num>
  <w:num w:numId="3">
    <w:abstractNumId w:val="9"/>
  </w:num>
  <w:num w:numId="4">
    <w:abstractNumId w:val="3"/>
  </w:num>
  <w:num w:numId="5">
    <w:abstractNumId w:val="7"/>
  </w:num>
  <w:num w:numId="6">
    <w:abstractNumId w:val="2"/>
  </w:num>
  <w:num w:numId="7">
    <w:abstractNumId w:val="8"/>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3E"/>
    <w:rsid w:val="00013006"/>
    <w:rsid w:val="0004713D"/>
    <w:rsid w:val="00050A07"/>
    <w:rsid w:val="0005185E"/>
    <w:rsid w:val="000851B4"/>
    <w:rsid w:val="00092FAC"/>
    <w:rsid w:val="000939AB"/>
    <w:rsid w:val="000B26CB"/>
    <w:rsid w:val="000C38DF"/>
    <w:rsid w:val="000C42A6"/>
    <w:rsid w:val="000D3B75"/>
    <w:rsid w:val="000E09E0"/>
    <w:rsid w:val="000F59F7"/>
    <w:rsid w:val="00157970"/>
    <w:rsid w:val="001676BB"/>
    <w:rsid w:val="00177810"/>
    <w:rsid w:val="0019533A"/>
    <w:rsid w:val="00196494"/>
    <w:rsid w:val="001A3723"/>
    <w:rsid w:val="001B045A"/>
    <w:rsid w:val="001D0E25"/>
    <w:rsid w:val="001E4555"/>
    <w:rsid w:val="001F19D5"/>
    <w:rsid w:val="001F1CCA"/>
    <w:rsid w:val="001F2EFB"/>
    <w:rsid w:val="00204764"/>
    <w:rsid w:val="002225EC"/>
    <w:rsid w:val="0022568B"/>
    <w:rsid w:val="002331B6"/>
    <w:rsid w:val="00255B68"/>
    <w:rsid w:val="00257022"/>
    <w:rsid w:val="00265B0B"/>
    <w:rsid w:val="00265ED5"/>
    <w:rsid w:val="00275350"/>
    <w:rsid w:val="002A14FC"/>
    <w:rsid w:val="002A1E3F"/>
    <w:rsid w:val="002D2AF5"/>
    <w:rsid w:val="002E6282"/>
    <w:rsid w:val="00302A11"/>
    <w:rsid w:val="00312187"/>
    <w:rsid w:val="003562D3"/>
    <w:rsid w:val="0036310E"/>
    <w:rsid w:val="0036332E"/>
    <w:rsid w:val="00366621"/>
    <w:rsid w:val="00367102"/>
    <w:rsid w:val="00381D17"/>
    <w:rsid w:val="003A04BF"/>
    <w:rsid w:val="003A690D"/>
    <w:rsid w:val="003B40E8"/>
    <w:rsid w:val="003B53A1"/>
    <w:rsid w:val="003F2EDC"/>
    <w:rsid w:val="003F5EBD"/>
    <w:rsid w:val="00400754"/>
    <w:rsid w:val="00417342"/>
    <w:rsid w:val="00436E6C"/>
    <w:rsid w:val="00464D99"/>
    <w:rsid w:val="00475CDE"/>
    <w:rsid w:val="004A5B1F"/>
    <w:rsid w:val="004B7630"/>
    <w:rsid w:val="004B7944"/>
    <w:rsid w:val="004D2CA9"/>
    <w:rsid w:val="004E3217"/>
    <w:rsid w:val="004E647E"/>
    <w:rsid w:val="004E7103"/>
    <w:rsid w:val="00501EE6"/>
    <w:rsid w:val="00505524"/>
    <w:rsid w:val="00533ACC"/>
    <w:rsid w:val="00544856"/>
    <w:rsid w:val="00552606"/>
    <w:rsid w:val="00590831"/>
    <w:rsid w:val="00597901"/>
    <w:rsid w:val="005B10FA"/>
    <w:rsid w:val="005C68AA"/>
    <w:rsid w:val="005D1D29"/>
    <w:rsid w:val="005E0E60"/>
    <w:rsid w:val="005E2C53"/>
    <w:rsid w:val="005E3933"/>
    <w:rsid w:val="005F2285"/>
    <w:rsid w:val="005F57C1"/>
    <w:rsid w:val="00615C47"/>
    <w:rsid w:val="006369CF"/>
    <w:rsid w:val="00642DC6"/>
    <w:rsid w:val="00666F72"/>
    <w:rsid w:val="00691F05"/>
    <w:rsid w:val="006A595E"/>
    <w:rsid w:val="006D1742"/>
    <w:rsid w:val="006D739E"/>
    <w:rsid w:val="006F3FDF"/>
    <w:rsid w:val="006F433F"/>
    <w:rsid w:val="006F43D8"/>
    <w:rsid w:val="00713D4C"/>
    <w:rsid w:val="00726BEA"/>
    <w:rsid w:val="0075790C"/>
    <w:rsid w:val="00761FB9"/>
    <w:rsid w:val="00771041"/>
    <w:rsid w:val="00775214"/>
    <w:rsid w:val="00787B98"/>
    <w:rsid w:val="007C500D"/>
    <w:rsid w:val="00801A0F"/>
    <w:rsid w:val="00805735"/>
    <w:rsid w:val="00817F23"/>
    <w:rsid w:val="00827CAC"/>
    <w:rsid w:val="00832E68"/>
    <w:rsid w:val="00837B6D"/>
    <w:rsid w:val="00851813"/>
    <w:rsid w:val="00857C0F"/>
    <w:rsid w:val="0086139C"/>
    <w:rsid w:val="008755A8"/>
    <w:rsid w:val="00876D44"/>
    <w:rsid w:val="00893A67"/>
    <w:rsid w:val="008A79C3"/>
    <w:rsid w:val="008B5AE0"/>
    <w:rsid w:val="008C4ACC"/>
    <w:rsid w:val="008C68B9"/>
    <w:rsid w:val="008C6E75"/>
    <w:rsid w:val="008E39FF"/>
    <w:rsid w:val="008E6826"/>
    <w:rsid w:val="008F08AB"/>
    <w:rsid w:val="008F47EB"/>
    <w:rsid w:val="00906552"/>
    <w:rsid w:val="009301CB"/>
    <w:rsid w:val="009376B8"/>
    <w:rsid w:val="009466DC"/>
    <w:rsid w:val="009557AA"/>
    <w:rsid w:val="009566CB"/>
    <w:rsid w:val="0096128F"/>
    <w:rsid w:val="0099352A"/>
    <w:rsid w:val="009A2691"/>
    <w:rsid w:val="009A6ACD"/>
    <w:rsid w:val="009D212E"/>
    <w:rsid w:val="009E3C96"/>
    <w:rsid w:val="009F01E3"/>
    <w:rsid w:val="00A314EE"/>
    <w:rsid w:val="00A4700D"/>
    <w:rsid w:val="00A84713"/>
    <w:rsid w:val="00AA1396"/>
    <w:rsid w:val="00AA1AEF"/>
    <w:rsid w:val="00AA3FE6"/>
    <w:rsid w:val="00AA4300"/>
    <w:rsid w:val="00AC1555"/>
    <w:rsid w:val="00AC2448"/>
    <w:rsid w:val="00AC274C"/>
    <w:rsid w:val="00B047D9"/>
    <w:rsid w:val="00B22BA5"/>
    <w:rsid w:val="00B26E82"/>
    <w:rsid w:val="00B31908"/>
    <w:rsid w:val="00B50B96"/>
    <w:rsid w:val="00B52FC8"/>
    <w:rsid w:val="00B566A1"/>
    <w:rsid w:val="00B61984"/>
    <w:rsid w:val="00B67362"/>
    <w:rsid w:val="00B764E2"/>
    <w:rsid w:val="00B9440C"/>
    <w:rsid w:val="00BB3291"/>
    <w:rsid w:val="00BD7DC9"/>
    <w:rsid w:val="00BE5AA3"/>
    <w:rsid w:val="00BF1EC4"/>
    <w:rsid w:val="00BF22FB"/>
    <w:rsid w:val="00BF566C"/>
    <w:rsid w:val="00C053BA"/>
    <w:rsid w:val="00C138DF"/>
    <w:rsid w:val="00C22657"/>
    <w:rsid w:val="00C41462"/>
    <w:rsid w:val="00C46451"/>
    <w:rsid w:val="00C6117B"/>
    <w:rsid w:val="00C71A7E"/>
    <w:rsid w:val="00C73420"/>
    <w:rsid w:val="00C801CA"/>
    <w:rsid w:val="00C833D3"/>
    <w:rsid w:val="00C96B0B"/>
    <w:rsid w:val="00CC013C"/>
    <w:rsid w:val="00CD5038"/>
    <w:rsid w:val="00CE1890"/>
    <w:rsid w:val="00CE2161"/>
    <w:rsid w:val="00D21AD9"/>
    <w:rsid w:val="00D43CCF"/>
    <w:rsid w:val="00D47ED8"/>
    <w:rsid w:val="00D56291"/>
    <w:rsid w:val="00DB3FA3"/>
    <w:rsid w:val="00DC6801"/>
    <w:rsid w:val="00DD0F7C"/>
    <w:rsid w:val="00E05838"/>
    <w:rsid w:val="00E063C4"/>
    <w:rsid w:val="00E1246D"/>
    <w:rsid w:val="00E13272"/>
    <w:rsid w:val="00E16CB9"/>
    <w:rsid w:val="00E30E3E"/>
    <w:rsid w:val="00E36ABD"/>
    <w:rsid w:val="00E46D8B"/>
    <w:rsid w:val="00E509F5"/>
    <w:rsid w:val="00E50BD9"/>
    <w:rsid w:val="00E563AB"/>
    <w:rsid w:val="00E64A87"/>
    <w:rsid w:val="00E707B6"/>
    <w:rsid w:val="00E72118"/>
    <w:rsid w:val="00E7541C"/>
    <w:rsid w:val="00E83B9E"/>
    <w:rsid w:val="00EA1D0F"/>
    <w:rsid w:val="00EA4F3E"/>
    <w:rsid w:val="00EA59CA"/>
    <w:rsid w:val="00EB2D74"/>
    <w:rsid w:val="00ED113D"/>
    <w:rsid w:val="00ED7B3B"/>
    <w:rsid w:val="00F021DC"/>
    <w:rsid w:val="00F15791"/>
    <w:rsid w:val="00F60181"/>
    <w:rsid w:val="00F76D86"/>
    <w:rsid w:val="00FA041C"/>
    <w:rsid w:val="00FA26E0"/>
    <w:rsid w:val="00FA48FE"/>
    <w:rsid w:val="00FA7AD6"/>
    <w:rsid w:val="00FC01C9"/>
    <w:rsid w:val="00FD2CE4"/>
    <w:rsid w:val="01C82B61"/>
    <w:rsid w:val="01CA61C5"/>
    <w:rsid w:val="020E0113"/>
    <w:rsid w:val="023E1BBB"/>
    <w:rsid w:val="035B3A80"/>
    <w:rsid w:val="042532DE"/>
    <w:rsid w:val="04CF00CD"/>
    <w:rsid w:val="05746AD3"/>
    <w:rsid w:val="05AD0A1E"/>
    <w:rsid w:val="06470BA6"/>
    <w:rsid w:val="065837C4"/>
    <w:rsid w:val="072916E2"/>
    <w:rsid w:val="072B6851"/>
    <w:rsid w:val="073065CD"/>
    <w:rsid w:val="08493425"/>
    <w:rsid w:val="08687341"/>
    <w:rsid w:val="08CD2606"/>
    <w:rsid w:val="09A07974"/>
    <w:rsid w:val="09E62D8D"/>
    <w:rsid w:val="0A0002F6"/>
    <w:rsid w:val="0C483CB5"/>
    <w:rsid w:val="0C525BCA"/>
    <w:rsid w:val="0CE47E52"/>
    <w:rsid w:val="0CFD24DF"/>
    <w:rsid w:val="0E921DE2"/>
    <w:rsid w:val="0FEE2C04"/>
    <w:rsid w:val="1030329B"/>
    <w:rsid w:val="10B74092"/>
    <w:rsid w:val="10D91A83"/>
    <w:rsid w:val="11AF38CA"/>
    <w:rsid w:val="11DF3F27"/>
    <w:rsid w:val="13F015BE"/>
    <w:rsid w:val="144854D4"/>
    <w:rsid w:val="15DC256D"/>
    <w:rsid w:val="16B17F0B"/>
    <w:rsid w:val="17CF299D"/>
    <w:rsid w:val="17E70043"/>
    <w:rsid w:val="17FA598D"/>
    <w:rsid w:val="18493992"/>
    <w:rsid w:val="197233CD"/>
    <w:rsid w:val="19B21B44"/>
    <w:rsid w:val="19CF7EE4"/>
    <w:rsid w:val="1A5B79AD"/>
    <w:rsid w:val="1ACE2356"/>
    <w:rsid w:val="1C2D082C"/>
    <w:rsid w:val="1CD60EAC"/>
    <w:rsid w:val="1F7E1E8B"/>
    <w:rsid w:val="1FB57B5F"/>
    <w:rsid w:val="20202AF0"/>
    <w:rsid w:val="204154A2"/>
    <w:rsid w:val="20C25882"/>
    <w:rsid w:val="226E6A1B"/>
    <w:rsid w:val="22E54C87"/>
    <w:rsid w:val="23090C74"/>
    <w:rsid w:val="247E574E"/>
    <w:rsid w:val="249B429A"/>
    <w:rsid w:val="261E020C"/>
    <w:rsid w:val="26D3436D"/>
    <w:rsid w:val="27D753B1"/>
    <w:rsid w:val="2842596B"/>
    <w:rsid w:val="2A3C08D0"/>
    <w:rsid w:val="2A816179"/>
    <w:rsid w:val="2ABB692C"/>
    <w:rsid w:val="2B476C30"/>
    <w:rsid w:val="2D085A93"/>
    <w:rsid w:val="2D6F134E"/>
    <w:rsid w:val="30662C17"/>
    <w:rsid w:val="306649EC"/>
    <w:rsid w:val="30A60A95"/>
    <w:rsid w:val="31173063"/>
    <w:rsid w:val="315C5288"/>
    <w:rsid w:val="32AC27AE"/>
    <w:rsid w:val="33154745"/>
    <w:rsid w:val="339C6263"/>
    <w:rsid w:val="33FD0F21"/>
    <w:rsid w:val="34E73539"/>
    <w:rsid w:val="364C6BB3"/>
    <w:rsid w:val="36FC5C43"/>
    <w:rsid w:val="37671AB5"/>
    <w:rsid w:val="390F7C7B"/>
    <w:rsid w:val="3A0001BB"/>
    <w:rsid w:val="3A5B1D1C"/>
    <w:rsid w:val="3A9D6BA4"/>
    <w:rsid w:val="3B1A7821"/>
    <w:rsid w:val="3B220B30"/>
    <w:rsid w:val="3DBC52D8"/>
    <w:rsid w:val="3DE57551"/>
    <w:rsid w:val="3E0456CC"/>
    <w:rsid w:val="3E507A5C"/>
    <w:rsid w:val="3E6367F8"/>
    <w:rsid w:val="3EB94B1E"/>
    <w:rsid w:val="3F1B7C41"/>
    <w:rsid w:val="41516138"/>
    <w:rsid w:val="426469F5"/>
    <w:rsid w:val="43621AB2"/>
    <w:rsid w:val="444F1019"/>
    <w:rsid w:val="448F3C80"/>
    <w:rsid w:val="44CE606F"/>
    <w:rsid w:val="45282961"/>
    <w:rsid w:val="46B47D0E"/>
    <w:rsid w:val="471E30B2"/>
    <w:rsid w:val="47AF6127"/>
    <w:rsid w:val="48231004"/>
    <w:rsid w:val="487C1FF8"/>
    <w:rsid w:val="48AA7CA9"/>
    <w:rsid w:val="4A1A65A1"/>
    <w:rsid w:val="4A9D0D79"/>
    <w:rsid w:val="4E1103A0"/>
    <w:rsid w:val="4E7B5851"/>
    <w:rsid w:val="4EA344B5"/>
    <w:rsid w:val="4F790BED"/>
    <w:rsid w:val="500862DC"/>
    <w:rsid w:val="50585545"/>
    <w:rsid w:val="50594260"/>
    <w:rsid w:val="51081B92"/>
    <w:rsid w:val="51EC46F0"/>
    <w:rsid w:val="52AA78C0"/>
    <w:rsid w:val="535534C5"/>
    <w:rsid w:val="53AE0779"/>
    <w:rsid w:val="559E0A3C"/>
    <w:rsid w:val="55A75279"/>
    <w:rsid w:val="5654432F"/>
    <w:rsid w:val="57353218"/>
    <w:rsid w:val="573A1134"/>
    <w:rsid w:val="574E7997"/>
    <w:rsid w:val="57A07FCD"/>
    <w:rsid w:val="58606299"/>
    <w:rsid w:val="58BC7AA4"/>
    <w:rsid w:val="58C14CF0"/>
    <w:rsid w:val="59C752F9"/>
    <w:rsid w:val="5A8F5421"/>
    <w:rsid w:val="5A9C0984"/>
    <w:rsid w:val="5C444C61"/>
    <w:rsid w:val="5D1E0F52"/>
    <w:rsid w:val="5DA62130"/>
    <w:rsid w:val="5F463DDB"/>
    <w:rsid w:val="607D519D"/>
    <w:rsid w:val="608C1EF4"/>
    <w:rsid w:val="61DE2FF2"/>
    <w:rsid w:val="620138F8"/>
    <w:rsid w:val="628143CE"/>
    <w:rsid w:val="634405AB"/>
    <w:rsid w:val="65541E4C"/>
    <w:rsid w:val="660163FD"/>
    <w:rsid w:val="6614785F"/>
    <w:rsid w:val="66575337"/>
    <w:rsid w:val="66D71736"/>
    <w:rsid w:val="67C30A56"/>
    <w:rsid w:val="67C93A1F"/>
    <w:rsid w:val="67C95E8A"/>
    <w:rsid w:val="67E113CC"/>
    <w:rsid w:val="68E7291F"/>
    <w:rsid w:val="6B065627"/>
    <w:rsid w:val="6B954A70"/>
    <w:rsid w:val="6C1A3DE9"/>
    <w:rsid w:val="6CAB0DEE"/>
    <w:rsid w:val="6EE60768"/>
    <w:rsid w:val="6F2B2472"/>
    <w:rsid w:val="70562E59"/>
    <w:rsid w:val="71891F52"/>
    <w:rsid w:val="71C94768"/>
    <w:rsid w:val="71CE173F"/>
    <w:rsid w:val="7242650E"/>
    <w:rsid w:val="72742DBA"/>
    <w:rsid w:val="72835874"/>
    <w:rsid w:val="73070FC3"/>
    <w:rsid w:val="73861E89"/>
    <w:rsid w:val="73B6323E"/>
    <w:rsid w:val="749D0CB6"/>
    <w:rsid w:val="75191A22"/>
    <w:rsid w:val="769E33EC"/>
    <w:rsid w:val="77E87308"/>
    <w:rsid w:val="77F008AA"/>
    <w:rsid w:val="7821137F"/>
    <w:rsid w:val="78C93C30"/>
    <w:rsid w:val="79714D9C"/>
    <w:rsid w:val="7B8F3F36"/>
    <w:rsid w:val="7B960BC2"/>
    <w:rsid w:val="7CB830ED"/>
    <w:rsid w:val="7D821FA4"/>
    <w:rsid w:val="7DC05747"/>
    <w:rsid w:val="7FD54103"/>
    <w:rsid w:val="7FF9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6" w:lineRule="auto"/>
      <w:outlineLvl w:val="0"/>
    </w:pPr>
    <w:rPr>
      <w:bCs/>
      <w:kern w:val="44"/>
      <w:sz w:val="44"/>
      <w:szCs w:val="44"/>
    </w:rPr>
  </w:style>
  <w:style w:type="paragraph" w:styleId="3">
    <w:name w:val="heading 2"/>
    <w:basedOn w:val="1"/>
    <w:next w:val="1"/>
    <w:link w:val="4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51"/>
    <w:qFormat/>
    <w:uiPriority w:val="0"/>
    <w:pPr>
      <w:keepNext/>
      <w:keepLines/>
      <w:spacing w:before="280" w:after="290" w:line="374" w:lineRule="auto"/>
      <w:outlineLvl w:val="3"/>
    </w:pPr>
    <w:rPr>
      <w:rFonts w:ascii="Arial" w:hAnsi="Arial" w:eastAsia="黑体"/>
      <w:b/>
      <w:bCs/>
      <w:sz w:val="28"/>
      <w:szCs w:val="28"/>
    </w:rPr>
  </w:style>
  <w:style w:type="paragraph" w:styleId="6">
    <w:name w:val="heading 6"/>
    <w:basedOn w:val="1"/>
    <w:next w:val="1"/>
    <w:link w:val="52"/>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53"/>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54"/>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5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sz w:val="18"/>
      <w:szCs w:val="18"/>
    </w:rPr>
  </w:style>
  <w:style w:type="paragraph" w:styleId="11">
    <w:name w:val="index 8"/>
    <w:basedOn w:val="1"/>
    <w:next w:val="1"/>
    <w:unhideWhenUsed/>
    <w:qFormat/>
    <w:uiPriority w:val="99"/>
    <w:pPr>
      <w:ind w:left="1400" w:leftChars="1400"/>
    </w:pPr>
  </w:style>
  <w:style w:type="paragraph" w:styleId="12">
    <w:name w:val="Normal Indent"/>
    <w:basedOn w:val="1"/>
    <w:next w:val="1"/>
    <w:qFormat/>
    <w:uiPriority w:val="0"/>
    <w:pPr>
      <w:ind w:firstLine="420" w:firstLineChars="200"/>
    </w:pPr>
  </w:style>
  <w:style w:type="paragraph" w:styleId="13">
    <w:name w:val="Document Map"/>
    <w:basedOn w:val="1"/>
    <w:link w:val="56"/>
    <w:qFormat/>
    <w:uiPriority w:val="0"/>
    <w:pPr>
      <w:shd w:val="clear" w:color="auto" w:fill="000080"/>
    </w:pPr>
    <w:rPr>
      <w:rFonts w:ascii="Calibri" w:hAnsi="Calibri"/>
    </w:rPr>
  </w:style>
  <w:style w:type="paragraph" w:styleId="14">
    <w:name w:val="annotation text"/>
    <w:basedOn w:val="1"/>
    <w:link w:val="57"/>
    <w:unhideWhenUsed/>
    <w:qFormat/>
    <w:uiPriority w:val="0"/>
    <w:pPr>
      <w:jc w:val="left"/>
    </w:pPr>
  </w:style>
  <w:style w:type="paragraph" w:styleId="15">
    <w:name w:val="Body Text 3"/>
    <w:basedOn w:val="1"/>
    <w:link w:val="58"/>
    <w:qFormat/>
    <w:uiPriority w:val="0"/>
    <w:rPr>
      <w:rFonts w:ascii="宋体"/>
      <w:sz w:val="24"/>
      <w:szCs w:val="20"/>
    </w:rPr>
  </w:style>
  <w:style w:type="paragraph" w:styleId="16">
    <w:name w:val="Body Text"/>
    <w:basedOn w:val="1"/>
    <w:next w:val="1"/>
    <w:link w:val="59"/>
    <w:qFormat/>
    <w:uiPriority w:val="0"/>
    <w:pPr>
      <w:spacing w:after="120"/>
    </w:pPr>
    <w:rPr>
      <w:rFonts w:ascii="Calibri" w:hAnsi="Calibri"/>
    </w:rPr>
  </w:style>
  <w:style w:type="paragraph" w:styleId="17">
    <w:name w:val="Body Text Indent"/>
    <w:basedOn w:val="1"/>
    <w:link w:val="60"/>
    <w:qFormat/>
    <w:uiPriority w:val="0"/>
    <w:pPr>
      <w:spacing w:after="120"/>
      <w:ind w:left="420" w:leftChars="200"/>
    </w:pPr>
  </w:style>
  <w:style w:type="paragraph" w:styleId="18">
    <w:name w:val="index 4"/>
    <w:basedOn w:val="1"/>
    <w:next w:val="1"/>
    <w:unhideWhenUsed/>
    <w:qFormat/>
    <w:uiPriority w:val="99"/>
    <w:pPr>
      <w:ind w:left="600" w:leftChars="600"/>
    </w:pPr>
  </w:style>
  <w:style w:type="paragraph" w:styleId="19">
    <w:name w:val="toc 5"/>
    <w:basedOn w:val="1"/>
    <w:next w:val="1"/>
    <w:qFormat/>
    <w:uiPriority w:val="39"/>
    <w:pPr>
      <w:ind w:left="840"/>
      <w:jc w:val="left"/>
    </w:pPr>
    <w:rPr>
      <w:sz w:val="18"/>
      <w:szCs w:val="18"/>
    </w:rPr>
  </w:style>
  <w:style w:type="paragraph" w:styleId="20">
    <w:name w:val="toc 3"/>
    <w:basedOn w:val="1"/>
    <w:next w:val="1"/>
    <w:qFormat/>
    <w:uiPriority w:val="39"/>
    <w:pPr>
      <w:ind w:left="420"/>
      <w:jc w:val="left"/>
    </w:pPr>
    <w:rPr>
      <w:iCs/>
      <w:sz w:val="20"/>
      <w:szCs w:val="20"/>
    </w:rPr>
  </w:style>
  <w:style w:type="paragraph" w:styleId="21">
    <w:name w:val="Plain Text"/>
    <w:basedOn w:val="1"/>
    <w:link w:val="61"/>
    <w:qFormat/>
    <w:uiPriority w:val="0"/>
    <w:rPr>
      <w:rFonts w:ascii="宋体" w:hAnsi="Courier New"/>
      <w:szCs w:val="22"/>
    </w:rPr>
  </w:style>
  <w:style w:type="paragraph" w:styleId="22">
    <w:name w:val="toc 8"/>
    <w:basedOn w:val="1"/>
    <w:next w:val="1"/>
    <w:qFormat/>
    <w:uiPriority w:val="39"/>
    <w:pPr>
      <w:ind w:left="1470"/>
      <w:jc w:val="left"/>
    </w:pPr>
    <w:rPr>
      <w:sz w:val="18"/>
      <w:szCs w:val="18"/>
    </w:rPr>
  </w:style>
  <w:style w:type="paragraph" w:styleId="23">
    <w:name w:val="Date"/>
    <w:basedOn w:val="1"/>
    <w:next w:val="1"/>
    <w:link w:val="62"/>
    <w:qFormat/>
    <w:uiPriority w:val="0"/>
    <w:rPr>
      <w:sz w:val="24"/>
      <w:szCs w:val="20"/>
    </w:rPr>
  </w:style>
  <w:style w:type="paragraph" w:styleId="24">
    <w:name w:val="Balloon Text"/>
    <w:basedOn w:val="1"/>
    <w:link w:val="63"/>
    <w:qFormat/>
    <w:uiPriority w:val="0"/>
    <w:rPr>
      <w:sz w:val="18"/>
      <w:szCs w:val="18"/>
    </w:rPr>
  </w:style>
  <w:style w:type="paragraph" w:styleId="25">
    <w:name w:val="footer"/>
    <w:basedOn w:val="1"/>
    <w:link w:val="64"/>
    <w:qFormat/>
    <w:uiPriority w:val="99"/>
    <w:pPr>
      <w:tabs>
        <w:tab w:val="center" w:pos="4153"/>
        <w:tab w:val="right" w:pos="8306"/>
      </w:tabs>
      <w:snapToGrid w:val="0"/>
      <w:jc w:val="left"/>
    </w:pPr>
    <w:rPr>
      <w:rFonts w:ascii="Calibri" w:hAnsi="Calibri"/>
      <w:sz w:val="18"/>
      <w:szCs w:val="18"/>
    </w:rPr>
  </w:style>
  <w:style w:type="paragraph" w:styleId="26">
    <w:name w:val="envelope return"/>
    <w:basedOn w:val="1"/>
    <w:qFormat/>
    <w:uiPriority w:val="99"/>
    <w:pPr>
      <w:snapToGrid w:val="0"/>
    </w:pPr>
    <w:rPr>
      <w:rFonts w:ascii="Arial" w:hAnsi="Arial" w:cs="Arial"/>
    </w:rPr>
  </w:style>
  <w:style w:type="paragraph" w:styleId="27">
    <w:name w:val="header"/>
    <w:basedOn w:val="1"/>
    <w:link w:val="6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28">
    <w:name w:val="toc 1"/>
    <w:basedOn w:val="1"/>
    <w:next w:val="1"/>
    <w:qFormat/>
    <w:uiPriority w:val="39"/>
    <w:pPr>
      <w:spacing w:before="120" w:after="120"/>
      <w:jc w:val="left"/>
    </w:pPr>
    <w:rPr>
      <w:b/>
      <w:bCs/>
      <w:caps/>
      <w:sz w:val="20"/>
      <w:szCs w:val="20"/>
    </w:rPr>
  </w:style>
  <w:style w:type="paragraph" w:styleId="29">
    <w:name w:val="toc 4"/>
    <w:basedOn w:val="1"/>
    <w:next w:val="1"/>
    <w:qFormat/>
    <w:uiPriority w:val="39"/>
    <w:pPr>
      <w:ind w:left="630"/>
      <w:jc w:val="left"/>
    </w:pPr>
    <w:rPr>
      <w:sz w:val="18"/>
      <w:szCs w:val="18"/>
    </w:rPr>
  </w:style>
  <w:style w:type="paragraph" w:styleId="30">
    <w:name w:val="toc 6"/>
    <w:basedOn w:val="1"/>
    <w:next w:val="1"/>
    <w:qFormat/>
    <w:uiPriority w:val="39"/>
    <w:pPr>
      <w:ind w:left="1050"/>
      <w:jc w:val="left"/>
    </w:pPr>
    <w:rPr>
      <w:sz w:val="18"/>
      <w:szCs w:val="18"/>
    </w:rPr>
  </w:style>
  <w:style w:type="paragraph" w:styleId="31">
    <w:name w:val="Body Text Indent 3"/>
    <w:basedOn w:val="1"/>
    <w:link w:val="66"/>
    <w:qFormat/>
    <w:uiPriority w:val="0"/>
    <w:pPr>
      <w:spacing w:after="120"/>
      <w:ind w:left="420" w:leftChars="200"/>
    </w:pPr>
    <w:rPr>
      <w:sz w:val="16"/>
      <w:szCs w:val="16"/>
    </w:rPr>
  </w:style>
  <w:style w:type="paragraph" w:styleId="32">
    <w:name w:val="toc 2"/>
    <w:basedOn w:val="1"/>
    <w:next w:val="1"/>
    <w:qFormat/>
    <w:uiPriority w:val="39"/>
    <w:pPr>
      <w:ind w:left="210"/>
      <w:jc w:val="left"/>
    </w:pPr>
    <w:rPr>
      <w:smallCaps/>
      <w:sz w:val="20"/>
      <w:szCs w:val="20"/>
    </w:rPr>
  </w:style>
  <w:style w:type="paragraph" w:styleId="33">
    <w:name w:val="toc 9"/>
    <w:basedOn w:val="1"/>
    <w:next w:val="1"/>
    <w:qFormat/>
    <w:uiPriority w:val="39"/>
    <w:pPr>
      <w:ind w:left="1680"/>
      <w:jc w:val="left"/>
    </w:pPr>
    <w:rPr>
      <w:sz w:val="18"/>
      <w:szCs w:val="18"/>
    </w:rPr>
  </w:style>
  <w:style w:type="paragraph" w:styleId="34">
    <w:name w:val="Normal (Web)"/>
    <w:basedOn w:val="1"/>
    <w:qFormat/>
    <w:uiPriority w:val="0"/>
    <w:pPr>
      <w:spacing w:before="100" w:beforeAutospacing="1" w:after="100" w:afterAutospacing="1"/>
      <w:jc w:val="left"/>
    </w:pPr>
    <w:rPr>
      <w:kern w:val="0"/>
      <w:sz w:val="24"/>
    </w:rPr>
  </w:style>
  <w:style w:type="paragraph" w:styleId="35">
    <w:name w:val="index 1"/>
    <w:basedOn w:val="1"/>
    <w:next w:val="1"/>
    <w:qFormat/>
    <w:uiPriority w:val="0"/>
    <w:pPr>
      <w:spacing w:line="220" w:lineRule="exact"/>
      <w:jc w:val="center"/>
    </w:pPr>
    <w:rPr>
      <w:rFonts w:ascii="仿宋_GB2312" w:eastAsia="仿宋_GB2312"/>
      <w:szCs w:val="21"/>
    </w:rPr>
  </w:style>
  <w:style w:type="paragraph" w:styleId="36">
    <w:name w:val="Title"/>
    <w:basedOn w:val="1"/>
    <w:next w:val="1"/>
    <w:link w:val="6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4"/>
    <w:next w:val="14"/>
    <w:link w:val="68"/>
    <w:qFormat/>
    <w:uiPriority w:val="0"/>
    <w:pPr>
      <w:jc w:val="both"/>
    </w:pPr>
    <w:rPr>
      <w:rFonts w:ascii="Calibri" w:hAnsi="Calibri"/>
      <w:b/>
      <w:bCs/>
    </w:rPr>
  </w:style>
  <w:style w:type="paragraph" w:styleId="38">
    <w:name w:val="Body Text First Indent"/>
    <w:basedOn w:val="16"/>
    <w:link w:val="69"/>
    <w:qFormat/>
    <w:uiPriority w:val="0"/>
    <w:pPr>
      <w:spacing w:line="312" w:lineRule="auto"/>
      <w:ind w:firstLine="420"/>
    </w:pPr>
  </w:style>
  <w:style w:type="paragraph" w:styleId="39">
    <w:name w:val="Body Text First Indent 2"/>
    <w:basedOn w:val="17"/>
    <w:link w:val="70"/>
    <w:qFormat/>
    <w:uiPriority w:val="99"/>
    <w:pPr>
      <w:ind w:firstLine="420" w:firstLineChars="200"/>
    </w:pPr>
  </w:style>
  <w:style w:type="character" w:styleId="42">
    <w:name w:val="Strong"/>
    <w:basedOn w:val="41"/>
    <w:qFormat/>
    <w:uiPriority w:val="22"/>
    <w:rPr>
      <w:b/>
    </w:rPr>
  </w:style>
  <w:style w:type="character" w:styleId="43">
    <w:name w:val="page number"/>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character" w:styleId="47">
    <w:name w:val="footnote reference"/>
    <w:qFormat/>
    <w:uiPriority w:val="0"/>
    <w:rPr>
      <w:vertAlign w:val="superscript"/>
    </w:rPr>
  </w:style>
  <w:style w:type="character" w:customStyle="1" w:styleId="48">
    <w:name w:val="标题 1 字符"/>
    <w:basedOn w:val="41"/>
    <w:link w:val="2"/>
    <w:qFormat/>
    <w:uiPriority w:val="0"/>
    <w:rPr>
      <w:rFonts w:ascii="Times New Roman" w:hAnsi="Times New Roman" w:eastAsia="宋体" w:cs="Times New Roman"/>
      <w:bCs/>
      <w:kern w:val="44"/>
      <w:sz w:val="44"/>
      <w:szCs w:val="44"/>
    </w:rPr>
  </w:style>
  <w:style w:type="character" w:customStyle="1" w:styleId="49">
    <w:name w:val="标题 2 字符"/>
    <w:basedOn w:val="41"/>
    <w:link w:val="3"/>
    <w:qFormat/>
    <w:uiPriority w:val="0"/>
    <w:rPr>
      <w:rFonts w:ascii="Arial" w:hAnsi="Arial" w:eastAsia="黑体" w:cs="Times New Roman"/>
      <w:b/>
      <w:bCs/>
      <w:sz w:val="32"/>
      <w:szCs w:val="32"/>
    </w:rPr>
  </w:style>
  <w:style w:type="character" w:customStyle="1" w:styleId="50">
    <w:name w:val="标题 3 字符"/>
    <w:basedOn w:val="41"/>
    <w:link w:val="4"/>
    <w:qFormat/>
    <w:uiPriority w:val="0"/>
    <w:rPr>
      <w:rFonts w:ascii="黑体" w:hAnsi="宋体" w:eastAsia="黑体" w:cs="Times New Roman"/>
      <w:bCs/>
      <w:sz w:val="28"/>
      <w:szCs w:val="28"/>
    </w:rPr>
  </w:style>
  <w:style w:type="character" w:customStyle="1" w:styleId="51">
    <w:name w:val="标题 4 字符"/>
    <w:basedOn w:val="41"/>
    <w:link w:val="5"/>
    <w:qFormat/>
    <w:uiPriority w:val="0"/>
    <w:rPr>
      <w:rFonts w:ascii="Arial" w:hAnsi="Arial" w:eastAsia="黑体" w:cs="Times New Roman"/>
      <w:b/>
      <w:bCs/>
      <w:sz w:val="28"/>
      <w:szCs w:val="28"/>
    </w:rPr>
  </w:style>
  <w:style w:type="character" w:customStyle="1" w:styleId="52">
    <w:name w:val="标题 6 字符"/>
    <w:basedOn w:val="41"/>
    <w:link w:val="6"/>
    <w:qFormat/>
    <w:uiPriority w:val="0"/>
    <w:rPr>
      <w:rFonts w:ascii="Arial" w:hAnsi="Arial" w:eastAsia="黑体" w:cs="Times New Roman"/>
      <w:b/>
      <w:bCs/>
      <w:kern w:val="0"/>
      <w:sz w:val="24"/>
      <w:szCs w:val="24"/>
    </w:rPr>
  </w:style>
  <w:style w:type="character" w:customStyle="1" w:styleId="53">
    <w:name w:val="标题 7 字符"/>
    <w:basedOn w:val="41"/>
    <w:link w:val="7"/>
    <w:qFormat/>
    <w:uiPriority w:val="0"/>
    <w:rPr>
      <w:rFonts w:ascii="Times New Roman" w:hAnsi="Times New Roman" w:eastAsia="宋体" w:cs="Times New Roman"/>
      <w:b/>
      <w:bCs/>
      <w:kern w:val="0"/>
      <w:sz w:val="24"/>
      <w:szCs w:val="24"/>
    </w:rPr>
  </w:style>
  <w:style w:type="character" w:customStyle="1" w:styleId="54">
    <w:name w:val="标题 8 字符"/>
    <w:basedOn w:val="41"/>
    <w:link w:val="8"/>
    <w:qFormat/>
    <w:uiPriority w:val="0"/>
    <w:rPr>
      <w:rFonts w:ascii="Arial" w:hAnsi="Arial" w:eastAsia="黑体" w:cs="Times New Roman"/>
      <w:kern w:val="0"/>
      <w:sz w:val="24"/>
      <w:szCs w:val="24"/>
    </w:rPr>
  </w:style>
  <w:style w:type="character" w:customStyle="1" w:styleId="55">
    <w:name w:val="标题 9 字符"/>
    <w:basedOn w:val="41"/>
    <w:link w:val="9"/>
    <w:qFormat/>
    <w:uiPriority w:val="0"/>
    <w:rPr>
      <w:rFonts w:ascii="Arial" w:hAnsi="Arial" w:eastAsia="黑体" w:cs="Times New Roman"/>
      <w:kern w:val="0"/>
      <w:szCs w:val="21"/>
    </w:rPr>
  </w:style>
  <w:style w:type="character" w:customStyle="1" w:styleId="56">
    <w:name w:val="文档结构图 字符"/>
    <w:basedOn w:val="41"/>
    <w:link w:val="13"/>
    <w:qFormat/>
    <w:uiPriority w:val="0"/>
    <w:rPr>
      <w:rFonts w:ascii="Calibri" w:hAnsi="Calibri" w:eastAsia="宋体" w:cs="Times New Roman"/>
      <w:szCs w:val="24"/>
      <w:shd w:val="clear" w:color="auto" w:fill="000080"/>
    </w:rPr>
  </w:style>
  <w:style w:type="character" w:customStyle="1" w:styleId="57">
    <w:name w:val="批注文字 字符"/>
    <w:basedOn w:val="41"/>
    <w:link w:val="14"/>
    <w:qFormat/>
    <w:uiPriority w:val="0"/>
    <w:rPr>
      <w:rFonts w:ascii="Times New Roman" w:hAnsi="Times New Roman" w:eastAsia="宋体" w:cs="Times New Roman"/>
      <w:szCs w:val="24"/>
    </w:rPr>
  </w:style>
  <w:style w:type="character" w:customStyle="1" w:styleId="58">
    <w:name w:val="正文文本 3 字符"/>
    <w:basedOn w:val="41"/>
    <w:link w:val="15"/>
    <w:qFormat/>
    <w:uiPriority w:val="0"/>
    <w:rPr>
      <w:rFonts w:ascii="宋体" w:hAnsi="Times New Roman" w:eastAsia="宋体" w:cs="Times New Roman"/>
      <w:sz w:val="24"/>
      <w:szCs w:val="20"/>
    </w:rPr>
  </w:style>
  <w:style w:type="character" w:customStyle="1" w:styleId="59">
    <w:name w:val="正文文本 字符"/>
    <w:basedOn w:val="41"/>
    <w:link w:val="16"/>
    <w:qFormat/>
    <w:uiPriority w:val="0"/>
    <w:rPr>
      <w:rFonts w:ascii="Calibri" w:hAnsi="Calibri" w:eastAsia="宋体" w:cs="Times New Roman"/>
      <w:szCs w:val="24"/>
    </w:rPr>
  </w:style>
  <w:style w:type="character" w:customStyle="1" w:styleId="60">
    <w:name w:val="正文文本缩进 字符"/>
    <w:basedOn w:val="41"/>
    <w:link w:val="17"/>
    <w:qFormat/>
    <w:uiPriority w:val="0"/>
    <w:rPr>
      <w:rFonts w:ascii="Times New Roman" w:hAnsi="Times New Roman" w:eastAsia="宋体" w:cs="Times New Roman"/>
      <w:szCs w:val="24"/>
    </w:rPr>
  </w:style>
  <w:style w:type="character" w:customStyle="1" w:styleId="61">
    <w:name w:val="纯文本 字符"/>
    <w:basedOn w:val="41"/>
    <w:link w:val="21"/>
    <w:qFormat/>
    <w:uiPriority w:val="0"/>
    <w:rPr>
      <w:rFonts w:ascii="宋体" w:hAnsi="Courier New" w:eastAsia="宋体" w:cs="Times New Roman"/>
    </w:rPr>
  </w:style>
  <w:style w:type="character" w:customStyle="1" w:styleId="62">
    <w:name w:val="日期 字符"/>
    <w:basedOn w:val="41"/>
    <w:link w:val="23"/>
    <w:qFormat/>
    <w:uiPriority w:val="0"/>
    <w:rPr>
      <w:rFonts w:ascii="Times New Roman" w:hAnsi="Times New Roman" w:eastAsia="宋体" w:cs="Times New Roman"/>
      <w:sz w:val="24"/>
      <w:szCs w:val="20"/>
    </w:rPr>
  </w:style>
  <w:style w:type="character" w:customStyle="1" w:styleId="63">
    <w:name w:val="批注框文本 字符"/>
    <w:basedOn w:val="41"/>
    <w:link w:val="24"/>
    <w:qFormat/>
    <w:uiPriority w:val="0"/>
    <w:rPr>
      <w:rFonts w:ascii="Times New Roman" w:hAnsi="Times New Roman" w:eastAsia="宋体" w:cs="Times New Roman"/>
      <w:sz w:val="18"/>
      <w:szCs w:val="18"/>
    </w:rPr>
  </w:style>
  <w:style w:type="character" w:customStyle="1" w:styleId="64">
    <w:name w:val="页脚 字符"/>
    <w:basedOn w:val="41"/>
    <w:link w:val="25"/>
    <w:qFormat/>
    <w:uiPriority w:val="99"/>
    <w:rPr>
      <w:rFonts w:ascii="Calibri" w:hAnsi="Calibri" w:eastAsia="宋体" w:cs="Times New Roman"/>
      <w:sz w:val="18"/>
      <w:szCs w:val="18"/>
    </w:rPr>
  </w:style>
  <w:style w:type="character" w:customStyle="1" w:styleId="65">
    <w:name w:val="页眉 字符"/>
    <w:basedOn w:val="41"/>
    <w:link w:val="27"/>
    <w:qFormat/>
    <w:uiPriority w:val="0"/>
    <w:rPr>
      <w:rFonts w:ascii="Calibri" w:hAnsi="Calibri" w:eastAsia="宋体" w:cs="Times New Roman"/>
      <w:sz w:val="18"/>
      <w:szCs w:val="18"/>
    </w:rPr>
  </w:style>
  <w:style w:type="character" w:customStyle="1" w:styleId="66">
    <w:name w:val="正文文本缩进 3 字符"/>
    <w:basedOn w:val="41"/>
    <w:link w:val="31"/>
    <w:qFormat/>
    <w:uiPriority w:val="0"/>
    <w:rPr>
      <w:rFonts w:ascii="Times New Roman" w:hAnsi="Times New Roman" w:eastAsia="宋体" w:cs="Times New Roman"/>
      <w:sz w:val="16"/>
      <w:szCs w:val="16"/>
    </w:rPr>
  </w:style>
  <w:style w:type="character" w:customStyle="1" w:styleId="67">
    <w:name w:val="标题 字符"/>
    <w:basedOn w:val="41"/>
    <w:link w:val="36"/>
    <w:qFormat/>
    <w:uiPriority w:val="0"/>
    <w:rPr>
      <w:rFonts w:ascii="Arial" w:hAnsi="Arial" w:eastAsia="宋体" w:cs="Times New Roman"/>
      <w:b/>
      <w:kern w:val="0"/>
      <w:sz w:val="32"/>
      <w:szCs w:val="20"/>
    </w:rPr>
  </w:style>
  <w:style w:type="character" w:customStyle="1" w:styleId="68">
    <w:name w:val="批注主题 字符"/>
    <w:basedOn w:val="57"/>
    <w:link w:val="37"/>
    <w:qFormat/>
    <w:uiPriority w:val="0"/>
    <w:rPr>
      <w:rFonts w:ascii="Calibri" w:hAnsi="Calibri" w:eastAsia="宋体" w:cs="Times New Roman"/>
      <w:b/>
      <w:bCs/>
      <w:szCs w:val="24"/>
    </w:rPr>
  </w:style>
  <w:style w:type="character" w:customStyle="1" w:styleId="69">
    <w:name w:val="正文文本首行缩进 字符"/>
    <w:basedOn w:val="59"/>
    <w:link w:val="38"/>
    <w:qFormat/>
    <w:uiPriority w:val="0"/>
    <w:rPr>
      <w:rFonts w:ascii="Calibri" w:hAnsi="Calibri" w:eastAsia="宋体" w:cs="Times New Roman"/>
      <w:szCs w:val="24"/>
    </w:rPr>
  </w:style>
  <w:style w:type="character" w:customStyle="1" w:styleId="70">
    <w:name w:val="正文文本首行缩进 2 字符"/>
    <w:basedOn w:val="60"/>
    <w:link w:val="39"/>
    <w:qFormat/>
    <w:uiPriority w:val="99"/>
    <w:rPr>
      <w:rFonts w:ascii="Times New Roman" w:hAnsi="Times New Roman" w:eastAsia="宋体" w:cs="Times New Roman"/>
      <w:szCs w:val="24"/>
    </w:rPr>
  </w:style>
  <w:style w:type="paragraph" w:customStyle="1" w:styleId="71">
    <w:name w:val="_Style 2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2">
    <w:name w:val="font01"/>
    <w:qFormat/>
    <w:uiPriority w:val="0"/>
    <w:rPr>
      <w:rFonts w:hint="eastAsia" w:ascii="宋体" w:hAnsi="宋体" w:eastAsia="宋体" w:cs="宋体"/>
      <w:color w:val="000000"/>
      <w:sz w:val="20"/>
      <w:szCs w:val="20"/>
      <w:u w:val="none"/>
    </w:rPr>
  </w:style>
  <w:style w:type="character" w:customStyle="1" w:styleId="73">
    <w:name w:val="font71"/>
    <w:qFormat/>
    <w:uiPriority w:val="0"/>
    <w:rPr>
      <w:rFonts w:hint="eastAsia" w:ascii="宋体" w:hAnsi="宋体" w:eastAsia="宋体" w:cs="宋体"/>
      <w:color w:val="000000"/>
      <w:sz w:val="20"/>
      <w:szCs w:val="20"/>
      <w:u w:val="none"/>
    </w:rPr>
  </w:style>
  <w:style w:type="character" w:customStyle="1" w:styleId="74">
    <w:name w:val="font41"/>
    <w:qFormat/>
    <w:uiPriority w:val="0"/>
    <w:rPr>
      <w:rFonts w:hint="eastAsia" w:ascii="宋体" w:hAnsi="宋体" w:eastAsia="宋体" w:cs="宋体"/>
      <w:color w:val="000000"/>
      <w:sz w:val="20"/>
      <w:szCs w:val="20"/>
      <w:u w:val="none"/>
    </w:rPr>
  </w:style>
  <w:style w:type="character" w:customStyle="1" w:styleId="75">
    <w:name w:val="font31"/>
    <w:qFormat/>
    <w:uiPriority w:val="0"/>
    <w:rPr>
      <w:rFonts w:hint="eastAsia" w:ascii="宋体" w:hAnsi="宋体" w:eastAsia="宋体" w:cs="宋体"/>
      <w:color w:val="FF0000"/>
      <w:sz w:val="20"/>
      <w:szCs w:val="20"/>
      <w:u w:val="none"/>
    </w:rPr>
  </w:style>
  <w:style w:type="character" w:customStyle="1" w:styleId="76">
    <w:name w:val="font51"/>
    <w:qFormat/>
    <w:uiPriority w:val="0"/>
    <w:rPr>
      <w:rFonts w:hint="eastAsia" w:ascii="宋体" w:hAnsi="宋体" w:eastAsia="宋体" w:cs="宋体"/>
      <w:color w:val="000000"/>
      <w:sz w:val="20"/>
      <w:szCs w:val="20"/>
      <w:u w:val="none"/>
    </w:rPr>
  </w:style>
  <w:style w:type="character" w:customStyle="1" w:styleId="77">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78">
    <w:name w:val="font61"/>
    <w:qFormat/>
    <w:uiPriority w:val="0"/>
    <w:rPr>
      <w:rFonts w:hint="eastAsia" w:ascii="宋体" w:hAnsi="宋体" w:eastAsia="宋体" w:cs="宋体"/>
      <w:color w:val="000000"/>
      <w:sz w:val="20"/>
      <w:szCs w:val="20"/>
      <w:u w:val="none"/>
    </w:rPr>
  </w:style>
  <w:style w:type="character" w:customStyle="1" w:styleId="79">
    <w:name w:val="font11"/>
    <w:qFormat/>
    <w:uiPriority w:val="0"/>
    <w:rPr>
      <w:rFonts w:hint="eastAsia" w:ascii="宋体" w:hAnsi="宋体" w:eastAsia="宋体" w:cs="宋体"/>
      <w:color w:val="FF0000"/>
      <w:sz w:val="20"/>
      <w:szCs w:val="20"/>
      <w:u w:val="none"/>
    </w:rPr>
  </w:style>
  <w:style w:type="character" w:customStyle="1" w:styleId="80">
    <w:name w:val="批注文字 Char"/>
    <w:qFormat/>
    <w:uiPriority w:val="0"/>
    <w:rPr>
      <w:rFonts w:eastAsia="宋体"/>
      <w:kern w:val="2"/>
      <w:sz w:val="21"/>
      <w:szCs w:val="24"/>
      <w:lang w:val="en-US" w:eastAsia="zh-CN" w:bidi="ar-SA"/>
    </w:rPr>
  </w:style>
  <w:style w:type="character" w:customStyle="1" w:styleId="81">
    <w:name w:val="font21"/>
    <w:qFormat/>
    <w:uiPriority w:val="0"/>
    <w:rPr>
      <w:rFonts w:hint="eastAsia" w:ascii="宋体" w:hAnsi="宋体" w:eastAsia="宋体" w:cs="宋体"/>
      <w:color w:val="000000"/>
      <w:sz w:val="20"/>
      <w:szCs w:val="20"/>
      <w:u w:val="none"/>
    </w:rPr>
  </w:style>
  <w:style w:type="character" w:customStyle="1" w:styleId="82">
    <w:name w:val="font91"/>
    <w:qFormat/>
    <w:uiPriority w:val="0"/>
    <w:rPr>
      <w:rFonts w:hint="eastAsia" w:ascii="宋体" w:hAnsi="宋体" w:eastAsia="宋体" w:cs="宋体"/>
      <w:color w:val="000000"/>
      <w:sz w:val="20"/>
      <w:szCs w:val="20"/>
      <w:u w:val="none"/>
    </w:rPr>
  </w:style>
  <w:style w:type="character" w:customStyle="1" w:styleId="83">
    <w:name w:val="font161"/>
    <w:qFormat/>
    <w:uiPriority w:val="0"/>
    <w:rPr>
      <w:b/>
      <w:bCs/>
      <w:sz w:val="32"/>
      <w:szCs w:val="32"/>
    </w:rPr>
  </w:style>
  <w:style w:type="character" w:customStyle="1" w:styleId="84">
    <w:name w:val="页脚 Char1"/>
    <w:semiHidden/>
    <w:qFormat/>
    <w:uiPriority w:val="99"/>
    <w:rPr>
      <w:rFonts w:ascii="Times New Roman" w:hAnsi="Times New Roman" w:eastAsia="宋体" w:cs="Times New Roman"/>
      <w:sz w:val="18"/>
      <w:szCs w:val="18"/>
    </w:rPr>
  </w:style>
  <w:style w:type="character" w:customStyle="1" w:styleId="85">
    <w:name w:val="文档结构图 Char1"/>
    <w:semiHidden/>
    <w:qFormat/>
    <w:uiPriority w:val="99"/>
    <w:rPr>
      <w:rFonts w:ascii="宋体" w:hAnsi="Times New Roman" w:eastAsia="宋体" w:cs="Times New Roman"/>
      <w:sz w:val="18"/>
      <w:szCs w:val="18"/>
    </w:rPr>
  </w:style>
  <w:style w:type="character" w:customStyle="1" w:styleId="86">
    <w:name w:val="正文文本 Char1"/>
    <w:semiHidden/>
    <w:qFormat/>
    <w:uiPriority w:val="99"/>
    <w:rPr>
      <w:rFonts w:ascii="Times New Roman" w:hAnsi="Times New Roman" w:eastAsia="宋体" w:cs="Times New Roman"/>
      <w:szCs w:val="24"/>
    </w:rPr>
  </w:style>
  <w:style w:type="character" w:customStyle="1" w:styleId="87">
    <w:name w:val="纯文本 Char1"/>
    <w:semiHidden/>
    <w:qFormat/>
    <w:uiPriority w:val="99"/>
    <w:rPr>
      <w:rFonts w:ascii="宋体" w:hAnsi="Courier New" w:eastAsia="宋体" w:cs="Courier New"/>
      <w:szCs w:val="21"/>
    </w:rPr>
  </w:style>
  <w:style w:type="character" w:customStyle="1" w:styleId="88">
    <w:name w:val="正文首行缩进 Char1"/>
    <w:semiHidden/>
    <w:qFormat/>
    <w:uiPriority w:val="99"/>
    <w:rPr>
      <w:rFonts w:ascii="Times New Roman" w:hAnsi="Times New Roman" w:eastAsia="宋体" w:cs="Times New Roman"/>
      <w:szCs w:val="24"/>
    </w:rPr>
  </w:style>
  <w:style w:type="character" w:customStyle="1" w:styleId="89">
    <w:name w:val="批注主题 Char1"/>
    <w:semiHidden/>
    <w:qFormat/>
    <w:uiPriority w:val="99"/>
    <w:rPr>
      <w:rFonts w:ascii="Times New Roman" w:hAnsi="Times New Roman" w:eastAsia="宋体" w:cs="Times New Roman"/>
      <w:b/>
      <w:bCs/>
      <w:szCs w:val="24"/>
    </w:rPr>
  </w:style>
  <w:style w:type="character" w:customStyle="1" w:styleId="90">
    <w:name w:val="页眉 Char1"/>
    <w:semiHidden/>
    <w:qFormat/>
    <w:uiPriority w:val="99"/>
    <w:rPr>
      <w:rFonts w:ascii="Times New Roman" w:hAnsi="Times New Roman" w:eastAsia="宋体" w:cs="Times New Roman"/>
      <w:sz w:val="18"/>
      <w:szCs w:val="18"/>
    </w:rPr>
  </w:style>
  <w:style w:type="paragraph" w:customStyle="1" w:styleId="91">
    <w:name w:val="样式 标题 3 + (中文) 黑体 小四 非加粗 段前: 7.8 磅 段后: 0 磅 行距: 固定值 20 磅"/>
    <w:basedOn w:val="4"/>
    <w:qFormat/>
    <w:uiPriority w:val="0"/>
    <w:pPr>
      <w:spacing w:before="0" w:after="0" w:line="400" w:lineRule="exact"/>
    </w:pPr>
    <w:rPr>
      <w:rFonts w:cs="宋体"/>
      <w:bCs w:val="0"/>
      <w:sz w:val="24"/>
      <w:szCs w:val="20"/>
    </w:rPr>
  </w:style>
  <w:style w:type="paragraph" w:styleId="92">
    <w:name w:val="List Paragraph"/>
    <w:basedOn w:val="1"/>
    <w:qFormat/>
    <w:uiPriority w:val="99"/>
    <w:pPr>
      <w:ind w:firstLine="420" w:firstLineChars="200"/>
    </w:pPr>
  </w:style>
  <w:style w:type="paragraph" w:customStyle="1" w:styleId="93">
    <w:name w:val="表格文字"/>
    <w:basedOn w:val="1"/>
    <w:qFormat/>
    <w:uiPriority w:val="0"/>
    <w:pPr>
      <w:adjustRightInd w:val="0"/>
      <w:spacing w:line="420" w:lineRule="atLeast"/>
      <w:jc w:val="left"/>
      <w:textAlignment w:val="baseline"/>
    </w:pPr>
    <w:rPr>
      <w:kern w:val="0"/>
      <w:szCs w:val="20"/>
    </w:rPr>
  </w:style>
  <w:style w:type="paragraph" w:customStyle="1" w:styleId="94">
    <w:name w:val="Char"/>
    <w:basedOn w:val="1"/>
    <w:qFormat/>
    <w:uiPriority w:val="0"/>
    <w:pPr>
      <w:tabs>
        <w:tab w:val="left" w:pos="360"/>
      </w:tabs>
    </w:pPr>
    <w:rPr>
      <w:sz w:val="24"/>
    </w:rPr>
  </w:style>
  <w:style w:type="paragraph" w:customStyle="1" w:styleId="9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文二"/>
    <w:basedOn w:val="1"/>
    <w:qFormat/>
    <w:uiPriority w:val="0"/>
    <w:pPr>
      <w:jc w:val="left"/>
    </w:pPr>
    <w:rPr>
      <w:rFonts w:ascii="宋体" w:hAnsi="宋体"/>
      <w:szCs w:val="21"/>
    </w:rPr>
  </w:style>
  <w:style w:type="paragraph" w:customStyle="1" w:styleId="98">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Cs w:val="0"/>
      <w:sz w:val="32"/>
      <w:szCs w:val="20"/>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样式2"/>
    <w:basedOn w:val="4"/>
    <w:qFormat/>
    <w:uiPriority w:val="0"/>
    <w:rPr>
      <w:i/>
    </w:rPr>
  </w:style>
  <w:style w:type="paragraph" w:customStyle="1" w:styleId="102">
    <w:name w:val="修订1"/>
    <w:qFormat/>
    <w:uiPriority w:val="0"/>
    <w:rPr>
      <w:rFonts w:ascii="Times New Roman" w:hAnsi="Times New Roman" w:eastAsia="宋体" w:cs="Times New Roman"/>
      <w:kern w:val="2"/>
      <w:sz w:val="21"/>
      <w:szCs w:val="24"/>
      <w:lang w:val="en-US" w:eastAsia="zh-CN" w:bidi="ar-SA"/>
    </w:rPr>
  </w:style>
  <w:style w:type="paragraph" w:customStyle="1" w:styleId="103">
    <w:name w:val="1"/>
    <w:basedOn w:val="1"/>
    <w:qFormat/>
    <w:uiPriority w:val="0"/>
  </w:style>
  <w:style w:type="paragraph" w:customStyle="1" w:styleId="104">
    <w:name w:val="样式1"/>
    <w:basedOn w:val="1"/>
    <w:next w:val="5"/>
    <w:qFormat/>
    <w:uiPriority w:val="0"/>
    <w:pPr>
      <w:spacing w:line="360" w:lineRule="auto"/>
      <w:ind w:firstLine="420" w:firstLineChars="200"/>
    </w:pPr>
    <w:rPr>
      <w:rFonts w:ascii="宋体" w:hAnsi="宋体"/>
      <w:szCs w:val="21"/>
    </w:rPr>
  </w:style>
  <w:style w:type="paragraph" w:customStyle="1" w:styleId="105">
    <w:name w:val="发文落款"/>
    <w:basedOn w:val="99"/>
    <w:qFormat/>
    <w:uiPriority w:val="0"/>
    <w:pPr>
      <w:ind w:left="4094" w:right="607" w:firstLine="0"/>
      <w:jc w:val="center"/>
    </w:pPr>
  </w:style>
  <w:style w:type="paragraph" w:customStyle="1" w:styleId="106">
    <w:name w:val="Char1"/>
    <w:basedOn w:val="1"/>
    <w:qFormat/>
    <w:uiPriority w:val="0"/>
    <w:pPr>
      <w:tabs>
        <w:tab w:val="left" w:pos="360"/>
      </w:tabs>
    </w:pPr>
    <w:rPr>
      <w:sz w:val="24"/>
    </w:rPr>
  </w:style>
  <w:style w:type="paragraph" w:customStyle="1" w:styleId="107">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正文 New New"/>
    <w:qFormat/>
    <w:uiPriority w:val="0"/>
    <w:pPr>
      <w:widowControl w:val="0"/>
      <w:jc w:val="both"/>
    </w:pPr>
    <w:rPr>
      <w:rFonts w:ascii="Calibri" w:hAnsi="Calibri" w:eastAsia="Calibri" w:cs="Times New Roman"/>
      <w:kern w:val="2"/>
      <w:sz w:val="30"/>
      <w:szCs w:val="24"/>
      <w:lang w:val="en-US" w:eastAsia="zh-CN" w:bidi="ar-SA"/>
    </w:rPr>
  </w:style>
  <w:style w:type="paragraph" w:customStyle="1" w:styleId="109">
    <w:name w:val="正文4"/>
    <w:qFormat/>
    <w:uiPriority w:val="0"/>
    <w:pPr>
      <w:widowControl w:val="0"/>
      <w:jc w:val="both"/>
    </w:pPr>
    <w:rPr>
      <w:rFonts w:ascii="Calibri" w:hAnsi="Calibri" w:eastAsia="Calibri" w:cs="Times New Roman"/>
      <w:kern w:val="2"/>
      <w:sz w:val="21"/>
      <w:szCs w:val="21"/>
      <w:lang w:val="en-US" w:eastAsia="zh-CN" w:bidi="ar-SA"/>
    </w:rPr>
  </w:style>
  <w:style w:type="paragraph" w:customStyle="1" w:styleId="110">
    <w:name w:val="Other|1"/>
    <w:basedOn w:val="1"/>
    <w:qFormat/>
    <w:uiPriority w:val="0"/>
    <w:pPr>
      <w:spacing w:line="228" w:lineRule="exact"/>
    </w:pPr>
    <w:rPr>
      <w:rFonts w:ascii="宋体" w:hAnsi="宋体" w:cs="宋体"/>
      <w:sz w:val="17"/>
      <w:szCs w:val="17"/>
      <w:lang w:val="zh-TW" w:eastAsia="zh-TW" w:bidi="zh-TW"/>
    </w:rPr>
  </w:style>
  <w:style w:type="character" w:customStyle="1" w:styleId="111">
    <w:name w:val="NormalCharacter"/>
    <w:qFormat/>
    <w:uiPriority w:val="0"/>
  </w:style>
  <w:style w:type="paragraph" w:customStyle="1" w:styleId="112">
    <w:name w:val="表头"/>
    <w:basedOn w:val="1"/>
    <w:qFormat/>
    <w:uiPriority w:val="0"/>
    <w:pPr>
      <w:spacing w:line="360" w:lineRule="auto"/>
      <w:jc w:val="center"/>
    </w:pPr>
    <w:rPr>
      <w:rFonts w:ascii="黑体" w:eastAsia="黑体"/>
      <w:kern w:val="0"/>
      <w:sz w:val="24"/>
      <w:szCs w:val="20"/>
    </w:rPr>
  </w:style>
  <w:style w:type="paragraph" w:customStyle="1" w:styleId="113">
    <w:name w:val="样式 标题 1 + 左侧:  4.44 厘米 首行缩进:  0 厘米"/>
    <w:basedOn w:val="2"/>
    <w:qFormat/>
    <w:uiPriority w:val="0"/>
    <w:pPr>
      <w:ind w:left="2520"/>
    </w:pPr>
    <w:rPr>
      <w:rFonts w:cs="宋体"/>
      <w:szCs w:val="20"/>
    </w:rPr>
  </w:style>
  <w:style w:type="paragraph" w:customStyle="1" w:styleId="114">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sz w:val="24"/>
    </w:rPr>
  </w:style>
  <w:style w:type="paragraph" w:customStyle="1" w:styleId="115">
    <w:name w:val="文一"/>
    <w:basedOn w:val="1"/>
    <w:qFormat/>
    <w:uiPriority w:val="0"/>
    <w:pPr>
      <w:topLinePunct/>
      <w:adjustRightInd w:val="0"/>
      <w:snapToGrid w:val="0"/>
      <w:spacing w:line="360" w:lineRule="auto"/>
      <w:ind w:firstLine="200" w:firstLineChars="200"/>
    </w:pPr>
    <w:rPr>
      <w:rFonts w:ascii="等线" w:hAnsi="等线" w:eastAsia="等线"/>
      <w:spacing w:val="4"/>
      <w:sz w:val="24"/>
    </w:rPr>
  </w:style>
  <w:style w:type="paragraph" w:customStyle="1" w:styleId="116">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117">
    <w:name w:val="_Style 8"/>
    <w:basedOn w:val="1"/>
    <w:next w:val="92"/>
    <w:qFormat/>
    <w:uiPriority w:val="1"/>
  </w:style>
  <w:style w:type="paragraph" w:customStyle="1" w:styleId="118">
    <w:name w:val="_Style 130"/>
    <w:basedOn w:val="17"/>
    <w:next w:val="39"/>
    <w:qFormat/>
    <w:uiPriority w:val="0"/>
    <w:pPr>
      <w:ind w:firstLine="420" w:firstLineChars="200"/>
    </w:pPr>
    <w:rPr>
      <w:kern w:val="0"/>
      <w:sz w:val="20"/>
    </w:rPr>
  </w:style>
  <w:style w:type="paragraph" w:customStyle="1" w:styleId="119">
    <w:name w:val="样式 宋体 行距: 1.5 倍行距"/>
    <w:basedOn w:val="1"/>
    <w:qFormat/>
    <w:uiPriority w:val="0"/>
    <w:pPr>
      <w:jc w:val="center"/>
    </w:pPr>
    <w:rPr>
      <w:b/>
      <w:szCs w:val="20"/>
    </w:rPr>
  </w:style>
  <w:style w:type="paragraph" w:customStyle="1" w:styleId="120">
    <w:name w:val="Plain Text1"/>
    <w:basedOn w:val="1"/>
    <w:qFormat/>
    <w:uiPriority w:val="0"/>
    <w:rPr>
      <w:rFonts w:ascii="Courier New" w:hAnsi="Courier New"/>
      <w:szCs w:val="20"/>
    </w:rPr>
  </w:style>
  <w:style w:type="paragraph" w:customStyle="1" w:styleId="121">
    <w:name w:val="列表段落1"/>
    <w:basedOn w:val="1"/>
    <w:qFormat/>
    <w:uiPriority w:val="0"/>
    <w:pPr>
      <w:ind w:firstLine="420" w:firstLineChars="200"/>
    </w:pPr>
  </w:style>
  <w:style w:type="paragraph" w:customStyle="1" w:styleId="122">
    <w:name w:val="UserStyle_0"/>
    <w:basedOn w:val="1"/>
    <w:next w:val="1"/>
    <w:qFormat/>
    <w:uiPriority w:val="0"/>
    <w:pPr>
      <w:widowControl/>
      <w:spacing w:line="360" w:lineRule="auto"/>
      <w:jc w:val="center"/>
      <w:textAlignment w:val="baseline"/>
    </w:pPr>
    <w:rPr>
      <w:b/>
      <w:sz w:val="24"/>
      <w:szCs w:val="21"/>
    </w:rPr>
  </w:style>
  <w:style w:type="paragraph" w:customStyle="1" w:styleId="123">
    <w:name w:val="正文 New New New New New New New"/>
    <w:qFormat/>
    <w:uiPriority w:val="0"/>
    <w:pPr>
      <w:widowControl w:val="0"/>
      <w:jc w:val="both"/>
    </w:pPr>
    <w:rPr>
      <w:rFonts w:ascii="Calibri" w:hAnsi="Calibri" w:eastAsia="宋体" w:cs="Calibri"/>
      <w:color w:val="000000"/>
      <w:kern w:val="1"/>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36312</Words>
  <Characters>38633</Characters>
  <Lines>230</Lines>
  <Paragraphs>64</Paragraphs>
  <TotalTime>1</TotalTime>
  <ScaleCrop>false</ScaleCrop>
  <LinksUpToDate>false</LinksUpToDate>
  <CharactersWithSpaces>39684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2024-10-06T16:56:00Z</dcterms:created>
  <dc:creator>HP</dc:creator>
  <cp:lastModifiedBy>广东</cp:lastModifiedBy>
  <dcterms:modified xsi:type="dcterms:W3CDTF">2025-08-19T07:31:16Z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87A4E5DBA6E24FD2B438BE8A4E01735B_13</vt:lpwstr>
  </property>
  <property fmtid="{D5CDD505-2E9C-101B-9397-08002B2CF9AE}" pid="4" name="KSOTemplateDocerSaveRecord">
    <vt:lpwstr>eyJoZGlkIjoiOGU3Y2JmYWMyZmZmMzIzYzVlZDYzMTM3ZTMzMGFjM2EiLCJ1c2VySWQiOiIxMzY0NzU3MTgzIn0=</vt:lpwstr>
  </property>
</Properties>
</file>